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5"/>
        <w:rPr>
          <w:rFonts w:ascii="Times New Roman"/>
          <w:sz w:val="25"/>
        </w:rPr>
      </w:pPr>
    </w:p>
    <w:p>
      <w:pPr>
        <w:spacing w:before="33"/>
        <w:ind w:left="2440" w:right="2440" w:firstLine="0"/>
        <w:jc w:val="center"/>
        <w:rPr>
          <w:b/>
          <w:sz w:val="30"/>
        </w:rPr>
      </w:pPr>
      <w:bookmarkStart w:name="Law and Procedure 93" w:id="1"/>
      <w:bookmarkEnd w:id="1"/>
      <w:r>
        <w:rPr/>
      </w:r>
      <w:r>
        <w:rPr>
          <w:b/>
          <w:sz w:val="30"/>
        </w:rPr>
        <w:t>CHAPTER III</w:t>
      </w:r>
    </w:p>
    <w:p>
      <w:pPr>
        <w:pStyle w:val="BodyText"/>
        <w:spacing w:before="12"/>
        <w:rPr>
          <w:b/>
          <w:sz w:val="28"/>
        </w:rPr>
      </w:pPr>
    </w:p>
    <w:p>
      <w:pPr>
        <w:spacing w:line="230" w:lineRule="auto" w:before="0"/>
        <w:ind w:left="2446" w:right="2440" w:firstLine="0"/>
        <w:jc w:val="center"/>
        <w:rPr>
          <w:b/>
          <w:sz w:val="26"/>
        </w:rPr>
      </w:pPr>
      <w:r>
        <w:rPr>
          <w:b/>
          <w:sz w:val="26"/>
        </w:rPr>
        <w:t>SCOPE OF THE ISSUES COVERED BY THE APPRAISAL CLAUSE</w:t>
      </w:r>
    </w:p>
    <w:p>
      <w:pPr>
        <w:pStyle w:val="BodyText"/>
        <w:spacing w:before="11"/>
        <w:rPr>
          <w:b/>
          <w:sz w:val="21"/>
        </w:rPr>
      </w:pPr>
    </w:p>
    <w:p>
      <w:pPr>
        <w:spacing w:line="245" w:lineRule="exact" w:before="55"/>
        <w:ind w:left="6560" w:right="0" w:firstLine="0"/>
        <w:jc w:val="left"/>
        <w:rPr>
          <w:sz w:val="20"/>
        </w:rPr>
      </w:pPr>
      <w:r>
        <w:rPr>
          <w:sz w:val="20"/>
        </w:rPr>
        <w:t>Pages</w:t>
      </w:r>
    </w:p>
    <w:p>
      <w:pPr>
        <w:pStyle w:val="ListParagraph"/>
        <w:numPr>
          <w:ilvl w:val="0"/>
          <w:numId w:val="1"/>
        </w:numPr>
        <w:tabs>
          <w:tab w:pos="1898" w:val="left" w:leader="none"/>
        </w:tabs>
        <w:spacing w:line="245" w:lineRule="exact" w:before="0" w:after="0"/>
        <w:ind w:left="1897" w:right="0" w:hanging="378"/>
        <w:jc w:val="left"/>
        <w:rPr>
          <w:rFonts w:ascii="Century Gothic"/>
          <w:sz w:val="20"/>
        </w:rPr>
      </w:pPr>
      <w:r>
        <w:rPr>
          <w:rFonts w:ascii="Century Gothic"/>
          <w:sz w:val="20"/>
        </w:rPr>
        <w:t>Appraisers May Not</w:t>
      </w:r>
      <w:r>
        <w:rPr>
          <w:rFonts w:ascii="Century Gothic"/>
          <w:spacing w:val="-2"/>
          <w:sz w:val="20"/>
        </w:rPr>
        <w:t> </w:t>
      </w:r>
      <w:r>
        <w:rPr>
          <w:rFonts w:ascii="Century Gothic"/>
          <w:sz w:val="20"/>
        </w:rPr>
        <w:t>Exceed</w:t>
      </w:r>
    </w:p>
    <w:p>
      <w:pPr>
        <w:tabs>
          <w:tab w:pos="7001" w:val="right" w:leader="none"/>
        </w:tabs>
        <w:spacing w:line="245" w:lineRule="exact" w:before="0"/>
        <w:ind w:left="2016" w:right="0" w:firstLine="0"/>
        <w:jc w:val="left"/>
        <w:rPr>
          <w:sz w:val="20"/>
        </w:rPr>
      </w:pPr>
      <w:r>
        <w:rPr>
          <w:sz w:val="20"/>
        </w:rPr>
        <w:t>Their</w:t>
      </w:r>
      <w:r>
        <w:rPr>
          <w:spacing w:val="-2"/>
          <w:sz w:val="20"/>
        </w:rPr>
        <w:t> </w:t>
      </w:r>
      <w:r>
        <w:rPr>
          <w:sz w:val="20"/>
        </w:rPr>
        <w:t>Commission</w:t>
        <w:tab/>
        <w:t>69</w:t>
      </w:r>
    </w:p>
    <w:p>
      <w:pPr>
        <w:pStyle w:val="ListParagraph"/>
        <w:numPr>
          <w:ilvl w:val="0"/>
          <w:numId w:val="1"/>
        </w:numPr>
        <w:tabs>
          <w:tab w:pos="1872" w:val="left" w:leader="none"/>
        </w:tabs>
        <w:spacing w:line="245" w:lineRule="exact" w:before="0" w:after="0"/>
        <w:ind w:left="1871" w:right="0" w:hanging="352"/>
        <w:jc w:val="left"/>
        <w:rPr>
          <w:rFonts w:ascii="Century Gothic" w:hAnsi="Century Gothic"/>
          <w:sz w:val="20"/>
        </w:rPr>
      </w:pPr>
      <w:r>
        <w:rPr>
          <w:rFonts w:ascii="Century Gothic" w:hAnsi="Century Gothic"/>
          <w:sz w:val="20"/>
        </w:rPr>
        <w:t>Appraisal of “Loss and</w:t>
      </w:r>
      <w:r>
        <w:rPr>
          <w:rFonts w:ascii="Century Gothic" w:hAnsi="Century Gothic"/>
          <w:spacing w:val="-5"/>
          <w:sz w:val="20"/>
        </w:rPr>
        <w:t> </w:t>
      </w:r>
      <w:r>
        <w:rPr>
          <w:rFonts w:ascii="Century Gothic" w:hAnsi="Century Gothic"/>
          <w:sz w:val="20"/>
        </w:rPr>
        <w:t>Value”</w:t>
      </w:r>
    </w:p>
    <w:p>
      <w:pPr>
        <w:spacing w:line="245" w:lineRule="exact" w:before="0"/>
        <w:ind w:left="2016" w:right="0" w:firstLine="0"/>
        <w:jc w:val="left"/>
        <w:rPr>
          <w:sz w:val="20"/>
        </w:rPr>
      </w:pPr>
      <w:r>
        <w:rPr>
          <w:sz w:val="20"/>
        </w:rPr>
        <w:t>to Property as Well as Economic</w:t>
      </w:r>
    </w:p>
    <w:p>
      <w:pPr>
        <w:tabs>
          <w:tab w:pos="7001" w:val="right" w:leader="none"/>
        </w:tabs>
        <w:spacing w:line="245" w:lineRule="exact" w:before="0"/>
        <w:ind w:left="2016" w:right="0" w:firstLine="0"/>
        <w:jc w:val="left"/>
        <w:rPr>
          <w:sz w:val="20"/>
        </w:rPr>
      </w:pPr>
      <w:r>
        <w:rPr>
          <w:sz w:val="20"/>
        </w:rPr>
        <w:t>Loss and</w:t>
      </w:r>
      <w:r>
        <w:rPr>
          <w:spacing w:val="-3"/>
          <w:sz w:val="20"/>
        </w:rPr>
        <w:t> </w:t>
      </w:r>
      <w:r>
        <w:rPr>
          <w:sz w:val="20"/>
        </w:rPr>
        <w:t>Other</w:t>
      </w:r>
      <w:r>
        <w:rPr>
          <w:spacing w:val="-1"/>
          <w:sz w:val="20"/>
        </w:rPr>
        <w:t> </w:t>
      </w:r>
      <w:r>
        <w:rPr>
          <w:sz w:val="20"/>
        </w:rPr>
        <w:t>Claims</w:t>
        <w:tab/>
        <w:t>78</w:t>
      </w:r>
    </w:p>
    <w:p>
      <w:pPr>
        <w:pStyle w:val="ListParagraph"/>
        <w:numPr>
          <w:ilvl w:val="0"/>
          <w:numId w:val="1"/>
        </w:numPr>
        <w:tabs>
          <w:tab w:pos="1864" w:val="left" w:leader="none"/>
          <w:tab w:pos="7000" w:val="right" w:leader="none"/>
        </w:tabs>
        <w:spacing w:line="245" w:lineRule="exact" w:before="0" w:after="0"/>
        <w:ind w:left="1863" w:right="0" w:hanging="344"/>
        <w:jc w:val="left"/>
        <w:rPr>
          <w:rFonts w:ascii="Century Gothic"/>
          <w:sz w:val="20"/>
        </w:rPr>
      </w:pPr>
      <w:r>
        <w:rPr>
          <w:rFonts w:ascii="Century Gothic"/>
          <w:sz w:val="20"/>
        </w:rPr>
        <w:t>Valued Policies and a</w:t>
      </w:r>
      <w:r>
        <w:rPr>
          <w:rFonts w:ascii="Century Gothic"/>
          <w:spacing w:val="-5"/>
          <w:sz w:val="20"/>
        </w:rPr>
        <w:t> </w:t>
      </w:r>
      <w:r>
        <w:rPr>
          <w:rFonts w:ascii="Century Gothic"/>
          <w:sz w:val="20"/>
        </w:rPr>
        <w:t>Total</w:t>
      </w:r>
      <w:r>
        <w:rPr>
          <w:rFonts w:ascii="Century Gothic"/>
          <w:spacing w:val="-1"/>
          <w:sz w:val="20"/>
        </w:rPr>
        <w:t> </w:t>
      </w:r>
      <w:r>
        <w:rPr>
          <w:rFonts w:ascii="Century Gothic"/>
          <w:sz w:val="20"/>
        </w:rPr>
        <w:t>Loss</w:t>
        <w:tab/>
        <w:t>82</w:t>
      </w:r>
    </w:p>
    <w:p>
      <w:pPr>
        <w:pStyle w:val="ListParagraph"/>
        <w:numPr>
          <w:ilvl w:val="0"/>
          <w:numId w:val="1"/>
        </w:numPr>
        <w:tabs>
          <w:tab w:pos="1907" w:val="left" w:leader="none"/>
        </w:tabs>
        <w:spacing w:line="245" w:lineRule="exact" w:before="0" w:after="0"/>
        <w:ind w:left="1906" w:right="0" w:hanging="387"/>
        <w:jc w:val="left"/>
        <w:rPr>
          <w:rFonts w:ascii="Century Gothic"/>
          <w:sz w:val="20"/>
        </w:rPr>
      </w:pPr>
      <w:r>
        <w:rPr>
          <w:rFonts w:ascii="Century Gothic"/>
          <w:sz w:val="20"/>
        </w:rPr>
        <w:t>Issues of  Scope of Loss,</w:t>
      </w:r>
      <w:r>
        <w:rPr>
          <w:rFonts w:ascii="Century Gothic"/>
          <w:spacing w:val="-27"/>
          <w:sz w:val="20"/>
        </w:rPr>
        <w:t> </w:t>
      </w:r>
      <w:r>
        <w:rPr>
          <w:rFonts w:ascii="Century Gothic"/>
          <w:sz w:val="20"/>
        </w:rPr>
        <w:t>Causation</w:t>
      </w:r>
    </w:p>
    <w:p>
      <w:pPr>
        <w:tabs>
          <w:tab w:pos="7001" w:val="right" w:leader="none"/>
        </w:tabs>
        <w:spacing w:line="245" w:lineRule="exact" w:before="0"/>
        <w:ind w:left="2071" w:right="0" w:firstLine="0"/>
        <w:jc w:val="left"/>
        <w:rPr>
          <w:sz w:val="20"/>
        </w:rPr>
      </w:pPr>
      <w:r>
        <w:rPr>
          <w:sz w:val="20"/>
        </w:rPr>
        <w:t>and</w:t>
      </w:r>
      <w:r>
        <w:rPr>
          <w:spacing w:val="-2"/>
          <w:sz w:val="20"/>
        </w:rPr>
        <w:t> </w:t>
      </w:r>
      <w:r>
        <w:rPr>
          <w:sz w:val="20"/>
        </w:rPr>
        <w:t>Coverage</w:t>
        <w:tab/>
        <w:t>88</w:t>
      </w:r>
    </w:p>
    <w:p>
      <w:pPr>
        <w:pStyle w:val="ListParagraph"/>
        <w:numPr>
          <w:ilvl w:val="0"/>
          <w:numId w:val="1"/>
        </w:numPr>
        <w:tabs>
          <w:tab w:pos="1920" w:val="left" w:leader="none"/>
          <w:tab w:pos="1921" w:val="left" w:leader="none"/>
          <w:tab w:pos="7000" w:val="right" w:leader="none"/>
        </w:tabs>
        <w:spacing w:line="245" w:lineRule="exact" w:before="0" w:after="0"/>
        <w:ind w:left="1920" w:right="0" w:hanging="401"/>
        <w:jc w:val="left"/>
        <w:rPr>
          <w:rFonts w:ascii="Century Gothic"/>
          <w:sz w:val="20"/>
        </w:rPr>
      </w:pPr>
      <w:r>
        <w:rPr>
          <w:rFonts w:ascii="Century Gothic"/>
          <w:sz w:val="20"/>
        </w:rPr>
        <w:t>Issues of</w:t>
      </w:r>
      <w:r>
        <w:rPr>
          <w:rFonts w:ascii="Century Gothic"/>
          <w:spacing w:val="-3"/>
          <w:sz w:val="20"/>
        </w:rPr>
        <w:t> </w:t>
      </w:r>
      <w:r>
        <w:rPr>
          <w:rFonts w:ascii="Century Gothic"/>
          <w:sz w:val="20"/>
        </w:rPr>
        <w:t>Bad</w:t>
      </w:r>
      <w:r>
        <w:rPr>
          <w:rFonts w:ascii="Century Gothic"/>
          <w:spacing w:val="-1"/>
          <w:sz w:val="20"/>
        </w:rPr>
        <w:t> </w:t>
      </w:r>
      <w:r>
        <w:rPr>
          <w:rFonts w:ascii="Century Gothic"/>
          <w:sz w:val="20"/>
        </w:rPr>
        <w:t>Faith</w:t>
        <w:tab/>
        <w:t>162</w:t>
      </w:r>
    </w:p>
    <w:p>
      <w:pPr>
        <w:pStyle w:val="ListParagraph"/>
        <w:numPr>
          <w:ilvl w:val="0"/>
          <w:numId w:val="1"/>
        </w:numPr>
        <w:tabs>
          <w:tab w:pos="1908" w:val="left" w:leader="none"/>
          <w:tab w:pos="1909" w:val="left" w:leader="none"/>
          <w:tab w:pos="7001" w:val="right" w:leader="none"/>
        </w:tabs>
        <w:spacing w:line="245" w:lineRule="exact" w:before="0" w:after="0"/>
        <w:ind w:left="1908" w:right="0" w:hanging="389"/>
        <w:jc w:val="left"/>
        <w:rPr>
          <w:rFonts w:ascii="Century Gothic" w:hAnsi="Century Gothic"/>
          <w:sz w:val="20"/>
        </w:rPr>
      </w:pPr>
      <w:r>
        <w:rPr>
          <w:rFonts w:ascii="Century Gothic" w:hAnsi="Century Gothic"/>
          <w:sz w:val="20"/>
        </w:rPr>
        <w:t>The “Loss</w:t>
      </w:r>
      <w:r>
        <w:rPr>
          <w:rFonts w:ascii="Century Gothic" w:hAnsi="Century Gothic"/>
          <w:spacing w:val="-3"/>
          <w:sz w:val="20"/>
        </w:rPr>
        <w:t> </w:t>
      </w:r>
      <w:r>
        <w:rPr>
          <w:rFonts w:ascii="Century Gothic" w:hAnsi="Century Gothic"/>
          <w:sz w:val="20"/>
        </w:rPr>
        <w:t>Settlement”</w:t>
      </w:r>
      <w:r>
        <w:rPr>
          <w:rFonts w:ascii="Century Gothic" w:hAnsi="Century Gothic"/>
          <w:spacing w:val="-1"/>
          <w:sz w:val="20"/>
        </w:rPr>
        <w:t> </w:t>
      </w:r>
      <w:r>
        <w:rPr>
          <w:rFonts w:ascii="Century Gothic" w:hAnsi="Century Gothic"/>
          <w:sz w:val="20"/>
        </w:rPr>
        <w:t>Provision</w:t>
        <w:tab/>
        <w:t>171</w:t>
      </w:r>
    </w:p>
    <w:p>
      <w:pPr>
        <w:pStyle w:val="ListParagraph"/>
        <w:numPr>
          <w:ilvl w:val="0"/>
          <w:numId w:val="1"/>
        </w:numPr>
        <w:tabs>
          <w:tab w:pos="1876" w:val="left" w:leader="none"/>
          <w:tab w:pos="7001" w:val="right" w:leader="none"/>
        </w:tabs>
        <w:spacing w:line="245" w:lineRule="exact" w:before="0" w:after="0"/>
        <w:ind w:left="1875" w:right="0" w:hanging="356"/>
        <w:jc w:val="left"/>
        <w:rPr>
          <w:rFonts w:ascii="Century Gothic"/>
          <w:sz w:val="20"/>
        </w:rPr>
      </w:pPr>
      <w:r>
        <w:rPr>
          <w:rFonts w:ascii="Century Gothic"/>
          <w:sz w:val="20"/>
        </w:rPr>
        <w:t>The Suit Against</w:t>
      </w:r>
      <w:r>
        <w:rPr>
          <w:rFonts w:ascii="Century Gothic"/>
          <w:spacing w:val="3"/>
          <w:sz w:val="20"/>
        </w:rPr>
        <w:t> </w:t>
      </w:r>
      <w:r>
        <w:rPr>
          <w:rFonts w:ascii="Century Gothic"/>
          <w:sz w:val="20"/>
        </w:rPr>
        <w:t>Us</w:t>
      </w:r>
      <w:r>
        <w:rPr>
          <w:rFonts w:ascii="Century Gothic"/>
          <w:spacing w:val="-1"/>
          <w:sz w:val="20"/>
        </w:rPr>
        <w:t> </w:t>
      </w:r>
      <w:r>
        <w:rPr>
          <w:rFonts w:ascii="Century Gothic"/>
          <w:sz w:val="20"/>
        </w:rPr>
        <w:t>Provision</w:t>
        <w:tab/>
        <w:t>173</w:t>
      </w:r>
    </w:p>
    <w:p>
      <w:pPr>
        <w:pStyle w:val="ListParagraph"/>
        <w:numPr>
          <w:ilvl w:val="0"/>
          <w:numId w:val="2"/>
        </w:numPr>
        <w:tabs>
          <w:tab w:pos="2239" w:val="left" w:leader="none"/>
          <w:tab w:pos="2240" w:val="left" w:leader="none"/>
          <w:tab w:pos="3929" w:val="left" w:leader="none"/>
          <w:tab w:pos="4721" w:val="left" w:leader="none"/>
          <w:tab w:pos="6629" w:val="left" w:leader="none"/>
        </w:tabs>
        <w:spacing w:line="242" w:lineRule="auto" w:before="325" w:after="0"/>
        <w:ind w:left="2240" w:right="1523" w:hanging="720"/>
        <w:jc w:val="left"/>
        <w:rPr>
          <w:rFonts w:ascii="Century Gothic"/>
          <w:sz w:val="26"/>
        </w:rPr>
      </w:pPr>
      <w:r>
        <w:rPr>
          <w:rFonts w:ascii="Century Gothic"/>
          <w:spacing w:val="2"/>
          <w:sz w:val="26"/>
        </w:rPr>
        <w:t>APPRAISERS</w:t>
        <w:tab/>
      </w:r>
      <w:r>
        <w:rPr>
          <w:rFonts w:ascii="Century Gothic"/>
          <w:sz w:val="26"/>
        </w:rPr>
        <w:t>MAY</w:t>
        <w:tab/>
        <w:t>NOT </w:t>
      </w:r>
      <w:r>
        <w:rPr>
          <w:rFonts w:ascii="Century Gothic"/>
          <w:spacing w:val="51"/>
          <w:sz w:val="26"/>
        </w:rPr>
        <w:t> </w:t>
      </w:r>
      <w:r>
        <w:rPr>
          <w:rFonts w:ascii="Century Gothic"/>
          <w:sz w:val="26"/>
        </w:rPr>
        <w:t>EXCEED</w:t>
        <w:tab/>
      </w:r>
      <w:r>
        <w:rPr>
          <w:rFonts w:ascii="Century Gothic"/>
          <w:spacing w:val="-4"/>
          <w:sz w:val="26"/>
        </w:rPr>
        <w:t>THEIR </w:t>
      </w:r>
      <w:r>
        <w:rPr>
          <w:rFonts w:ascii="Century Gothic"/>
          <w:sz w:val="26"/>
        </w:rPr>
        <w:t>COMMISSIONS</w:t>
      </w:r>
    </w:p>
    <w:p>
      <w:pPr>
        <w:pStyle w:val="BodyText"/>
        <w:spacing w:line="242" w:lineRule="auto" w:before="321"/>
        <w:ind w:left="1520" w:right="1518" w:firstLine="720"/>
        <w:jc w:val="both"/>
      </w:pPr>
      <w:r>
        <w:rPr/>
        <w:pict>
          <v:shape style="position:absolute;margin-left:159.658264pt;margin-top:82.583572pt;width:292.8pt;height:79.25pt;mso-position-horizontal-relative:page;mso-position-vertical-relative:paragraph;z-index:25165824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55"/>
                    <w:gridCol w:w="844"/>
                    <w:gridCol w:w="357"/>
                    <w:gridCol w:w="595"/>
                    <w:gridCol w:w="114"/>
                    <w:gridCol w:w="613"/>
                    <w:gridCol w:w="1083"/>
                    <w:gridCol w:w="452"/>
                    <w:gridCol w:w="617"/>
                    <w:gridCol w:w="216"/>
                  </w:tblGrid>
                  <w:tr>
                    <w:trPr>
                      <w:trHeight w:val="291" w:hRule="atLeast"/>
                    </w:trPr>
                    <w:tc>
                      <w:tcPr>
                        <w:tcW w:w="2751" w:type="dxa"/>
                        <w:gridSpan w:val="4"/>
                        <w:tcBorders>
                          <w:bottom w:val="single" w:sz="12" w:space="0" w:color="FFFFFF"/>
                        </w:tcBorders>
                      </w:tcPr>
                      <w:p>
                        <w:pPr>
                          <w:pStyle w:val="TableParagraph"/>
                          <w:spacing w:line="240" w:lineRule="auto"/>
                          <w:ind w:left="0"/>
                          <w:rPr>
                            <w:rFonts w:ascii="Times New Roman"/>
                            <w:sz w:val="20"/>
                          </w:rPr>
                        </w:pPr>
                      </w:p>
                    </w:tc>
                    <w:tc>
                      <w:tcPr>
                        <w:tcW w:w="3095" w:type="dxa"/>
                        <w:gridSpan w:val="6"/>
                        <w:tcBorders>
                          <w:bottom w:val="single" w:sz="12" w:space="0" w:color="FFFFFF"/>
                        </w:tcBorders>
                        <w:shd w:val="clear" w:color="auto" w:fill="FADD64"/>
                      </w:tcPr>
                      <w:p>
                        <w:pPr>
                          <w:pStyle w:val="TableParagraph"/>
                          <w:spacing w:line="272" w:lineRule="exact"/>
                          <w:ind w:left="58"/>
                          <w:rPr>
                            <w:sz w:val="26"/>
                          </w:rPr>
                        </w:pPr>
                        <w:r>
                          <w:rPr>
                            <w:sz w:val="26"/>
                          </w:rPr>
                          <w:t>However, what is</w:t>
                        </w:r>
                        <w:r>
                          <w:rPr>
                            <w:spacing w:val="-51"/>
                            <w:sz w:val="26"/>
                          </w:rPr>
                          <w:t> </w:t>
                        </w:r>
                        <w:r>
                          <w:rPr>
                            <w:sz w:val="26"/>
                          </w:rPr>
                          <w:t>usually</w:t>
                        </w:r>
                      </w:p>
                    </w:tc>
                  </w:tr>
                  <w:tr>
                    <w:trPr>
                      <w:trHeight w:val="290" w:hRule="atLeast"/>
                    </w:trPr>
                    <w:tc>
                      <w:tcPr>
                        <w:tcW w:w="955" w:type="dxa"/>
                        <w:tcBorders>
                          <w:top w:val="single" w:sz="12" w:space="0" w:color="FFFFFF"/>
                          <w:bottom w:val="single" w:sz="12" w:space="0" w:color="FFFFFF"/>
                        </w:tcBorders>
                        <w:shd w:val="clear" w:color="auto" w:fill="FADD64"/>
                      </w:tcPr>
                      <w:p>
                        <w:pPr>
                          <w:pStyle w:val="TableParagraph"/>
                          <w:ind w:left="46"/>
                          <w:rPr>
                            <w:sz w:val="26"/>
                          </w:rPr>
                        </w:pPr>
                        <w:r>
                          <w:rPr>
                            <w:sz w:val="26"/>
                          </w:rPr>
                          <w:t>crystal</w:t>
                        </w:r>
                      </w:p>
                    </w:tc>
                    <w:tc>
                      <w:tcPr>
                        <w:tcW w:w="844" w:type="dxa"/>
                        <w:tcBorders>
                          <w:top w:val="single" w:sz="12" w:space="0" w:color="FFFFFF"/>
                          <w:bottom w:val="single" w:sz="12" w:space="0" w:color="FFFFFF"/>
                        </w:tcBorders>
                        <w:shd w:val="clear" w:color="auto" w:fill="FADD64"/>
                      </w:tcPr>
                      <w:p>
                        <w:pPr>
                          <w:pStyle w:val="TableParagraph"/>
                          <w:ind w:left="101"/>
                          <w:rPr>
                            <w:sz w:val="26"/>
                          </w:rPr>
                        </w:pPr>
                        <w:r>
                          <w:rPr>
                            <w:sz w:val="26"/>
                          </w:rPr>
                          <w:t>clear</w:t>
                        </w:r>
                      </w:p>
                    </w:tc>
                    <w:tc>
                      <w:tcPr>
                        <w:tcW w:w="357" w:type="dxa"/>
                        <w:tcBorders>
                          <w:top w:val="single" w:sz="12" w:space="0" w:color="FFFFFF"/>
                          <w:bottom w:val="single" w:sz="12" w:space="0" w:color="FFFFFF"/>
                        </w:tcBorders>
                        <w:shd w:val="clear" w:color="auto" w:fill="FADD64"/>
                      </w:tcPr>
                      <w:p>
                        <w:pPr>
                          <w:pStyle w:val="TableParagraph"/>
                          <w:ind w:left="101"/>
                          <w:rPr>
                            <w:sz w:val="26"/>
                          </w:rPr>
                        </w:pPr>
                        <w:r>
                          <w:rPr>
                            <w:sz w:val="26"/>
                          </w:rPr>
                          <w:t>is</w:t>
                        </w:r>
                      </w:p>
                    </w:tc>
                    <w:tc>
                      <w:tcPr>
                        <w:tcW w:w="709" w:type="dxa"/>
                        <w:gridSpan w:val="2"/>
                        <w:tcBorders>
                          <w:top w:val="single" w:sz="12" w:space="0" w:color="FFFFFF"/>
                          <w:bottom w:val="single" w:sz="12" w:space="0" w:color="FFFFFF"/>
                        </w:tcBorders>
                        <w:shd w:val="clear" w:color="auto" w:fill="FADD64"/>
                      </w:tcPr>
                      <w:p>
                        <w:pPr>
                          <w:pStyle w:val="TableParagraph"/>
                          <w:ind w:left="102"/>
                          <w:rPr>
                            <w:sz w:val="26"/>
                          </w:rPr>
                        </w:pPr>
                        <w:r>
                          <w:rPr>
                            <w:sz w:val="26"/>
                          </w:rPr>
                          <w:t>that</w:t>
                        </w:r>
                      </w:p>
                    </w:tc>
                    <w:tc>
                      <w:tcPr>
                        <w:tcW w:w="613" w:type="dxa"/>
                        <w:tcBorders>
                          <w:top w:val="single" w:sz="12" w:space="0" w:color="FFFFFF"/>
                          <w:bottom w:val="single" w:sz="12" w:space="0" w:color="FFFFFF"/>
                        </w:tcBorders>
                        <w:shd w:val="clear" w:color="auto" w:fill="FADD64"/>
                      </w:tcPr>
                      <w:p>
                        <w:pPr>
                          <w:pStyle w:val="TableParagraph"/>
                          <w:ind w:left="103"/>
                          <w:rPr>
                            <w:sz w:val="26"/>
                          </w:rPr>
                        </w:pPr>
                        <w:r>
                          <w:rPr>
                            <w:sz w:val="26"/>
                          </w:rPr>
                          <w:t>the</w:t>
                        </w:r>
                      </w:p>
                    </w:tc>
                    <w:tc>
                      <w:tcPr>
                        <w:tcW w:w="1083" w:type="dxa"/>
                        <w:tcBorders>
                          <w:top w:val="single" w:sz="12" w:space="0" w:color="FFFFFF"/>
                          <w:bottom w:val="single" w:sz="12" w:space="0" w:color="FFFFFF"/>
                        </w:tcBorders>
                        <w:shd w:val="clear" w:color="auto" w:fill="FADD64"/>
                      </w:tcPr>
                      <w:p>
                        <w:pPr>
                          <w:pStyle w:val="TableParagraph"/>
                          <w:ind w:left="105"/>
                          <w:rPr>
                            <w:sz w:val="26"/>
                          </w:rPr>
                        </w:pPr>
                        <w:r>
                          <w:rPr>
                            <w:sz w:val="26"/>
                          </w:rPr>
                          <w:t>mission</w:t>
                        </w:r>
                      </w:p>
                    </w:tc>
                    <w:tc>
                      <w:tcPr>
                        <w:tcW w:w="452" w:type="dxa"/>
                        <w:tcBorders>
                          <w:top w:val="single" w:sz="12" w:space="0" w:color="FFFFFF"/>
                          <w:bottom w:val="single" w:sz="12" w:space="0" w:color="FFFFFF"/>
                        </w:tcBorders>
                        <w:shd w:val="clear" w:color="auto" w:fill="FADD64"/>
                      </w:tcPr>
                      <w:p>
                        <w:pPr>
                          <w:pStyle w:val="TableParagraph"/>
                          <w:ind w:left="107"/>
                          <w:rPr>
                            <w:sz w:val="26"/>
                          </w:rPr>
                        </w:pPr>
                        <w:r>
                          <w:rPr>
                            <w:sz w:val="26"/>
                          </w:rPr>
                          <w:t>of</w:t>
                        </w:r>
                      </w:p>
                    </w:tc>
                    <w:tc>
                      <w:tcPr>
                        <w:tcW w:w="833" w:type="dxa"/>
                        <w:gridSpan w:val="2"/>
                        <w:tcBorders>
                          <w:top w:val="single" w:sz="12" w:space="0" w:color="FFFFFF"/>
                          <w:bottom w:val="single" w:sz="12" w:space="0" w:color="FFFFFF"/>
                        </w:tcBorders>
                        <w:shd w:val="clear" w:color="auto" w:fill="FADD64"/>
                      </w:tcPr>
                      <w:p>
                        <w:pPr>
                          <w:pStyle w:val="TableParagraph"/>
                          <w:ind w:left="108"/>
                          <w:rPr>
                            <w:sz w:val="26"/>
                          </w:rPr>
                        </w:pPr>
                        <w:r>
                          <w:rPr>
                            <w:sz w:val="26"/>
                          </w:rPr>
                          <w:t>those</w:t>
                        </w:r>
                      </w:p>
                    </w:tc>
                  </w:tr>
                  <w:tr>
                    <w:trPr>
                      <w:trHeight w:val="290" w:hRule="atLeast"/>
                    </w:trPr>
                    <w:tc>
                      <w:tcPr>
                        <w:tcW w:w="5846" w:type="dxa"/>
                        <w:gridSpan w:val="10"/>
                        <w:tcBorders>
                          <w:top w:val="single" w:sz="12" w:space="0" w:color="FFFFFF"/>
                          <w:bottom w:val="single" w:sz="12" w:space="0" w:color="FFFFFF"/>
                        </w:tcBorders>
                        <w:shd w:val="clear" w:color="auto" w:fill="FADD64"/>
                      </w:tcPr>
                      <w:p>
                        <w:pPr>
                          <w:pStyle w:val="TableParagraph"/>
                          <w:ind w:left="46"/>
                          <w:rPr>
                            <w:sz w:val="26"/>
                          </w:rPr>
                        </w:pPr>
                        <w:r>
                          <w:rPr>
                            <w:sz w:val="26"/>
                          </w:rPr>
                          <w:t>engaged in the process is to determine the</w:t>
                        </w:r>
                      </w:p>
                    </w:tc>
                  </w:tr>
                  <w:tr>
                    <w:trPr>
                      <w:trHeight w:val="300" w:hRule="atLeast"/>
                    </w:trPr>
                    <w:tc>
                      <w:tcPr>
                        <w:tcW w:w="5846" w:type="dxa"/>
                        <w:gridSpan w:val="10"/>
                        <w:tcBorders>
                          <w:top w:val="single" w:sz="12" w:space="0" w:color="FFFFFF"/>
                          <w:bottom w:val="single" w:sz="8" w:space="0" w:color="FFFFFF"/>
                        </w:tcBorders>
                        <w:shd w:val="clear" w:color="auto" w:fill="FADD64"/>
                      </w:tcPr>
                      <w:p>
                        <w:pPr>
                          <w:pStyle w:val="TableParagraph"/>
                          <w:spacing w:line="276" w:lineRule="exact"/>
                          <w:ind w:left="46"/>
                          <w:rPr>
                            <w:sz w:val="26"/>
                          </w:rPr>
                        </w:pPr>
                        <w:r>
                          <w:rPr>
                            <w:sz w:val="26"/>
                          </w:rPr>
                          <w:t>actual cash value (or such other value as</w:t>
                        </w:r>
                        <w:r>
                          <w:rPr>
                            <w:spacing w:val="62"/>
                            <w:sz w:val="26"/>
                          </w:rPr>
                          <w:t> </w:t>
                        </w:r>
                        <w:r>
                          <w:rPr>
                            <w:sz w:val="26"/>
                          </w:rPr>
                          <w:t>the</w:t>
                        </w:r>
                      </w:p>
                    </w:tc>
                  </w:tr>
                  <w:tr>
                    <w:trPr>
                      <w:trHeight w:val="301" w:hRule="atLeast"/>
                    </w:trPr>
                    <w:tc>
                      <w:tcPr>
                        <w:tcW w:w="5630" w:type="dxa"/>
                        <w:gridSpan w:val="9"/>
                        <w:tcBorders>
                          <w:top w:val="single" w:sz="8" w:space="0" w:color="FFFFFF"/>
                        </w:tcBorders>
                        <w:shd w:val="clear" w:color="auto" w:fill="FADD64"/>
                      </w:tcPr>
                      <w:p>
                        <w:pPr>
                          <w:pStyle w:val="TableParagraph"/>
                          <w:spacing w:line="278" w:lineRule="exact"/>
                          <w:ind w:left="46"/>
                          <w:rPr>
                            <w:sz w:val="26"/>
                          </w:rPr>
                        </w:pPr>
                        <w:r>
                          <w:rPr>
                            <w:sz w:val="26"/>
                          </w:rPr>
                          <w:t>policy may provide) and the amount of loss.</w:t>
                        </w:r>
                      </w:p>
                    </w:tc>
                    <w:tc>
                      <w:tcPr>
                        <w:tcW w:w="216" w:type="dxa"/>
                        <w:tcBorders>
                          <w:top w:val="single" w:sz="8" w:space="0" w:color="FFFFFF"/>
                        </w:tcBorders>
                      </w:tcPr>
                      <w:p>
                        <w:pPr>
                          <w:pStyle w:val="TableParagraph"/>
                          <w:spacing w:line="240" w:lineRule="auto"/>
                          <w:ind w:left="0"/>
                          <w:rPr>
                            <w:rFonts w:ascii="Times New Roman"/>
                            <w:sz w:val="22"/>
                          </w:rPr>
                        </w:pPr>
                      </w:p>
                    </w:tc>
                  </w:tr>
                </w:tbl>
                <w:p>
                  <w:pPr>
                    <w:pStyle w:val="BodyText"/>
                  </w:pPr>
                </w:p>
              </w:txbxContent>
            </v:textbox>
            <w10:wrap type="none"/>
          </v:shape>
        </w:pict>
      </w:r>
      <w:r>
        <w:rPr/>
        <w:t>Most insurance policies and </w:t>
      </w:r>
      <w:r>
        <w:rPr>
          <w:spacing w:val="-3"/>
        </w:rPr>
        <w:t>statutes </w:t>
      </w:r>
      <w:r>
        <w:rPr/>
        <w:t>which contain the appraisal clause </w:t>
      </w:r>
      <w:r>
        <w:rPr>
          <w:spacing w:val="-4"/>
        </w:rPr>
        <w:t>leave</w:t>
      </w:r>
      <w:r>
        <w:rPr>
          <w:spacing w:val="63"/>
        </w:rPr>
        <w:t> </w:t>
      </w:r>
      <w:r>
        <w:rPr/>
        <w:t>much</w:t>
      </w:r>
      <w:r>
        <w:rPr>
          <w:spacing w:val="-9"/>
        </w:rPr>
        <w:t> </w:t>
      </w:r>
      <w:r>
        <w:rPr/>
        <w:t>to</w:t>
      </w:r>
      <w:r>
        <w:rPr>
          <w:spacing w:val="-9"/>
        </w:rPr>
        <w:t> </w:t>
      </w:r>
      <w:r>
        <w:rPr/>
        <w:t>the</w:t>
      </w:r>
      <w:r>
        <w:rPr>
          <w:spacing w:val="-10"/>
        </w:rPr>
        <w:t> </w:t>
      </w:r>
      <w:r>
        <w:rPr/>
        <w:t>imagination</w:t>
      </w:r>
      <w:r>
        <w:rPr>
          <w:spacing w:val="-9"/>
        </w:rPr>
        <w:t> </w:t>
      </w:r>
      <w:r>
        <w:rPr/>
        <w:t>and</w:t>
      </w:r>
      <w:r>
        <w:rPr>
          <w:spacing w:val="-9"/>
        </w:rPr>
        <w:t> </w:t>
      </w:r>
      <w:r>
        <w:rPr/>
        <w:t>discretion</w:t>
      </w:r>
      <w:r>
        <w:rPr>
          <w:spacing w:val="-6"/>
        </w:rPr>
        <w:t> </w:t>
      </w:r>
      <w:r>
        <w:rPr/>
        <w:t>of</w:t>
      </w:r>
      <w:r>
        <w:rPr>
          <w:spacing w:val="-9"/>
        </w:rPr>
        <w:t> </w:t>
      </w:r>
      <w:r>
        <w:rPr/>
        <w:t>the parties and their appraisers with regard to appraisal</w:t>
      </w:r>
      <w:r>
        <w:rPr>
          <w:spacing w:val="-12"/>
        </w:rPr>
        <w:t> </w:t>
      </w:r>
      <w:r>
        <w:rPr/>
        <w:t>procedure.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4"/>
        </w:rPr>
      </w:pPr>
    </w:p>
    <w:tbl>
      <w:tblPr>
        <w:tblW w:w="0" w:type="auto"/>
        <w:jc w:val="left"/>
        <w:tblInd w:w="1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8"/>
        <w:gridCol w:w="390"/>
        <w:gridCol w:w="100"/>
        <w:gridCol w:w="2266"/>
        <w:gridCol w:w="1260"/>
        <w:gridCol w:w="574"/>
        <w:gridCol w:w="941"/>
      </w:tblGrid>
      <w:tr>
        <w:trPr>
          <w:trHeight w:val="301" w:hRule="atLeast"/>
        </w:trPr>
        <w:tc>
          <w:tcPr>
            <w:tcW w:w="718" w:type="dxa"/>
            <w:gridSpan w:val="2"/>
            <w:tcBorders>
              <w:bottom w:val="single" w:sz="8" w:space="0" w:color="FFFFFF"/>
            </w:tcBorders>
          </w:tcPr>
          <w:p>
            <w:pPr>
              <w:pStyle w:val="TableParagraph"/>
              <w:spacing w:line="240" w:lineRule="auto"/>
              <w:ind w:left="0"/>
              <w:rPr>
                <w:rFonts w:ascii="Times New Roman"/>
                <w:sz w:val="22"/>
              </w:rPr>
            </w:pPr>
          </w:p>
        </w:tc>
        <w:tc>
          <w:tcPr>
            <w:tcW w:w="5141" w:type="dxa"/>
            <w:gridSpan w:val="5"/>
            <w:tcBorders>
              <w:bottom w:val="single" w:sz="8" w:space="0" w:color="FFFFFF"/>
            </w:tcBorders>
            <w:shd w:val="clear" w:color="auto" w:fill="FADD64"/>
          </w:tcPr>
          <w:p>
            <w:pPr>
              <w:pStyle w:val="TableParagraph"/>
              <w:spacing w:line="280" w:lineRule="exact"/>
              <w:ind w:left="49"/>
              <w:rPr>
                <w:sz w:val="26"/>
              </w:rPr>
            </w:pPr>
            <w:r>
              <w:rPr>
                <w:sz w:val="26"/>
              </w:rPr>
              <w:t>It is generally sacrosanct that the values</w:t>
            </w:r>
          </w:p>
        </w:tc>
      </w:tr>
      <w:tr>
        <w:trPr>
          <w:trHeight w:val="300" w:hRule="atLeast"/>
        </w:trPr>
        <w:tc>
          <w:tcPr>
            <w:tcW w:w="328" w:type="dxa"/>
            <w:tcBorders>
              <w:top w:val="single" w:sz="8" w:space="0" w:color="FFFFFF"/>
              <w:bottom w:val="single" w:sz="8" w:space="0" w:color="FFFFFF"/>
            </w:tcBorders>
            <w:shd w:val="clear" w:color="auto" w:fill="FADD64"/>
          </w:tcPr>
          <w:p>
            <w:pPr>
              <w:pStyle w:val="TableParagraph"/>
              <w:spacing w:line="280" w:lineRule="exact"/>
              <w:rPr>
                <w:sz w:val="26"/>
              </w:rPr>
            </w:pPr>
            <w:r>
              <w:rPr>
                <w:sz w:val="26"/>
              </w:rPr>
              <w:t>to</w:t>
            </w:r>
          </w:p>
        </w:tc>
        <w:tc>
          <w:tcPr>
            <w:tcW w:w="490" w:type="dxa"/>
            <w:gridSpan w:val="2"/>
            <w:tcBorders>
              <w:top w:val="single" w:sz="8" w:space="0" w:color="FFFFFF"/>
              <w:bottom w:val="single" w:sz="8" w:space="0" w:color="FFFFFF"/>
            </w:tcBorders>
            <w:shd w:val="clear" w:color="auto" w:fill="FADD64"/>
          </w:tcPr>
          <w:p>
            <w:pPr>
              <w:pStyle w:val="TableParagraph"/>
              <w:spacing w:line="280" w:lineRule="exact"/>
              <w:ind w:left="86"/>
              <w:rPr>
                <w:sz w:val="26"/>
              </w:rPr>
            </w:pPr>
            <w:r>
              <w:rPr>
                <w:sz w:val="26"/>
              </w:rPr>
              <w:t>be</w:t>
            </w:r>
          </w:p>
        </w:tc>
        <w:tc>
          <w:tcPr>
            <w:tcW w:w="2266" w:type="dxa"/>
            <w:tcBorders>
              <w:top w:val="single" w:sz="8" w:space="0" w:color="FFFFFF"/>
              <w:bottom w:val="single" w:sz="8" w:space="0" w:color="FFFFFF"/>
            </w:tcBorders>
            <w:shd w:val="clear" w:color="auto" w:fill="FADD64"/>
          </w:tcPr>
          <w:p>
            <w:pPr>
              <w:pStyle w:val="TableParagraph"/>
              <w:spacing w:line="280" w:lineRule="exact"/>
              <w:ind w:left="51"/>
              <w:rPr>
                <w:sz w:val="26"/>
              </w:rPr>
            </w:pPr>
            <w:r>
              <w:rPr>
                <w:sz w:val="26"/>
              </w:rPr>
              <w:t>appraised are as</w:t>
            </w:r>
          </w:p>
        </w:tc>
        <w:tc>
          <w:tcPr>
            <w:tcW w:w="1260" w:type="dxa"/>
            <w:tcBorders>
              <w:top w:val="single" w:sz="8" w:space="0" w:color="FFFFFF"/>
              <w:bottom w:val="single" w:sz="8" w:space="0" w:color="FFFFFF"/>
            </w:tcBorders>
            <w:shd w:val="clear" w:color="auto" w:fill="FADD64"/>
          </w:tcPr>
          <w:p>
            <w:pPr>
              <w:pStyle w:val="TableParagraph"/>
              <w:spacing w:line="280" w:lineRule="exact"/>
              <w:ind w:left="0" w:right="2"/>
              <w:jc w:val="center"/>
              <w:rPr>
                <w:sz w:val="26"/>
              </w:rPr>
            </w:pPr>
            <w:r>
              <w:rPr>
                <w:sz w:val="26"/>
              </w:rPr>
              <w:t>to each</w:t>
            </w:r>
          </w:p>
        </w:tc>
        <w:tc>
          <w:tcPr>
            <w:tcW w:w="574" w:type="dxa"/>
            <w:tcBorders>
              <w:top w:val="single" w:sz="8" w:space="0" w:color="FFFFFF"/>
              <w:bottom w:val="single" w:sz="8" w:space="0" w:color="FFFFFF"/>
            </w:tcBorders>
            <w:shd w:val="clear" w:color="auto" w:fill="FADD64"/>
          </w:tcPr>
          <w:p>
            <w:pPr>
              <w:pStyle w:val="TableParagraph"/>
              <w:spacing w:line="280" w:lineRule="exact"/>
              <w:ind w:left="0" w:right="3"/>
              <w:jc w:val="center"/>
              <w:rPr>
                <w:sz w:val="26"/>
              </w:rPr>
            </w:pPr>
            <w:r>
              <w:rPr>
                <w:sz w:val="26"/>
              </w:rPr>
              <w:t>item</w:t>
            </w:r>
          </w:p>
        </w:tc>
        <w:tc>
          <w:tcPr>
            <w:tcW w:w="941" w:type="dxa"/>
            <w:tcBorders>
              <w:top w:val="single" w:sz="8" w:space="0" w:color="FFFFFF"/>
              <w:bottom w:val="single" w:sz="8" w:space="0" w:color="FFFFFF"/>
            </w:tcBorders>
            <w:shd w:val="clear" w:color="auto" w:fill="FADD64"/>
          </w:tcPr>
          <w:p>
            <w:pPr>
              <w:pStyle w:val="TableParagraph"/>
              <w:spacing w:line="280" w:lineRule="exact"/>
              <w:ind w:left="0" w:right="54"/>
              <w:jc w:val="right"/>
              <w:rPr>
                <w:sz w:val="26"/>
              </w:rPr>
            </w:pPr>
            <w:r>
              <w:rPr>
                <w:sz w:val="26"/>
              </w:rPr>
              <w:t>of loss</w:t>
            </w:r>
          </w:p>
        </w:tc>
      </w:tr>
      <w:tr>
        <w:trPr>
          <w:trHeight w:val="300" w:hRule="atLeast"/>
        </w:trPr>
        <w:tc>
          <w:tcPr>
            <w:tcW w:w="5859" w:type="dxa"/>
            <w:gridSpan w:val="7"/>
            <w:tcBorders>
              <w:top w:val="single" w:sz="8" w:space="0" w:color="FFFFFF"/>
              <w:bottom w:val="single" w:sz="12" w:space="0" w:color="FFFFFF"/>
            </w:tcBorders>
            <w:shd w:val="clear" w:color="auto" w:fill="FADD64"/>
          </w:tcPr>
          <w:p>
            <w:pPr>
              <w:pStyle w:val="TableParagraph"/>
              <w:spacing w:line="280" w:lineRule="exact"/>
              <w:rPr>
                <w:sz w:val="26"/>
              </w:rPr>
            </w:pPr>
            <w:r>
              <w:rPr>
                <w:sz w:val="26"/>
              </w:rPr>
              <w:t>claimed</w:t>
            </w:r>
            <w:r>
              <w:rPr>
                <w:spacing w:val="-13"/>
                <w:sz w:val="26"/>
              </w:rPr>
              <w:t> </w:t>
            </w:r>
            <w:r>
              <w:rPr>
                <w:sz w:val="26"/>
              </w:rPr>
              <w:t>by</w:t>
            </w:r>
            <w:r>
              <w:rPr>
                <w:spacing w:val="-10"/>
                <w:sz w:val="26"/>
              </w:rPr>
              <w:t> </w:t>
            </w:r>
            <w:r>
              <w:rPr>
                <w:sz w:val="26"/>
              </w:rPr>
              <w:t>the</w:t>
            </w:r>
            <w:r>
              <w:rPr>
                <w:spacing w:val="-9"/>
                <w:sz w:val="26"/>
              </w:rPr>
              <w:t> </w:t>
            </w:r>
            <w:r>
              <w:rPr>
                <w:sz w:val="26"/>
              </w:rPr>
              <w:t>insured,</w:t>
            </w:r>
            <w:r>
              <w:rPr>
                <w:spacing w:val="-11"/>
                <w:sz w:val="26"/>
              </w:rPr>
              <w:t> </w:t>
            </w:r>
            <w:r>
              <w:rPr>
                <w:sz w:val="26"/>
              </w:rPr>
              <w:t>in</w:t>
            </w:r>
            <w:r>
              <w:rPr>
                <w:spacing w:val="-8"/>
                <w:sz w:val="26"/>
              </w:rPr>
              <w:t> </w:t>
            </w:r>
            <w:r>
              <w:rPr>
                <w:sz w:val="26"/>
              </w:rPr>
              <w:t>a</w:t>
            </w:r>
            <w:r>
              <w:rPr>
                <w:spacing w:val="-8"/>
                <w:sz w:val="26"/>
              </w:rPr>
              <w:t> </w:t>
            </w:r>
            <w:r>
              <w:rPr>
                <w:sz w:val="26"/>
              </w:rPr>
              <w:t>proof</w:t>
            </w:r>
            <w:r>
              <w:rPr>
                <w:spacing w:val="-7"/>
                <w:sz w:val="26"/>
              </w:rPr>
              <w:t> </w:t>
            </w:r>
            <w:r>
              <w:rPr>
                <w:sz w:val="26"/>
              </w:rPr>
              <w:t>of</w:t>
            </w:r>
            <w:r>
              <w:rPr>
                <w:spacing w:val="-10"/>
                <w:sz w:val="26"/>
              </w:rPr>
              <w:t> </w:t>
            </w:r>
            <w:r>
              <w:rPr>
                <w:sz w:val="26"/>
              </w:rPr>
              <w:t>loss,</w:t>
            </w:r>
            <w:r>
              <w:rPr>
                <w:spacing w:val="-11"/>
                <w:sz w:val="26"/>
              </w:rPr>
              <w:t> </w:t>
            </w:r>
            <w:r>
              <w:rPr>
                <w:sz w:val="26"/>
              </w:rPr>
              <w:t>even</w:t>
            </w:r>
          </w:p>
        </w:tc>
      </w:tr>
      <w:tr>
        <w:trPr>
          <w:trHeight w:val="291" w:hRule="atLeast"/>
        </w:trPr>
        <w:tc>
          <w:tcPr>
            <w:tcW w:w="328" w:type="dxa"/>
            <w:tcBorders>
              <w:top w:val="single" w:sz="12" w:space="0" w:color="FFFFFF"/>
            </w:tcBorders>
            <w:shd w:val="clear" w:color="auto" w:fill="FADD64"/>
          </w:tcPr>
          <w:p>
            <w:pPr>
              <w:pStyle w:val="TableParagraph"/>
              <w:spacing w:line="272" w:lineRule="exact"/>
              <w:rPr>
                <w:sz w:val="26"/>
              </w:rPr>
            </w:pPr>
            <w:r>
              <w:rPr>
                <w:sz w:val="26"/>
              </w:rPr>
              <w:t>if</w:t>
            </w:r>
          </w:p>
        </w:tc>
        <w:tc>
          <w:tcPr>
            <w:tcW w:w="490" w:type="dxa"/>
            <w:gridSpan w:val="2"/>
            <w:tcBorders>
              <w:top w:val="single" w:sz="12" w:space="0" w:color="FFFFFF"/>
            </w:tcBorders>
            <w:shd w:val="clear" w:color="auto" w:fill="FADD64"/>
          </w:tcPr>
          <w:p>
            <w:pPr>
              <w:pStyle w:val="TableParagraph"/>
              <w:spacing w:line="272" w:lineRule="exact"/>
              <w:ind w:left="24"/>
              <w:rPr>
                <w:sz w:val="26"/>
              </w:rPr>
            </w:pPr>
            <w:r>
              <w:rPr>
                <w:sz w:val="26"/>
              </w:rPr>
              <w:t>the</w:t>
            </w:r>
          </w:p>
        </w:tc>
        <w:tc>
          <w:tcPr>
            <w:tcW w:w="2266" w:type="dxa"/>
            <w:tcBorders>
              <w:top w:val="single" w:sz="12" w:space="0" w:color="FFFFFF"/>
            </w:tcBorders>
            <w:shd w:val="clear" w:color="auto" w:fill="FADD64"/>
          </w:tcPr>
          <w:p>
            <w:pPr>
              <w:pStyle w:val="TableParagraph"/>
              <w:spacing w:line="272" w:lineRule="exact"/>
              <w:ind w:left="113"/>
              <w:rPr>
                <w:sz w:val="26"/>
              </w:rPr>
            </w:pPr>
            <w:r>
              <w:rPr>
                <w:sz w:val="26"/>
              </w:rPr>
              <w:t>insurer disputes</w:t>
            </w:r>
          </w:p>
        </w:tc>
        <w:tc>
          <w:tcPr>
            <w:tcW w:w="1260" w:type="dxa"/>
            <w:tcBorders>
              <w:top w:val="single" w:sz="12" w:space="0" w:color="FFFFFF"/>
            </w:tcBorders>
            <w:shd w:val="clear" w:color="auto" w:fill="FADD64"/>
          </w:tcPr>
          <w:p>
            <w:pPr>
              <w:pStyle w:val="TableParagraph"/>
              <w:spacing w:line="272" w:lineRule="exact"/>
              <w:ind w:left="0" w:right="3"/>
              <w:jc w:val="center"/>
              <w:rPr>
                <w:sz w:val="26"/>
              </w:rPr>
            </w:pPr>
            <w:r>
              <w:rPr>
                <w:sz w:val="26"/>
              </w:rPr>
              <w:t>causation</w:t>
            </w:r>
          </w:p>
        </w:tc>
        <w:tc>
          <w:tcPr>
            <w:tcW w:w="574" w:type="dxa"/>
            <w:tcBorders>
              <w:top w:val="single" w:sz="12" w:space="0" w:color="FFFFFF"/>
            </w:tcBorders>
            <w:shd w:val="clear" w:color="auto" w:fill="FADD64"/>
          </w:tcPr>
          <w:p>
            <w:pPr>
              <w:pStyle w:val="TableParagraph"/>
              <w:spacing w:line="272" w:lineRule="exact"/>
              <w:ind w:left="3" w:right="3"/>
              <w:jc w:val="center"/>
              <w:rPr>
                <w:sz w:val="26"/>
              </w:rPr>
            </w:pPr>
            <w:r>
              <w:rPr>
                <w:sz w:val="26"/>
              </w:rPr>
              <w:t>of</w:t>
            </w:r>
          </w:p>
        </w:tc>
        <w:tc>
          <w:tcPr>
            <w:tcW w:w="941" w:type="dxa"/>
            <w:tcBorders>
              <w:top w:val="single" w:sz="12" w:space="0" w:color="FFFFFF"/>
            </w:tcBorders>
            <w:shd w:val="clear" w:color="auto" w:fill="FADD64"/>
          </w:tcPr>
          <w:p>
            <w:pPr>
              <w:pStyle w:val="TableParagraph"/>
              <w:spacing w:line="272" w:lineRule="exact"/>
              <w:ind w:left="0" w:right="53"/>
              <w:jc w:val="right"/>
              <w:rPr>
                <w:sz w:val="26"/>
              </w:rPr>
            </w:pPr>
            <w:r>
              <w:rPr>
                <w:sz w:val="26"/>
              </w:rPr>
              <w:t>and/or</w:t>
            </w:r>
          </w:p>
        </w:tc>
      </w:tr>
    </w:tbl>
    <w:p>
      <w:pPr>
        <w:spacing w:after="0" w:line="272" w:lineRule="exact"/>
        <w:jc w:val="right"/>
        <w:rPr>
          <w:sz w:val="26"/>
        </w:rPr>
        <w:sectPr>
          <w:footerReference w:type="default" r:id="rId5"/>
          <w:type w:val="continuous"/>
          <w:pgSz w:w="12240" w:h="15840"/>
          <w:pgMar w:footer="2273" w:top="1500" w:bottom="2460" w:left="1720" w:right="1720"/>
          <w:pgNumType w:start="69"/>
        </w:sectPr>
      </w:pPr>
    </w:p>
    <w:p>
      <w:pPr>
        <w:pStyle w:val="BodyText"/>
        <w:rPr>
          <w:sz w:val="20"/>
        </w:rPr>
      </w:pPr>
    </w:p>
    <w:p>
      <w:pPr>
        <w:pStyle w:val="BodyText"/>
        <w:rPr>
          <w:sz w:val="20"/>
        </w:rPr>
      </w:pPr>
    </w:p>
    <w:p>
      <w:pPr>
        <w:pStyle w:val="BodyText"/>
        <w:rPr>
          <w:sz w:val="20"/>
        </w:rPr>
      </w:pPr>
    </w:p>
    <w:p>
      <w:pPr>
        <w:pStyle w:val="BodyText"/>
        <w:spacing w:before="10" w:after="1"/>
      </w:pPr>
    </w:p>
    <w:tbl>
      <w:tblPr>
        <w:tblW w:w="0" w:type="auto"/>
        <w:jc w:val="left"/>
        <w:tblInd w:w="1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320"/>
        <w:gridCol w:w="4536"/>
      </w:tblGrid>
      <w:tr>
        <w:trPr>
          <w:trHeight w:val="301" w:hRule="atLeast"/>
        </w:trPr>
        <w:tc>
          <w:tcPr>
            <w:tcW w:w="5856" w:type="dxa"/>
            <w:gridSpan w:val="2"/>
            <w:tcBorders>
              <w:bottom w:val="single" w:sz="8" w:space="0" w:color="FFFFFF"/>
            </w:tcBorders>
            <w:shd w:val="clear" w:color="auto" w:fill="FADD64"/>
          </w:tcPr>
          <w:p>
            <w:pPr>
              <w:pStyle w:val="TableParagraph"/>
              <w:spacing w:line="281" w:lineRule="exact"/>
              <w:rPr>
                <w:sz w:val="26"/>
              </w:rPr>
            </w:pPr>
            <w:bookmarkStart w:name="Law and Procedure 94" w:id="2"/>
            <w:bookmarkEnd w:id="2"/>
            <w:r>
              <w:rPr/>
            </w:r>
            <w:r>
              <w:rPr>
                <w:sz w:val="26"/>
              </w:rPr>
              <w:t>coverage for some of those items. Questions</w:t>
            </w:r>
          </w:p>
        </w:tc>
      </w:tr>
      <w:tr>
        <w:trPr>
          <w:trHeight w:val="300" w:hRule="atLeast"/>
        </w:trPr>
        <w:tc>
          <w:tcPr>
            <w:tcW w:w="5856" w:type="dxa"/>
            <w:gridSpan w:val="2"/>
            <w:tcBorders>
              <w:top w:val="single" w:sz="8" w:space="0" w:color="FFFFFF"/>
              <w:bottom w:val="single" w:sz="12" w:space="0" w:color="FFFFFF"/>
            </w:tcBorders>
            <w:shd w:val="clear" w:color="auto" w:fill="FADD64"/>
          </w:tcPr>
          <w:p>
            <w:pPr>
              <w:pStyle w:val="TableParagraph"/>
              <w:spacing w:line="280" w:lineRule="exact"/>
              <w:rPr>
                <w:sz w:val="26"/>
              </w:rPr>
            </w:pPr>
            <w:r>
              <w:rPr>
                <w:sz w:val="26"/>
              </w:rPr>
              <w:t>as to whether the insurer is ultimately liable for</w:t>
            </w:r>
          </w:p>
        </w:tc>
      </w:tr>
      <w:tr>
        <w:trPr>
          <w:trHeight w:val="290" w:hRule="atLeast"/>
        </w:trPr>
        <w:tc>
          <w:tcPr>
            <w:tcW w:w="5856" w:type="dxa"/>
            <w:gridSpan w:val="2"/>
            <w:tcBorders>
              <w:top w:val="single" w:sz="12" w:space="0" w:color="FFFFFF"/>
              <w:bottom w:val="single" w:sz="12" w:space="0" w:color="FFFFFF"/>
            </w:tcBorders>
            <w:shd w:val="clear" w:color="auto" w:fill="FADD64"/>
          </w:tcPr>
          <w:p>
            <w:pPr>
              <w:pStyle w:val="TableParagraph"/>
              <w:rPr>
                <w:sz w:val="26"/>
              </w:rPr>
            </w:pPr>
            <w:r>
              <w:rPr>
                <w:sz w:val="26"/>
              </w:rPr>
              <w:t>all or part of the loss must be resolved later by</w:t>
            </w:r>
          </w:p>
        </w:tc>
      </w:tr>
      <w:tr>
        <w:trPr>
          <w:trHeight w:val="291" w:hRule="atLeast"/>
        </w:trPr>
        <w:tc>
          <w:tcPr>
            <w:tcW w:w="1320" w:type="dxa"/>
            <w:tcBorders>
              <w:top w:val="single" w:sz="12" w:space="0" w:color="FFFFFF"/>
            </w:tcBorders>
            <w:shd w:val="clear" w:color="auto" w:fill="FADD64"/>
          </w:tcPr>
          <w:p>
            <w:pPr>
              <w:pStyle w:val="TableParagraph"/>
              <w:spacing w:line="272" w:lineRule="exact"/>
              <w:ind w:right="-44"/>
              <w:rPr>
                <w:sz w:val="26"/>
              </w:rPr>
            </w:pPr>
            <w:r>
              <w:rPr>
                <w:sz w:val="26"/>
              </w:rPr>
              <w:t>the</w:t>
            </w:r>
            <w:r>
              <w:rPr>
                <w:spacing w:val="1"/>
                <w:sz w:val="26"/>
              </w:rPr>
              <w:t> </w:t>
            </w:r>
            <w:r>
              <w:rPr>
                <w:spacing w:val="-3"/>
                <w:sz w:val="26"/>
              </w:rPr>
              <w:t>court.</w:t>
            </w:r>
            <w:r>
              <w:rPr>
                <w:spacing w:val="-3"/>
                <w:sz w:val="26"/>
                <w:vertAlign w:val="superscript"/>
              </w:rPr>
              <w:t>1</w:t>
            </w:r>
          </w:p>
        </w:tc>
        <w:tc>
          <w:tcPr>
            <w:tcW w:w="4536" w:type="dxa"/>
            <w:tcBorders>
              <w:top w:val="single" w:sz="12" w:space="0" w:color="FFFFFF"/>
            </w:tcBorders>
          </w:tcPr>
          <w:p>
            <w:pPr>
              <w:pStyle w:val="TableParagraph"/>
              <w:spacing w:line="140" w:lineRule="exact"/>
              <w:ind w:left="28"/>
              <w:rPr>
                <w:sz w:val="16"/>
              </w:rPr>
            </w:pPr>
            <w:r>
              <w:rPr>
                <w:sz w:val="16"/>
              </w:rPr>
              <w:t>13</w:t>
            </w:r>
          </w:p>
        </w:tc>
      </w:tr>
    </w:tbl>
    <w:p>
      <w:pPr>
        <w:pStyle w:val="BodyText"/>
        <w:spacing w:before="7"/>
        <w:rPr>
          <w:sz w:val="21"/>
        </w:rPr>
      </w:pPr>
    </w:p>
    <w:p>
      <w:pPr>
        <w:pStyle w:val="BodyText"/>
        <w:spacing w:line="242" w:lineRule="auto" w:before="41"/>
        <w:ind w:left="1520" w:right="1566" w:firstLine="720"/>
      </w:pPr>
      <w:r>
        <w:rPr/>
        <w:pict>
          <v:line style="position:absolute;mso-position-horizontal-relative:page;mso-position-vertical-relative:paragraph;z-index:-254274560" from="198.058258pt,16.720654pt" to="449.875183pt,16.720654pt" stroked="true" strokeweight=".913662pt" strokecolor="#008a01">
            <v:stroke dashstyle="solid"/>
            <w10:wrap type="none"/>
          </v:line>
        </w:pict>
      </w:r>
      <w:r>
        <w:rPr/>
        <w:pict>
          <v:group style="position:absolute;margin-left:159.634918pt;margin-top:20.223705pt;width:292.850pt;height:31.15pt;mso-position-horizontal-relative:page;mso-position-vertical-relative:paragraph;z-index:-254267392" coordorigin="3193,404" coordsize="5857,623">
            <v:shape style="position:absolute;left:3192;top:725;width:5857;height:302" type="#_x0000_t202" filled="true" fillcolor="#fadd64" stroked="false">
              <v:textbox inset="0,0,0,0">
                <w:txbxContent>
                  <w:p>
                    <w:pPr>
                      <w:spacing w:line="278" w:lineRule="exact" w:before="0"/>
                      <w:ind w:left="47" w:right="0" w:firstLine="0"/>
                      <w:jc w:val="left"/>
                      <w:rPr>
                        <w:sz w:val="26"/>
                      </w:rPr>
                    </w:pPr>
                    <w:r>
                      <w:rPr>
                        <w:sz w:val="26"/>
                      </w:rPr>
                      <w:t>this presentation which forms the claim itself</w:t>
                    </w:r>
                  </w:p>
                </w:txbxContent>
              </v:textbox>
              <v:fill opacity="26214f" type="solid"/>
              <w10:wrap type="none"/>
            </v:shape>
            <v:shape style="position:absolute;left:8512;top:404;width:537;height:321" type="#_x0000_t202" filled="true" fillcolor="#fadd64" stroked="false">
              <v:textbox inset="0,0,0,0">
                <w:txbxContent>
                  <w:p>
                    <w:pPr>
                      <w:spacing w:line="277" w:lineRule="exact" w:before="0"/>
                      <w:ind w:left="110" w:right="0" w:firstLine="0"/>
                      <w:jc w:val="left"/>
                      <w:rPr>
                        <w:sz w:val="26"/>
                      </w:rPr>
                    </w:pPr>
                    <w:r>
                      <w:rPr>
                        <w:sz w:val="26"/>
                      </w:rPr>
                      <w:t>It is</w:t>
                    </w:r>
                  </w:p>
                </w:txbxContent>
              </v:textbox>
              <v:fill opacity="26214f" type="solid"/>
              <w10:wrap type="none"/>
            </v:shape>
            <w10:wrap type="none"/>
          </v:group>
        </w:pict>
      </w:r>
      <w:r>
        <w:rPr>
          <w:spacing w:val="3"/>
        </w:rPr>
        <w:t>It  </w:t>
      </w:r>
      <w:r>
        <w:rPr/>
        <w:t>is  the  insured  who  states  the  items </w:t>
      </w:r>
      <w:r>
        <w:rPr>
          <w:spacing w:val="-164"/>
        </w:rPr>
        <w:t>c</w:t>
      </w:r>
      <w:r>
        <w:rPr>
          <w:spacing w:val="89"/>
          <w:u w:val="single" w:color="008A01"/>
        </w:rPr>
        <w:t> </w:t>
      </w:r>
      <w:r>
        <w:rPr/>
        <w:t>laimed,</w:t>
      </w:r>
      <w:r>
        <w:rPr>
          <w:spacing w:val="-12"/>
        </w:rPr>
        <w:t> </w:t>
      </w:r>
      <w:r>
        <w:rPr/>
        <w:t>and</w:t>
      </w:r>
      <w:r>
        <w:rPr>
          <w:spacing w:val="-9"/>
        </w:rPr>
        <w:t> </w:t>
      </w:r>
      <w:r>
        <w:rPr/>
        <w:t>swears</w:t>
      </w:r>
      <w:r>
        <w:rPr>
          <w:spacing w:val="-7"/>
        </w:rPr>
        <w:t> </w:t>
      </w:r>
      <w:r>
        <w:rPr/>
        <w:t>to</w:t>
      </w:r>
      <w:r>
        <w:rPr>
          <w:spacing w:val="-6"/>
        </w:rPr>
        <w:t> </w:t>
      </w:r>
      <w:r>
        <w:rPr/>
        <w:t>it</w:t>
      </w:r>
      <w:r>
        <w:rPr>
          <w:spacing w:val="-9"/>
        </w:rPr>
        <w:t> </w:t>
      </w:r>
      <w:r>
        <w:rPr/>
        <w:t>in</w:t>
      </w:r>
      <w:r>
        <w:rPr>
          <w:spacing w:val="-8"/>
        </w:rPr>
        <w:t> </w:t>
      </w:r>
      <w:r>
        <w:rPr/>
        <w:t>a</w:t>
      </w:r>
      <w:r>
        <w:rPr>
          <w:spacing w:val="-8"/>
        </w:rPr>
        <w:t> </w:t>
      </w:r>
      <w:r>
        <w:rPr/>
        <w:t>proof</w:t>
      </w:r>
      <w:r>
        <w:rPr>
          <w:spacing w:val="-6"/>
        </w:rPr>
        <w:t> </w:t>
      </w:r>
      <w:r>
        <w:rPr/>
        <w:t>of</w:t>
      </w:r>
      <w:r>
        <w:rPr>
          <w:spacing w:val="-9"/>
        </w:rPr>
        <w:t> </w:t>
      </w:r>
      <w:r>
        <w:rPr/>
        <w:t>loss.</w:t>
      </w:r>
    </w:p>
    <w:p>
      <w:pPr>
        <w:pStyle w:val="BodyText"/>
        <w:spacing w:before="6"/>
        <w:rPr>
          <w:sz w:val="27"/>
        </w:rPr>
      </w:pPr>
      <w:r>
        <w:rPr/>
        <w:pict>
          <v:shape style="position:absolute;margin-left:159.634918pt;margin-top:18.077362pt;width:292.850pt;height:15.1pt;mso-position-horizontal-relative:page;mso-position-vertical-relative:paragraph;z-index:-251657216;mso-wrap-distance-left:0;mso-wrap-distance-right:0" type="#_x0000_t202" filled="true" fillcolor="#fadd64" stroked="false">
            <v:textbox inset="0,0,0,0">
              <w:txbxContent>
                <w:p>
                  <w:pPr>
                    <w:pStyle w:val="BodyText"/>
                    <w:spacing w:line="279" w:lineRule="exact"/>
                    <w:ind w:left="47"/>
                  </w:pPr>
                  <w:r>
                    <w:rPr/>
                    <w:t>and</w:t>
                  </w:r>
                  <w:r>
                    <w:rPr>
                      <w:spacing w:val="-9"/>
                    </w:rPr>
                    <w:t> </w:t>
                  </w:r>
                  <w:r>
                    <w:rPr/>
                    <w:t>which</w:t>
                  </w:r>
                  <w:r>
                    <w:rPr>
                      <w:spacing w:val="-8"/>
                    </w:rPr>
                    <w:t> </w:t>
                  </w:r>
                  <w:r>
                    <w:rPr/>
                    <w:t>logically</w:t>
                  </w:r>
                  <w:r>
                    <w:rPr>
                      <w:spacing w:val="-11"/>
                    </w:rPr>
                    <w:t> </w:t>
                  </w:r>
                  <w:r>
                    <w:rPr/>
                    <w:t>and</w:t>
                  </w:r>
                  <w:r>
                    <w:rPr>
                      <w:spacing w:val="-10"/>
                    </w:rPr>
                    <w:t> </w:t>
                  </w:r>
                  <w:r>
                    <w:rPr/>
                    <w:t>legally</w:t>
                  </w:r>
                  <w:r>
                    <w:rPr>
                      <w:spacing w:val="-12"/>
                    </w:rPr>
                    <w:t> </w:t>
                  </w:r>
                  <w:r>
                    <w:rPr/>
                    <w:t>is</w:t>
                  </w:r>
                  <w:r>
                    <w:rPr>
                      <w:spacing w:val="-8"/>
                    </w:rPr>
                    <w:t> </w:t>
                  </w:r>
                  <w:r>
                    <w:rPr/>
                    <w:t>to</w:t>
                  </w:r>
                  <w:r>
                    <w:rPr>
                      <w:spacing w:val="-9"/>
                    </w:rPr>
                    <w:t> </w:t>
                  </w:r>
                  <w:r>
                    <w:rPr/>
                    <w:t>be</w:t>
                  </w:r>
                  <w:r>
                    <w:rPr>
                      <w:spacing w:val="-8"/>
                    </w:rPr>
                    <w:t> </w:t>
                  </w:r>
                  <w:r>
                    <w:rPr/>
                    <w:t>what</w:t>
                  </w:r>
                  <w:r>
                    <w:rPr>
                      <w:spacing w:val="-10"/>
                    </w:rPr>
                    <w:t> </w:t>
                  </w:r>
                  <w:r>
                    <w:rPr/>
                    <w:t>is</w:t>
                  </w:r>
                </w:p>
              </w:txbxContent>
            </v:textbox>
            <v:fill opacity="26214f" type="solid"/>
            <w10:wrap type="topAndBottom"/>
          </v:shape>
        </w:pict>
      </w:r>
    </w:p>
    <w:p>
      <w:pPr>
        <w:pStyle w:val="BodyText"/>
        <w:ind w:left="1472"/>
        <w:rPr>
          <w:sz w:val="20"/>
        </w:rPr>
      </w:pPr>
      <w:r>
        <w:rPr>
          <w:sz w:val="20"/>
        </w:rPr>
        <w:pict>
          <v:group style="width:292.850pt;height:63.2pt;mso-position-horizontal-relative:char;mso-position-vertical-relative:line" coordorigin="0,0" coordsize="5857,1264">
            <v:shape style="position:absolute;left:0;top:971;width:4678;height:293" coordorigin="0,971" coordsize="4678,293" path="m4626,971l52,971,13,1036,0,1118,13,1199,52,1264,4626,1264,4665,1199,4678,1118,4665,1036,4626,971xe" filled="true" fillcolor="#fadd64" stroked="false">
              <v:path arrowok="t"/>
              <v:fill opacity="26214f" type="solid"/>
            </v:shape>
            <v:shape style="position:absolute;left:0;top:641;width:5856;height:302" coordorigin="0,641" coordsize="5856,302" path="m5805,641l52,641,18,693,0,758,0,827,18,891,52,943,5805,943,5839,891,5856,827,5856,758,5839,693,5805,641xe" filled="true" fillcolor="#fadd64" stroked="false">
              <v:path arrowok="t"/>
              <v:fill opacity="26214f" type="solid"/>
            </v:shape>
            <v:shape style="position:absolute;left:0;top:320;width:5856;height:302" coordorigin="0,321" coordsize="5856,302" path="m5805,321l52,321,18,373,0,437,0,506,18,571,52,622,5805,622,5839,571,5856,506,5856,437,5839,373,5805,321xe" filled="true" fillcolor="#fadd64" stroked="false">
              <v:path arrowok="t"/>
              <v:fill opacity="26214f" type="solid"/>
            </v:shape>
            <v:shape style="position:absolute;left:1405;top:0;width:4451;height:302" coordorigin="1406,0" coordsize="4451,302" path="m5805,0l1457,0,1423,52,1406,116,1406,185,1423,250,1457,302,5805,302,5839,250,5856,185,5856,116,5839,52,5805,0xe" filled="true" fillcolor="#fadd64" stroked="false">
              <v:path arrowok="t"/>
              <v:fill opacity="26214f" type="solid"/>
            </v:shape>
            <v:shape style="position:absolute;left:0;top:0;width:1461;height:302" coordorigin="0,0" coordsize="1461,302" path="m1410,0l52,0,18,52,0,116,0,185,18,250,52,302,1410,302,1444,250,1461,185,1461,116,1444,52,1410,0xe" filled="true" fillcolor="#fadd64" stroked="false">
              <v:path arrowok="t"/>
              <v:fill opacity="26214f" type="solid"/>
            </v:shape>
            <v:line style="position:absolute" from="1457,259" to="5805,259" stroked="true" strokeweight=".943132pt" strokecolor="#008a01">
              <v:stroke dashstyle="solid"/>
            </v:line>
            <v:line style="position:absolute" from="52,579" to="5805,579" stroked="true" strokeweight=".943134pt" strokecolor="#008a01">
              <v:stroke dashstyle="solid"/>
            </v:line>
            <v:line style="position:absolute" from="52,900" to="5805,900" stroked="true" strokeweight=".943134pt" strokecolor="#008a01">
              <v:stroke dashstyle="solid"/>
            </v:line>
            <v:line style="position:absolute" from="52,1222" to="4626,1222" stroked="true" strokeweight=".91366pt" strokecolor="#008a01">
              <v:stroke dashstyle="solid"/>
            </v:line>
            <v:shape style="position:absolute;left:0;top:971;width:4678;height:293" type="#_x0000_t202" filled="false" stroked="false">
              <v:textbox inset="0,0,0,0">
                <w:txbxContent>
                  <w:p>
                    <w:pPr>
                      <w:spacing w:line="273" w:lineRule="exact" w:before="0"/>
                      <w:ind w:left="47" w:right="-29" w:firstLine="0"/>
                      <w:jc w:val="left"/>
                      <w:rPr>
                        <w:sz w:val="26"/>
                      </w:rPr>
                    </w:pPr>
                    <w:r>
                      <w:rPr>
                        <w:sz w:val="26"/>
                      </w:rPr>
                      <w:t>dispute as to amount of loss or</w:t>
                    </w:r>
                    <w:r>
                      <w:rPr>
                        <w:spacing w:val="-17"/>
                        <w:sz w:val="26"/>
                      </w:rPr>
                      <w:t> </w:t>
                    </w:r>
                    <w:r>
                      <w:rPr>
                        <w:sz w:val="26"/>
                      </w:rPr>
                      <w:t>value.</w:t>
                    </w:r>
                  </w:p>
                </w:txbxContent>
              </v:textbox>
              <w10:wrap type="none"/>
            </v:shape>
            <v:shape style="position:absolute;left:0;top:641;width:5857;height:331" type="#_x0000_t202" filled="false" stroked="false">
              <v:textbox inset="0,0,0,0">
                <w:txbxContent>
                  <w:p>
                    <w:pPr>
                      <w:spacing w:line="282" w:lineRule="exact" w:before="0"/>
                      <w:ind w:left="47" w:right="0" w:firstLine="0"/>
                      <w:jc w:val="left"/>
                      <w:rPr>
                        <w:sz w:val="26"/>
                      </w:rPr>
                    </w:pPr>
                    <w:r>
                      <w:rPr>
                        <w:sz w:val="26"/>
                      </w:rPr>
                      <w:t>is without basis, so long as the item(s) are in</w:t>
                    </w:r>
                  </w:p>
                </w:txbxContent>
              </v:textbox>
              <w10:wrap type="none"/>
            </v:shape>
            <v:shape style="position:absolute;left:0;top:320;width:5857;height:321" type="#_x0000_t202" filled="false" stroked="false">
              <v:textbox inset="0,0,0,0">
                <w:txbxContent>
                  <w:p>
                    <w:pPr>
                      <w:spacing w:line="281" w:lineRule="exact" w:before="0"/>
                      <w:ind w:left="47" w:right="0" w:firstLine="0"/>
                      <w:jc w:val="left"/>
                      <w:rPr>
                        <w:sz w:val="26"/>
                      </w:rPr>
                    </w:pPr>
                    <w:r>
                      <w:rPr>
                        <w:sz w:val="26"/>
                      </w:rPr>
                      <w:t>a less inclusive list be the basis of the appraisal</w:t>
                    </w:r>
                  </w:p>
                </w:txbxContent>
              </v:textbox>
              <w10:wrap type="none"/>
            </v:shape>
            <v:shape style="position:absolute;left:0;top:0;width:5857;height:321" type="#_x0000_t202" filled="false" stroked="false">
              <v:textbox inset="0,0,0,0">
                <w:txbxContent>
                  <w:p>
                    <w:pPr>
                      <w:spacing w:line="280" w:lineRule="exact" w:before="0"/>
                      <w:ind w:left="47" w:right="0" w:firstLine="0"/>
                      <w:jc w:val="left"/>
                      <w:rPr>
                        <w:sz w:val="26"/>
                      </w:rPr>
                    </w:pPr>
                    <w:r>
                      <w:rPr>
                        <w:sz w:val="26"/>
                      </w:rPr>
                      <w:t>appraised.</w:t>
                    </w:r>
                    <w:r>
                      <w:rPr>
                        <w:spacing w:val="19"/>
                        <w:sz w:val="26"/>
                      </w:rPr>
                      <w:t> </w:t>
                    </w:r>
                    <w:r>
                      <w:rPr>
                        <w:sz w:val="26"/>
                      </w:rPr>
                      <w:t>The</w:t>
                    </w:r>
                    <w:r>
                      <w:rPr>
                        <w:spacing w:val="-28"/>
                        <w:sz w:val="26"/>
                      </w:rPr>
                      <w:t> </w:t>
                    </w:r>
                    <w:r>
                      <w:rPr>
                        <w:sz w:val="26"/>
                      </w:rPr>
                      <w:t>insistence</w:t>
                    </w:r>
                    <w:r>
                      <w:rPr>
                        <w:spacing w:val="-27"/>
                        <w:sz w:val="26"/>
                      </w:rPr>
                      <w:t> </w:t>
                    </w:r>
                    <w:r>
                      <w:rPr>
                        <w:sz w:val="26"/>
                      </w:rPr>
                      <w:t>by</w:t>
                    </w:r>
                    <w:r>
                      <w:rPr>
                        <w:spacing w:val="-25"/>
                        <w:sz w:val="26"/>
                      </w:rPr>
                      <w:t> </w:t>
                    </w:r>
                    <w:r>
                      <w:rPr>
                        <w:sz w:val="26"/>
                      </w:rPr>
                      <w:t>some</w:t>
                    </w:r>
                    <w:r>
                      <w:rPr>
                        <w:spacing w:val="-25"/>
                        <w:sz w:val="26"/>
                      </w:rPr>
                      <w:t> </w:t>
                    </w:r>
                    <w:r>
                      <w:rPr>
                        <w:sz w:val="26"/>
                      </w:rPr>
                      <w:t>carriers</w:t>
                    </w:r>
                    <w:r>
                      <w:rPr>
                        <w:spacing w:val="-24"/>
                        <w:sz w:val="26"/>
                      </w:rPr>
                      <w:t> </w:t>
                    </w:r>
                    <w:r>
                      <w:rPr>
                        <w:sz w:val="26"/>
                      </w:rPr>
                      <w:t>that</w:t>
                    </w:r>
                  </w:p>
                </w:txbxContent>
              </v:textbox>
              <w10:wrap type="none"/>
            </v:shape>
          </v:group>
        </w:pict>
      </w:r>
      <w:r>
        <w:rPr>
          <w:sz w:val="20"/>
        </w:rPr>
      </w:r>
    </w:p>
    <w:p>
      <w:pPr>
        <w:pStyle w:val="BodyText"/>
        <w:spacing w:before="7"/>
        <w:rPr>
          <w:sz w:val="19"/>
        </w:rPr>
      </w:pPr>
    </w:p>
    <w:p>
      <w:pPr>
        <w:pStyle w:val="BodyText"/>
        <w:spacing w:line="242" w:lineRule="auto" w:before="41"/>
        <w:ind w:left="1520" w:right="1518" w:firstLine="720"/>
        <w:jc w:val="both"/>
      </w:pPr>
      <w:r>
        <w:rPr/>
        <w:pict>
          <v:line style="position:absolute;mso-position-horizontal-relative:page;mso-position-vertical-relative:paragraph;z-index:-254273536" from="198.058258pt,16.771832pt" to="449.875183pt,16.771832pt" stroked="true" strokeweight=".913662pt" strokecolor="#008a01">
            <v:stroke dashstyle="solid"/>
            <w10:wrap type="none"/>
          </v:line>
        </w:pict>
      </w:r>
      <w:r>
        <w:rPr/>
        <w:pict>
          <v:line style="position:absolute;mso-position-horizontal-relative:page;mso-position-vertical-relative:paragraph;z-index:-254272512" from="162.219147pt,32.805126pt" to="449.875183pt,32.805126pt" stroked="true" strokeweight=".913662pt" strokecolor="#008a01">
            <v:stroke dashstyle="solid"/>
            <w10:wrap type="none"/>
          </v:line>
        </w:pict>
      </w:r>
      <w:r>
        <w:rPr/>
        <w:pict>
          <v:line style="position:absolute;mso-position-horizontal-relative:page;mso-position-vertical-relative:paragraph;z-index:-254271488" from="162.219147pt,49.242626pt" to="449.875183pt,49.242626pt" stroked="true" strokeweight=".943134pt" strokecolor="#008a01">
            <v:stroke dashstyle="solid"/>
            <w10:wrap type="none"/>
          </v:line>
        </w:pict>
      </w:r>
      <w:r>
        <w:rPr/>
        <w:pict>
          <v:line style="position:absolute;mso-position-horizontal-relative:page;mso-position-vertical-relative:paragraph;z-index:-254270464" from="162.219147pt,65.275925pt" to="446.1026pt,65.275925pt" stroked="true" strokeweight=".943136pt" strokecolor="#008a01">
            <v:stroke dashstyle="solid"/>
            <w10:wrap type="none"/>
          </v:line>
        </w:pict>
      </w:r>
      <w:r>
        <w:rPr/>
        <w:t>The parties should agree in advance </w:t>
      </w:r>
      <w:r>
        <w:rPr>
          <w:spacing w:val="-6"/>
        </w:rPr>
        <w:t>on </w:t>
      </w:r>
      <w:r>
        <w:rPr/>
        <w:t>the issues to be determined and the relative amount</w:t>
      </w:r>
      <w:r>
        <w:rPr>
          <w:spacing w:val="-23"/>
        </w:rPr>
        <w:t> </w:t>
      </w:r>
      <w:r>
        <w:rPr/>
        <w:t>of</w:t>
      </w:r>
      <w:r>
        <w:rPr>
          <w:spacing w:val="-21"/>
        </w:rPr>
        <w:t> </w:t>
      </w:r>
      <w:r>
        <w:rPr/>
        <w:t>detail</w:t>
      </w:r>
      <w:r>
        <w:rPr>
          <w:spacing w:val="-22"/>
        </w:rPr>
        <w:t> </w:t>
      </w:r>
      <w:r>
        <w:rPr/>
        <w:t>to</w:t>
      </w:r>
      <w:r>
        <w:rPr>
          <w:spacing w:val="-21"/>
        </w:rPr>
        <w:t> </w:t>
      </w:r>
      <w:r>
        <w:rPr/>
        <w:t>be</w:t>
      </w:r>
      <w:r>
        <w:rPr>
          <w:spacing w:val="-22"/>
        </w:rPr>
        <w:t> </w:t>
      </w:r>
      <w:r>
        <w:rPr/>
        <w:t>contained</w:t>
      </w:r>
      <w:r>
        <w:rPr>
          <w:spacing w:val="-22"/>
        </w:rPr>
        <w:t> </w:t>
      </w:r>
      <w:r>
        <w:rPr/>
        <w:t>in</w:t>
      </w:r>
      <w:r>
        <w:rPr>
          <w:spacing w:val="-19"/>
        </w:rPr>
        <w:t> </w:t>
      </w:r>
      <w:r>
        <w:rPr/>
        <w:t>the</w:t>
      </w:r>
      <w:r>
        <w:rPr>
          <w:spacing w:val="-20"/>
        </w:rPr>
        <w:t> </w:t>
      </w:r>
      <w:r>
        <w:rPr/>
        <w:t>award in order to give life to the appraisal provision. </w:t>
      </w:r>
      <w:r>
        <w:rPr>
          <w:spacing w:val="3"/>
        </w:rPr>
        <w:t>It</w:t>
      </w:r>
      <w:r>
        <w:rPr>
          <w:spacing w:val="-8"/>
        </w:rPr>
        <w:t> </w:t>
      </w:r>
      <w:r>
        <w:rPr/>
        <w:t>is</w:t>
      </w:r>
      <w:r>
        <w:rPr>
          <w:spacing w:val="-8"/>
        </w:rPr>
        <w:t> </w:t>
      </w:r>
      <w:r>
        <w:rPr/>
        <w:t>most</w:t>
      </w:r>
      <w:r>
        <w:rPr>
          <w:spacing w:val="-7"/>
        </w:rPr>
        <w:t> </w:t>
      </w:r>
      <w:r>
        <w:rPr/>
        <w:t>appropriate</w:t>
      </w:r>
      <w:r>
        <w:rPr>
          <w:spacing w:val="-7"/>
        </w:rPr>
        <w:t> </w:t>
      </w:r>
      <w:r>
        <w:rPr/>
        <w:t>to</w:t>
      </w:r>
      <w:r>
        <w:rPr>
          <w:spacing w:val="-5"/>
        </w:rPr>
        <w:t> </w:t>
      </w:r>
      <w:r>
        <w:rPr/>
        <w:t>do</w:t>
      </w:r>
      <w:r>
        <w:rPr>
          <w:spacing w:val="-6"/>
        </w:rPr>
        <w:t> </w:t>
      </w:r>
      <w:r>
        <w:rPr/>
        <w:t>this</w:t>
      </w:r>
      <w:r>
        <w:rPr>
          <w:spacing w:val="-5"/>
        </w:rPr>
        <w:t> </w:t>
      </w:r>
      <w:r>
        <w:rPr/>
        <w:t>in</w:t>
      </w:r>
      <w:r>
        <w:rPr>
          <w:spacing w:val="-6"/>
        </w:rPr>
        <w:t> </w:t>
      </w:r>
      <w:r>
        <w:rPr/>
        <w:t>an</w:t>
      </w:r>
      <w:r>
        <w:rPr>
          <w:spacing w:val="-4"/>
        </w:rPr>
        <w:t> </w:t>
      </w:r>
      <w:r>
        <w:rPr/>
        <w:t>appraisal agreement signed by the</w:t>
      </w:r>
      <w:r>
        <w:rPr>
          <w:spacing w:val="-9"/>
        </w:rPr>
        <w:t> </w:t>
      </w:r>
      <w:r>
        <w:rPr/>
        <w:t>parties.</w:t>
      </w:r>
    </w:p>
    <w:p>
      <w:pPr>
        <w:pStyle w:val="BodyText"/>
        <w:spacing w:before="1"/>
      </w:pPr>
    </w:p>
    <w:p>
      <w:pPr>
        <w:pStyle w:val="BodyText"/>
        <w:spacing w:line="242" w:lineRule="auto"/>
        <w:ind w:left="1520" w:right="1519" w:firstLine="720"/>
        <w:jc w:val="both"/>
      </w:pPr>
      <w:r>
        <w:rPr/>
        <w:pict>
          <v:shape style="position:absolute;margin-left:159.634918pt;margin-top:50.436066pt;width:292.850pt;height:14.65pt;mso-position-horizontal-relative:page;mso-position-vertical-relative:paragraph;z-index:-251651072;mso-wrap-distance-left:0;mso-wrap-distance-right:0" type="#_x0000_t202" filled="true" fillcolor="#fadd64" stroked="false">
            <v:textbox inset="0,0,0,0">
              <w:txbxContent>
                <w:p>
                  <w:pPr>
                    <w:pStyle w:val="BodyText"/>
                    <w:spacing w:line="275" w:lineRule="exact"/>
                    <w:ind w:left="47"/>
                  </w:pPr>
                  <w:r>
                    <w:rPr/>
                    <w:t>authority to reopen or revisit areas of claim</w:t>
                  </w:r>
                </w:p>
              </w:txbxContent>
            </v:textbox>
            <v:fill opacity="26214f" type="solid"/>
            <w10:wrap type="topAndBottom"/>
          </v:shape>
        </w:pict>
      </w:r>
      <w:r>
        <w:rPr/>
        <w:pict>
          <v:shape style="position:absolute;margin-left:262.908142pt;margin-top:34.402771pt;width:189.6pt;height:14.65pt;mso-position-horizontal-relative:page;mso-position-vertical-relative:paragraph;z-index:-254265344" type="#_x0000_t202" filled="true" fillcolor="#fadd64" stroked="false">
            <v:textbox inset="0,0,0,0">
              <w:txbxContent>
                <w:p>
                  <w:pPr>
                    <w:pStyle w:val="BodyText"/>
                    <w:spacing w:line="275" w:lineRule="exact"/>
                    <w:ind w:left="51"/>
                  </w:pPr>
                  <w:r>
                    <w:rPr/>
                    <w:t>The appraisal team has</w:t>
                  </w:r>
                  <w:r>
                    <w:rPr>
                      <w:spacing w:val="54"/>
                    </w:rPr>
                    <w:t> </w:t>
                  </w:r>
                  <w:r>
                    <w:rPr/>
                    <w:t>no</w:t>
                  </w:r>
                </w:p>
              </w:txbxContent>
            </v:textbox>
            <v:fill opacity="26214f" type="solid"/>
            <w10:wrap type="none"/>
          </v:shape>
        </w:pict>
      </w:r>
      <w:r>
        <w:rPr/>
        <w:t>The appraisers may not exceed the authority granted to them in the appraisal agreement.</w:t>
      </w:r>
      <w:r>
        <w:rPr>
          <w:vertAlign w:val="superscript"/>
        </w:rPr>
        <w:t>114</w:t>
      </w:r>
    </w:p>
    <w:p>
      <w:pPr>
        <w:pStyle w:val="BodyText"/>
        <w:spacing w:line="289" w:lineRule="exact"/>
        <w:ind w:right="1520"/>
        <w:jc w:val="right"/>
      </w:pPr>
      <w:r>
        <w:rPr>
          <w:spacing w:val="-2"/>
          <w:w w:val="95"/>
        </w:rPr>
        <w:t>The</w:t>
      </w:r>
    </w:p>
    <w:p>
      <w:pPr>
        <w:pStyle w:val="BodyText"/>
        <w:spacing w:before="3"/>
        <w:ind w:left="1481" w:right="1481"/>
        <w:jc w:val="center"/>
      </w:pPr>
      <w:r>
        <w:rPr/>
        <w:pict>
          <v:group style="position:absolute;margin-left:299.445251pt;margin-top:14.715482pt;width:153.050pt;height:18.2pt;mso-position-horizontal-relative:page;mso-position-vertical-relative:paragraph;z-index:-254275584" coordorigin="5989,294" coordsize="3061,364">
            <v:shape style="position:absolute;left:7974;top:365;width:1075;height:293" coordorigin="7974,366" coordsize="1075,293" path="m8998,366l8026,366,7987,431,7974,512,7987,593,8026,658,8998,658,9036,593,9049,512,9036,431,8998,366xe" filled="true" fillcolor="#fadd64" stroked="false">
              <v:path arrowok="t"/>
              <v:fill opacity="26214f" type="solid"/>
            </v:shape>
            <v:line style="position:absolute" from="5989,304" to="8998,304" stroked="true" strokeweight=".943134pt" strokecolor="#008a01">
              <v:stroke dashstyle="solid"/>
            </v:line>
            <w10:wrap type="none"/>
          </v:group>
        </w:pict>
      </w:r>
      <w:r>
        <w:rPr/>
        <w:pict>
          <v:shape style="position:absolute;margin-left:159.634918pt;margin-top:-13.780648pt;width:263.6pt;height:14.65pt;mso-position-horizontal-relative:page;mso-position-vertical-relative:paragraph;z-index:251676672" type="#_x0000_t202" filled="true" fillcolor="#fadd64" stroked="false">
            <v:textbox inset="0,0,0,0">
              <w:txbxContent>
                <w:p>
                  <w:pPr>
                    <w:pStyle w:val="BodyText"/>
                    <w:spacing w:line="276" w:lineRule="exact"/>
                    <w:ind w:left="47"/>
                  </w:pPr>
                  <w:r>
                    <w:rPr/>
                    <w:t>already agreed to or paid by the carrier.</w:t>
                  </w:r>
                </w:p>
              </w:txbxContent>
            </v:textbox>
            <v:fill opacity="26214f" type="solid"/>
            <w10:wrap type="none"/>
          </v:shape>
        </w:pict>
      </w:r>
      <w:r>
        <w:rPr/>
        <w:t>process</w:t>
      </w:r>
      <w:r>
        <w:rPr>
          <w:spacing w:val="-30"/>
        </w:rPr>
        <w:t> </w:t>
      </w:r>
      <w:r>
        <w:rPr/>
        <w:t>only</w:t>
      </w:r>
      <w:r>
        <w:rPr>
          <w:spacing w:val="-31"/>
        </w:rPr>
        <w:t> </w:t>
      </w:r>
      <w:r>
        <w:rPr/>
        <w:t>pertains</w:t>
      </w:r>
      <w:r>
        <w:rPr>
          <w:spacing w:val="-29"/>
        </w:rPr>
        <w:t> </w:t>
      </w:r>
      <w:r>
        <w:rPr/>
        <w:t>“(i)n</w:t>
      </w:r>
      <w:r>
        <w:rPr>
          <w:spacing w:val="-31"/>
        </w:rPr>
        <w:t> </w:t>
      </w:r>
      <w:r>
        <w:rPr/>
        <w:t>case</w:t>
      </w:r>
      <w:r>
        <w:rPr>
          <w:spacing w:val="-32"/>
        </w:rPr>
        <w:t> </w:t>
      </w:r>
      <w:r>
        <w:rPr/>
        <w:t>the</w:t>
      </w:r>
      <w:r>
        <w:rPr>
          <w:spacing w:val="-31"/>
        </w:rPr>
        <w:t> </w:t>
      </w:r>
      <w:r>
        <w:rPr/>
        <w:t>insured</w:t>
      </w:r>
      <w:r>
        <w:rPr>
          <w:spacing w:val="-30"/>
        </w:rPr>
        <w:t> </w:t>
      </w:r>
      <w:r>
        <w:rPr/>
        <w:t>and</w:t>
      </w:r>
    </w:p>
    <w:p>
      <w:pPr>
        <w:spacing w:after="0"/>
        <w:jc w:val="center"/>
        <w:sectPr>
          <w:pgSz w:w="12240" w:h="15840"/>
          <w:pgMar w:header="0" w:footer="2273" w:top="1500" w:bottom="2460" w:left="1720" w:right="1720"/>
        </w:sectPr>
      </w:pPr>
    </w:p>
    <w:p>
      <w:pPr>
        <w:pStyle w:val="BodyText"/>
        <w:spacing w:before="2"/>
        <w:ind w:left="1520"/>
      </w:pPr>
      <w:r>
        <w:rPr>
          <w:spacing w:val="-84"/>
        </w:rPr>
        <w:t>t</w:t>
      </w:r>
      <w:r>
        <w:rPr>
          <w:spacing w:val="17"/>
          <w:u w:val="single" w:color="008A01"/>
          <w:vertAlign w:val="baseline"/>
        </w:rPr>
        <w:t> </w:t>
      </w:r>
      <w:r>
        <w:rPr>
          <w:vertAlign w:val="baseline"/>
        </w:rPr>
        <w:t>his company shall fail to </w:t>
      </w:r>
      <w:r>
        <w:rPr>
          <w:spacing w:val="-7"/>
          <w:vertAlign w:val="baseline"/>
        </w:rPr>
        <w:t>agree.”</w:t>
      </w:r>
      <w:r>
        <w:rPr>
          <w:spacing w:val="-7"/>
          <w:vertAlign w:val="superscript"/>
        </w:rPr>
        <w:t>115</w:t>
      </w:r>
    </w:p>
    <w:p>
      <w:pPr>
        <w:pStyle w:val="BodyText"/>
        <w:spacing w:before="1"/>
        <w:ind w:left="83"/>
      </w:pPr>
      <w:r>
        <w:rPr/>
        <w:br w:type="column"/>
      </w:r>
      <w:r>
        <w:rPr/>
        <w:t>It is not</w:t>
      </w:r>
    </w:p>
    <w:p>
      <w:pPr>
        <w:spacing w:after="0"/>
        <w:sectPr>
          <w:type w:val="continuous"/>
          <w:pgSz w:w="12240" w:h="15840"/>
          <w:pgMar w:top="1500" w:bottom="2460" w:left="1720" w:right="1720"/>
          <w:cols w:num="2" w:equalWidth="0">
            <w:col w:w="6179" w:space="40"/>
            <w:col w:w="2581"/>
          </w:cols>
        </w:sectPr>
      </w:pPr>
    </w:p>
    <w:p>
      <w:pPr>
        <w:pStyle w:val="BodyText"/>
        <w:spacing w:before="10"/>
        <w:rPr>
          <w:sz w:val="25"/>
        </w:rPr>
      </w:pPr>
    </w:p>
    <w:p>
      <w:pPr>
        <w:pStyle w:val="BodyText"/>
        <w:spacing w:line="20" w:lineRule="exact"/>
        <w:ind w:left="1511"/>
        <w:rPr>
          <w:sz w:val="2"/>
        </w:rPr>
      </w:pPr>
      <w:r>
        <w:rPr>
          <w:sz w:val="2"/>
        </w:rPr>
        <w:pict>
          <v:group style="width:143.9pt;height:.85pt;mso-position-horizontal-relative:char;mso-position-vertical-relative:line" coordorigin="0,0" coordsize="2878,17">
            <v:line style="position:absolute" from="0,8" to="2878,8" stroked="true" strokeweight=".84pt" strokecolor="#000000">
              <v:stroke dashstyle="solid"/>
            </v:line>
          </v:group>
        </w:pict>
      </w:r>
      <w:r>
        <w:rPr>
          <w:sz w:val="2"/>
        </w:rPr>
      </w:r>
    </w:p>
    <w:p>
      <w:pPr>
        <w:pStyle w:val="BodyText"/>
        <w:spacing w:before="6"/>
        <w:rPr>
          <w:sz w:val="12"/>
        </w:rPr>
      </w:pPr>
    </w:p>
    <w:p>
      <w:pPr>
        <w:pStyle w:val="ListParagraph"/>
        <w:numPr>
          <w:ilvl w:val="0"/>
          <w:numId w:val="3"/>
        </w:numPr>
        <w:tabs>
          <w:tab w:pos="1421" w:val="left" w:leader="none"/>
        </w:tabs>
        <w:spacing w:line="248" w:lineRule="exact" w:before="77" w:after="0"/>
        <w:ind w:left="1421" w:right="0" w:hanging="261"/>
        <w:jc w:val="left"/>
        <w:rPr>
          <w:sz w:val="24"/>
        </w:rPr>
      </w:pPr>
      <w:r>
        <w:rPr>
          <w:sz w:val="18"/>
          <w:u w:val="single"/>
        </w:rPr>
        <w:t>Mapleton Processing, Inc. v. Society Ins. Co.</w:t>
      </w:r>
      <w:r>
        <w:rPr>
          <w:sz w:val="18"/>
        </w:rPr>
        <w:t>, 2015 WL 3467190 (N.D. Iowa</w:t>
      </w:r>
      <w:r>
        <w:rPr>
          <w:spacing w:val="16"/>
          <w:sz w:val="18"/>
        </w:rPr>
        <w:t> </w:t>
      </w:r>
      <w:r>
        <w:rPr>
          <w:sz w:val="18"/>
        </w:rPr>
        <w:t>2013)</w:t>
      </w:r>
      <w:r>
        <w:rPr>
          <w:sz w:val="24"/>
        </w:rPr>
        <w:t>.</w:t>
      </w:r>
    </w:p>
    <w:p>
      <w:pPr>
        <w:pStyle w:val="ListParagraph"/>
        <w:numPr>
          <w:ilvl w:val="0"/>
          <w:numId w:val="3"/>
        </w:numPr>
        <w:tabs>
          <w:tab w:pos="1416" w:val="left" w:leader="none"/>
        </w:tabs>
        <w:spacing w:line="242" w:lineRule="exact" w:before="0" w:after="0"/>
        <w:ind w:left="1415" w:right="0" w:hanging="256"/>
        <w:jc w:val="left"/>
        <w:rPr>
          <w:sz w:val="18"/>
        </w:rPr>
      </w:pPr>
      <w:r>
        <w:rPr>
          <w:sz w:val="18"/>
          <w:u w:val="single"/>
        </w:rPr>
        <w:t>Safeco</w:t>
      </w:r>
      <w:r>
        <w:rPr>
          <w:spacing w:val="-6"/>
          <w:sz w:val="18"/>
          <w:u w:val="single"/>
        </w:rPr>
        <w:t> </w:t>
      </w:r>
      <w:r>
        <w:rPr>
          <w:sz w:val="18"/>
          <w:u w:val="single"/>
        </w:rPr>
        <w:t>Ins.</w:t>
      </w:r>
      <w:r>
        <w:rPr>
          <w:spacing w:val="-5"/>
          <w:sz w:val="18"/>
          <w:u w:val="single"/>
        </w:rPr>
        <w:t> </w:t>
      </w:r>
      <w:r>
        <w:rPr>
          <w:sz w:val="18"/>
          <w:u w:val="single"/>
        </w:rPr>
        <w:t>Co.</w:t>
      </w:r>
      <w:r>
        <w:rPr>
          <w:spacing w:val="-4"/>
          <w:sz w:val="18"/>
          <w:u w:val="single"/>
        </w:rPr>
        <w:t> </w:t>
      </w:r>
      <w:r>
        <w:rPr>
          <w:sz w:val="18"/>
          <w:u w:val="single"/>
        </w:rPr>
        <w:t>v.</w:t>
      </w:r>
      <w:r>
        <w:rPr>
          <w:spacing w:val="-5"/>
          <w:sz w:val="18"/>
          <w:u w:val="single"/>
        </w:rPr>
        <w:t> </w:t>
      </w:r>
      <w:r>
        <w:rPr>
          <w:sz w:val="18"/>
          <w:u w:val="single"/>
        </w:rPr>
        <w:t>Sharma</w:t>
      </w:r>
      <w:r>
        <w:rPr>
          <w:sz w:val="18"/>
        </w:rPr>
        <w:t>,</w:t>
      </w:r>
      <w:r>
        <w:rPr>
          <w:spacing w:val="-5"/>
          <w:sz w:val="18"/>
        </w:rPr>
        <w:t> </w:t>
      </w:r>
      <w:r>
        <w:rPr>
          <w:sz w:val="18"/>
        </w:rPr>
        <w:t>160</w:t>
      </w:r>
      <w:r>
        <w:rPr>
          <w:spacing w:val="-6"/>
          <w:sz w:val="18"/>
        </w:rPr>
        <w:t> </w:t>
      </w:r>
      <w:r>
        <w:rPr>
          <w:sz w:val="18"/>
        </w:rPr>
        <w:t>Cal.</w:t>
      </w:r>
      <w:r>
        <w:rPr>
          <w:spacing w:val="-5"/>
          <w:sz w:val="18"/>
        </w:rPr>
        <w:t> </w:t>
      </w:r>
      <w:r>
        <w:rPr>
          <w:sz w:val="18"/>
        </w:rPr>
        <w:t>App.</w:t>
      </w:r>
      <w:r>
        <w:rPr>
          <w:spacing w:val="-5"/>
          <w:sz w:val="18"/>
        </w:rPr>
        <w:t> </w:t>
      </w:r>
      <w:r>
        <w:rPr>
          <w:sz w:val="18"/>
        </w:rPr>
        <w:t>3d</w:t>
      </w:r>
      <w:r>
        <w:rPr>
          <w:spacing w:val="-3"/>
          <w:sz w:val="18"/>
        </w:rPr>
        <w:t> </w:t>
      </w:r>
      <w:r>
        <w:rPr>
          <w:sz w:val="18"/>
        </w:rPr>
        <w:t>1060,</w:t>
      </w:r>
      <w:r>
        <w:rPr>
          <w:spacing w:val="-5"/>
          <w:sz w:val="18"/>
        </w:rPr>
        <w:t> </w:t>
      </w:r>
      <w:r>
        <w:rPr>
          <w:sz w:val="18"/>
        </w:rPr>
        <w:t>207</w:t>
      </w:r>
      <w:r>
        <w:rPr>
          <w:spacing w:val="-4"/>
          <w:sz w:val="18"/>
        </w:rPr>
        <w:t> </w:t>
      </w:r>
      <w:r>
        <w:rPr>
          <w:sz w:val="18"/>
        </w:rPr>
        <w:t>Cal.</w:t>
      </w:r>
      <w:r>
        <w:rPr>
          <w:spacing w:val="-4"/>
          <w:sz w:val="18"/>
        </w:rPr>
        <w:t> </w:t>
      </w:r>
      <w:r>
        <w:rPr>
          <w:sz w:val="18"/>
        </w:rPr>
        <w:t>Rptr.</w:t>
      </w:r>
      <w:r>
        <w:rPr>
          <w:spacing w:val="-5"/>
          <w:sz w:val="18"/>
        </w:rPr>
        <w:t> </w:t>
      </w:r>
      <w:r>
        <w:rPr>
          <w:sz w:val="18"/>
        </w:rPr>
        <w:t>104</w:t>
      </w:r>
      <w:r>
        <w:rPr>
          <w:spacing w:val="-3"/>
          <w:sz w:val="18"/>
        </w:rPr>
        <w:t> </w:t>
      </w:r>
      <w:r>
        <w:rPr>
          <w:sz w:val="18"/>
        </w:rPr>
        <w:t>(Ct.</w:t>
      </w:r>
      <w:r>
        <w:rPr>
          <w:spacing w:val="-5"/>
          <w:sz w:val="18"/>
        </w:rPr>
        <w:t> </w:t>
      </w:r>
      <w:r>
        <w:rPr>
          <w:sz w:val="18"/>
        </w:rPr>
        <w:t>App.</w:t>
      </w:r>
      <w:r>
        <w:rPr>
          <w:spacing w:val="-4"/>
          <w:sz w:val="18"/>
        </w:rPr>
        <w:t> </w:t>
      </w:r>
      <w:r>
        <w:rPr>
          <w:sz w:val="18"/>
        </w:rPr>
        <w:t>1984);</w:t>
      </w:r>
    </w:p>
    <w:p>
      <w:pPr>
        <w:spacing w:line="207" w:lineRule="exact" w:before="4"/>
        <w:ind w:left="1160" w:right="0" w:firstLine="0"/>
        <w:jc w:val="left"/>
        <w:rPr>
          <w:rFonts w:ascii="Times New Roman"/>
          <w:sz w:val="18"/>
        </w:rPr>
      </w:pPr>
      <w:r>
        <w:rPr>
          <w:rFonts w:ascii="Times New Roman"/>
          <w:sz w:val="18"/>
          <w:u w:val="single"/>
        </w:rPr>
        <w:t>Edison Textiles, Inc. v. Topa Ins. Co.</w:t>
      </w:r>
      <w:r>
        <w:rPr>
          <w:rFonts w:ascii="Times New Roman"/>
          <w:sz w:val="18"/>
        </w:rPr>
        <w:t>, 2004 WL 1203072 (Cal. App. 2</w:t>
      </w:r>
      <w:r>
        <w:rPr>
          <w:rFonts w:ascii="Times New Roman"/>
          <w:position w:val="7"/>
          <w:sz w:val="10"/>
        </w:rPr>
        <w:t>nd </w:t>
      </w:r>
      <w:r>
        <w:rPr>
          <w:rFonts w:ascii="Times New Roman"/>
          <w:sz w:val="18"/>
        </w:rPr>
        <w:t>Dist. 2004).</w:t>
      </w:r>
    </w:p>
    <w:p>
      <w:pPr>
        <w:pStyle w:val="ListParagraph"/>
        <w:numPr>
          <w:ilvl w:val="0"/>
          <w:numId w:val="3"/>
        </w:numPr>
        <w:tabs>
          <w:tab w:pos="1435" w:val="left" w:leader="none"/>
        </w:tabs>
        <w:spacing w:line="282" w:lineRule="exact" w:before="0" w:after="0"/>
        <w:ind w:left="1434" w:right="0" w:hanging="275"/>
        <w:jc w:val="left"/>
        <w:rPr>
          <w:sz w:val="24"/>
        </w:rPr>
      </w:pPr>
      <w:r>
        <w:rPr>
          <w:sz w:val="18"/>
        </w:rPr>
        <w:t>Lines 1-2 of the Standard Fire</w:t>
      </w:r>
      <w:r>
        <w:rPr>
          <w:spacing w:val="-3"/>
          <w:sz w:val="18"/>
        </w:rPr>
        <w:t> </w:t>
      </w:r>
      <w:r>
        <w:rPr>
          <w:sz w:val="18"/>
        </w:rPr>
        <w:t>Policy</w:t>
      </w:r>
      <w:r>
        <w:rPr>
          <w:sz w:val="24"/>
        </w:rPr>
        <w:t>.</w:t>
      </w:r>
    </w:p>
    <w:p>
      <w:pPr>
        <w:spacing w:after="0" w:line="282" w:lineRule="exact"/>
        <w:jc w:val="left"/>
        <w:rPr>
          <w:sz w:val="24"/>
        </w:rPr>
        <w:sectPr>
          <w:type w:val="continuous"/>
          <w:pgSz w:w="12240" w:h="15840"/>
          <w:pgMar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7"/>
        <w:rPr>
          <w:rFonts w:ascii="Times New Roman"/>
          <w:sz w:val="12"/>
        </w:rPr>
      </w:pPr>
    </w:p>
    <w:p>
      <w:pPr>
        <w:pStyle w:val="BodyText"/>
        <w:ind w:left="1472"/>
        <w:rPr>
          <w:rFonts w:ascii="Times New Roman"/>
          <w:sz w:val="20"/>
        </w:rPr>
      </w:pPr>
      <w:r>
        <w:rPr>
          <w:rFonts w:ascii="Times New Roman"/>
          <w:sz w:val="20"/>
        </w:rPr>
        <w:pict>
          <v:shape style="width:292.850pt;height:15.1pt;mso-position-horizontal-relative:char;mso-position-vertical-relative:line" type="#_x0000_t202" filled="true" fillcolor="#fadd64" stroked="false">
            <w10:anchorlock/>
            <v:textbox inset="0,0,0,0">
              <w:txbxContent>
                <w:p>
                  <w:pPr>
                    <w:pStyle w:val="BodyText"/>
                    <w:spacing w:line="281" w:lineRule="exact"/>
                    <w:ind w:left="47"/>
                  </w:pPr>
                  <w:bookmarkStart w:name="Law and Procedure 95" w:id="3"/>
                  <w:bookmarkEnd w:id="3"/>
                  <w:r>
                    <w:rPr/>
                  </w:r>
                  <w:r>
                    <w:rPr/>
                    <w:t>within</w:t>
                  </w:r>
                  <w:r>
                    <w:rPr>
                      <w:spacing w:val="-16"/>
                    </w:rPr>
                    <w:t> </w:t>
                  </w:r>
                  <w:r>
                    <w:rPr/>
                    <w:t>the</w:t>
                  </w:r>
                  <w:r>
                    <w:rPr>
                      <w:spacing w:val="-16"/>
                    </w:rPr>
                    <w:t> </w:t>
                  </w:r>
                  <w:r>
                    <w:rPr/>
                    <w:t>scope</w:t>
                  </w:r>
                  <w:r>
                    <w:rPr>
                      <w:spacing w:val="-12"/>
                    </w:rPr>
                    <w:t> </w:t>
                  </w:r>
                  <w:r>
                    <w:rPr/>
                    <w:t>of</w:t>
                  </w:r>
                  <w:r>
                    <w:rPr>
                      <w:spacing w:val="-12"/>
                    </w:rPr>
                    <w:t> </w:t>
                  </w:r>
                  <w:r>
                    <w:rPr/>
                    <w:t>the</w:t>
                  </w:r>
                  <w:r>
                    <w:rPr>
                      <w:spacing w:val="-13"/>
                    </w:rPr>
                    <w:t> </w:t>
                  </w:r>
                  <w:r>
                    <w:rPr/>
                    <w:t>appraisers’</w:t>
                  </w:r>
                  <w:r>
                    <w:rPr>
                      <w:spacing w:val="-13"/>
                    </w:rPr>
                    <w:t> </w:t>
                  </w:r>
                  <w:r>
                    <w:rPr/>
                    <w:t>authority</w:t>
                  </w:r>
                  <w:r>
                    <w:rPr>
                      <w:spacing w:val="-18"/>
                    </w:rPr>
                    <w:t> </w:t>
                  </w:r>
                  <w:r>
                    <w:rPr/>
                    <w:t>to</w:t>
                  </w:r>
                </w:p>
              </w:txbxContent>
            </v:textbox>
            <v:fill opacity="26214f" type="solid"/>
          </v:shape>
        </w:pict>
      </w:r>
      <w:r>
        <w:rPr>
          <w:rFonts w:ascii="Times New Roman"/>
          <w:sz w:val="20"/>
        </w:rPr>
      </w:r>
    </w:p>
    <w:p>
      <w:pPr>
        <w:pStyle w:val="BodyText"/>
        <w:ind w:left="1472"/>
        <w:rPr>
          <w:rFonts w:ascii="Times New Roman"/>
          <w:sz w:val="20"/>
        </w:rPr>
      </w:pPr>
      <w:r>
        <w:rPr>
          <w:rFonts w:ascii="Times New Roman"/>
          <w:sz w:val="20"/>
        </w:rPr>
        <w:pict>
          <v:shape style="width:292.850pt;height:15.1pt;mso-position-horizontal-relative:char;mso-position-vertical-relative:line" type="#_x0000_t202" filled="true" fillcolor="#fadd64" stroked="false">
            <w10:anchorlock/>
            <v:textbox inset="0,0,0,0">
              <w:txbxContent>
                <w:p>
                  <w:pPr>
                    <w:pStyle w:val="BodyText"/>
                    <w:tabs>
                      <w:tab w:pos="1105" w:val="left" w:leader="none"/>
                      <w:tab w:pos="1765" w:val="left" w:leader="none"/>
                      <w:tab w:pos="2584" w:val="left" w:leader="none"/>
                      <w:tab w:pos="3157" w:val="left" w:leader="none"/>
                      <w:tab w:pos="4813" w:val="left" w:leader="none"/>
                    </w:tabs>
                    <w:spacing w:line="282" w:lineRule="exact"/>
                    <w:ind w:left="47"/>
                  </w:pPr>
                  <w:r>
                    <w:rPr/>
                    <w:t>award</w:t>
                    <w:tab/>
                    <w:t>less</w:t>
                    <w:tab/>
                    <w:t>than</w:t>
                    <w:tab/>
                    <w:t>an</w:t>
                    <w:tab/>
                    <w:t>undisputed</w:t>
                    <w:tab/>
                    <w:t>amount</w:t>
                  </w:r>
                </w:p>
              </w:txbxContent>
            </v:textbox>
            <v:fill opacity="26214f" type="solid"/>
          </v:shape>
        </w:pict>
      </w:r>
      <w:r>
        <w:rPr>
          <w:rFonts w:ascii="Times New Roman"/>
          <w:sz w:val="20"/>
        </w:rPr>
      </w:r>
    </w:p>
    <w:p>
      <w:pPr>
        <w:pStyle w:val="BodyText"/>
        <w:spacing w:line="264" w:lineRule="exact"/>
        <w:ind w:left="1481" w:right="1482"/>
        <w:jc w:val="center"/>
      </w:pPr>
      <w:r>
        <w:rPr/>
        <w:pict>
          <v:shape style="position:absolute;margin-left:159.634918pt;margin-top:-.461853pt;width:275.4pt;height:14.65pt;mso-position-horizontal-relative:page;mso-position-vertical-relative:paragraph;z-index:-254261248" coordorigin="3193,-9" coordsize="5508,293" path="m8649,-9l3244,-9,3206,56,3193,137,3206,218,3244,283,8649,283,8687,218,8700,137,8687,56,8649,-9xe" filled="true" fillcolor="#fadd64" stroked="false">
            <v:path arrowok="t"/>
            <v:fill opacity="26214f" type="solid"/>
            <w10:wrap type="none"/>
          </v:shape>
        </w:pict>
      </w:r>
      <w:r>
        <w:rPr/>
        <w:t>previously paid or agreed to by the parties. As</w:t>
      </w:r>
    </w:p>
    <w:p>
      <w:pPr>
        <w:pStyle w:val="BodyText"/>
        <w:spacing w:line="242" w:lineRule="auto" w:before="3"/>
        <w:ind w:left="1520" w:right="1520"/>
        <w:jc w:val="both"/>
      </w:pPr>
      <w:r>
        <w:rPr/>
        <w:t>to such amounts previously paid, the parties did not</w:t>
      </w:r>
      <w:r>
        <w:rPr>
          <w:u w:val="single" w:color="008A01"/>
        </w:rPr>
        <w:t> </w:t>
      </w:r>
      <w:r>
        <w:rPr/>
        <w:t>“disagree on the amount of loss” and </w:t>
      </w:r>
      <w:r>
        <w:rPr>
          <w:spacing w:val="-84"/>
        </w:rPr>
        <w:t>t</w:t>
      </w:r>
      <w:r>
        <w:rPr>
          <w:spacing w:val="7"/>
          <w:u w:val="single" w:color="008A01"/>
        </w:rPr>
        <w:t> </w:t>
      </w:r>
      <w:r>
        <w:rPr/>
        <w:t>he appraisers thus exceeded their authority. The court granted the insured’s petition for an upward modification of the award in such amount.</w:t>
      </w:r>
      <w:r>
        <w:rPr>
          <w:vertAlign w:val="superscript"/>
        </w:rPr>
        <w:t>116</w:t>
      </w:r>
    </w:p>
    <w:p>
      <w:pPr>
        <w:pStyle w:val="BodyText"/>
      </w:pPr>
    </w:p>
    <w:p>
      <w:pPr>
        <w:pStyle w:val="BodyText"/>
        <w:spacing w:line="242" w:lineRule="auto"/>
        <w:ind w:left="1520" w:right="1518" w:firstLine="720"/>
        <w:jc w:val="both"/>
      </w:pPr>
      <w:r>
        <w:rPr/>
        <w:t>However,</w:t>
      </w:r>
      <w:r>
        <w:rPr>
          <w:spacing w:val="-32"/>
        </w:rPr>
        <w:t> </w:t>
      </w:r>
      <w:r>
        <w:rPr/>
        <w:t>when</w:t>
      </w:r>
      <w:r>
        <w:rPr>
          <w:spacing w:val="-29"/>
        </w:rPr>
        <w:t> </w:t>
      </w:r>
      <w:r>
        <w:rPr/>
        <w:t>the</w:t>
      </w:r>
      <w:r>
        <w:rPr>
          <w:spacing w:val="-29"/>
        </w:rPr>
        <w:t> </w:t>
      </w:r>
      <w:r>
        <w:rPr/>
        <w:t>appraisers</w:t>
      </w:r>
      <w:r>
        <w:rPr>
          <w:spacing w:val="-29"/>
        </w:rPr>
        <w:t> </w:t>
      </w:r>
      <w:r>
        <w:rPr/>
        <w:t>discharge their duty and then exceed their commission, the excess exercise of authority may not destroy what was well done within the submission.</w:t>
      </w:r>
      <w:r>
        <w:rPr>
          <w:vertAlign w:val="superscript"/>
        </w:rPr>
        <w:t>117</w:t>
      </w:r>
      <w:r>
        <w:rPr>
          <w:vertAlign w:val="baseline"/>
        </w:rPr>
        <w:t> </w:t>
      </w:r>
      <w:r>
        <w:rPr>
          <w:spacing w:val="2"/>
          <w:vertAlign w:val="baseline"/>
        </w:rPr>
        <w:t>An </w:t>
      </w:r>
      <w:r>
        <w:rPr>
          <w:vertAlign w:val="baseline"/>
        </w:rPr>
        <w:t>unauthorized portion of </w:t>
      </w:r>
      <w:r>
        <w:rPr>
          <w:spacing w:val="-20"/>
          <w:vertAlign w:val="baseline"/>
        </w:rPr>
        <w:t>an </w:t>
      </w:r>
      <w:r>
        <w:rPr>
          <w:vertAlign w:val="baseline"/>
        </w:rPr>
        <w:t>award that does not effect or prejudice the excepting party, should not invalidate the authorized portion of the award. For</w:t>
      </w:r>
      <w:r>
        <w:rPr>
          <w:spacing w:val="-43"/>
          <w:vertAlign w:val="baseline"/>
        </w:rPr>
        <w:t> </w:t>
      </w:r>
      <w:r>
        <w:rPr>
          <w:vertAlign w:val="baseline"/>
        </w:rPr>
        <w:t>example, if an umpire who is appointed in accordance with a clause in a standard insurance policy considers the validity of the insured's title to covered property in his or her decision, the unauthorized or invalid parts of an award</w:t>
      </w:r>
      <w:r>
        <w:rPr>
          <w:spacing w:val="-20"/>
          <w:vertAlign w:val="baseline"/>
        </w:rPr>
        <w:t> </w:t>
      </w:r>
      <w:r>
        <w:rPr>
          <w:vertAlign w:val="baseline"/>
        </w:rPr>
        <w:t>can be treated as mere surplusage, unless the opposing party is</w:t>
      </w:r>
      <w:r>
        <w:rPr>
          <w:spacing w:val="-5"/>
          <w:vertAlign w:val="baseline"/>
        </w:rPr>
        <w:t> </w:t>
      </w:r>
      <w:r>
        <w:rPr>
          <w:vertAlign w:val="baseline"/>
        </w:rPr>
        <w:t>prejudiced.</w:t>
      </w:r>
      <w:r>
        <w:rPr>
          <w:vertAlign w:val="superscript"/>
        </w:rPr>
        <w:t>118</w:t>
      </w:r>
    </w:p>
    <w:p>
      <w:pPr>
        <w:pStyle w:val="BodyText"/>
        <w:rPr>
          <w:sz w:val="20"/>
        </w:rPr>
      </w:pPr>
    </w:p>
    <w:p>
      <w:pPr>
        <w:pStyle w:val="BodyText"/>
        <w:rPr>
          <w:sz w:val="20"/>
        </w:rPr>
      </w:pPr>
    </w:p>
    <w:p>
      <w:pPr>
        <w:pStyle w:val="BodyText"/>
        <w:rPr>
          <w:sz w:val="20"/>
        </w:rPr>
      </w:pPr>
    </w:p>
    <w:p>
      <w:pPr>
        <w:pStyle w:val="BodyText"/>
        <w:spacing w:before="7"/>
        <w:rPr>
          <w:sz w:val="17"/>
        </w:rPr>
      </w:pPr>
      <w:r>
        <w:rPr/>
        <w:pict>
          <v:shape style="position:absolute;margin-left:162pt;margin-top:13.180595pt;width:143.9pt;height:.1pt;mso-position-horizontal-relative:page;mso-position-vertical-relative:paragraph;z-index:-251635712;mso-wrap-distance-left:0;mso-wrap-distance-right:0" coordorigin="3240,264" coordsize="2878,0" path="m3240,264l6118,264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3"/>
        </w:numPr>
        <w:tabs>
          <w:tab w:pos="1428" w:val="left" w:leader="none"/>
        </w:tabs>
        <w:spacing w:line="290" w:lineRule="atLeast" w:before="51" w:after="0"/>
        <w:ind w:left="1160" w:right="1167" w:firstLine="0"/>
        <w:jc w:val="left"/>
        <w:rPr>
          <w:sz w:val="24"/>
        </w:rPr>
      </w:pPr>
      <w:r>
        <w:rPr>
          <w:sz w:val="18"/>
          <w:u w:val="single"/>
        </w:rPr>
        <w:t>Maiden</w:t>
      </w:r>
      <w:r>
        <w:rPr>
          <w:spacing w:val="-7"/>
          <w:sz w:val="18"/>
          <w:u w:val="single"/>
        </w:rPr>
        <w:t> </w:t>
      </w:r>
      <w:r>
        <w:rPr>
          <w:sz w:val="18"/>
          <w:u w:val="single"/>
        </w:rPr>
        <w:t>Creek</w:t>
      </w:r>
      <w:r>
        <w:rPr>
          <w:spacing w:val="-10"/>
          <w:sz w:val="18"/>
          <w:u w:val="single"/>
        </w:rPr>
        <w:t> </w:t>
      </w:r>
      <w:r>
        <w:rPr>
          <w:sz w:val="18"/>
          <w:u w:val="single"/>
        </w:rPr>
        <w:t>T.V.</w:t>
      </w:r>
      <w:r>
        <w:rPr>
          <w:spacing w:val="-8"/>
          <w:sz w:val="18"/>
          <w:u w:val="single"/>
        </w:rPr>
        <w:t> </w:t>
      </w:r>
      <w:r>
        <w:rPr>
          <w:sz w:val="18"/>
          <w:u w:val="single"/>
        </w:rPr>
        <w:t>&amp;</w:t>
      </w:r>
      <w:r>
        <w:rPr>
          <w:spacing w:val="-8"/>
          <w:sz w:val="18"/>
          <w:u w:val="single"/>
        </w:rPr>
        <w:t> </w:t>
      </w:r>
      <w:r>
        <w:rPr>
          <w:sz w:val="18"/>
          <w:u w:val="single"/>
        </w:rPr>
        <w:t>Appliance,</w:t>
      </w:r>
      <w:r>
        <w:rPr>
          <w:spacing w:val="-8"/>
          <w:sz w:val="18"/>
          <w:u w:val="single"/>
        </w:rPr>
        <w:t> </w:t>
      </w:r>
      <w:r>
        <w:rPr>
          <w:sz w:val="18"/>
          <w:u w:val="single"/>
        </w:rPr>
        <w:t>Inc.</w:t>
      </w:r>
      <w:r>
        <w:rPr>
          <w:spacing w:val="-7"/>
          <w:sz w:val="18"/>
          <w:u w:val="single"/>
        </w:rPr>
        <w:t> </w:t>
      </w:r>
      <w:r>
        <w:rPr>
          <w:sz w:val="18"/>
          <w:u w:val="single"/>
        </w:rPr>
        <w:t>v.</w:t>
      </w:r>
      <w:r>
        <w:rPr>
          <w:spacing w:val="-8"/>
          <w:sz w:val="18"/>
          <w:u w:val="single"/>
        </w:rPr>
        <w:t> </w:t>
      </w:r>
      <w:r>
        <w:rPr>
          <w:sz w:val="18"/>
          <w:u w:val="single"/>
        </w:rPr>
        <w:t>General</w:t>
      </w:r>
      <w:r>
        <w:rPr>
          <w:spacing w:val="-8"/>
          <w:sz w:val="18"/>
          <w:u w:val="single"/>
        </w:rPr>
        <w:t> </w:t>
      </w:r>
      <w:r>
        <w:rPr>
          <w:sz w:val="18"/>
          <w:u w:val="single"/>
        </w:rPr>
        <w:t>Cas.</w:t>
      </w:r>
      <w:r>
        <w:rPr>
          <w:spacing w:val="-8"/>
          <w:sz w:val="18"/>
          <w:u w:val="single"/>
        </w:rPr>
        <w:t> </w:t>
      </w:r>
      <w:r>
        <w:rPr>
          <w:sz w:val="18"/>
          <w:u w:val="single"/>
        </w:rPr>
        <w:t>Ins.</w:t>
      </w:r>
      <w:r>
        <w:rPr>
          <w:spacing w:val="-6"/>
          <w:sz w:val="18"/>
          <w:u w:val="single"/>
        </w:rPr>
        <w:t> </w:t>
      </w:r>
      <w:r>
        <w:rPr>
          <w:sz w:val="18"/>
          <w:u w:val="single"/>
        </w:rPr>
        <w:t>Co.</w:t>
      </w:r>
      <w:r>
        <w:rPr>
          <w:sz w:val="18"/>
        </w:rPr>
        <w:t>,</w:t>
      </w:r>
      <w:r>
        <w:rPr>
          <w:spacing w:val="-6"/>
          <w:sz w:val="18"/>
        </w:rPr>
        <w:t> </w:t>
      </w:r>
      <w:r>
        <w:rPr>
          <w:sz w:val="18"/>
        </w:rPr>
        <w:t>2008</w:t>
      </w:r>
      <w:r>
        <w:rPr>
          <w:spacing w:val="-6"/>
          <w:sz w:val="18"/>
        </w:rPr>
        <w:t> </w:t>
      </w:r>
      <w:r>
        <w:rPr>
          <w:sz w:val="18"/>
        </w:rPr>
        <w:t>WL</w:t>
      </w:r>
      <w:r>
        <w:rPr>
          <w:spacing w:val="-9"/>
          <w:sz w:val="18"/>
        </w:rPr>
        <w:t> </w:t>
      </w:r>
      <w:r>
        <w:rPr>
          <w:sz w:val="18"/>
        </w:rPr>
        <w:t>351906</w:t>
      </w:r>
      <w:r>
        <w:rPr>
          <w:spacing w:val="-6"/>
          <w:sz w:val="18"/>
        </w:rPr>
        <w:t> </w:t>
      </w:r>
      <w:r>
        <w:rPr>
          <w:sz w:val="18"/>
        </w:rPr>
        <w:t>(E.D. Pa. 2008)</w:t>
      </w:r>
      <w:r>
        <w:rPr>
          <w:sz w:val="24"/>
        </w:rPr>
        <w:t>.</w:t>
      </w:r>
    </w:p>
    <w:p>
      <w:pPr>
        <w:pStyle w:val="ListParagraph"/>
        <w:numPr>
          <w:ilvl w:val="0"/>
          <w:numId w:val="3"/>
        </w:numPr>
        <w:tabs>
          <w:tab w:pos="1411" w:val="left" w:leader="none"/>
        </w:tabs>
        <w:spacing w:line="219" w:lineRule="exact" w:before="0" w:after="0"/>
        <w:ind w:left="1410" w:right="0" w:hanging="251"/>
        <w:jc w:val="left"/>
        <w:rPr>
          <w:sz w:val="18"/>
        </w:rPr>
      </w:pPr>
      <w:r>
        <w:rPr>
          <w:sz w:val="18"/>
          <w:u w:val="single"/>
        </w:rPr>
        <w:t>Nichols v. Rensselaer Ins. Co.</w:t>
      </w:r>
      <w:r>
        <w:rPr>
          <w:sz w:val="18"/>
        </w:rPr>
        <w:t>, 22 WEND 125 (N.Y. Sup. Ct. 1839); </w:t>
      </w:r>
      <w:r>
        <w:rPr>
          <w:sz w:val="18"/>
          <w:u w:val="single"/>
        </w:rPr>
        <w:t>Soars v.</w:t>
      </w:r>
      <w:r>
        <w:rPr>
          <w:spacing w:val="3"/>
          <w:sz w:val="18"/>
          <w:u w:val="single"/>
        </w:rPr>
        <w:t> </w:t>
      </w:r>
      <w:r>
        <w:rPr>
          <w:sz w:val="18"/>
          <w:u w:val="single"/>
        </w:rPr>
        <w:t>Home</w:t>
      </w:r>
    </w:p>
    <w:p>
      <w:pPr>
        <w:spacing w:line="207" w:lineRule="exact" w:before="4"/>
        <w:ind w:left="1160" w:right="0" w:firstLine="0"/>
        <w:jc w:val="left"/>
        <w:rPr>
          <w:rFonts w:ascii="Times New Roman"/>
          <w:sz w:val="18"/>
        </w:rPr>
      </w:pPr>
      <w:r>
        <w:rPr>
          <w:rFonts w:ascii="Times New Roman"/>
          <w:sz w:val="18"/>
          <w:u w:val="single"/>
        </w:rPr>
        <w:t>Ins. Co.</w:t>
      </w:r>
      <w:r>
        <w:rPr>
          <w:rFonts w:ascii="Times New Roman"/>
          <w:sz w:val="18"/>
        </w:rPr>
        <w:t>, 140 Mass. 343, 5 N.E.149 (1885).</w:t>
      </w:r>
    </w:p>
    <w:p>
      <w:pPr>
        <w:spacing w:line="269" w:lineRule="exact" w:before="0"/>
        <w:ind w:left="1160" w:right="0" w:firstLine="0"/>
        <w:jc w:val="left"/>
        <w:rPr>
          <w:rFonts w:ascii="Times New Roman"/>
          <w:sz w:val="18"/>
        </w:rPr>
      </w:pPr>
      <w:r>
        <w:rPr>
          <w:rFonts w:ascii="Times New Roman"/>
          <w:position w:val="10"/>
          <w:sz w:val="14"/>
        </w:rPr>
        <w:t>118 </w:t>
      </w:r>
      <w:r>
        <w:rPr>
          <w:rFonts w:ascii="Times New Roman"/>
          <w:sz w:val="18"/>
          <w:u w:val="single"/>
        </w:rPr>
        <w:t>Hexter v. Equitable F&amp; M. Ins. Co.</w:t>
      </w:r>
      <w:r>
        <w:rPr>
          <w:rFonts w:ascii="Times New Roman"/>
          <w:sz w:val="18"/>
        </w:rPr>
        <w:t>, 123 Me. 77, 121 A. 555 (1923).</w:t>
      </w:r>
    </w:p>
    <w:p>
      <w:pPr>
        <w:spacing w:after="0" w:line="269" w:lineRule="exact"/>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20" w:firstLine="720"/>
        <w:jc w:val="both"/>
      </w:pPr>
      <w:r>
        <w:rPr/>
        <w:pict>
          <v:shape style="position:absolute;margin-left:159.658264pt;margin-top:36.540611pt;width:292.8pt;height:127.35pt;mso-position-horizontal-relative:page;mso-position-vertical-relative:paragraph;z-index:25168384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809"/>
                    <w:gridCol w:w="1368"/>
                    <w:gridCol w:w="678"/>
                  </w:tblGrid>
                  <w:tr>
                    <w:trPr>
                      <w:trHeight w:val="291" w:hRule="atLeast"/>
                    </w:trPr>
                    <w:tc>
                      <w:tcPr>
                        <w:tcW w:w="5177" w:type="dxa"/>
                        <w:gridSpan w:val="2"/>
                        <w:tcBorders>
                          <w:bottom w:val="single" w:sz="12" w:space="0" w:color="FFFFFF"/>
                        </w:tcBorders>
                      </w:tcPr>
                      <w:p>
                        <w:pPr>
                          <w:pStyle w:val="TableParagraph"/>
                          <w:spacing w:line="240" w:lineRule="auto"/>
                          <w:ind w:left="0"/>
                          <w:rPr>
                            <w:rFonts w:ascii="Times New Roman"/>
                            <w:sz w:val="20"/>
                          </w:rPr>
                        </w:pPr>
                      </w:p>
                    </w:tc>
                    <w:tc>
                      <w:tcPr>
                        <w:tcW w:w="678" w:type="dxa"/>
                        <w:tcBorders>
                          <w:bottom w:val="single" w:sz="12" w:space="0" w:color="FFFFFF"/>
                        </w:tcBorders>
                        <w:shd w:val="clear" w:color="auto" w:fill="FADD64"/>
                      </w:tcPr>
                      <w:p>
                        <w:pPr>
                          <w:pStyle w:val="TableParagraph"/>
                          <w:spacing w:line="272" w:lineRule="exact"/>
                          <w:ind w:left="52"/>
                          <w:rPr>
                            <w:sz w:val="26"/>
                          </w:rPr>
                        </w:pPr>
                        <w:r>
                          <w:rPr>
                            <w:sz w:val="26"/>
                          </w:rPr>
                          <w:t>In a</w:t>
                        </w:r>
                      </w:p>
                    </w:tc>
                  </w:tr>
                  <w:tr>
                    <w:trPr>
                      <w:trHeight w:val="290" w:hRule="atLeast"/>
                    </w:trPr>
                    <w:tc>
                      <w:tcPr>
                        <w:tcW w:w="5855" w:type="dxa"/>
                        <w:gridSpan w:val="3"/>
                        <w:tcBorders>
                          <w:top w:val="single" w:sz="12" w:space="0" w:color="FFFFFF"/>
                          <w:bottom w:val="single" w:sz="12" w:space="0" w:color="FFFFFF"/>
                        </w:tcBorders>
                        <w:shd w:val="clear" w:color="auto" w:fill="FADD64"/>
                      </w:tcPr>
                      <w:p>
                        <w:pPr>
                          <w:pStyle w:val="TableParagraph"/>
                          <w:ind w:left="46"/>
                          <w:rPr>
                            <w:sz w:val="26"/>
                          </w:rPr>
                        </w:pPr>
                        <w:r>
                          <w:rPr>
                            <w:sz w:val="26"/>
                          </w:rPr>
                          <w:t>situation where an undisputed amount has</w:t>
                        </w:r>
                      </w:p>
                    </w:tc>
                  </w:tr>
                  <w:tr>
                    <w:trPr>
                      <w:trHeight w:val="290" w:hRule="atLeast"/>
                    </w:trPr>
                    <w:tc>
                      <w:tcPr>
                        <w:tcW w:w="5855" w:type="dxa"/>
                        <w:gridSpan w:val="3"/>
                        <w:tcBorders>
                          <w:top w:val="single" w:sz="12" w:space="0" w:color="FFFFFF"/>
                          <w:bottom w:val="single" w:sz="12" w:space="0" w:color="FFFFFF"/>
                        </w:tcBorders>
                        <w:shd w:val="clear" w:color="auto" w:fill="FADD64"/>
                      </w:tcPr>
                      <w:p>
                        <w:pPr>
                          <w:pStyle w:val="TableParagraph"/>
                          <w:ind w:left="46"/>
                          <w:rPr>
                            <w:sz w:val="26"/>
                          </w:rPr>
                        </w:pPr>
                        <w:r>
                          <w:rPr>
                            <w:sz w:val="26"/>
                          </w:rPr>
                          <w:t>been</w:t>
                        </w:r>
                        <w:r>
                          <w:rPr>
                            <w:spacing w:val="-31"/>
                            <w:sz w:val="26"/>
                          </w:rPr>
                          <w:t> </w:t>
                        </w:r>
                        <w:r>
                          <w:rPr>
                            <w:sz w:val="26"/>
                          </w:rPr>
                          <w:t>paid,</w:t>
                        </w:r>
                        <w:r>
                          <w:rPr>
                            <w:spacing w:val="-32"/>
                            <w:sz w:val="26"/>
                          </w:rPr>
                          <w:t> </w:t>
                        </w:r>
                        <w:r>
                          <w:rPr>
                            <w:sz w:val="26"/>
                          </w:rPr>
                          <w:t>the</w:t>
                        </w:r>
                        <w:r>
                          <w:rPr>
                            <w:spacing w:val="-31"/>
                            <w:sz w:val="26"/>
                          </w:rPr>
                          <w:t> </w:t>
                        </w:r>
                        <w:r>
                          <w:rPr>
                            <w:sz w:val="26"/>
                          </w:rPr>
                          <w:t>appraisers</w:t>
                        </w:r>
                        <w:r>
                          <w:rPr>
                            <w:spacing w:val="-32"/>
                            <w:sz w:val="26"/>
                          </w:rPr>
                          <w:t> </w:t>
                        </w:r>
                        <w:r>
                          <w:rPr>
                            <w:sz w:val="26"/>
                          </w:rPr>
                          <w:t>may</w:t>
                        </w:r>
                        <w:r>
                          <w:rPr>
                            <w:spacing w:val="-34"/>
                            <w:sz w:val="26"/>
                          </w:rPr>
                          <w:t> </w:t>
                        </w:r>
                        <w:r>
                          <w:rPr>
                            <w:sz w:val="26"/>
                          </w:rPr>
                          <w:t>still</w:t>
                        </w:r>
                        <w:r>
                          <w:rPr>
                            <w:spacing w:val="-28"/>
                            <w:sz w:val="26"/>
                          </w:rPr>
                          <w:t> </w:t>
                        </w:r>
                        <w:r>
                          <w:rPr>
                            <w:sz w:val="26"/>
                          </w:rPr>
                          <w:t>appraise</w:t>
                        </w:r>
                        <w:r>
                          <w:rPr>
                            <w:spacing w:val="-32"/>
                            <w:sz w:val="26"/>
                          </w:rPr>
                          <w:t> </w:t>
                        </w:r>
                        <w:r>
                          <w:rPr>
                            <w:sz w:val="26"/>
                          </w:rPr>
                          <w:t>the</w:t>
                        </w:r>
                      </w:p>
                    </w:tc>
                  </w:tr>
                  <w:tr>
                    <w:trPr>
                      <w:trHeight w:val="290" w:hRule="atLeast"/>
                    </w:trPr>
                    <w:tc>
                      <w:tcPr>
                        <w:tcW w:w="5855" w:type="dxa"/>
                        <w:gridSpan w:val="3"/>
                        <w:tcBorders>
                          <w:top w:val="single" w:sz="12" w:space="0" w:color="FFFFFF"/>
                          <w:bottom w:val="single" w:sz="12" w:space="0" w:color="FFFFFF"/>
                        </w:tcBorders>
                        <w:shd w:val="clear" w:color="auto" w:fill="FADD64"/>
                      </w:tcPr>
                      <w:p>
                        <w:pPr>
                          <w:pStyle w:val="TableParagraph"/>
                          <w:ind w:left="46"/>
                          <w:rPr>
                            <w:sz w:val="26"/>
                          </w:rPr>
                        </w:pPr>
                        <w:r>
                          <w:rPr>
                            <w:sz w:val="26"/>
                          </w:rPr>
                          <w:t>value</w:t>
                        </w:r>
                        <w:r>
                          <w:rPr>
                            <w:spacing w:val="-16"/>
                            <w:sz w:val="26"/>
                          </w:rPr>
                          <w:t> </w:t>
                        </w:r>
                        <w:r>
                          <w:rPr>
                            <w:sz w:val="26"/>
                          </w:rPr>
                          <w:t>or</w:t>
                        </w:r>
                        <w:r>
                          <w:rPr>
                            <w:spacing w:val="-17"/>
                            <w:sz w:val="26"/>
                          </w:rPr>
                          <w:t> </w:t>
                        </w:r>
                        <w:r>
                          <w:rPr>
                            <w:sz w:val="26"/>
                          </w:rPr>
                          <w:t>loss</w:t>
                        </w:r>
                        <w:r>
                          <w:rPr>
                            <w:spacing w:val="-17"/>
                            <w:sz w:val="26"/>
                          </w:rPr>
                          <w:t> </w:t>
                        </w:r>
                        <w:r>
                          <w:rPr>
                            <w:sz w:val="26"/>
                          </w:rPr>
                          <w:t>beyond</w:t>
                        </w:r>
                        <w:r>
                          <w:rPr>
                            <w:spacing w:val="-18"/>
                            <w:sz w:val="26"/>
                          </w:rPr>
                          <w:t> </w:t>
                        </w:r>
                        <w:r>
                          <w:rPr>
                            <w:sz w:val="26"/>
                          </w:rPr>
                          <w:t>the</w:t>
                        </w:r>
                        <w:r>
                          <w:rPr>
                            <w:spacing w:val="-19"/>
                            <w:sz w:val="26"/>
                          </w:rPr>
                          <w:t> </w:t>
                        </w:r>
                        <w:r>
                          <w:rPr>
                            <w:sz w:val="26"/>
                          </w:rPr>
                          <w:t>undisputed</w:t>
                        </w:r>
                        <w:r>
                          <w:rPr>
                            <w:spacing w:val="-17"/>
                            <w:sz w:val="26"/>
                          </w:rPr>
                          <w:t> </w:t>
                        </w:r>
                        <w:r>
                          <w:rPr>
                            <w:sz w:val="26"/>
                          </w:rPr>
                          <w:t>payment,</w:t>
                        </w:r>
                      </w:p>
                    </w:tc>
                  </w:tr>
                  <w:tr>
                    <w:trPr>
                      <w:trHeight w:val="300" w:hRule="atLeast"/>
                    </w:trPr>
                    <w:tc>
                      <w:tcPr>
                        <w:tcW w:w="5855" w:type="dxa"/>
                        <w:gridSpan w:val="3"/>
                        <w:tcBorders>
                          <w:top w:val="single" w:sz="12" w:space="0" w:color="FFFFFF"/>
                          <w:bottom w:val="single" w:sz="8" w:space="0" w:color="FFFFFF"/>
                        </w:tcBorders>
                        <w:shd w:val="clear" w:color="auto" w:fill="FADD64"/>
                      </w:tcPr>
                      <w:p>
                        <w:pPr>
                          <w:pStyle w:val="TableParagraph"/>
                          <w:spacing w:line="276" w:lineRule="exact"/>
                          <w:ind w:left="46"/>
                          <w:rPr>
                            <w:sz w:val="26"/>
                          </w:rPr>
                        </w:pPr>
                        <w:r>
                          <w:rPr>
                            <w:sz w:val="26"/>
                          </w:rPr>
                          <w:t>but</w:t>
                        </w:r>
                        <w:r>
                          <w:rPr>
                            <w:spacing w:val="-33"/>
                            <w:sz w:val="26"/>
                          </w:rPr>
                          <w:t> </w:t>
                        </w:r>
                        <w:r>
                          <w:rPr>
                            <w:sz w:val="26"/>
                          </w:rPr>
                          <w:t>are</w:t>
                        </w:r>
                        <w:r>
                          <w:rPr>
                            <w:spacing w:val="-34"/>
                            <w:sz w:val="26"/>
                          </w:rPr>
                          <w:t> </w:t>
                        </w:r>
                        <w:r>
                          <w:rPr>
                            <w:sz w:val="26"/>
                          </w:rPr>
                          <w:t>without</w:t>
                        </w:r>
                        <w:r>
                          <w:rPr>
                            <w:spacing w:val="-31"/>
                            <w:sz w:val="26"/>
                          </w:rPr>
                          <w:t> </w:t>
                        </w:r>
                        <w:r>
                          <w:rPr>
                            <w:sz w:val="26"/>
                          </w:rPr>
                          <w:t>authority</w:t>
                        </w:r>
                        <w:r>
                          <w:rPr>
                            <w:spacing w:val="-33"/>
                            <w:sz w:val="26"/>
                          </w:rPr>
                          <w:t> </w:t>
                        </w:r>
                        <w:r>
                          <w:rPr>
                            <w:sz w:val="26"/>
                          </w:rPr>
                          <w:t>to</w:t>
                        </w:r>
                        <w:r>
                          <w:rPr>
                            <w:spacing w:val="-30"/>
                            <w:sz w:val="26"/>
                          </w:rPr>
                          <w:t> </w:t>
                        </w:r>
                        <w:r>
                          <w:rPr>
                            <w:sz w:val="26"/>
                          </w:rPr>
                          <w:t>review</w:t>
                        </w:r>
                        <w:r>
                          <w:rPr>
                            <w:spacing w:val="-38"/>
                            <w:sz w:val="26"/>
                          </w:rPr>
                          <w:t> </w:t>
                        </w:r>
                        <w:r>
                          <w:rPr>
                            <w:sz w:val="26"/>
                          </w:rPr>
                          <w:t>payments</w:t>
                        </w:r>
                        <w:r>
                          <w:rPr>
                            <w:spacing w:val="-33"/>
                            <w:sz w:val="26"/>
                          </w:rPr>
                          <w:t> </w:t>
                        </w:r>
                        <w:r>
                          <w:rPr>
                            <w:sz w:val="26"/>
                          </w:rPr>
                          <w:t>or</w:t>
                        </w:r>
                      </w:p>
                    </w:tc>
                  </w:tr>
                  <w:tr>
                    <w:trPr>
                      <w:trHeight w:val="300" w:hRule="atLeast"/>
                    </w:trPr>
                    <w:tc>
                      <w:tcPr>
                        <w:tcW w:w="5855" w:type="dxa"/>
                        <w:gridSpan w:val="3"/>
                        <w:tcBorders>
                          <w:top w:val="single" w:sz="8" w:space="0" w:color="FFFFFF"/>
                          <w:bottom w:val="single" w:sz="8" w:space="0" w:color="FFFFFF"/>
                        </w:tcBorders>
                        <w:shd w:val="clear" w:color="auto" w:fill="FADD64"/>
                      </w:tcPr>
                      <w:p>
                        <w:pPr>
                          <w:pStyle w:val="TableParagraph"/>
                          <w:spacing w:line="277" w:lineRule="exact"/>
                          <w:ind w:left="46"/>
                          <w:rPr>
                            <w:sz w:val="26"/>
                          </w:rPr>
                        </w:pPr>
                        <w:r>
                          <w:rPr>
                            <w:sz w:val="26"/>
                          </w:rPr>
                          <w:t>allowances already made unless they were</w:t>
                        </w:r>
                      </w:p>
                    </w:tc>
                  </w:tr>
                  <w:tr>
                    <w:trPr>
                      <w:trHeight w:val="300" w:hRule="atLeast"/>
                    </w:trPr>
                    <w:tc>
                      <w:tcPr>
                        <w:tcW w:w="5855" w:type="dxa"/>
                        <w:gridSpan w:val="3"/>
                        <w:tcBorders>
                          <w:top w:val="single" w:sz="8" w:space="0" w:color="FFFFFF"/>
                          <w:bottom w:val="single" w:sz="8" w:space="0" w:color="FFFFFF"/>
                        </w:tcBorders>
                        <w:shd w:val="clear" w:color="auto" w:fill="FADD64"/>
                      </w:tcPr>
                      <w:p>
                        <w:pPr>
                          <w:pStyle w:val="TableParagraph"/>
                          <w:spacing w:line="278" w:lineRule="exact"/>
                          <w:ind w:left="46"/>
                          <w:rPr>
                            <w:sz w:val="26"/>
                          </w:rPr>
                        </w:pPr>
                        <w:r>
                          <w:rPr>
                            <w:sz w:val="26"/>
                          </w:rPr>
                          <w:t>made with a specific written reservation of</w:t>
                        </w:r>
                      </w:p>
                    </w:tc>
                  </w:tr>
                  <w:tr>
                    <w:trPr>
                      <w:trHeight w:val="301" w:hRule="atLeast"/>
                    </w:trPr>
                    <w:tc>
                      <w:tcPr>
                        <w:tcW w:w="3809" w:type="dxa"/>
                        <w:tcBorders>
                          <w:top w:val="single" w:sz="8" w:space="0" w:color="FFFFFF"/>
                        </w:tcBorders>
                        <w:shd w:val="clear" w:color="auto" w:fill="FADD64"/>
                      </w:tcPr>
                      <w:p>
                        <w:pPr>
                          <w:pStyle w:val="TableParagraph"/>
                          <w:spacing w:line="279" w:lineRule="exact"/>
                          <w:ind w:left="46"/>
                          <w:rPr>
                            <w:sz w:val="26"/>
                          </w:rPr>
                        </w:pPr>
                        <w:r>
                          <w:rPr>
                            <w:sz w:val="26"/>
                          </w:rPr>
                          <w:t>rights at the time of payment.</w:t>
                        </w:r>
                      </w:p>
                    </w:tc>
                    <w:tc>
                      <w:tcPr>
                        <w:tcW w:w="2046" w:type="dxa"/>
                        <w:gridSpan w:val="2"/>
                        <w:tcBorders>
                          <w:top w:val="single" w:sz="8" w:space="0" w:color="FFFFFF"/>
                        </w:tcBorders>
                      </w:tcPr>
                      <w:p>
                        <w:pPr>
                          <w:pStyle w:val="TableParagraph"/>
                          <w:spacing w:line="240" w:lineRule="auto"/>
                          <w:ind w:left="0"/>
                          <w:rPr>
                            <w:rFonts w:ascii="Times New Roman"/>
                            <w:sz w:val="22"/>
                          </w:rPr>
                        </w:pPr>
                      </w:p>
                    </w:tc>
                  </w:tr>
                </w:tbl>
                <w:p>
                  <w:pPr>
                    <w:pStyle w:val="BodyText"/>
                  </w:pPr>
                </w:p>
              </w:txbxContent>
            </v:textbox>
            <w10:wrap type="none"/>
          </v:shape>
        </w:pict>
      </w:r>
      <w:bookmarkStart w:name="Law and Procedure 96" w:id="4"/>
      <w:bookmarkEnd w:id="4"/>
      <w:r>
        <w:rPr/>
      </w:r>
      <w:r>
        <w:rPr/>
        <w:t>This will not prevent the parties </w:t>
      </w:r>
      <w:r>
        <w:rPr>
          <w:spacing w:val="-4"/>
        </w:rPr>
        <w:t>from</w:t>
      </w:r>
      <w:r>
        <w:rPr>
          <w:spacing w:val="63"/>
        </w:rPr>
        <w:t> </w:t>
      </w:r>
      <w:r>
        <w:rPr/>
        <w:t>appraising aspects of the loss beyond </w:t>
      </w:r>
      <w:r>
        <w:rPr>
          <w:spacing w:val="-6"/>
        </w:rPr>
        <w:t>an </w:t>
      </w:r>
      <w:r>
        <w:rPr/>
        <w:t>undisputed amount previously paid.</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
        <w:rPr>
          <w:sz w:val="27"/>
        </w:rPr>
      </w:pPr>
    </w:p>
    <w:p>
      <w:pPr>
        <w:pStyle w:val="BodyText"/>
        <w:spacing w:line="242" w:lineRule="auto"/>
        <w:ind w:left="1520" w:right="1517" w:firstLine="720"/>
        <w:jc w:val="both"/>
      </w:pPr>
      <w:r>
        <w:rPr>
          <w:spacing w:val="2"/>
        </w:rPr>
        <w:t>An </w:t>
      </w:r>
      <w:r>
        <w:rPr/>
        <w:t>award for lost rents is invalid, for example, where the premises was vacant at the</w:t>
      </w:r>
      <w:r>
        <w:rPr>
          <w:spacing w:val="-29"/>
        </w:rPr>
        <w:t> </w:t>
      </w:r>
      <w:r>
        <w:rPr/>
        <w:t>time</w:t>
      </w:r>
      <w:r>
        <w:rPr>
          <w:spacing w:val="-30"/>
        </w:rPr>
        <w:t> </w:t>
      </w:r>
      <w:r>
        <w:rPr/>
        <w:t>of</w:t>
      </w:r>
      <w:r>
        <w:rPr>
          <w:spacing w:val="-28"/>
        </w:rPr>
        <w:t> </w:t>
      </w:r>
      <w:r>
        <w:rPr/>
        <w:t>loss</w:t>
      </w:r>
      <w:r>
        <w:rPr>
          <w:spacing w:val="-26"/>
        </w:rPr>
        <w:t> </w:t>
      </w:r>
      <w:r>
        <w:rPr/>
        <w:t>and</w:t>
      </w:r>
      <w:r>
        <w:rPr>
          <w:spacing w:val="-26"/>
        </w:rPr>
        <w:t> </w:t>
      </w:r>
      <w:r>
        <w:rPr/>
        <w:t>the</w:t>
      </w:r>
      <w:r>
        <w:rPr>
          <w:spacing w:val="-27"/>
        </w:rPr>
        <w:t> </w:t>
      </w:r>
      <w:r>
        <w:rPr/>
        <w:t>policy</w:t>
      </w:r>
      <w:r>
        <w:rPr>
          <w:spacing w:val="-31"/>
        </w:rPr>
        <w:t> </w:t>
      </w:r>
      <w:r>
        <w:rPr/>
        <w:t>language</w:t>
      </w:r>
      <w:r>
        <w:rPr>
          <w:spacing w:val="-25"/>
        </w:rPr>
        <w:t> </w:t>
      </w:r>
      <w:r>
        <w:rPr/>
        <w:t>makes clear</w:t>
      </w:r>
      <w:r>
        <w:rPr>
          <w:spacing w:val="-28"/>
        </w:rPr>
        <w:t> </w:t>
      </w:r>
      <w:r>
        <w:rPr/>
        <w:t>that</w:t>
      </w:r>
      <w:r>
        <w:rPr>
          <w:spacing w:val="-29"/>
        </w:rPr>
        <w:t> </w:t>
      </w:r>
      <w:r>
        <w:rPr/>
        <w:t>rent</w:t>
      </w:r>
      <w:r>
        <w:rPr>
          <w:spacing w:val="-30"/>
        </w:rPr>
        <w:t> </w:t>
      </w:r>
      <w:r>
        <w:rPr/>
        <w:t>coverage</w:t>
      </w:r>
      <w:r>
        <w:rPr>
          <w:spacing w:val="-28"/>
        </w:rPr>
        <w:t> </w:t>
      </w:r>
      <w:r>
        <w:rPr/>
        <w:t>only</w:t>
      </w:r>
      <w:r>
        <w:rPr>
          <w:spacing w:val="-28"/>
        </w:rPr>
        <w:t> </w:t>
      </w:r>
      <w:r>
        <w:rPr/>
        <w:t>applies</w:t>
      </w:r>
      <w:r>
        <w:rPr>
          <w:spacing w:val="-29"/>
        </w:rPr>
        <w:t> </w:t>
      </w:r>
      <w:r>
        <w:rPr/>
        <w:t>when</w:t>
      </w:r>
      <w:r>
        <w:rPr>
          <w:spacing w:val="-28"/>
        </w:rPr>
        <w:t> </w:t>
      </w:r>
      <w:r>
        <w:rPr/>
        <w:t>the premises are occupied.</w:t>
      </w:r>
      <w:r>
        <w:rPr>
          <w:spacing w:val="-4"/>
        </w:rPr>
        <w:t> </w:t>
      </w:r>
      <w:r>
        <w:rPr>
          <w:spacing w:val="-3"/>
          <w:vertAlign w:val="superscript"/>
        </w:rPr>
        <w:t>119</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pgSz w:w="12240" w:h="15840"/>
          <w:pgMar w:header="0" w:footer="2273" w:top="1500" w:bottom="2460" w:left="1720" w:right="1720"/>
        </w:sectPr>
      </w:pPr>
    </w:p>
    <w:p>
      <w:pPr>
        <w:pStyle w:val="BodyText"/>
      </w:pPr>
    </w:p>
    <w:p>
      <w:pPr>
        <w:pStyle w:val="BodyText"/>
        <w:spacing w:before="198"/>
        <w:ind w:left="1520"/>
      </w:pPr>
      <w:r>
        <w:rPr/>
        <w:pict>
          <v:shape style="position:absolute;margin-left:159.634918pt;margin-top:-132.768539pt;width:292.850pt;height:143.4pt;mso-position-horizontal-relative:page;mso-position-vertical-relative:paragraph;z-index:251684864"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6"/>
                    <w:gridCol w:w="311"/>
                    <w:gridCol w:w="1857"/>
                    <w:gridCol w:w="3282"/>
                  </w:tblGrid>
                  <w:tr>
                    <w:trPr>
                      <w:trHeight w:val="301" w:hRule="atLeast"/>
                    </w:trPr>
                    <w:tc>
                      <w:tcPr>
                        <w:tcW w:w="717" w:type="dxa"/>
                        <w:gridSpan w:val="2"/>
                        <w:tcBorders>
                          <w:bottom w:val="single" w:sz="8" w:space="0" w:color="FFFFFF"/>
                        </w:tcBorders>
                      </w:tcPr>
                      <w:p>
                        <w:pPr>
                          <w:pStyle w:val="TableParagraph"/>
                          <w:spacing w:line="240" w:lineRule="auto"/>
                          <w:ind w:left="0"/>
                          <w:rPr>
                            <w:rFonts w:ascii="Times New Roman"/>
                            <w:sz w:val="22"/>
                          </w:rPr>
                        </w:pPr>
                      </w:p>
                    </w:tc>
                    <w:tc>
                      <w:tcPr>
                        <w:tcW w:w="5139" w:type="dxa"/>
                        <w:gridSpan w:val="2"/>
                        <w:tcBorders>
                          <w:bottom w:val="single" w:sz="8" w:space="0" w:color="FFFFFF"/>
                        </w:tcBorders>
                        <w:shd w:val="clear" w:color="auto" w:fill="FADD64"/>
                      </w:tcPr>
                      <w:p>
                        <w:pPr>
                          <w:pStyle w:val="TableParagraph"/>
                          <w:spacing w:line="278" w:lineRule="exact"/>
                          <w:ind w:left="50"/>
                          <w:rPr>
                            <w:sz w:val="26"/>
                          </w:rPr>
                        </w:pPr>
                        <w:r>
                          <w:rPr>
                            <w:spacing w:val="3"/>
                            <w:sz w:val="26"/>
                          </w:rPr>
                          <w:t>It</w:t>
                        </w:r>
                        <w:r>
                          <w:rPr>
                            <w:spacing w:val="-22"/>
                            <w:sz w:val="26"/>
                          </w:rPr>
                          <w:t> </w:t>
                        </w:r>
                        <w:r>
                          <w:rPr>
                            <w:sz w:val="26"/>
                          </w:rPr>
                          <w:t>has</w:t>
                        </w:r>
                        <w:r>
                          <w:rPr>
                            <w:spacing w:val="-18"/>
                            <w:sz w:val="26"/>
                          </w:rPr>
                          <w:t> </w:t>
                        </w:r>
                        <w:r>
                          <w:rPr>
                            <w:sz w:val="26"/>
                          </w:rPr>
                          <w:t>been</w:t>
                        </w:r>
                        <w:r>
                          <w:rPr>
                            <w:spacing w:val="-22"/>
                            <w:sz w:val="26"/>
                          </w:rPr>
                          <w:t> </w:t>
                        </w:r>
                        <w:r>
                          <w:rPr>
                            <w:sz w:val="26"/>
                          </w:rPr>
                          <w:t>held</w:t>
                        </w:r>
                        <w:r>
                          <w:rPr>
                            <w:spacing w:val="-20"/>
                            <w:sz w:val="26"/>
                          </w:rPr>
                          <w:t> </w:t>
                        </w:r>
                        <w:r>
                          <w:rPr>
                            <w:sz w:val="26"/>
                          </w:rPr>
                          <w:t>that</w:t>
                        </w:r>
                        <w:r>
                          <w:rPr>
                            <w:spacing w:val="-20"/>
                            <w:sz w:val="26"/>
                          </w:rPr>
                          <w:t> </w:t>
                        </w:r>
                        <w:r>
                          <w:rPr>
                            <w:sz w:val="26"/>
                          </w:rPr>
                          <w:t>an</w:t>
                        </w:r>
                        <w:r>
                          <w:rPr>
                            <w:spacing w:val="-18"/>
                            <w:sz w:val="26"/>
                          </w:rPr>
                          <w:t> </w:t>
                        </w:r>
                        <w:r>
                          <w:rPr>
                            <w:sz w:val="26"/>
                          </w:rPr>
                          <w:t>appraisal</w:t>
                        </w:r>
                        <w:r>
                          <w:rPr>
                            <w:spacing w:val="-19"/>
                            <w:sz w:val="26"/>
                          </w:rPr>
                          <w:t> </w:t>
                        </w:r>
                        <w:r>
                          <w:rPr>
                            <w:sz w:val="26"/>
                          </w:rPr>
                          <w:t>award</w:t>
                        </w:r>
                      </w:p>
                    </w:tc>
                  </w:tr>
                  <w:tr>
                    <w:trPr>
                      <w:trHeight w:val="300" w:hRule="atLeast"/>
                    </w:trPr>
                    <w:tc>
                      <w:tcPr>
                        <w:tcW w:w="406" w:type="dxa"/>
                        <w:tcBorders>
                          <w:top w:val="single" w:sz="8" w:space="0" w:color="FFFFFF"/>
                          <w:bottom w:val="single" w:sz="8" w:space="0" w:color="FFFFFF"/>
                        </w:tcBorders>
                      </w:tcPr>
                      <w:p>
                        <w:pPr>
                          <w:pStyle w:val="TableParagraph"/>
                          <w:spacing w:line="278" w:lineRule="exact"/>
                          <w:rPr>
                            <w:sz w:val="26"/>
                          </w:rPr>
                        </w:pPr>
                        <w:r>
                          <w:rPr>
                            <w:sz w:val="26"/>
                          </w:rPr>
                          <w:t>is</w:t>
                        </w:r>
                      </w:p>
                    </w:tc>
                    <w:tc>
                      <w:tcPr>
                        <w:tcW w:w="5450" w:type="dxa"/>
                        <w:gridSpan w:val="3"/>
                        <w:tcBorders>
                          <w:top w:val="single" w:sz="8" w:space="0" w:color="FFFFFF"/>
                          <w:bottom w:val="single" w:sz="8" w:space="0" w:color="FFFFFF"/>
                        </w:tcBorders>
                        <w:shd w:val="clear" w:color="auto" w:fill="FADD64"/>
                      </w:tcPr>
                      <w:p>
                        <w:pPr>
                          <w:pStyle w:val="TableParagraph"/>
                          <w:tabs>
                            <w:tab w:pos="1218" w:val="left" w:leader="none"/>
                            <w:tab w:pos="1728" w:val="left" w:leader="none"/>
                            <w:tab w:pos="2877" w:val="left" w:leader="none"/>
                            <w:tab w:pos="3950" w:val="left" w:leader="none"/>
                            <w:tab w:pos="4984" w:val="left" w:leader="none"/>
                          </w:tabs>
                          <w:spacing w:line="278" w:lineRule="exact"/>
                          <w:ind w:left="49"/>
                          <w:rPr>
                            <w:sz w:val="26"/>
                          </w:rPr>
                        </w:pPr>
                        <w:r>
                          <w:rPr>
                            <w:sz w:val="26"/>
                          </w:rPr>
                          <w:t>subject</w:t>
                          <w:tab/>
                          <w:t>to</w:t>
                          <w:tab/>
                          <w:t>judicial</w:t>
                          <w:tab/>
                          <w:t>review</w:t>
                          <w:tab/>
                          <w:t>where</w:t>
                          <w:tab/>
                          <w:t>the</w:t>
                        </w:r>
                      </w:p>
                    </w:tc>
                  </w:tr>
                  <w:tr>
                    <w:trPr>
                      <w:trHeight w:val="300" w:hRule="atLeast"/>
                    </w:trPr>
                    <w:tc>
                      <w:tcPr>
                        <w:tcW w:w="5856" w:type="dxa"/>
                        <w:gridSpan w:val="4"/>
                        <w:tcBorders>
                          <w:top w:val="single" w:sz="8" w:space="0" w:color="FFFFFF"/>
                          <w:bottom w:val="single" w:sz="8" w:space="0" w:color="FFFFFF"/>
                        </w:tcBorders>
                        <w:shd w:val="clear" w:color="auto" w:fill="FADD64"/>
                      </w:tcPr>
                      <w:p>
                        <w:pPr>
                          <w:pStyle w:val="TableParagraph"/>
                          <w:tabs>
                            <w:tab w:pos="1672" w:val="left" w:leader="none"/>
                            <w:tab w:pos="2953" w:val="left" w:leader="none"/>
                            <w:tab w:pos="3762" w:val="left" w:leader="none"/>
                            <w:tab w:pos="4474" w:val="left" w:leader="none"/>
                          </w:tabs>
                          <w:spacing w:line="279" w:lineRule="exact"/>
                          <w:rPr>
                            <w:sz w:val="26"/>
                          </w:rPr>
                        </w:pPr>
                        <w:r>
                          <w:rPr>
                            <w:spacing w:val="4"/>
                            <w:sz w:val="26"/>
                          </w:rPr>
                          <w:t>complaint</w:t>
                          <w:tab/>
                        </w:r>
                        <w:r>
                          <w:rPr>
                            <w:spacing w:val="2"/>
                            <w:sz w:val="26"/>
                          </w:rPr>
                          <w:t>alleged</w:t>
                          <w:tab/>
                        </w:r>
                        <w:r>
                          <w:rPr>
                            <w:sz w:val="26"/>
                          </w:rPr>
                          <w:t>that</w:t>
                          <w:tab/>
                          <w:t>the</w:t>
                          <w:tab/>
                        </w:r>
                        <w:r>
                          <w:rPr>
                            <w:spacing w:val="4"/>
                            <w:sz w:val="26"/>
                          </w:rPr>
                          <w:t>appraisers</w:t>
                        </w:r>
                      </w:p>
                    </w:tc>
                  </w:tr>
                  <w:tr>
                    <w:trPr>
                      <w:trHeight w:val="300" w:hRule="atLeast"/>
                    </w:trPr>
                    <w:tc>
                      <w:tcPr>
                        <w:tcW w:w="5856" w:type="dxa"/>
                        <w:gridSpan w:val="4"/>
                        <w:tcBorders>
                          <w:top w:val="single" w:sz="8" w:space="0" w:color="FFFFFF"/>
                          <w:bottom w:val="single" w:sz="8" w:space="0" w:color="FFFFFF"/>
                        </w:tcBorders>
                        <w:shd w:val="clear" w:color="auto" w:fill="FADD64"/>
                      </w:tcPr>
                      <w:p>
                        <w:pPr>
                          <w:pStyle w:val="TableParagraph"/>
                          <w:spacing w:line="280" w:lineRule="exact"/>
                          <w:rPr>
                            <w:sz w:val="26"/>
                          </w:rPr>
                        </w:pPr>
                        <w:r>
                          <w:rPr>
                            <w:sz w:val="26"/>
                          </w:rPr>
                          <w:t>exceeded the scope of the appraisal by</w:t>
                        </w:r>
                      </w:p>
                    </w:tc>
                  </w:tr>
                  <w:tr>
                    <w:trPr>
                      <w:trHeight w:val="300" w:hRule="atLeast"/>
                    </w:trPr>
                    <w:tc>
                      <w:tcPr>
                        <w:tcW w:w="5856" w:type="dxa"/>
                        <w:gridSpan w:val="4"/>
                        <w:tcBorders>
                          <w:top w:val="single" w:sz="8" w:space="0" w:color="FFFFFF"/>
                          <w:bottom w:val="single" w:sz="12" w:space="0" w:color="FFFFFF"/>
                        </w:tcBorders>
                        <w:shd w:val="clear" w:color="auto" w:fill="FADD64"/>
                      </w:tcPr>
                      <w:p>
                        <w:pPr>
                          <w:pStyle w:val="TableParagraph"/>
                          <w:spacing w:line="280" w:lineRule="exact"/>
                          <w:rPr>
                            <w:sz w:val="26"/>
                          </w:rPr>
                        </w:pPr>
                        <w:r>
                          <w:rPr>
                            <w:sz w:val="26"/>
                          </w:rPr>
                          <w:t>including items in their calculation that: (1)</w:t>
                        </w:r>
                      </w:p>
                    </w:tc>
                  </w:tr>
                  <w:tr>
                    <w:trPr>
                      <w:trHeight w:val="290" w:hRule="atLeast"/>
                    </w:trPr>
                    <w:tc>
                      <w:tcPr>
                        <w:tcW w:w="5856" w:type="dxa"/>
                        <w:gridSpan w:val="4"/>
                        <w:tcBorders>
                          <w:top w:val="single" w:sz="12" w:space="0" w:color="FFFFFF"/>
                          <w:bottom w:val="single" w:sz="12" w:space="0" w:color="FFFFFF"/>
                        </w:tcBorders>
                        <w:shd w:val="clear" w:color="auto" w:fill="FADD64"/>
                      </w:tcPr>
                      <w:p>
                        <w:pPr>
                          <w:pStyle w:val="TableParagraph"/>
                          <w:rPr>
                            <w:sz w:val="26"/>
                          </w:rPr>
                        </w:pPr>
                        <w:r>
                          <w:rPr>
                            <w:sz w:val="26"/>
                          </w:rPr>
                          <w:t>were excluded from coverage; (2) exceeded</w:t>
                        </w:r>
                      </w:p>
                    </w:tc>
                  </w:tr>
                  <w:tr>
                    <w:trPr>
                      <w:trHeight w:val="290" w:hRule="atLeast"/>
                    </w:trPr>
                    <w:tc>
                      <w:tcPr>
                        <w:tcW w:w="5856" w:type="dxa"/>
                        <w:gridSpan w:val="4"/>
                        <w:tcBorders>
                          <w:top w:val="single" w:sz="12" w:space="0" w:color="FFFFFF"/>
                          <w:bottom w:val="single" w:sz="12" w:space="0" w:color="FFFFFF"/>
                        </w:tcBorders>
                        <w:shd w:val="clear" w:color="auto" w:fill="FADD64"/>
                      </w:tcPr>
                      <w:p>
                        <w:pPr>
                          <w:pStyle w:val="TableParagraph"/>
                          <w:rPr>
                            <w:sz w:val="26"/>
                          </w:rPr>
                        </w:pPr>
                        <w:r>
                          <w:rPr>
                            <w:sz w:val="26"/>
                          </w:rPr>
                          <w:t>the</w:t>
                        </w:r>
                        <w:r>
                          <w:rPr>
                            <w:spacing w:val="-25"/>
                            <w:sz w:val="26"/>
                          </w:rPr>
                          <w:t> </w:t>
                        </w:r>
                        <w:r>
                          <w:rPr>
                            <w:sz w:val="26"/>
                          </w:rPr>
                          <w:t>maximum</w:t>
                        </w:r>
                        <w:r>
                          <w:rPr>
                            <w:spacing w:val="-28"/>
                            <w:sz w:val="26"/>
                          </w:rPr>
                          <w:t> </w:t>
                        </w:r>
                        <w:r>
                          <w:rPr>
                            <w:sz w:val="26"/>
                          </w:rPr>
                          <w:t>amount</w:t>
                        </w:r>
                        <w:r>
                          <w:rPr>
                            <w:spacing w:val="-26"/>
                            <w:sz w:val="26"/>
                          </w:rPr>
                          <w:t> </w:t>
                        </w:r>
                        <w:r>
                          <w:rPr>
                            <w:sz w:val="26"/>
                          </w:rPr>
                          <w:t>of</w:t>
                        </w:r>
                        <w:r>
                          <w:rPr>
                            <w:spacing w:val="-27"/>
                            <w:sz w:val="26"/>
                          </w:rPr>
                          <w:t> </w:t>
                        </w:r>
                        <w:r>
                          <w:rPr>
                            <w:sz w:val="26"/>
                          </w:rPr>
                          <w:t>coverage;</w:t>
                        </w:r>
                        <w:r>
                          <w:rPr>
                            <w:spacing w:val="-26"/>
                            <w:sz w:val="26"/>
                          </w:rPr>
                          <w:t> </w:t>
                        </w:r>
                        <w:r>
                          <w:rPr>
                            <w:sz w:val="26"/>
                          </w:rPr>
                          <w:t>or</w:t>
                        </w:r>
                        <w:r>
                          <w:rPr>
                            <w:spacing w:val="-25"/>
                            <w:sz w:val="26"/>
                          </w:rPr>
                          <w:t> </w:t>
                        </w:r>
                        <w:r>
                          <w:rPr>
                            <w:sz w:val="26"/>
                          </w:rPr>
                          <w:t>(3)</w:t>
                        </w:r>
                        <w:r>
                          <w:rPr>
                            <w:spacing w:val="-29"/>
                            <w:sz w:val="26"/>
                          </w:rPr>
                          <w:t> </w:t>
                        </w:r>
                        <w:r>
                          <w:rPr>
                            <w:spacing w:val="-3"/>
                            <w:sz w:val="26"/>
                          </w:rPr>
                          <w:t>were</w:t>
                        </w:r>
                      </w:p>
                    </w:tc>
                  </w:tr>
                  <w:tr>
                    <w:trPr>
                      <w:trHeight w:val="290" w:hRule="atLeast"/>
                    </w:trPr>
                    <w:tc>
                      <w:tcPr>
                        <w:tcW w:w="5856" w:type="dxa"/>
                        <w:gridSpan w:val="4"/>
                        <w:tcBorders>
                          <w:top w:val="single" w:sz="12" w:space="0" w:color="FFFFFF"/>
                          <w:bottom w:val="single" w:sz="12" w:space="0" w:color="FFFFFF"/>
                        </w:tcBorders>
                        <w:shd w:val="clear" w:color="auto" w:fill="FADD64"/>
                      </w:tcPr>
                      <w:p>
                        <w:pPr>
                          <w:pStyle w:val="TableParagraph"/>
                          <w:rPr>
                            <w:sz w:val="26"/>
                          </w:rPr>
                        </w:pPr>
                        <w:r>
                          <w:rPr>
                            <w:sz w:val="26"/>
                          </w:rPr>
                          <w:t>expenses allocated to the insured under the</w:t>
                        </w:r>
                      </w:p>
                    </w:tc>
                  </w:tr>
                  <w:tr>
                    <w:trPr>
                      <w:trHeight w:val="291" w:hRule="atLeast"/>
                    </w:trPr>
                    <w:tc>
                      <w:tcPr>
                        <w:tcW w:w="2574" w:type="dxa"/>
                        <w:gridSpan w:val="3"/>
                        <w:tcBorders>
                          <w:top w:val="single" w:sz="12" w:space="0" w:color="FFFFFF"/>
                        </w:tcBorders>
                        <w:shd w:val="clear" w:color="auto" w:fill="FADD64"/>
                      </w:tcPr>
                      <w:p>
                        <w:pPr>
                          <w:pStyle w:val="TableParagraph"/>
                          <w:tabs>
                            <w:tab w:pos="1579" w:val="left" w:leader="none"/>
                          </w:tabs>
                          <w:spacing w:line="272" w:lineRule="exact"/>
                          <w:rPr>
                            <w:sz w:val="26"/>
                          </w:rPr>
                        </w:pPr>
                        <w:r>
                          <w:rPr>
                            <w:spacing w:val="6"/>
                            <w:sz w:val="26"/>
                          </w:rPr>
                          <w:t>appraisal</w:t>
                          <w:tab/>
                          <w:t>clause.</w:t>
                        </w:r>
                      </w:p>
                    </w:tc>
                    <w:tc>
                      <w:tcPr>
                        <w:tcW w:w="3282" w:type="dxa"/>
                        <w:tcBorders>
                          <w:top w:val="single" w:sz="12" w:space="0" w:color="FFFFFF"/>
                        </w:tcBorders>
                      </w:tcPr>
                      <w:p>
                        <w:pPr>
                          <w:pStyle w:val="TableParagraph"/>
                          <w:spacing w:line="240" w:lineRule="auto"/>
                          <w:ind w:left="0"/>
                          <w:rPr>
                            <w:rFonts w:ascii="Times New Roman"/>
                            <w:sz w:val="20"/>
                          </w:rPr>
                        </w:pPr>
                      </w:p>
                    </w:tc>
                  </w:tr>
                </w:tbl>
                <w:p>
                  <w:pPr>
                    <w:pStyle w:val="BodyText"/>
                  </w:pPr>
                </w:p>
              </w:txbxContent>
            </v:textbox>
            <w10:wrap type="none"/>
          </v:shape>
        </w:pict>
      </w:r>
      <w:r>
        <w:rPr/>
        <w:t>complaint did not</w:t>
      </w:r>
    </w:p>
    <w:p>
      <w:pPr>
        <w:pStyle w:val="BodyText"/>
        <w:tabs>
          <w:tab w:pos="2214" w:val="left" w:leader="none"/>
          <w:tab w:pos="2800" w:val="left" w:leader="none"/>
        </w:tabs>
        <w:spacing w:line="242" w:lineRule="auto" w:before="195"/>
        <w:ind w:left="144" w:right="1518" w:firstLine="104"/>
      </w:pPr>
      <w:r>
        <w:rPr/>
        <w:br w:type="column"/>
      </w:r>
      <w:r>
        <w:rPr>
          <w:spacing w:val="6"/>
        </w:rPr>
        <w:t>Furthermore,</w:t>
        <w:tab/>
      </w:r>
      <w:r>
        <w:rPr>
          <w:spacing w:val="3"/>
        </w:rPr>
        <w:t>as</w:t>
        <w:tab/>
      </w:r>
      <w:r>
        <w:rPr/>
        <w:t>the dispute the</w:t>
      </w:r>
      <w:r>
        <w:rPr>
          <w:spacing w:val="62"/>
        </w:rPr>
        <w:t> </w:t>
      </w:r>
      <w:r>
        <w:rPr/>
        <w:t>appraiser’s</w:t>
      </w:r>
    </w:p>
    <w:p>
      <w:pPr>
        <w:spacing w:after="0" w:line="242" w:lineRule="auto"/>
        <w:sectPr>
          <w:type w:val="continuous"/>
          <w:pgSz w:w="12240" w:h="15840"/>
          <w:pgMar w:top="1500" w:bottom="2460" w:left="1720" w:right="1720"/>
          <w:cols w:num="2" w:equalWidth="0">
            <w:col w:w="4010" w:space="40"/>
            <w:col w:w="4750"/>
          </w:cols>
        </w:sectPr>
      </w:pPr>
    </w:p>
    <w:p>
      <w:pPr>
        <w:pStyle w:val="BodyText"/>
        <w:spacing w:line="242" w:lineRule="auto"/>
        <w:ind w:left="1520" w:right="1515"/>
      </w:pPr>
      <w:r>
        <w:rPr/>
        <w:t>valuations</w:t>
      </w:r>
      <w:r>
        <w:rPr>
          <w:spacing w:val="-33"/>
        </w:rPr>
        <w:t> </w:t>
      </w:r>
      <w:r>
        <w:rPr/>
        <w:t>or</w:t>
      </w:r>
      <w:r>
        <w:rPr>
          <w:spacing w:val="-34"/>
        </w:rPr>
        <w:t> </w:t>
      </w:r>
      <w:r>
        <w:rPr/>
        <w:t>their</w:t>
      </w:r>
      <w:r>
        <w:rPr>
          <w:spacing w:val="-34"/>
        </w:rPr>
        <w:t> </w:t>
      </w:r>
      <w:r>
        <w:rPr>
          <w:spacing w:val="-3"/>
        </w:rPr>
        <w:t>methodology,</w:t>
      </w:r>
      <w:r>
        <w:rPr>
          <w:spacing w:val="-39"/>
        </w:rPr>
        <w:t> </w:t>
      </w:r>
      <w:r>
        <w:rPr/>
        <w:t>and</w:t>
      </w:r>
      <w:r>
        <w:rPr>
          <w:spacing w:val="-37"/>
        </w:rPr>
        <w:t> </w:t>
      </w:r>
      <w:r>
        <w:rPr/>
        <w:t>dealt</w:t>
      </w:r>
      <w:r>
        <w:rPr>
          <w:spacing w:val="-34"/>
        </w:rPr>
        <w:t> </w:t>
      </w:r>
      <w:r>
        <w:rPr/>
        <w:t>only with the appraisers’ authority to make</w:t>
      </w:r>
      <w:r>
        <w:rPr>
          <w:spacing w:val="10"/>
        </w:rPr>
        <w:t> </w:t>
      </w:r>
      <w:r>
        <w:rPr/>
        <w:t>their</w:t>
      </w:r>
    </w:p>
    <w:p>
      <w:pPr>
        <w:pStyle w:val="BodyText"/>
        <w:rPr>
          <w:sz w:val="20"/>
        </w:rPr>
      </w:pPr>
    </w:p>
    <w:p>
      <w:pPr>
        <w:pStyle w:val="BodyText"/>
        <w:rPr>
          <w:sz w:val="20"/>
        </w:rPr>
      </w:pPr>
    </w:p>
    <w:p>
      <w:pPr>
        <w:pStyle w:val="BodyText"/>
        <w:spacing w:before="7"/>
        <w:rPr>
          <w:sz w:val="13"/>
        </w:rPr>
      </w:pPr>
      <w:r>
        <w:rPr/>
        <w:pict>
          <v:shape style="position:absolute;margin-left:162pt;margin-top:10.754492pt;width:143.9pt;height:.1pt;mso-position-horizontal-relative:page;mso-position-vertical-relative:paragraph;z-index:-251633664;mso-wrap-distance-left:0;mso-wrap-distance-right:0" coordorigin="3240,215" coordsize="2878,0" path="m3240,215l6118,215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4"/>
        </w:numPr>
        <w:tabs>
          <w:tab w:pos="1428" w:val="left" w:leader="none"/>
        </w:tabs>
        <w:spacing w:line="240" w:lineRule="auto" w:before="71" w:after="0"/>
        <w:ind w:left="1427" w:right="4" w:hanging="1428"/>
        <w:jc w:val="left"/>
        <w:rPr>
          <w:sz w:val="18"/>
        </w:rPr>
      </w:pPr>
      <w:r>
        <w:rPr>
          <w:sz w:val="18"/>
          <w:u w:val="single"/>
        </w:rPr>
        <w:t>DeCrescenzo</w:t>
      </w:r>
      <w:r>
        <w:rPr>
          <w:spacing w:val="-7"/>
          <w:sz w:val="18"/>
          <w:u w:val="single"/>
        </w:rPr>
        <w:t> </w:t>
      </w:r>
      <w:r>
        <w:rPr>
          <w:sz w:val="18"/>
          <w:u w:val="single"/>
        </w:rPr>
        <w:t>v.</w:t>
      </w:r>
      <w:r>
        <w:rPr>
          <w:spacing w:val="-6"/>
          <w:sz w:val="18"/>
          <w:u w:val="single"/>
        </w:rPr>
        <w:t> </w:t>
      </w:r>
      <w:r>
        <w:rPr>
          <w:sz w:val="18"/>
          <w:u w:val="single"/>
        </w:rPr>
        <w:t>Capital</w:t>
      </w:r>
      <w:r>
        <w:rPr>
          <w:spacing w:val="-7"/>
          <w:sz w:val="18"/>
          <w:u w:val="single"/>
        </w:rPr>
        <w:t> </w:t>
      </w:r>
      <w:r>
        <w:rPr>
          <w:sz w:val="18"/>
          <w:u w:val="single"/>
        </w:rPr>
        <w:t>Mut.</w:t>
      </w:r>
      <w:r>
        <w:rPr>
          <w:spacing w:val="-5"/>
          <w:sz w:val="18"/>
          <w:u w:val="single"/>
        </w:rPr>
        <w:t> </w:t>
      </w:r>
      <w:r>
        <w:rPr>
          <w:sz w:val="18"/>
          <w:u w:val="single"/>
        </w:rPr>
        <w:t>Co.</w:t>
      </w:r>
      <w:r>
        <w:rPr>
          <w:sz w:val="18"/>
        </w:rPr>
        <w:t>,</w:t>
      </w:r>
      <w:r>
        <w:rPr>
          <w:spacing w:val="-7"/>
          <w:sz w:val="18"/>
        </w:rPr>
        <w:t> </w:t>
      </w:r>
      <w:r>
        <w:rPr>
          <w:sz w:val="18"/>
        </w:rPr>
        <w:t>187</w:t>
      </w:r>
      <w:r>
        <w:rPr>
          <w:spacing w:val="-8"/>
          <w:sz w:val="18"/>
        </w:rPr>
        <w:t> </w:t>
      </w:r>
      <w:r>
        <w:rPr>
          <w:sz w:val="18"/>
        </w:rPr>
        <w:t>A.D.2d</w:t>
      </w:r>
      <w:r>
        <w:rPr>
          <w:spacing w:val="-8"/>
          <w:sz w:val="18"/>
        </w:rPr>
        <w:t> </w:t>
      </w:r>
      <w:r>
        <w:rPr>
          <w:sz w:val="18"/>
        </w:rPr>
        <w:t>793,</w:t>
      </w:r>
      <w:r>
        <w:rPr>
          <w:spacing w:val="-10"/>
          <w:sz w:val="18"/>
        </w:rPr>
        <w:t> </w:t>
      </w:r>
      <w:r>
        <w:rPr>
          <w:sz w:val="18"/>
        </w:rPr>
        <w:t>589</w:t>
      </w:r>
      <w:r>
        <w:rPr>
          <w:spacing w:val="-7"/>
          <w:sz w:val="18"/>
        </w:rPr>
        <w:t> </w:t>
      </w:r>
      <w:r>
        <w:rPr>
          <w:sz w:val="18"/>
        </w:rPr>
        <w:t>N.Y.S.2d</w:t>
      </w:r>
      <w:r>
        <w:rPr>
          <w:spacing w:val="-6"/>
          <w:sz w:val="18"/>
        </w:rPr>
        <w:t> </w:t>
      </w:r>
      <w:r>
        <w:rPr>
          <w:sz w:val="18"/>
        </w:rPr>
        <w:t>669</w:t>
      </w:r>
      <w:r>
        <w:rPr>
          <w:spacing w:val="-6"/>
          <w:sz w:val="18"/>
        </w:rPr>
        <w:t> </w:t>
      </w:r>
      <w:r>
        <w:rPr>
          <w:sz w:val="18"/>
        </w:rPr>
        <w:t>(3d</w:t>
      </w:r>
      <w:r>
        <w:rPr>
          <w:spacing w:val="-5"/>
          <w:sz w:val="18"/>
        </w:rPr>
        <w:t> </w:t>
      </w:r>
      <w:r>
        <w:rPr>
          <w:sz w:val="18"/>
        </w:rPr>
        <w:t>Dept.</w:t>
      </w:r>
      <w:r>
        <w:rPr>
          <w:spacing w:val="-6"/>
          <w:sz w:val="18"/>
        </w:rPr>
        <w:t> </w:t>
      </w:r>
      <w:r>
        <w:rPr>
          <w:sz w:val="18"/>
        </w:rPr>
        <w:t>1992).</w:t>
      </w:r>
    </w:p>
    <w:p>
      <w:pPr>
        <w:spacing w:after="0" w:line="240" w:lineRule="auto"/>
        <w:jc w:val="left"/>
        <w:rPr>
          <w:sz w:val="18"/>
        </w:rPr>
        <w:sectPr>
          <w:type w:val="continuous"/>
          <w:pgSz w:w="12240" w:h="15840"/>
          <w:pgMar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5"/>
      </w:pPr>
      <w:bookmarkStart w:name="Law and Procedure 97" w:id="5"/>
      <w:bookmarkEnd w:id="5"/>
      <w:r>
        <w:rPr/>
      </w:r>
      <w:r>
        <w:rPr/>
        <w:t>award, the complaint states a claim for relief and should not have been dismissed.</w:t>
      </w:r>
      <w:r>
        <w:rPr>
          <w:vertAlign w:val="superscript"/>
        </w:rPr>
        <w:t>120</w:t>
      </w:r>
    </w:p>
    <w:p>
      <w:pPr>
        <w:pStyle w:val="BodyText"/>
        <w:spacing w:before="1"/>
      </w:pPr>
    </w:p>
    <w:p>
      <w:pPr>
        <w:pStyle w:val="BodyText"/>
        <w:spacing w:line="242" w:lineRule="auto" w:before="1"/>
        <w:ind w:left="1520" w:right="1518" w:firstLine="720"/>
        <w:jc w:val="both"/>
      </w:pPr>
      <w:r>
        <w:rPr>
          <w:spacing w:val="3"/>
        </w:rPr>
        <w:t>In </w:t>
      </w:r>
      <w:r>
        <w:rPr/>
        <w:t>one Massachusetts matter where an insured attempted to vacate an award because an appraiser had exceeded his authority by determining insurance coverage in</w:t>
      </w:r>
      <w:r>
        <w:rPr>
          <w:spacing w:val="-12"/>
        </w:rPr>
        <w:t> </w:t>
      </w:r>
      <w:r>
        <w:rPr/>
        <w:t>the</w:t>
      </w:r>
      <w:r>
        <w:rPr>
          <w:spacing w:val="-13"/>
        </w:rPr>
        <w:t> </w:t>
      </w:r>
      <w:r>
        <w:rPr/>
        <w:t>course</w:t>
      </w:r>
      <w:r>
        <w:rPr>
          <w:spacing w:val="-12"/>
        </w:rPr>
        <w:t> </w:t>
      </w:r>
      <w:r>
        <w:rPr/>
        <w:t>of</w:t>
      </w:r>
      <w:r>
        <w:rPr>
          <w:spacing w:val="-14"/>
        </w:rPr>
        <w:t> </w:t>
      </w:r>
      <w:r>
        <w:rPr/>
        <w:t>appraisal,</w:t>
      </w:r>
      <w:r>
        <w:rPr>
          <w:spacing w:val="-16"/>
        </w:rPr>
        <w:t> </w:t>
      </w:r>
      <w:r>
        <w:rPr/>
        <w:t>the</w:t>
      </w:r>
      <w:r>
        <w:rPr>
          <w:spacing w:val="-15"/>
        </w:rPr>
        <w:t> </w:t>
      </w:r>
      <w:r>
        <w:rPr/>
        <w:t>court</w:t>
      </w:r>
      <w:r>
        <w:rPr>
          <w:spacing w:val="-15"/>
        </w:rPr>
        <w:t> </w:t>
      </w:r>
      <w:r>
        <w:rPr/>
        <w:t>set</w:t>
      </w:r>
      <w:r>
        <w:rPr>
          <w:spacing w:val="-14"/>
        </w:rPr>
        <w:t> </w:t>
      </w:r>
      <w:r>
        <w:rPr/>
        <w:t>forth</w:t>
      </w:r>
      <w:r>
        <w:rPr>
          <w:spacing w:val="-12"/>
        </w:rPr>
        <w:t> </w:t>
      </w:r>
      <w:r>
        <w:rPr/>
        <w:t>its standards governing an appraiser’s authority. </w:t>
      </w:r>
      <w:r>
        <w:rPr>
          <w:spacing w:val="3"/>
        </w:rPr>
        <w:t>In </w:t>
      </w:r>
      <w:r>
        <w:rPr/>
        <w:t>addressing the scope of an insurance appraiser’s authority for the first time in Massachusetts,</w:t>
      </w:r>
      <w:r>
        <w:rPr>
          <w:spacing w:val="-23"/>
        </w:rPr>
        <w:t> </w:t>
      </w:r>
      <w:r>
        <w:rPr/>
        <w:t>the</w:t>
      </w:r>
      <w:r>
        <w:rPr>
          <w:spacing w:val="-20"/>
        </w:rPr>
        <w:t> </w:t>
      </w:r>
      <w:r>
        <w:rPr/>
        <w:t>court</w:t>
      </w:r>
      <w:r>
        <w:rPr>
          <w:spacing w:val="-25"/>
        </w:rPr>
        <w:t> </w:t>
      </w:r>
      <w:r>
        <w:rPr/>
        <w:t>first</w:t>
      </w:r>
      <w:r>
        <w:rPr>
          <w:spacing w:val="-24"/>
        </w:rPr>
        <w:t> </w:t>
      </w:r>
      <w:r>
        <w:rPr/>
        <w:t>established</w:t>
      </w:r>
      <w:r>
        <w:rPr>
          <w:spacing w:val="-23"/>
        </w:rPr>
        <w:t> </w:t>
      </w:r>
      <w:r>
        <w:rPr/>
        <w:t>that</w:t>
      </w:r>
      <w:r>
        <w:rPr>
          <w:spacing w:val="-24"/>
        </w:rPr>
        <w:t> </w:t>
      </w:r>
      <w:r>
        <w:rPr/>
        <w:t>it was “empowered” to review the decision of the</w:t>
      </w:r>
      <w:r>
        <w:rPr>
          <w:spacing w:val="-11"/>
        </w:rPr>
        <w:t> </w:t>
      </w:r>
      <w:r>
        <w:rPr/>
        <w:t>appraiser</w:t>
      </w:r>
      <w:r>
        <w:rPr>
          <w:spacing w:val="-11"/>
        </w:rPr>
        <w:t> </w:t>
      </w:r>
      <w:r>
        <w:rPr/>
        <w:t>which</w:t>
      </w:r>
      <w:r>
        <w:rPr>
          <w:spacing w:val="-8"/>
        </w:rPr>
        <w:t> </w:t>
      </w:r>
      <w:r>
        <w:rPr/>
        <w:t>had</w:t>
      </w:r>
      <w:r>
        <w:rPr>
          <w:spacing w:val="-6"/>
        </w:rPr>
        <w:t> </w:t>
      </w:r>
      <w:r>
        <w:rPr/>
        <w:t>been</w:t>
      </w:r>
      <w:r>
        <w:rPr>
          <w:spacing w:val="-8"/>
        </w:rPr>
        <w:t> </w:t>
      </w:r>
      <w:r>
        <w:rPr/>
        <w:t>adopted</w:t>
      </w:r>
      <w:r>
        <w:rPr>
          <w:spacing w:val="-11"/>
        </w:rPr>
        <w:t> </w:t>
      </w:r>
      <w:r>
        <w:rPr/>
        <w:t>in</w:t>
      </w:r>
      <w:r>
        <w:rPr>
          <w:spacing w:val="-9"/>
        </w:rPr>
        <w:t> </w:t>
      </w:r>
      <w:r>
        <w:rPr/>
        <w:t>the umpire’s issuance of the award. </w:t>
      </w:r>
      <w:r>
        <w:rPr>
          <w:spacing w:val="3"/>
        </w:rPr>
        <w:t>It </w:t>
      </w:r>
      <w:r>
        <w:rPr/>
        <w:t>analogized an appraiser’s role to that of an arbitrator in stating</w:t>
      </w:r>
      <w:r>
        <w:rPr>
          <w:spacing w:val="-11"/>
        </w:rPr>
        <w:t> </w:t>
      </w:r>
      <w:r>
        <w:rPr/>
        <w:t>it</w:t>
      </w:r>
      <w:r>
        <w:rPr>
          <w:spacing w:val="-14"/>
        </w:rPr>
        <w:t> </w:t>
      </w:r>
      <w:r>
        <w:rPr/>
        <w:t>“must</w:t>
      </w:r>
      <w:r>
        <w:rPr>
          <w:spacing w:val="-11"/>
        </w:rPr>
        <w:t> </w:t>
      </w:r>
      <w:r>
        <w:rPr/>
        <w:t>be</w:t>
      </w:r>
      <w:r>
        <w:rPr>
          <w:spacing w:val="-9"/>
        </w:rPr>
        <w:t> </w:t>
      </w:r>
      <w:r>
        <w:rPr/>
        <w:t>limited</w:t>
      </w:r>
      <w:r>
        <w:rPr>
          <w:spacing w:val="-10"/>
        </w:rPr>
        <w:t> </w:t>
      </w:r>
      <w:r>
        <w:rPr/>
        <w:t>by</w:t>
      </w:r>
      <w:r>
        <w:rPr>
          <w:spacing w:val="-11"/>
        </w:rPr>
        <w:t> </w:t>
      </w:r>
      <w:r>
        <w:rPr/>
        <w:t>and</w:t>
      </w:r>
      <w:r>
        <w:rPr>
          <w:spacing w:val="-9"/>
        </w:rPr>
        <w:t> </w:t>
      </w:r>
      <w:r>
        <w:rPr/>
        <w:t>derived</w:t>
      </w:r>
      <w:r>
        <w:rPr>
          <w:spacing w:val="-10"/>
        </w:rPr>
        <w:t> </w:t>
      </w:r>
      <w:r>
        <w:rPr/>
        <w:t>from </w:t>
      </w:r>
      <w:r>
        <w:rPr>
          <w:spacing w:val="8"/>
        </w:rPr>
        <w:t>the </w:t>
      </w:r>
      <w:r>
        <w:rPr>
          <w:spacing w:val="12"/>
        </w:rPr>
        <w:t>plain language </w:t>
      </w:r>
      <w:r>
        <w:rPr>
          <w:spacing w:val="6"/>
        </w:rPr>
        <w:t>of </w:t>
      </w:r>
      <w:r>
        <w:rPr>
          <w:spacing w:val="7"/>
        </w:rPr>
        <w:t>the </w:t>
      </w:r>
      <w:r>
        <w:rPr>
          <w:spacing w:val="10"/>
        </w:rPr>
        <w:t>parties’ </w:t>
      </w:r>
      <w:r>
        <w:rPr/>
        <w:t>agreement…[t]herefore, an appraiser, like an arbitrator, exceeds his authority by awarding relief beyond the scope of the parties’ agreement</w:t>
      </w:r>
      <w:r>
        <w:rPr>
          <w:spacing w:val="-34"/>
        </w:rPr>
        <w:t> </w:t>
      </w:r>
      <w:r>
        <w:rPr/>
        <w:t>or</w:t>
      </w:r>
      <w:r>
        <w:rPr>
          <w:spacing w:val="-28"/>
        </w:rPr>
        <w:t> </w:t>
      </w:r>
      <w:r>
        <w:rPr/>
        <w:t>beyond</w:t>
      </w:r>
      <w:r>
        <w:rPr>
          <w:spacing w:val="-28"/>
        </w:rPr>
        <w:t> </w:t>
      </w:r>
      <w:r>
        <w:rPr/>
        <w:t>that</w:t>
      </w:r>
      <w:r>
        <w:rPr>
          <w:spacing w:val="-29"/>
        </w:rPr>
        <w:t> </w:t>
      </w:r>
      <w:r>
        <w:rPr/>
        <w:t>to</w:t>
      </w:r>
      <w:r>
        <w:rPr>
          <w:spacing w:val="-28"/>
        </w:rPr>
        <w:t> </w:t>
      </w:r>
      <w:r>
        <w:rPr/>
        <w:t>which</w:t>
      </w:r>
      <w:r>
        <w:rPr>
          <w:spacing w:val="-27"/>
        </w:rPr>
        <w:t> </w:t>
      </w:r>
      <w:r>
        <w:rPr/>
        <w:t>the</w:t>
      </w:r>
      <w:r>
        <w:rPr>
          <w:spacing w:val="-31"/>
        </w:rPr>
        <w:t> </w:t>
      </w:r>
      <w:r>
        <w:rPr/>
        <w:t>parties otherwise agreed to be</w:t>
      </w:r>
      <w:r>
        <w:rPr>
          <w:spacing w:val="-6"/>
        </w:rPr>
        <w:t> </w:t>
      </w:r>
      <w:r>
        <w:rPr/>
        <w:t>bound.”</w:t>
      </w:r>
      <w:r>
        <w:rPr>
          <w:vertAlign w:val="superscript"/>
        </w:rPr>
        <w:t>121</w:t>
      </w:r>
    </w:p>
    <w:p>
      <w:pPr>
        <w:pStyle w:val="BodyText"/>
        <w:spacing w:before="2"/>
        <w:rPr>
          <w:sz w:val="29"/>
        </w:rPr>
      </w:pPr>
    </w:p>
    <w:tbl>
      <w:tblPr>
        <w:tblW w:w="0" w:type="auto"/>
        <w:jc w:val="left"/>
        <w:tblInd w:w="1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6"/>
        <w:gridCol w:w="753"/>
        <w:gridCol w:w="4385"/>
      </w:tblGrid>
      <w:tr>
        <w:trPr>
          <w:trHeight w:val="291" w:hRule="atLeast"/>
        </w:trPr>
        <w:tc>
          <w:tcPr>
            <w:tcW w:w="716" w:type="dxa"/>
            <w:tcBorders>
              <w:bottom w:val="single" w:sz="12" w:space="0" w:color="FFFFFF"/>
            </w:tcBorders>
          </w:tcPr>
          <w:p>
            <w:pPr>
              <w:pStyle w:val="TableParagraph"/>
              <w:spacing w:line="240" w:lineRule="auto"/>
              <w:ind w:left="0"/>
              <w:rPr>
                <w:rFonts w:ascii="Times New Roman"/>
                <w:sz w:val="20"/>
              </w:rPr>
            </w:pPr>
          </w:p>
        </w:tc>
        <w:tc>
          <w:tcPr>
            <w:tcW w:w="5138" w:type="dxa"/>
            <w:gridSpan w:val="2"/>
            <w:tcBorders>
              <w:bottom w:val="single" w:sz="12" w:space="0" w:color="FFFFFF"/>
            </w:tcBorders>
            <w:shd w:val="clear" w:color="auto" w:fill="FADD64"/>
          </w:tcPr>
          <w:p>
            <w:pPr>
              <w:pStyle w:val="TableParagraph"/>
              <w:spacing w:line="272" w:lineRule="exact"/>
              <w:ind w:left="50"/>
              <w:rPr>
                <w:sz w:val="26"/>
              </w:rPr>
            </w:pPr>
            <w:r>
              <w:rPr>
                <w:sz w:val="26"/>
              </w:rPr>
              <w:t>The</w:t>
            </w:r>
            <w:r>
              <w:rPr>
                <w:spacing w:val="-13"/>
                <w:sz w:val="26"/>
              </w:rPr>
              <w:t> </w:t>
            </w:r>
            <w:r>
              <w:rPr>
                <w:sz w:val="26"/>
              </w:rPr>
              <w:t>decision</w:t>
            </w:r>
            <w:r>
              <w:rPr>
                <w:spacing w:val="-11"/>
                <w:sz w:val="26"/>
              </w:rPr>
              <w:t> </w:t>
            </w:r>
            <w:r>
              <w:rPr>
                <w:sz w:val="26"/>
              </w:rPr>
              <w:t>placed</w:t>
            </w:r>
            <w:r>
              <w:rPr>
                <w:spacing w:val="-11"/>
                <w:sz w:val="26"/>
              </w:rPr>
              <w:t> </w:t>
            </w:r>
            <w:r>
              <w:rPr>
                <w:sz w:val="26"/>
              </w:rPr>
              <w:t>the</w:t>
            </w:r>
            <w:r>
              <w:rPr>
                <w:spacing w:val="-13"/>
                <w:sz w:val="26"/>
              </w:rPr>
              <w:t> </w:t>
            </w:r>
            <w:r>
              <w:rPr>
                <w:sz w:val="26"/>
              </w:rPr>
              <w:t>burden</w:t>
            </w:r>
            <w:r>
              <w:rPr>
                <w:spacing w:val="-12"/>
                <w:sz w:val="26"/>
              </w:rPr>
              <w:t> </w:t>
            </w:r>
            <w:r>
              <w:rPr>
                <w:sz w:val="26"/>
              </w:rPr>
              <w:t>of</w:t>
            </w:r>
            <w:r>
              <w:rPr>
                <w:spacing w:val="-11"/>
                <w:sz w:val="26"/>
              </w:rPr>
              <w:t> </w:t>
            </w:r>
            <w:r>
              <w:rPr>
                <w:sz w:val="26"/>
              </w:rPr>
              <w:t>proof</w:t>
            </w:r>
          </w:p>
        </w:tc>
      </w:tr>
      <w:tr>
        <w:trPr>
          <w:trHeight w:val="290" w:hRule="atLeast"/>
        </w:trPr>
        <w:tc>
          <w:tcPr>
            <w:tcW w:w="5854" w:type="dxa"/>
            <w:gridSpan w:val="3"/>
            <w:tcBorders>
              <w:top w:val="single" w:sz="12" w:space="0" w:color="FFFFFF"/>
              <w:bottom w:val="single" w:sz="12" w:space="0" w:color="FFFFFF"/>
            </w:tcBorders>
            <w:shd w:val="clear" w:color="auto" w:fill="FADD64"/>
          </w:tcPr>
          <w:p>
            <w:pPr>
              <w:pStyle w:val="TableParagraph"/>
              <w:ind w:left="46"/>
              <w:rPr>
                <w:sz w:val="26"/>
              </w:rPr>
            </w:pPr>
            <w:r>
              <w:rPr>
                <w:sz w:val="26"/>
              </w:rPr>
              <w:t>in</w:t>
            </w:r>
            <w:r>
              <w:rPr>
                <w:spacing w:val="-36"/>
                <w:sz w:val="26"/>
              </w:rPr>
              <w:t> </w:t>
            </w:r>
            <w:r>
              <w:rPr>
                <w:sz w:val="26"/>
              </w:rPr>
              <w:t>establishing</w:t>
            </w:r>
            <w:r>
              <w:rPr>
                <w:spacing w:val="-35"/>
                <w:sz w:val="26"/>
              </w:rPr>
              <w:t> </w:t>
            </w:r>
            <w:r>
              <w:rPr>
                <w:sz w:val="26"/>
              </w:rPr>
              <w:t>that</w:t>
            </w:r>
            <w:r>
              <w:rPr>
                <w:spacing w:val="-37"/>
                <w:sz w:val="26"/>
              </w:rPr>
              <w:t> </w:t>
            </w:r>
            <w:r>
              <w:rPr>
                <w:sz w:val="26"/>
              </w:rPr>
              <w:t>an</w:t>
            </w:r>
            <w:r>
              <w:rPr>
                <w:spacing w:val="-38"/>
                <w:sz w:val="26"/>
              </w:rPr>
              <w:t> </w:t>
            </w:r>
            <w:r>
              <w:rPr>
                <w:sz w:val="26"/>
              </w:rPr>
              <w:t>appraiser</w:t>
            </w:r>
            <w:r>
              <w:rPr>
                <w:spacing w:val="-40"/>
                <w:sz w:val="26"/>
              </w:rPr>
              <w:t> </w:t>
            </w:r>
            <w:r>
              <w:rPr>
                <w:sz w:val="26"/>
              </w:rPr>
              <w:t>had</w:t>
            </w:r>
            <w:r>
              <w:rPr>
                <w:spacing w:val="-39"/>
                <w:sz w:val="26"/>
              </w:rPr>
              <w:t> </w:t>
            </w:r>
            <w:r>
              <w:rPr>
                <w:sz w:val="26"/>
              </w:rPr>
              <w:t>exceeded</w:t>
            </w:r>
          </w:p>
        </w:tc>
      </w:tr>
      <w:tr>
        <w:trPr>
          <w:trHeight w:val="300" w:hRule="atLeast"/>
        </w:trPr>
        <w:tc>
          <w:tcPr>
            <w:tcW w:w="5854" w:type="dxa"/>
            <w:gridSpan w:val="3"/>
            <w:tcBorders>
              <w:top w:val="single" w:sz="12" w:space="0" w:color="FFFFFF"/>
              <w:bottom w:val="single" w:sz="8" w:space="0" w:color="FFFFFF"/>
            </w:tcBorders>
            <w:shd w:val="clear" w:color="auto" w:fill="FADD64"/>
          </w:tcPr>
          <w:p>
            <w:pPr>
              <w:pStyle w:val="TableParagraph"/>
              <w:spacing w:line="276" w:lineRule="exact"/>
              <w:ind w:left="46"/>
              <w:rPr>
                <w:sz w:val="26"/>
              </w:rPr>
            </w:pPr>
            <w:r>
              <w:rPr>
                <w:sz w:val="26"/>
              </w:rPr>
              <w:t>its</w:t>
            </w:r>
            <w:r>
              <w:rPr>
                <w:spacing w:val="-17"/>
                <w:sz w:val="26"/>
              </w:rPr>
              <w:t> </w:t>
            </w:r>
            <w:r>
              <w:rPr>
                <w:sz w:val="26"/>
              </w:rPr>
              <w:t>authority</w:t>
            </w:r>
            <w:r>
              <w:rPr>
                <w:spacing w:val="-19"/>
                <w:sz w:val="26"/>
              </w:rPr>
              <w:t> </w:t>
            </w:r>
            <w:r>
              <w:rPr>
                <w:sz w:val="26"/>
              </w:rPr>
              <w:t>on</w:t>
            </w:r>
            <w:r>
              <w:rPr>
                <w:spacing w:val="-13"/>
                <w:sz w:val="26"/>
              </w:rPr>
              <w:t> </w:t>
            </w:r>
            <w:r>
              <w:rPr>
                <w:sz w:val="26"/>
              </w:rPr>
              <w:t>the</w:t>
            </w:r>
            <w:r>
              <w:rPr>
                <w:spacing w:val="-14"/>
                <w:sz w:val="26"/>
              </w:rPr>
              <w:t> </w:t>
            </w:r>
            <w:r>
              <w:rPr>
                <w:sz w:val="26"/>
              </w:rPr>
              <w:t>party</w:t>
            </w:r>
            <w:r>
              <w:rPr>
                <w:spacing w:val="-19"/>
                <w:sz w:val="26"/>
              </w:rPr>
              <w:t> </w:t>
            </w:r>
            <w:r>
              <w:rPr>
                <w:sz w:val="26"/>
              </w:rPr>
              <w:t>attempting</w:t>
            </w:r>
            <w:r>
              <w:rPr>
                <w:spacing w:val="-15"/>
                <w:sz w:val="26"/>
              </w:rPr>
              <w:t> </w:t>
            </w:r>
            <w:r>
              <w:rPr>
                <w:sz w:val="26"/>
              </w:rPr>
              <w:t>to</w:t>
            </w:r>
            <w:r>
              <w:rPr>
                <w:spacing w:val="-16"/>
                <w:sz w:val="26"/>
              </w:rPr>
              <w:t> </w:t>
            </w:r>
            <w:r>
              <w:rPr>
                <w:sz w:val="26"/>
              </w:rPr>
              <w:t>vacate</w:t>
            </w:r>
          </w:p>
        </w:tc>
      </w:tr>
      <w:tr>
        <w:trPr>
          <w:trHeight w:val="301" w:hRule="atLeast"/>
        </w:trPr>
        <w:tc>
          <w:tcPr>
            <w:tcW w:w="1469" w:type="dxa"/>
            <w:gridSpan w:val="2"/>
            <w:tcBorders>
              <w:top w:val="single" w:sz="8" w:space="0" w:color="FFFFFF"/>
            </w:tcBorders>
            <w:shd w:val="clear" w:color="auto" w:fill="FADD64"/>
          </w:tcPr>
          <w:p>
            <w:pPr>
              <w:pStyle w:val="TableParagraph"/>
              <w:spacing w:line="277" w:lineRule="exact"/>
              <w:ind w:left="46"/>
              <w:rPr>
                <w:sz w:val="26"/>
              </w:rPr>
            </w:pPr>
            <w:r>
              <w:rPr>
                <w:sz w:val="26"/>
              </w:rPr>
              <w:t>the award.</w:t>
            </w:r>
          </w:p>
        </w:tc>
        <w:tc>
          <w:tcPr>
            <w:tcW w:w="4385" w:type="dxa"/>
            <w:tcBorders>
              <w:top w:val="single" w:sz="8" w:space="0" w:color="FFFFFF"/>
            </w:tcBorders>
          </w:tcPr>
          <w:p>
            <w:pPr>
              <w:pStyle w:val="TableParagraph"/>
              <w:spacing w:line="142" w:lineRule="exact"/>
              <w:ind w:left="-49"/>
              <w:rPr>
                <w:sz w:val="16"/>
              </w:rPr>
            </w:pPr>
            <w:r>
              <w:rPr>
                <w:sz w:val="16"/>
              </w:rPr>
              <w:t>122</w:t>
            </w:r>
          </w:p>
        </w:tc>
      </w:tr>
    </w:tbl>
    <w:p>
      <w:pPr>
        <w:pStyle w:val="BodyText"/>
        <w:spacing w:before="6"/>
        <w:rPr>
          <w:sz w:val="17"/>
        </w:rPr>
      </w:pPr>
      <w:r>
        <w:rPr/>
        <w:pict>
          <v:shape style="position:absolute;margin-left:162pt;margin-top:13.150093pt;width:143.9pt;height:.1pt;mso-position-horizontal-relative:page;mso-position-vertical-relative:paragraph;z-index:-251630592;mso-wrap-distance-left:0;mso-wrap-distance-right:0" coordorigin="3240,263" coordsize="2878,0" path="m3240,263l6118,263e" filled="false" stroked="true" strokeweight=".84pt" strokecolor="#000000">
            <v:path arrowok="t"/>
            <v:stroke dashstyle="solid"/>
            <w10:wrap type="topAndBottom"/>
          </v:shape>
        </w:pict>
      </w:r>
    </w:p>
    <w:p>
      <w:pPr>
        <w:pStyle w:val="ListParagraph"/>
        <w:numPr>
          <w:ilvl w:val="0"/>
          <w:numId w:val="4"/>
        </w:numPr>
        <w:tabs>
          <w:tab w:pos="1435" w:val="left" w:leader="none"/>
        </w:tabs>
        <w:spacing w:line="240" w:lineRule="auto" w:before="198" w:after="0"/>
        <w:ind w:left="1434" w:right="0" w:hanging="275"/>
        <w:jc w:val="left"/>
        <w:rPr>
          <w:sz w:val="24"/>
        </w:rPr>
      </w:pPr>
      <w:r>
        <w:rPr>
          <w:sz w:val="18"/>
          <w:u w:val="single"/>
        </w:rPr>
        <w:t>AIU Ins. Co. v. Lexes</w:t>
      </w:r>
      <w:r>
        <w:rPr>
          <w:sz w:val="18"/>
        </w:rPr>
        <w:t>, 815 A.2d 312 (Del.Supr.</w:t>
      </w:r>
      <w:r>
        <w:rPr>
          <w:spacing w:val="2"/>
          <w:sz w:val="18"/>
        </w:rPr>
        <w:t> </w:t>
      </w:r>
      <w:r>
        <w:rPr>
          <w:sz w:val="18"/>
        </w:rPr>
        <w:t>2003)</w:t>
      </w:r>
      <w:r>
        <w:rPr>
          <w:sz w:val="24"/>
        </w:rPr>
        <w:t>.</w:t>
      </w:r>
    </w:p>
    <w:p>
      <w:pPr>
        <w:pStyle w:val="ListParagraph"/>
        <w:numPr>
          <w:ilvl w:val="0"/>
          <w:numId w:val="4"/>
        </w:numPr>
        <w:tabs>
          <w:tab w:pos="1462" w:val="left" w:leader="none"/>
        </w:tabs>
        <w:spacing w:line="256" w:lineRule="auto" w:before="44" w:after="0"/>
        <w:ind w:left="1160" w:right="1162" w:firstLine="0"/>
        <w:jc w:val="left"/>
        <w:rPr>
          <w:sz w:val="18"/>
        </w:rPr>
      </w:pPr>
      <w:r>
        <w:rPr>
          <w:sz w:val="18"/>
          <w:u w:val="single"/>
        </w:rPr>
        <w:t>Sun Microsystems, Inc. v. Electronic Services, Inc.</w:t>
      </w:r>
      <w:r>
        <w:rPr>
          <w:sz w:val="18"/>
        </w:rPr>
        <w:t>, 2009 WL 987336 (Mass Super 2009).</w:t>
      </w:r>
    </w:p>
    <w:p>
      <w:pPr>
        <w:pStyle w:val="ListParagraph"/>
        <w:numPr>
          <w:ilvl w:val="0"/>
          <w:numId w:val="4"/>
        </w:numPr>
        <w:tabs>
          <w:tab w:pos="1421" w:val="left" w:leader="none"/>
        </w:tabs>
        <w:spacing w:line="86" w:lineRule="auto" w:before="0" w:after="0"/>
        <w:ind w:left="1421" w:right="0" w:hanging="261"/>
        <w:jc w:val="left"/>
        <w:rPr>
          <w:sz w:val="18"/>
        </w:rPr>
      </w:pPr>
      <w:r>
        <w:rPr>
          <w:position w:val="-8"/>
          <w:sz w:val="18"/>
          <w:u w:val="single"/>
        </w:rPr>
        <w:t>Id.</w:t>
      </w:r>
    </w:p>
    <w:p>
      <w:pPr>
        <w:spacing w:after="0" w:line="86" w:lineRule="auto"/>
        <w:jc w:val="left"/>
        <w:rPr>
          <w:sz w:val="18"/>
        </w:rPr>
        <w:sectPr>
          <w:pgSz w:w="12240" w:h="15840"/>
          <w:pgMar w:header="0" w:footer="2273" w:top="1500" w:bottom="2460" w:left="1720" w:right="1720"/>
        </w:sectPr>
      </w:pPr>
    </w:p>
    <w:p>
      <w:pPr>
        <w:pStyle w:val="BodyText"/>
        <w:rPr>
          <w:rFonts w:ascii="Times New Roman"/>
          <w:sz w:val="20"/>
        </w:rPr>
      </w:pPr>
      <w:r>
        <w:rPr/>
        <w:pict>
          <v:shape style="position:absolute;margin-left:432pt;margin-top:321.608887pt;width:180pt;height:120pt;mso-position-horizontal-relative:page;mso-position-vertical-relative:page;z-index:251693056" type="#_x0000_t202" fillcolor="#fcd94c" stroked="true" strokeweight="1pt" strokecolor="#000000">
            <v:textbox inset="0,0,0,0">
              <w:txbxContent>
                <w:p>
                  <w:pPr>
                    <w:spacing w:before="90"/>
                    <w:ind w:left="40" w:right="0" w:firstLine="0"/>
                    <w:jc w:val="left"/>
                    <w:rPr>
                      <w:rFonts w:ascii="Arial"/>
                      <w:b/>
                      <w:i/>
                      <w:sz w:val="16"/>
                    </w:rPr>
                  </w:pPr>
                  <w:r>
                    <w:rPr>
                      <w:rFonts w:ascii="Arial"/>
                      <w:b/>
                      <w:i/>
                      <w:sz w:val="16"/>
                    </w:rPr>
                    <w:t>Digitory</w:t>
                  </w:r>
                </w:p>
                <w:p>
                  <w:pPr>
                    <w:spacing w:before="16"/>
                    <w:ind w:left="40" w:right="0" w:firstLine="0"/>
                    <w:jc w:val="left"/>
                    <w:rPr>
                      <w:rFonts w:ascii="Arial"/>
                      <w:i/>
                      <w:sz w:val="16"/>
                    </w:rPr>
                  </w:pPr>
                  <w:r>
                    <w:rPr>
                      <w:rFonts w:ascii="Arial"/>
                      <w:i/>
                      <w:sz w:val="16"/>
                    </w:rPr>
                    <w:t>2022-02-16 21:30:14</w:t>
                  </w:r>
                </w:p>
                <w:p>
                  <w:pPr>
                    <w:spacing w:before="18"/>
                    <w:ind w:left="40" w:right="0" w:firstLine="0"/>
                    <w:jc w:val="left"/>
                    <w:rPr>
                      <w:rFonts w:ascii="Arial"/>
                      <w:sz w:val="20"/>
                    </w:rPr>
                  </w:pPr>
                  <w:r>
                    <w:rPr>
                      <w:rFonts w:ascii="Arial"/>
                      <w:sz w:val="20"/>
                    </w:rPr>
                    <w:t>--------------------------------------------</w:t>
                  </w:r>
                </w:p>
                <w:p>
                  <w:pPr>
                    <w:spacing w:before="10"/>
                    <w:ind w:left="40" w:right="38" w:firstLine="0"/>
                    <w:jc w:val="left"/>
                    <w:rPr>
                      <w:rFonts w:ascii="Arial"/>
                      <w:sz w:val="20"/>
                    </w:rPr>
                  </w:pPr>
                  <w:r>
                    <w:rPr>
                      <w:rFonts w:ascii="Arial"/>
                      <w:sz w:val="20"/>
                    </w:rPr>
                    <w:t>Attempts to Limit the Scope of the </w:t>
                  </w:r>
                  <w:r>
                    <w:rPr>
                      <w:rFonts w:ascii="Arial"/>
                      <w:spacing w:val="-44"/>
                      <w:sz w:val="20"/>
                    </w:rPr>
                    <w:t>Appraisal</w:t>
                  </w:r>
                </w:p>
              </w:txbxContent>
            </v:textbox>
            <v:fill opacity="45875f" type="gradient"/>
            <v:stroke dashstyle="dash"/>
            <w10:wrap type="none"/>
          </v:shape>
        </w:pict>
      </w: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21" w:firstLine="720"/>
        <w:jc w:val="both"/>
      </w:pPr>
      <w:r>
        <w:rPr/>
        <w:pict>
          <v:shape style="position:absolute;margin-left:159.634918pt;margin-top:197.345062pt;width:294.1pt;height:191.5pt;mso-position-horizontal-relative:page;mso-position-vertical-relative:paragraph;z-index:251692032"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7"/>
                    <w:gridCol w:w="2178"/>
                    <w:gridCol w:w="2986"/>
                  </w:tblGrid>
                  <w:tr>
                    <w:trPr>
                      <w:trHeight w:val="320" w:hRule="atLeast"/>
                    </w:trPr>
                    <w:tc>
                      <w:tcPr>
                        <w:tcW w:w="717" w:type="dxa"/>
                      </w:tcPr>
                      <w:p>
                        <w:pPr>
                          <w:pStyle w:val="TableParagraph"/>
                          <w:spacing w:line="240" w:lineRule="auto"/>
                          <w:ind w:left="0"/>
                          <w:rPr>
                            <w:rFonts w:ascii="Times New Roman"/>
                            <w:sz w:val="22"/>
                          </w:rPr>
                        </w:pPr>
                      </w:p>
                    </w:tc>
                    <w:tc>
                      <w:tcPr>
                        <w:tcW w:w="5164" w:type="dxa"/>
                        <w:gridSpan w:val="2"/>
                        <w:shd w:val="clear" w:color="auto" w:fill="FADD64"/>
                      </w:tcPr>
                      <w:p>
                        <w:pPr>
                          <w:pStyle w:val="TableParagraph"/>
                          <w:spacing w:line="273" w:lineRule="exact"/>
                          <w:ind w:left="50"/>
                          <w:rPr>
                            <w:sz w:val="26"/>
                          </w:rPr>
                        </w:pPr>
                        <w:r>
                          <w:rPr>
                            <w:sz w:val="26"/>
                          </w:rPr>
                          <w:t>Inappropriate</w:t>
                        </w:r>
                        <w:r>
                          <w:rPr>
                            <w:spacing w:val="-32"/>
                            <w:sz w:val="26"/>
                          </w:rPr>
                          <w:t> </w:t>
                        </w:r>
                        <w:r>
                          <w:rPr>
                            <w:sz w:val="26"/>
                          </w:rPr>
                          <w:t>attempts</w:t>
                        </w:r>
                        <w:r>
                          <w:rPr>
                            <w:spacing w:val="-30"/>
                            <w:sz w:val="26"/>
                          </w:rPr>
                          <w:t> </w:t>
                        </w:r>
                        <w:r>
                          <w:rPr>
                            <w:sz w:val="26"/>
                          </w:rPr>
                          <w:t>to</w:t>
                        </w:r>
                        <w:r>
                          <w:rPr>
                            <w:spacing w:val="-28"/>
                            <w:sz w:val="26"/>
                          </w:rPr>
                          <w:t> </w:t>
                        </w:r>
                        <w:r>
                          <w:rPr>
                            <w:sz w:val="26"/>
                          </w:rPr>
                          <w:t>limit</w:t>
                        </w:r>
                        <w:r>
                          <w:rPr>
                            <w:spacing w:val="-32"/>
                            <w:sz w:val="26"/>
                          </w:rPr>
                          <w:t> </w:t>
                        </w:r>
                        <w:r>
                          <w:rPr>
                            <w:sz w:val="26"/>
                          </w:rPr>
                          <w:t>the</w:t>
                        </w:r>
                        <w:r>
                          <w:rPr>
                            <w:spacing w:val="-29"/>
                            <w:sz w:val="26"/>
                          </w:rPr>
                          <w:t> </w:t>
                        </w:r>
                        <w:r>
                          <w:rPr>
                            <w:sz w:val="26"/>
                          </w:rPr>
                          <w:t>scope</w:t>
                        </w:r>
                      </w:p>
                    </w:tc>
                  </w:tr>
                  <w:tr>
                    <w:trPr>
                      <w:trHeight w:val="320" w:hRule="atLeast"/>
                    </w:trPr>
                    <w:tc>
                      <w:tcPr>
                        <w:tcW w:w="5881" w:type="dxa"/>
                        <w:gridSpan w:val="3"/>
                        <w:shd w:val="clear" w:color="auto" w:fill="FADD64"/>
                      </w:tcPr>
                      <w:p>
                        <w:pPr>
                          <w:pStyle w:val="TableParagraph"/>
                          <w:spacing w:line="274" w:lineRule="exact"/>
                          <w:rPr>
                            <w:sz w:val="26"/>
                          </w:rPr>
                        </w:pPr>
                        <w:r>
                          <w:rPr>
                            <w:sz w:val="26"/>
                          </w:rPr>
                          <w:t>of the appraisal process may be just as</w:t>
                        </w:r>
                      </w:p>
                    </w:tc>
                  </w:tr>
                  <w:tr>
                    <w:trPr>
                      <w:trHeight w:val="320" w:hRule="atLeast"/>
                    </w:trPr>
                    <w:tc>
                      <w:tcPr>
                        <w:tcW w:w="5881" w:type="dxa"/>
                        <w:gridSpan w:val="3"/>
                        <w:shd w:val="clear" w:color="auto" w:fill="FADD64"/>
                      </w:tcPr>
                      <w:p>
                        <w:pPr>
                          <w:pStyle w:val="TableParagraph"/>
                          <w:spacing w:line="275" w:lineRule="exact"/>
                          <w:rPr>
                            <w:sz w:val="26"/>
                          </w:rPr>
                        </w:pPr>
                        <w:r>
                          <w:rPr>
                            <w:sz w:val="26"/>
                          </w:rPr>
                          <w:t>problematic and also undermine the process.</w:t>
                        </w:r>
                      </w:p>
                    </w:tc>
                  </w:tr>
                  <w:tr>
                    <w:trPr>
                      <w:trHeight w:val="291" w:hRule="atLeast"/>
                    </w:trPr>
                    <w:tc>
                      <w:tcPr>
                        <w:tcW w:w="5881" w:type="dxa"/>
                        <w:gridSpan w:val="3"/>
                        <w:tcBorders>
                          <w:bottom w:val="single" w:sz="12" w:space="0" w:color="FFFFFF"/>
                        </w:tcBorders>
                        <w:shd w:val="clear" w:color="auto" w:fill="FADD64"/>
                      </w:tcPr>
                      <w:p>
                        <w:pPr>
                          <w:pStyle w:val="TableParagraph"/>
                          <w:tabs>
                            <w:tab w:pos="620" w:val="left" w:leader="none"/>
                          </w:tabs>
                          <w:spacing w:line="272" w:lineRule="exact"/>
                          <w:rPr>
                            <w:sz w:val="26"/>
                          </w:rPr>
                        </w:pPr>
                        <w:r>
                          <w:rPr>
                            <w:sz w:val="26"/>
                          </w:rPr>
                          <w:t>For</w:t>
                          <w:tab/>
                          <w:t>example, where the insurance</w:t>
                        </w:r>
                        <w:r>
                          <w:rPr>
                            <w:spacing w:val="48"/>
                            <w:sz w:val="26"/>
                          </w:rPr>
                          <w:t> </w:t>
                        </w:r>
                        <w:r>
                          <w:rPr>
                            <w:sz w:val="26"/>
                          </w:rPr>
                          <w:t>carrier</w:t>
                        </w:r>
                      </w:p>
                    </w:tc>
                  </w:tr>
                  <w:tr>
                    <w:trPr>
                      <w:trHeight w:val="300" w:hRule="atLeast"/>
                    </w:trPr>
                    <w:tc>
                      <w:tcPr>
                        <w:tcW w:w="5881" w:type="dxa"/>
                        <w:gridSpan w:val="3"/>
                        <w:tcBorders>
                          <w:top w:val="single" w:sz="12" w:space="0" w:color="FFFFFF"/>
                          <w:bottom w:val="single" w:sz="8" w:space="0" w:color="FFFFFF"/>
                        </w:tcBorders>
                        <w:shd w:val="clear" w:color="auto" w:fill="FADD64"/>
                      </w:tcPr>
                      <w:p>
                        <w:pPr>
                          <w:pStyle w:val="TableParagraph"/>
                          <w:spacing w:line="276" w:lineRule="exact"/>
                          <w:rPr>
                            <w:sz w:val="26"/>
                          </w:rPr>
                        </w:pPr>
                        <w:r>
                          <w:rPr>
                            <w:sz w:val="26"/>
                          </w:rPr>
                          <w:t>refused to submit to an appraisal except on</w:t>
                        </w:r>
                      </w:p>
                    </w:tc>
                  </w:tr>
                  <w:tr>
                    <w:trPr>
                      <w:trHeight w:val="300" w:hRule="atLeast"/>
                    </w:trPr>
                    <w:tc>
                      <w:tcPr>
                        <w:tcW w:w="5881" w:type="dxa"/>
                        <w:gridSpan w:val="3"/>
                        <w:tcBorders>
                          <w:top w:val="single" w:sz="8" w:space="0" w:color="FFFFFF"/>
                          <w:bottom w:val="single" w:sz="8" w:space="0" w:color="FFFFFF"/>
                        </w:tcBorders>
                        <w:shd w:val="clear" w:color="auto" w:fill="FADD64"/>
                      </w:tcPr>
                      <w:p>
                        <w:pPr>
                          <w:pStyle w:val="TableParagraph"/>
                          <w:spacing w:line="277" w:lineRule="exact"/>
                          <w:rPr>
                            <w:sz w:val="26"/>
                          </w:rPr>
                        </w:pPr>
                        <w:r>
                          <w:rPr>
                            <w:sz w:val="26"/>
                          </w:rPr>
                          <w:t>terms that limited the nature of the loss to be</w:t>
                        </w:r>
                      </w:p>
                    </w:tc>
                  </w:tr>
                  <w:tr>
                    <w:trPr>
                      <w:trHeight w:val="300" w:hRule="atLeast"/>
                    </w:trPr>
                    <w:tc>
                      <w:tcPr>
                        <w:tcW w:w="5881" w:type="dxa"/>
                        <w:gridSpan w:val="3"/>
                        <w:tcBorders>
                          <w:top w:val="single" w:sz="8" w:space="0" w:color="FFFFFF"/>
                          <w:bottom w:val="single" w:sz="8" w:space="0" w:color="FFFFFF"/>
                        </w:tcBorders>
                        <w:shd w:val="clear" w:color="auto" w:fill="FADD64"/>
                      </w:tcPr>
                      <w:p>
                        <w:pPr>
                          <w:pStyle w:val="TableParagraph"/>
                          <w:spacing w:line="278" w:lineRule="exact"/>
                          <w:rPr>
                            <w:sz w:val="26"/>
                          </w:rPr>
                        </w:pPr>
                        <w:r>
                          <w:rPr>
                            <w:sz w:val="26"/>
                          </w:rPr>
                          <w:t>appraised to the cost of excavations, value of</w:t>
                        </w:r>
                      </w:p>
                    </w:tc>
                  </w:tr>
                  <w:tr>
                    <w:trPr>
                      <w:trHeight w:val="300" w:hRule="atLeast"/>
                    </w:trPr>
                    <w:tc>
                      <w:tcPr>
                        <w:tcW w:w="5881" w:type="dxa"/>
                        <w:gridSpan w:val="3"/>
                        <w:tcBorders>
                          <w:top w:val="single" w:sz="8" w:space="0" w:color="FFFFFF"/>
                          <w:bottom w:val="single" w:sz="8" w:space="0" w:color="FFFFFF"/>
                        </w:tcBorders>
                        <w:shd w:val="clear" w:color="auto" w:fill="FADD64"/>
                      </w:tcPr>
                      <w:p>
                        <w:pPr>
                          <w:pStyle w:val="TableParagraph"/>
                          <w:spacing w:line="279" w:lineRule="exact"/>
                          <w:rPr>
                            <w:sz w:val="26"/>
                          </w:rPr>
                        </w:pPr>
                        <w:r>
                          <w:rPr>
                            <w:sz w:val="26"/>
                          </w:rPr>
                          <w:t>walls,</w:t>
                        </w:r>
                        <w:r>
                          <w:rPr>
                            <w:spacing w:val="55"/>
                            <w:sz w:val="26"/>
                          </w:rPr>
                          <w:t> </w:t>
                        </w:r>
                        <w:r>
                          <w:rPr>
                            <w:sz w:val="26"/>
                          </w:rPr>
                          <w:t>materials</w:t>
                        </w:r>
                        <w:r>
                          <w:rPr>
                            <w:spacing w:val="56"/>
                            <w:sz w:val="26"/>
                          </w:rPr>
                          <w:t> </w:t>
                        </w:r>
                        <w:r>
                          <w:rPr>
                            <w:sz w:val="26"/>
                          </w:rPr>
                          <w:t>or</w:t>
                        </w:r>
                        <w:r>
                          <w:rPr>
                            <w:spacing w:val="55"/>
                            <w:sz w:val="26"/>
                          </w:rPr>
                          <w:t> </w:t>
                        </w:r>
                        <w:r>
                          <w:rPr>
                            <w:sz w:val="26"/>
                          </w:rPr>
                          <w:t>any</w:t>
                        </w:r>
                        <w:r>
                          <w:rPr>
                            <w:spacing w:val="54"/>
                            <w:sz w:val="26"/>
                          </w:rPr>
                          <w:t> </w:t>
                        </w:r>
                        <w:r>
                          <w:rPr>
                            <w:sz w:val="26"/>
                          </w:rPr>
                          <w:t>portion</w:t>
                        </w:r>
                        <w:r>
                          <w:rPr>
                            <w:spacing w:val="55"/>
                            <w:sz w:val="26"/>
                          </w:rPr>
                          <w:t> </w:t>
                        </w:r>
                        <w:r>
                          <w:rPr>
                            <w:sz w:val="26"/>
                          </w:rPr>
                          <w:t>saved</w:t>
                        </w:r>
                        <w:r>
                          <w:rPr>
                            <w:spacing w:val="55"/>
                            <w:sz w:val="26"/>
                          </w:rPr>
                          <w:t> </w:t>
                        </w:r>
                        <w:r>
                          <w:rPr>
                            <w:sz w:val="26"/>
                          </w:rPr>
                          <w:t>of</w:t>
                        </w:r>
                        <w:r>
                          <w:rPr>
                            <w:spacing w:val="54"/>
                            <w:sz w:val="26"/>
                          </w:rPr>
                          <w:t> </w:t>
                        </w:r>
                        <w:r>
                          <w:rPr>
                            <w:sz w:val="26"/>
                          </w:rPr>
                          <w:t>the</w:t>
                        </w:r>
                      </w:p>
                    </w:tc>
                  </w:tr>
                  <w:tr>
                    <w:trPr>
                      <w:trHeight w:val="300" w:hRule="atLeast"/>
                    </w:trPr>
                    <w:tc>
                      <w:tcPr>
                        <w:tcW w:w="5881" w:type="dxa"/>
                        <w:gridSpan w:val="3"/>
                        <w:tcBorders>
                          <w:top w:val="single" w:sz="8" w:space="0" w:color="FFFFFF"/>
                          <w:bottom w:val="single" w:sz="8" w:space="0" w:color="FFFFFF"/>
                        </w:tcBorders>
                        <w:shd w:val="clear" w:color="auto" w:fill="FADD64"/>
                      </w:tcPr>
                      <w:p>
                        <w:pPr>
                          <w:pStyle w:val="TableParagraph"/>
                          <w:spacing w:line="280" w:lineRule="exact"/>
                          <w:rPr>
                            <w:sz w:val="26"/>
                          </w:rPr>
                        </w:pPr>
                        <w:r>
                          <w:rPr>
                            <w:sz w:val="26"/>
                          </w:rPr>
                          <w:t>building insured, depreciation on account of</w:t>
                        </w:r>
                      </w:p>
                    </w:tc>
                  </w:tr>
                  <w:tr>
                    <w:trPr>
                      <w:trHeight w:val="300" w:hRule="atLeast"/>
                    </w:trPr>
                    <w:tc>
                      <w:tcPr>
                        <w:tcW w:w="5881" w:type="dxa"/>
                        <w:gridSpan w:val="3"/>
                        <w:tcBorders>
                          <w:top w:val="single" w:sz="8" w:space="0" w:color="FFFFFF"/>
                          <w:bottom w:val="single" w:sz="12" w:space="0" w:color="FFFFFF"/>
                        </w:tcBorders>
                        <w:shd w:val="clear" w:color="auto" w:fill="FADD64"/>
                      </w:tcPr>
                      <w:p>
                        <w:pPr>
                          <w:pStyle w:val="TableParagraph"/>
                          <w:spacing w:line="280" w:lineRule="exact"/>
                          <w:rPr>
                            <w:sz w:val="26"/>
                          </w:rPr>
                        </w:pPr>
                        <w:r>
                          <w:rPr>
                            <w:sz w:val="26"/>
                          </w:rPr>
                          <w:t>age, use, neglect and location, the insured</w:t>
                        </w:r>
                      </w:p>
                    </w:tc>
                  </w:tr>
                  <w:tr>
                    <w:trPr>
                      <w:trHeight w:val="290" w:hRule="atLeast"/>
                    </w:trPr>
                    <w:tc>
                      <w:tcPr>
                        <w:tcW w:w="5881" w:type="dxa"/>
                        <w:gridSpan w:val="3"/>
                        <w:tcBorders>
                          <w:top w:val="single" w:sz="12" w:space="0" w:color="FFFFFF"/>
                          <w:bottom w:val="single" w:sz="12" w:space="0" w:color="FFFFFF"/>
                        </w:tcBorders>
                        <w:shd w:val="clear" w:color="auto" w:fill="FADD64"/>
                      </w:tcPr>
                      <w:p>
                        <w:pPr>
                          <w:pStyle w:val="TableParagraph"/>
                          <w:rPr>
                            <w:sz w:val="26"/>
                          </w:rPr>
                        </w:pPr>
                        <w:r>
                          <w:rPr>
                            <w:sz w:val="26"/>
                          </w:rPr>
                          <w:t>was held to have the right to</w:t>
                        </w:r>
                        <w:r>
                          <w:rPr>
                            <w:spacing w:val="66"/>
                            <w:sz w:val="26"/>
                          </w:rPr>
                          <w:t> </w:t>
                        </w:r>
                        <w:r>
                          <w:rPr>
                            <w:sz w:val="26"/>
                          </w:rPr>
                          <w:t>immediately</w:t>
                        </w:r>
                      </w:p>
                    </w:tc>
                  </w:tr>
                  <w:tr>
                    <w:trPr>
                      <w:trHeight w:val="291" w:hRule="atLeast"/>
                    </w:trPr>
                    <w:tc>
                      <w:tcPr>
                        <w:tcW w:w="2895" w:type="dxa"/>
                        <w:gridSpan w:val="2"/>
                        <w:tcBorders>
                          <w:top w:val="single" w:sz="12" w:space="0" w:color="FFFFFF"/>
                        </w:tcBorders>
                        <w:shd w:val="clear" w:color="auto" w:fill="FADD64"/>
                      </w:tcPr>
                      <w:p>
                        <w:pPr>
                          <w:pStyle w:val="TableParagraph"/>
                          <w:spacing w:line="272" w:lineRule="exact"/>
                          <w:rPr>
                            <w:sz w:val="26"/>
                          </w:rPr>
                        </w:pPr>
                        <w:r>
                          <w:rPr>
                            <w:sz w:val="26"/>
                          </w:rPr>
                          <w:t>commence litigation.</w:t>
                        </w:r>
                      </w:p>
                    </w:tc>
                    <w:tc>
                      <w:tcPr>
                        <w:tcW w:w="2986" w:type="dxa"/>
                        <w:tcBorders>
                          <w:top w:val="single" w:sz="12" w:space="0" w:color="FFFFFF"/>
                        </w:tcBorders>
                      </w:tcPr>
                      <w:p>
                        <w:pPr>
                          <w:pStyle w:val="TableParagraph"/>
                          <w:spacing w:line="240" w:lineRule="auto"/>
                          <w:ind w:left="0"/>
                          <w:rPr>
                            <w:rFonts w:ascii="Times New Roman"/>
                            <w:sz w:val="20"/>
                          </w:rPr>
                        </w:pPr>
                      </w:p>
                    </w:tc>
                  </w:tr>
                </w:tbl>
                <w:p>
                  <w:pPr>
                    <w:pStyle w:val="BodyText"/>
                  </w:pPr>
                </w:p>
              </w:txbxContent>
            </v:textbox>
            <w10:wrap type="none"/>
          </v:shape>
        </w:pict>
      </w:r>
      <w:bookmarkStart w:name="Law and Procedure 98" w:id="6"/>
      <w:bookmarkEnd w:id="6"/>
      <w:r>
        <w:rPr/>
      </w:r>
      <w:r>
        <w:rPr>
          <w:spacing w:val="6"/>
        </w:rPr>
        <w:t>It</w:t>
      </w:r>
      <w:r>
        <w:rPr>
          <w:spacing w:val="83"/>
        </w:rPr>
        <w:t> </w:t>
      </w:r>
      <w:r>
        <w:rPr>
          <w:spacing w:val="4"/>
        </w:rPr>
        <w:t>has </w:t>
      </w:r>
      <w:r>
        <w:rPr>
          <w:spacing w:val="5"/>
        </w:rPr>
        <w:t>been held </w:t>
      </w:r>
      <w:r>
        <w:rPr>
          <w:spacing w:val="4"/>
        </w:rPr>
        <w:t>that </w:t>
      </w:r>
      <w:r>
        <w:rPr>
          <w:spacing w:val="6"/>
        </w:rPr>
        <w:t>appraisers </w:t>
      </w:r>
      <w:r>
        <w:rPr/>
        <w:t>exceeded their authority by resolving such issues as the number and amount </w:t>
      </w:r>
      <w:r>
        <w:rPr>
          <w:spacing w:val="-7"/>
        </w:rPr>
        <w:t>of </w:t>
      </w:r>
      <w:r>
        <w:rPr/>
        <w:t>deductibles where this was in dispute or by including an award for interest.</w:t>
      </w:r>
      <w:r>
        <w:rPr>
          <w:vertAlign w:val="superscript"/>
        </w:rPr>
        <w:t>123</w:t>
      </w:r>
    </w:p>
    <w:p>
      <w:pPr>
        <w:pStyle w:val="BodyText"/>
        <w:spacing w:before="5" w:after="1"/>
        <w:rPr>
          <w:sz w:val="29"/>
        </w:rPr>
      </w:pPr>
    </w:p>
    <w:tbl>
      <w:tblPr>
        <w:tblW w:w="0" w:type="auto"/>
        <w:jc w:val="left"/>
        <w:tblInd w:w="1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7"/>
        <w:gridCol w:w="4366"/>
        <w:gridCol w:w="774"/>
      </w:tblGrid>
      <w:tr>
        <w:trPr>
          <w:trHeight w:val="301" w:hRule="atLeast"/>
        </w:trPr>
        <w:tc>
          <w:tcPr>
            <w:tcW w:w="717" w:type="dxa"/>
            <w:tcBorders>
              <w:bottom w:val="single" w:sz="8" w:space="0" w:color="FFFFFF"/>
            </w:tcBorders>
          </w:tcPr>
          <w:p>
            <w:pPr>
              <w:pStyle w:val="TableParagraph"/>
              <w:spacing w:line="240" w:lineRule="auto"/>
              <w:ind w:left="0"/>
              <w:rPr>
                <w:rFonts w:ascii="Times New Roman"/>
                <w:sz w:val="22"/>
              </w:rPr>
            </w:pPr>
          </w:p>
        </w:tc>
        <w:tc>
          <w:tcPr>
            <w:tcW w:w="5140" w:type="dxa"/>
            <w:gridSpan w:val="2"/>
            <w:tcBorders>
              <w:bottom w:val="single" w:sz="8" w:space="0" w:color="FFFFFF"/>
            </w:tcBorders>
            <w:shd w:val="clear" w:color="auto" w:fill="FADD64"/>
          </w:tcPr>
          <w:p>
            <w:pPr>
              <w:pStyle w:val="TableParagraph"/>
              <w:spacing w:line="277" w:lineRule="exact"/>
              <w:ind w:left="49"/>
              <w:rPr>
                <w:sz w:val="26"/>
              </w:rPr>
            </w:pPr>
            <w:r>
              <w:rPr>
                <w:spacing w:val="3"/>
                <w:sz w:val="26"/>
              </w:rPr>
              <w:t>It </w:t>
            </w:r>
            <w:r>
              <w:rPr>
                <w:sz w:val="26"/>
              </w:rPr>
              <w:t>has been held that</w:t>
            </w:r>
            <w:r>
              <w:rPr>
                <w:spacing w:val="-53"/>
                <w:sz w:val="26"/>
              </w:rPr>
              <w:t> </w:t>
            </w:r>
            <w:r>
              <w:rPr>
                <w:sz w:val="26"/>
              </w:rPr>
              <w:t>an appraisal panel</w:t>
            </w:r>
          </w:p>
        </w:tc>
      </w:tr>
      <w:tr>
        <w:trPr>
          <w:trHeight w:val="300" w:hRule="atLeast"/>
        </w:trPr>
        <w:tc>
          <w:tcPr>
            <w:tcW w:w="5857" w:type="dxa"/>
            <w:gridSpan w:val="3"/>
            <w:tcBorders>
              <w:top w:val="single" w:sz="8" w:space="0" w:color="FFFFFF"/>
              <w:bottom w:val="single" w:sz="8" w:space="0" w:color="FFFFFF"/>
            </w:tcBorders>
            <w:shd w:val="clear" w:color="auto" w:fill="FADD64"/>
          </w:tcPr>
          <w:p>
            <w:pPr>
              <w:pStyle w:val="TableParagraph"/>
              <w:spacing w:line="277" w:lineRule="exact"/>
              <w:ind w:left="46"/>
              <w:rPr>
                <w:sz w:val="26"/>
              </w:rPr>
            </w:pPr>
            <w:r>
              <w:rPr>
                <w:sz w:val="26"/>
              </w:rPr>
              <w:t>was</w:t>
            </w:r>
            <w:r>
              <w:rPr>
                <w:spacing w:val="-13"/>
                <w:sz w:val="26"/>
              </w:rPr>
              <w:t> </w:t>
            </w:r>
            <w:r>
              <w:rPr>
                <w:sz w:val="26"/>
              </w:rPr>
              <w:t>authorized</w:t>
            </w:r>
            <w:r>
              <w:rPr>
                <w:spacing w:val="-13"/>
                <w:sz w:val="26"/>
              </w:rPr>
              <w:t> </w:t>
            </w:r>
            <w:r>
              <w:rPr>
                <w:sz w:val="26"/>
              </w:rPr>
              <w:t>to</w:t>
            </w:r>
            <w:r>
              <w:rPr>
                <w:spacing w:val="-11"/>
                <w:sz w:val="26"/>
              </w:rPr>
              <w:t> </w:t>
            </w:r>
            <w:r>
              <w:rPr>
                <w:sz w:val="26"/>
              </w:rPr>
              <w:t>direct</w:t>
            </w:r>
            <w:r>
              <w:rPr>
                <w:spacing w:val="-14"/>
                <w:sz w:val="26"/>
              </w:rPr>
              <w:t> </w:t>
            </w:r>
            <w:r>
              <w:rPr>
                <w:sz w:val="26"/>
              </w:rPr>
              <w:t>payment</w:t>
            </w:r>
            <w:r>
              <w:rPr>
                <w:spacing w:val="-14"/>
                <w:sz w:val="26"/>
              </w:rPr>
              <w:t> </w:t>
            </w:r>
            <w:r>
              <w:rPr>
                <w:sz w:val="26"/>
              </w:rPr>
              <w:t>for</w:t>
            </w:r>
            <w:r>
              <w:rPr>
                <w:spacing w:val="-11"/>
                <w:sz w:val="26"/>
              </w:rPr>
              <w:t> </w:t>
            </w:r>
            <w:r>
              <w:rPr>
                <w:sz w:val="26"/>
              </w:rPr>
              <w:t>personal</w:t>
            </w:r>
          </w:p>
        </w:tc>
      </w:tr>
      <w:tr>
        <w:trPr>
          <w:trHeight w:val="300" w:hRule="atLeast"/>
        </w:trPr>
        <w:tc>
          <w:tcPr>
            <w:tcW w:w="5857" w:type="dxa"/>
            <w:gridSpan w:val="3"/>
            <w:tcBorders>
              <w:top w:val="single" w:sz="8" w:space="0" w:color="FFFFFF"/>
              <w:bottom w:val="single" w:sz="8" w:space="0" w:color="FFFFFF"/>
            </w:tcBorders>
            <w:shd w:val="clear" w:color="auto" w:fill="FADD64"/>
          </w:tcPr>
          <w:p>
            <w:pPr>
              <w:pStyle w:val="TableParagraph"/>
              <w:spacing w:line="278" w:lineRule="exact"/>
              <w:ind w:left="46"/>
              <w:rPr>
                <w:sz w:val="26"/>
              </w:rPr>
            </w:pPr>
            <w:r>
              <w:rPr>
                <w:sz w:val="26"/>
              </w:rPr>
              <w:t>relocation expenses upon their finding</w:t>
            </w:r>
            <w:r>
              <w:rPr>
                <w:spacing w:val="69"/>
                <w:sz w:val="26"/>
              </w:rPr>
              <w:t> </w:t>
            </w:r>
            <w:r>
              <w:rPr>
                <w:sz w:val="26"/>
              </w:rPr>
              <w:t>that</w:t>
            </w:r>
          </w:p>
        </w:tc>
      </w:tr>
      <w:tr>
        <w:trPr>
          <w:trHeight w:val="300" w:hRule="atLeast"/>
        </w:trPr>
        <w:tc>
          <w:tcPr>
            <w:tcW w:w="5857" w:type="dxa"/>
            <w:gridSpan w:val="3"/>
            <w:tcBorders>
              <w:top w:val="single" w:sz="8" w:space="0" w:color="FFFFFF"/>
              <w:bottom w:val="single" w:sz="8" w:space="0" w:color="FFFFFF"/>
            </w:tcBorders>
            <w:shd w:val="clear" w:color="auto" w:fill="FADD64"/>
          </w:tcPr>
          <w:p>
            <w:pPr>
              <w:pStyle w:val="TableParagraph"/>
              <w:spacing w:line="279" w:lineRule="exact"/>
              <w:ind w:left="46"/>
              <w:rPr>
                <w:sz w:val="26"/>
              </w:rPr>
            </w:pPr>
            <w:r>
              <w:rPr>
                <w:sz w:val="26"/>
              </w:rPr>
              <w:t>those</w:t>
            </w:r>
            <w:r>
              <w:rPr>
                <w:spacing w:val="-36"/>
                <w:sz w:val="26"/>
              </w:rPr>
              <w:t> </w:t>
            </w:r>
            <w:r>
              <w:rPr>
                <w:sz w:val="26"/>
              </w:rPr>
              <w:t>expenses</w:t>
            </w:r>
            <w:r>
              <w:rPr>
                <w:spacing w:val="-35"/>
                <w:sz w:val="26"/>
              </w:rPr>
              <w:t> </w:t>
            </w:r>
            <w:r>
              <w:rPr>
                <w:sz w:val="26"/>
              </w:rPr>
              <w:t>were</w:t>
            </w:r>
            <w:r>
              <w:rPr>
                <w:spacing w:val="-36"/>
                <w:sz w:val="26"/>
              </w:rPr>
              <w:t> </w:t>
            </w:r>
            <w:r>
              <w:rPr>
                <w:sz w:val="26"/>
              </w:rPr>
              <w:t>the</w:t>
            </w:r>
            <w:r>
              <w:rPr>
                <w:spacing w:val="-36"/>
                <w:sz w:val="26"/>
              </w:rPr>
              <w:t> </w:t>
            </w:r>
            <w:r>
              <w:rPr>
                <w:sz w:val="26"/>
              </w:rPr>
              <w:t>“necessary</w:t>
            </w:r>
            <w:r>
              <w:rPr>
                <w:spacing w:val="-39"/>
                <w:sz w:val="26"/>
              </w:rPr>
              <w:t> </w:t>
            </w:r>
            <w:r>
              <w:rPr>
                <w:sz w:val="26"/>
              </w:rPr>
              <w:t>and</w:t>
            </w:r>
            <w:r>
              <w:rPr>
                <w:spacing w:val="-36"/>
                <w:sz w:val="26"/>
              </w:rPr>
              <w:t> </w:t>
            </w:r>
            <w:r>
              <w:rPr>
                <w:sz w:val="26"/>
              </w:rPr>
              <w:t>direct</w:t>
            </w:r>
          </w:p>
        </w:tc>
      </w:tr>
      <w:tr>
        <w:trPr>
          <w:trHeight w:val="301" w:hRule="atLeast"/>
        </w:trPr>
        <w:tc>
          <w:tcPr>
            <w:tcW w:w="5083" w:type="dxa"/>
            <w:gridSpan w:val="2"/>
            <w:tcBorders>
              <w:top w:val="single" w:sz="8" w:space="0" w:color="FFFFFF"/>
            </w:tcBorders>
            <w:shd w:val="clear" w:color="auto" w:fill="FADD64"/>
          </w:tcPr>
          <w:p>
            <w:pPr>
              <w:pStyle w:val="TableParagraph"/>
              <w:spacing w:line="280" w:lineRule="exact"/>
              <w:ind w:left="46" w:right="-29"/>
              <w:rPr>
                <w:sz w:val="26"/>
              </w:rPr>
            </w:pPr>
            <w:r>
              <w:rPr>
                <w:sz w:val="26"/>
              </w:rPr>
              <w:t>result” of the covered portion of the</w:t>
            </w:r>
            <w:r>
              <w:rPr>
                <w:spacing w:val="-27"/>
                <w:sz w:val="26"/>
              </w:rPr>
              <w:t> </w:t>
            </w:r>
            <w:r>
              <w:rPr>
                <w:sz w:val="26"/>
              </w:rPr>
              <w:t>loss.</w:t>
            </w:r>
          </w:p>
        </w:tc>
        <w:tc>
          <w:tcPr>
            <w:tcW w:w="774" w:type="dxa"/>
            <w:tcBorders>
              <w:top w:val="single" w:sz="8" w:space="0" w:color="FFFFFF"/>
            </w:tcBorders>
          </w:tcPr>
          <w:p>
            <w:pPr>
              <w:pStyle w:val="TableParagraph"/>
              <w:spacing w:line="145" w:lineRule="exact"/>
              <w:ind w:left="24"/>
              <w:rPr>
                <w:sz w:val="16"/>
              </w:rPr>
            </w:pPr>
            <w:r>
              <w:rPr>
                <w:sz w:val="16"/>
              </w:rPr>
              <w:t>124</w:t>
            </w:r>
          </w:p>
        </w:tc>
      </w:tr>
    </w:tbl>
    <w:p>
      <w:pPr>
        <w:pStyle w:val="BodyText"/>
        <w:rPr>
          <w:sz w:val="20"/>
        </w:rPr>
      </w:pPr>
    </w:p>
    <w:p>
      <w:pPr>
        <w:pStyle w:val="BodyText"/>
        <w:spacing w:before="11"/>
        <w:rPr>
          <w:sz w:val="24"/>
        </w:rPr>
      </w:pPr>
      <w:r>
        <w:rPr/>
        <w:pict>
          <v:shape style="position:absolute;margin-left:198.058258pt;margin-top:17.717468pt;width:251.85pt;height:.1pt;mso-position-horizontal-relative:page;mso-position-vertical-relative:paragraph;z-index:-251629568;mso-wrap-distance-left:0;mso-wrap-distance-right:0" coordorigin="3961,354" coordsize="5037,0" path="m3961,354l8998,354e" filled="false" stroked="true" strokeweight=".91366pt" strokecolor="#008a01">
            <v:path arrowok="t"/>
            <v:stroke dashstyle="solid"/>
            <w10:wrap type="topAndBottom"/>
          </v:shape>
        </w:pict>
      </w:r>
      <w:r>
        <w:rPr/>
        <w:pict>
          <v:shape style="position:absolute;margin-left:162.219147pt;margin-top:33.750732pt;width:287.7pt;height:.1pt;mso-position-horizontal-relative:page;mso-position-vertical-relative:paragraph;z-index:-251628544;mso-wrap-distance-left:0;mso-wrap-distance-right:0" coordorigin="3244,675" coordsize="5754,0" path="m3244,675l8998,675e" filled="false" stroked="true" strokeweight=".913662pt" strokecolor="#008a01">
            <v:path arrowok="t"/>
            <v:stroke dashstyle="solid"/>
            <w10:wrap type="topAndBottom"/>
          </v:shape>
        </w:pict>
      </w:r>
      <w:r>
        <w:rPr/>
        <w:pict>
          <v:shape style="position:absolute;margin-left:162.219147pt;margin-top:49.784027pt;width:291.45pt;height:.1pt;mso-position-horizontal-relative:page;mso-position-vertical-relative:paragraph;z-index:-251627520;mso-wrap-distance-left:0;mso-wrap-distance-right:0" coordorigin="3244,996" coordsize="5829,0" path="m3244,996l9073,996e" filled="false" stroked="true" strokeweight=".913662pt" strokecolor="#008a01">
            <v:path arrowok="t"/>
            <v:stroke dashstyle="solid"/>
            <w10:wrap type="topAndBottom"/>
          </v:shape>
        </w:pict>
      </w:r>
    </w:p>
    <w:p>
      <w:pPr>
        <w:pStyle w:val="BodyText"/>
        <w:spacing w:before="11"/>
        <w:rPr>
          <w:sz w:val="18"/>
        </w:rPr>
      </w:pPr>
    </w:p>
    <w:p>
      <w:pPr>
        <w:pStyle w:val="BodyText"/>
        <w:spacing w:before="11"/>
        <w:rPr>
          <w:sz w:val="1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2"/>
        <w:rPr>
          <w:sz w:val="40"/>
        </w:rPr>
      </w:pPr>
    </w:p>
    <w:p>
      <w:pPr>
        <w:pStyle w:val="BodyText"/>
        <w:spacing w:line="242" w:lineRule="auto"/>
        <w:ind w:left="1520" w:right="1519" w:firstLine="2797"/>
        <w:jc w:val="both"/>
      </w:pPr>
      <w:r>
        <w:rPr>
          <w:spacing w:val="-3"/>
          <w:position w:val="11"/>
          <w:sz w:val="16"/>
        </w:rPr>
        <w:t>125 </w:t>
      </w:r>
      <w:r>
        <w:rPr/>
        <w:t>Thus, an effort to unduly</w:t>
      </w:r>
      <w:r>
        <w:rPr>
          <w:spacing w:val="-11"/>
        </w:rPr>
        <w:t> </w:t>
      </w:r>
      <w:r>
        <w:rPr/>
        <w:t>limit</w:t>
      </w:r>
      <w:r>
        <w:rPr>
          <w:spacing w:val="-15"/>
        </w:rPr>
        <w:t> </w:t>
      </w:r>
      <w:r>
        <w:rPr/>
        <w:t>the</w:t>
      </w:r>
      <w:r>
        <w:rPr>
          <w:spacing w:val="-15"/>
        </w:rPr>
        <w:t> </w:t>
      </w:r>
      <w:r>
        <w:rPr/>
        <w:t>scope</w:t>
      </w:r>
      <w:r>
        <w:rPr>
          <w:spacing w:val="-12"/>
        </w:rPr>
        <w:t> </w:t>
      </w:r>
      <w:r>
        <w:rPr/>
        <w:t>of</w:t>
      </w:r>
      <w:r>
        <w:rPr>
          <w:spacing w:val="-14"/>
        </w:rPr>
        <w:t> </w:t>
      </w:r>
      <w:r>
        <w:rPr/>
        <w:t>the</w:t>
      </w:r>
      <w:r>
        <w:rPr>
          <w:spacing w:val="-15"/>
        </w:rPr>
        <w:t> </w:t>
      </w:r>
      <w:r>
        <w:rPr/>
        <w:t>appraisal</w:t>
      </w:r>
      <w:r>
        <w:rPr>
          <w:spacing w:val="-10"/>
        </w:rPr>
        <w:t> </w:t>
      </w:r>
      <w:r>
        <w:rPr/>
        <w:t>process or to mandate the form of the award in some manner</w:t>
      </w:r>
      <w:r>
        <w:rPr>
          <w:spacing w:val="23"/>
        </w:rPr>
        <w:t> </w:t>
      </w:r>
      <w:r>
        <w:rPr/>
        <w:t>different</w:t>
      </w:r>
      <w:r>
        <w:rPr>
          <w:spacing w:val="22"/>
        </w:rPr>
        <w:t> </w:t>
      </w:r>
      <w:r>
        <w:rPr/>
        <w:t>than</w:t>
      </w:r>
      <w:r>
        <w:rPr>
          <w:spacing w:val="25"/>
        </w:rPr>
        <w:t> </w:t>
      </w:r>
      <w:r>
        <w:rPr/>
        <w:t>required</w:t>
      </w:r>
      <w:r>
        <w:rPr>
          <w:spacing w:val="24"/>
        </w:rPr>
        <w:t> </w:t>
      </w:r>
      <w:r>
        <w:rPr/>
        <w:t>by</w:t>
      </w:r>
      <w:r>
        <w:rPr>
          <w:spacing w:val="21"/>
        </w:rPr>
        <w:t> </w:t>
      </w:r>
      <w:r>
        <w:rPr/>
        <w:t>the</w:t>
      </w:r>
      <w:r>
        <w:rPr>
          <w:spacing w:val="25"/>
        </w:rPr>
        <w:t> </w:t>
      </w:r>
      <w:r>
        <w:rPr/>
        <w:t>policy</w:t>
      </w:r>
    </w:p>
    <w:p>
      <w:pPr>
        <w:pStyle w:val="BodyText"/>
        <w:spacing w:before="10"/>
        <w:rPr>
          <w:sz w:val="19"/>
        </w:rPr>
      </w:pPr>
      <w:r>
        <w:rPr/>
        <w:pict>
          <v:shape style="position:absolute;margin-left:162pt;margin-top:14.588502pt;width:143.9pt;height:.1pt;mso-position-horizontal-relative:page;mso-position-vertical-relative:paragraph;z-index:-251626496;mso-wrap-distance-left:0;mso-wrap-distance-right:0" coordorigin="3240,292" coordsize="2878,0" path="m3240,292l6118,292e" filled="false" stroked="true" strokeweight=".84pt" strokecolor="#000000">
            <v:path arrowok="t"/>
            <v:stroke dashstyle="solid"/>
            <w10:wrap type="topAndBottom"/>
          </v:shape>
        </w:pict>
      </w:r>
    </w:p>
    <w:p>
      <w:pPr>
        <w:pStyle w:val="ListParagraph"/>
        <w:numPr>
          <w:ilvl w:val="0"/>
          <w:numId w:val="4"/>
        </w:numPr>
        <w:tabs>
          <w:tab w:pos="1423" w:val="left" w:leader="none"/>
        </w:tabs>
        <w:spacing w:line="240" w:lineRule="auto" w:before="140" w:after="0"/>
        <w:ind w:left="1422" w:right="5" w:hanging="1423"/>
        <w:jc w:val="left"/>
        <w:rPr>
          <w:sz w:val="18"/>
        </w:rPr>
      </w:pPr>
      <w:r>
        <w:rPr>
          <w:sz w:val="18"/>
          <w:u w:val="single"/>
        </w:rPr>
        <w:t>Hanson</w:t>
      </w:r>
      <w:r>
        <w:rPr>
          <w:spacing w:val="3"/>
          <w:sz w:val="18"/>
          <w:u w:val="single"/>
        </w:rPr>
        <w:t> </w:t>
      </w:r>
      <w:r>
        <w:rPr>
          <w:sz w:val="18"/>
          <w:u w:val="single"/>
        </w:rPr>
        <w:t>v.</w:t>
      </w:r>
      <w:r>
        <w:rPr>
          <w:spacing w:val="3"/>
          <w:sz w:val="18"/>
          <w:u w:val="single"/>
        </w:rPr>
        <w:t> </w:t>
      </w:r>
      <w:r>
        <w:rPr>
          <w:sz w:val="18"/>
          <w:u w:val="single"/>
        </w:rPr>
        <w:t>Commercial</w:t>
      </w:r>
      <w:r>
        <w:rPr>
          <w:spacing w:val="1"/>
          <w:sz w:val="18"/>
          <w:u w:val="single"/>
        </w:rPr>
        <w:t> </w:t>
      </w:r>
      <w:r>
        <w:rPr>
          <w:sz w:val="18"/>
          <w:u w:val="single"/>
        </w:rPr>
        <w:t>Union</w:t>
      </w:r>
      <w:r>
        <w:rPr>
          <w:spacing w:val="5"/>
          <w:sz w:val="18"/>
          <w:u w:val="single"/>
        </w:rPr>
        <w:t> </w:t>
      </w:r>
      <w:r>
        <w:rPr>
          <w:sz w:val="18"/>
          <w:u w:val="single"/>
        </w:rPr>
        <w:t>Ins.</w:t>
      </w:r>
      <w:r>
        <w:rPr>
          <w:spacing w:val="3"/>
          <w:sz w:val="18"/>
          <w:u w:val="single"/>
        </w:rPr>
        <w:t> </w:t>
      </w:r>
      <w:r>
        <w:rPr>
          <w:sz w:val="18"/>
          <w:u w:val="single"/>
        </w:rPr>
        <w:t>Co.</w:t>
      </w:r>
      <w:r>
        <w:rPr>
          <w:sz w:val="18"/>
        </w:rPr>
        <w:t>,</w:t>
      </w:r>
      <w:r>
        <w:rPr>
          <w:spacing w:val="4"/>
          <w:sz w:val="18"/>
        </w:rPr>
        <w:t> </w:t>
      </w:r>
      <w:r>
        <w:rPr>
          <w:sz w:val="18"/>
        </w:rPr>
        <w:t>150</w:t>
      </w:r>
      <w:r>
        <w:rPr>
          <w:spacing w:val="6"/>
          <w:sz w:val="18"/>
        </w:rPr>
        <w:t> </w:t>
      </w:r>
      <w:r>
        <w:rPr>
          <w:sz w:val="18"/>
        </w:rPr>
        <w:t>Ariz.</w:t>
      </w:r>
      <w:r>
        <w:rPr>
          <w:spacing w:val="8"/>
          <w:sz w:val="18"/>
        </w:rPr>
        <w:t> </w:t>
      </w:r>
      <w:r>
        <w:rPr>
          <w:spacing w:val="2"/>
          <w:sz w:val="18"/>
        </w:rPr>
        <w:t>283,</w:t>
      </w:r>
      <w:r>
        <w:rPr>
          <w:spacing w:val="8"/>
          <w:sz w:val="18"/>
        </w:rPr>
        <w:t> </w:t>
      </w:r>
      <w:r>
        <w:rPr>
          <w:sz w:val="18"/>
        </w:rPr>
        <w:t>723</w:t>
      </w:r>
      <w:r>
        <w:rPr>
          <w:spacing w:val="4"/>
          <w:sz w:val="18"/>
        </w:rPr>
        <w:t> </w:t>
      </w:r>
      <w:r>
        <w:rPr>
          <w:sz w:val="18"/>
        </w:rPr>
        <w:t>P.2d</w:t>
      </w:r>
      <w:r>
        <w:rPr>
          <w:spacing w:val="4"/>
          <w:sz w:val="18"/>
        </w:rPr>
        <w:t> </w:t>
      </w:r>
      <w:r>
        <w:rPr>
          <w:sz w:val="18"/>
        </w:rPr>
        <w:t>101</w:t>
      </w:r>
      <w:r>
        <w:rPr>
          <w:spacing w:val="4"/>
          <w:sz w:val="18"/>
        </w:rPr>
        <w:t> </w:t>
      </w:r>
      <w:r>
        <w:rPr>
          <w:sz w:val="18"/>
        </w:rPr>
        <w:t>(Ct.</w:t>
      </w:r>
      <w:r>
        <w:rPr>
          <w:spacing w:val="3"/>
          <w:sz w:val="18"/>
        </w:rPr>
        <w:t> </w:t>
      </w:r>
      <w:r>
        <w:rPr>
          <w:sz w:val="18"/>
        </w:rPr>
        <w:t>App.</w:t>
      </w:r>
      <w:r>
        <w:rPr>
          <w:spacing w:val="3"/>
          <w:sz w:val="18"/>
        </w:rPr>
        <w:t> </w:t>
      </w:r>
      <w:r>
        <w:rPr>
          <w:sz w:val="18"/>
        </w:rPr>
        <w:t>Div.</w:t>
      </w:r>
      <w:r>
        <w:rPr>
          <w:spacing w:val="4"/>
          <w:sz w:val="18"/>
        </w:rPr>
        <w:t> </w:t>
      </w:r>
      <w:r>
        <w:rPr>
          <w:sz w:val="18"/>
        </w:rPr>
        <w:t>1</w:t>
      </w:r>
    </w:p>
    <w:p>
      <w:pPr>
        <w:spacing w:line="178" w:lineRule="exact" w:before="4"/>
        <w:ind w:left="1160" w:right="0" w:firstLine="0"/>
        <w:jc w:val="left"/>
        <w:rPr>
          <w:rFonts w:ascii="Times New Roman"/>
          <w:sz w:val="18"/>
        </w:rPr>
      </w:pPr>
      <w:r>
        <w:rPr>
          <w:rFonts w:ascii="Times New Roman"/>
          <w:sz w:val="18"/>
        </w:rPr>
        <w:t>1986).</w:t>
      </w:r>
    </w:p>
    <w:p>
      <w:pPr>
        <w:pStyle w:val="ListParagraph"/>
        <w:numPr>
          <w:ilvl w:val="0"/>
          <w:numId w:val="4"/>
        </w:numPr>
        <w:tabs>
          <w:tab w:pos="1416" w:val="left" w:leader="none"/>
        </w:tabs>
        <w:spacing w:line="240" w:lineRule="exact" w:before="0" w:after="0"/>
        <w:ind w:left="1415" w:right="3" w:hanging="1416"/>
        <w:jc w:val="left"/>
        <w:rPr>
          <w:sz w:val="18"/>
        </w:rPr>
      </w:pPr>
      <w:r>
        <w:rPr>
          <w:sz w:val="18"/>
          <w:u w:val="single"/>
        </w:rPr>
        <w:t>Three</w:t>
      </w:r>
      <w:r>
        <w:rPr>
          <w:spacing w:val="-6"/>
          <w:sz w:val="18"/>
          <w:u w:val="single"/>
        </w:rPr>
        <w:t> </w:t>
      </w:r>
      <w:r>
        <w:rPr>
          <w:sz w:val="18"/>
          <w:u w:val="single"/>
        </w:rPr>
        <w:t>Palms</w:t>
      </w:r>
      <w:r>
        <w:rPr>
          <w:spacing w:val="-3"/>
          <w:sz w:val="18"/>
          <w:u w:val="single"/>
        </w:rPr>
        <w:t> </w:t>
      </w:r>
      <w:r>
        <w:rPr>
          <w:sz w:val="18"/>
          <w:u w:val="single"/>
        </w:rPr>
        <w:t>Pointe,</w:t>
      </w:r>
      <w:r>
        <w:rPr>
          <w:spacing w:val="-2"/>
          <w:sz w:val="18"/>
          <w:u w:val="single"/>
        </w:rPr>
        <w:t> </w:t>
      </w:r>
      <w:r>
        <w:rPr>
          <w:sz w:val="18"/>
          <w:u w:val="single"/>
        </w:rPr>
        <w:t>Inc.</w:t>
      </w:r>
      <w:r>
        <w:rPr>
          <w:spacing w:val="-4"/>
          <w:sz w:val="18"/>
          <w:u w:val="single"/>
        </w:rPr>
        <w:t> </w:t>
      </w:r>
      <w:r>
        <w:rPr>
          <w:sz w:val="18"/>
          <w:u w:val="single"/>
        </w:rPr>
        <w:t>v.</w:t>
      </w:r>
      <w:r>
        <w:rPr>
          <w:spacing w:val="-4"/>
          <w:sz w:val="18"/>
          <w:u w:val="single"/>
        </w:rPr>
        <w:t> </w:t>
      </w:r>
      <w:r>
        <w:rPr>
          <w:sz w:val="18"/>
          <w:u w:val="single"/>
        </w:rPr>
        <w:t>State</w:t>
      </w:r>
      <w:r>
        <w:rPr>
          <w:spacing w:val="-5"/>
          <w:sz w:val="18"/>
          <w:u w:val="single"/>
        </w:rPr>
        <w:t> </w:t>
      </w:r>
      <w:r>
        <w:rPr>
          <w:sz w:val="18"/>
          <w:u w:val="single"/>
        </w:rPr>
        <w:t>Farm</w:t>
      </w:r>
      <w:r>
        <w:rPr>
          <w:spacing w:val="-8"/>
          <w:sz w:val="18"/>
          <w:u w:val="single"/>
        </w:rPr>
        <w:t> </w:t>
      </w:r>
      <w:r>
        <w:rPr>
          <w:sz w:val="18"/>
          <w:u w:val="single"/>
        </w:rPr>
        <w:t>Fire</w:t>
      </w:r>
      <w:r>
        <w:rPr>
          <w:spacing w:val="-3"/>
          <w:sz w:val="18"/>
          <w:u w:val="single"/>
        </w:rPr>
        <w:t> </w:t>
      </w:r>
      <w:r>
        <w:rPr>
          <w:sz w:val="18"/>
          <w:u w:val="single"/>
        </w:rPr>
        <w:t>&amp;</w:t>
      </w:r>
      <w:r>
        <w:rPr>
          <w:spacing w:val="-6"/>
          <w:sz w:val="18"/>
          <w:u w:val="single"/>
        </w:rPr>
        <w:t> </w:t>
      </w:r>
      <w:r>
        <w:rPr>
          <w:sz w:val="18"/>
          <w:u w:val="single"/>
        </w:rPr>
        <w:t>Cas.</w:t>
      </w:r>
      <w:r>
        <w:rPr>
          <w:spacing w:val="-5"/>
          <w:sz w:val="18"/>
          <w:u w:val="single"/>
        </w:rPr>
        <w:t> </w:t>
      </w:r>
      <w:r>
        <w:rPr>
          <w:sz w:val="18"/>
          <w:u w:val="single"/>
        </w:rPr>
        <w:t>Co.</w:t>
      </w:r>
      <w:r>
        <w:rPr>
          <w:sz w:val="18"/>
        </w:rPr>
        <w:t>,</w:t>
      </w:r>
      <w:r>
        <w:rPr>
          <w:spacing w:val="-3"/>
          <w:sz w:val="18"/>
        </w:rPr>
        <w:t> </w:t>
      </w:r>
      <w:r>
        <w:rPr>
          <w:sz w:val="18"/>
        </w:rPr>
        <w:t>250</w:t>
      </w:r>
      <w:r>
        <w:rPr>
          <w:spacing w:val="-2"/>
          <w:sz w:val="18"/>
        </w:rPr>
        <w:t> </w:t>
      </w:r>
      <w:r>
        <w:rPr>
          <w:sz w:val="18"/>
        </w:rPr>
        <w:t>F.Supp.2d</w:t>
      </w:r>
      <w:r>
        <w:rPr>
          <w:spacing w:val="-3"/>
          <w:sz w:val="18"/>
        </w:rPr>
        <w:t> </w:t>
      </w:r>
      <w:r>
        <w:rPr>
          <w:sz w:val="18"/>
        </w:rPr>
        <w:t>1357,</w:t>
      </w:r>
      <w:r>
        <w:rPr>
          <w:spacing w:val="-4"/>
          <w:sz w:val="18"/>
        </w:rPr>
        <w:t> </w:t>
      </w:r>
      <w:r>
        <w:rPr>
          <w:sz w:val="18"/>
        </w:rPr>
        <w:t>16</w:t>
      </w:r>
      <w:r>
        <w:rPr>
          <w:spacing w:val="-5"/>
          <w:sz w:val="18"/>
        </w:rPr>
        <w:t> </w:t>
      </w:r>
      <w:r>
        <w:rPr>
          <w:sz w:val="18"/>
        </w:rPr>
        <w:t>Fla.L.</w:t>
      </w:r>
    </w:p>
    <w:p>
      <w:pPr>
        <w:spacing w:line="244" w:lineRule="auto" w:before="5"/>
        <w:ind w:left="1160" w:right="1110" w:firstLine="0"/>
        <w:jc w:val="left"/>
        <w:rPr>
          <w:rFonts w:ascii="Times New Roman" w:hAnsi="Times New Roman"/>
          <w:sz w:val="18"/>
        </w:rPr>
      </w:pPr>
      <w:r>
        <w:rPr>
          <w:rFonts w:ascii="Times New Roman" w:hAnsi="Times New Roman"/>
          <w:sz w:val="18"/>
        </w:rPr>
        <w:t>Weekly Fed.D. 231 (M.D. Fla. 2003), </w:t>
      </w:r>
      <w:r>
        <w:rPr>
          <w:rFonts w:ascii="Times New Roman" w:hAnsi="Times New Roman"/>
          <w:i/>
          <w:sz w:val="18"/>
        </w:rPr>
        <w:t>aff’d</w:t>
      </w:r>
      <w:r>
        <w:rPr>
          <w:rFonts w:ascii="Times New Roman" w:hAnsi="Times New Roman"/>
          <w:sz w:val="18"/>
        </w:rPr>
        <w:t>, 362 F.3d 1317, 17 Fla. L. Weekly Fed C. 315 (11</w:t>
      </w:r>
      <w:r>
        <w:rPr>
          <w:rFonts w:ascii="Times New Roman" w:hAnsi="Times New Roman"/>
          <w:position w:val="7"/>
          <w:sz w:val="10"/>
        </w:rPr>
        <w:t>th </w:t>
      </w:r>
      <w:r>
        <w:rPr>
          <w:rFonts w:ascii="Times New Roman" w:hAnsi="Times New Roman"/>
          <w:sz w:val="18"/>
        </w:rPr>
        <w:t>Cir Fla. 2004).</w:t>
      </w:r>
    </w:p>
    <w:p>
      <w:pPr>
        <w:pStyle w:val="ListParagraph"/>
        <w:numPr>
          <w:ilvl w:val="0"/>
          <w:numId w:val="4"/>
        </w:numPr>
        <w:tabs>
          <w:tab w:pos="1435" w:val="left" w:leader="none"/>
        </w:tabs>
        <w:spacing w:line="278" w:lineRule="exact" w:before="0" w:after="0"/>
        <w:ind w:left="1434" w:right="20" w:hanging="1435"/>
        <w:jc w:val="left"/>
        <w:rPr>
          <w:sz w:val="24"/>
        </w:rPr>
      </w:pPr>
      <w:r>
        <w:rPr/>
        <w:pict>
          <v:group style="position:absolute;margin-left:154.674057pt;margin-top:12.187675pt;width:312.2pt;height:1.25pt;mso-position-horizontal-relative:page;mso-position-vertical-relative:paragraph;z-index:251691008" coordorigin="3093,244" coordsize="6244,25">
            <v:line style="position:absolute" from="3093,260" to="3160,260" stroked="true" strokeweight=".854715pt" strokecolor="#008a01">
              <v:stroke dashstyle="solid"/>
            </v:line>
            <v:line style="position:absolute" from="3160,250" to="9280,250" stroked="true" strokeweight=".648405pt" strokecolor="#008a01">
              <v:stroke dashstyle="solid"/>
            </v:line>
            <v:line style="position:absolute" from="9280,260" to="9337,260" stroked="true" strokeweight=".854715pt" strokecolor="#008a01">
              <v:stroke dashstyle="solid"/>
            </v:line>
            <w10:wrap type="none"/>
          </v:group>
        </w:pict>
      </w:r>
      <w:r>
        <w:rPr>
          <w:sz w:val="18"/>
          <w:u w:val="single"/>
        </w:rPr>
        <w:t>Summerfield v. North British &amp; Mercantile Ins. Co.</w:t>
      </w:r>
      <w:r>
        <w:rPr>
          <w:sz w:val="18"/>
        </w:rPr>
        <w:t>, 62 F. 249 (C.C.W.D. Va.</w:t>
      </w:r>
      <w:r>
        <w:rPr>
          <w:spacing w:val="5"/>
          <w:sz w:val="18"/>
        </w:rPr>
        <w:t> </w:t>
      </w:r>
      <w:r>
        <w:rPr>
          <w:sz w:val="18"/>
        </w:rPr>
        <w:t>1894)</w:t>
      </w:r>
      <w:r>
        <w:rPr>
          <w:sz w:val="24"/>
        </w:rPr>
        <w:t>.</w:t>
      </w:r>
    </w:p>
    <w:p>
      <w:pPr>
        <w:spacing w:after="0" w:line="278" w:lineRule="exact"/>
        <w:jc w:val="left"/>
        <w:rPr>
          <w:sz w:val="24"/>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21"/>
        <w:jc w:val="both"/>
      </w:pPr>
      <w:bookmarkStart w:name="Law and Procedure 99" w:id="7"/>
      <w:bookmarkEnd w:id="7"/>
      <w:r>
        <w:rPr/>
      </w:r>
      <w:r>
        <w:rPr/>
        <w:t>may</w:t>
      </w:r>
      <w:r>
        <w:rPr>
          <w:spacing w:val="-26"/>
        </w:rPr>
        <w:t> </w:t>
      </w:r>
      <w:r>
        <w:rPr/>
        <w:t>waive</w:t>
      </w:r>
      <w:r>
        <w:rPr>
          <w:spacing w:val="-25"/>
        </w:rPr>
        <w:t> </w:t>
      </w:r>
      <w:r>
        <w:rPr/>
        <w:t>the</w:t>
      </w:r>
      <w:r>
        <w:rPr>
          <w:spacing w:val="-23"/>
        </w:rPr>
        <w:t> </w:t>
      </w:r>
      <w:r>
        <w:rPr/>
        <w:t>right</w:t>
      </w:r>
      <w:r>
        <w:rPr>
          <w:spacing w:val="-24"/>
        </w:rPr>
        <w:t> </w:t>
      </w:r>
      <w:r>
        <w:rPr/>
        <w:t>of</w:t>
      </w:r>
      <w:r>
        <w:rPr>
          <w:spacing w:val="-23"/>
        </w:rPr>
        <w:t> </w:t>
      </w:r>
      <w:r>
        <w:rPr/>
        <w:t>appraisal</w:t>
      </w:r>
      <w:r>
        <w:rPr>
          <w:spacing w:val="-21"/>
        </w:rPr>
        <w:t> </w:t>
      </w:r>
      <w:r>
        <w:rPr/>
        <w:t>as</w:t>
      </w:r>
      <w:r>
        <w:rPr>
          <w:spacing w:val="-23"/>
        </w:rPr>
        <w:t> </w:t>
      </w:r>
      <w:r>
        <w:rPr/>
        <w:t>a</w:t>
      </w:r>
      <w:r>
        <w:rPr>
          <w:spacing w:val="-25"/>
        </w:rPr>
        <w:t> </w:t>
      </w:r>
      <w:r>
        <w:rPr/>
        <w:t>condition precedent.(See</w:t>
      </w:r>
      <w:r>
        <w:rPr>
          <w:spacing w:val="-25"/>
        </w:rPr>
        <w:t> </w:t>
      </w:r>
      <w:r>
        <w:rPr/>
        <w:t>Chapter</w:t>
      </w:r>
      <w:r>
        <w:rPr>
          <w:spacing w:val="-26"/>
        </w:rPr>
        <w:t> </w:t>
      </w:r>
      <w:r>
        <w:rPr>
          <w:spacing w:val="3"/>
        </w:rPr>
        <w:t>IV</w:t>
      </w:r>
      <w:r>
        <w:rPr>
          <w:spacing w:val="-26"/>
        </w:rPr>
        <w:t> </w:t>
      </w:r>
      <w:r>
        <w:rPr/>
        <w:t>[A]</w:t>
      </w:r>
      <w:r>
        <w:rPr>
          <w:spacing w:val="-22"/>
        </w:rPr>
        <w:t> </w:t>
      </w:r>
      <w:r>
        <w:rPr/>
        <w:t>for</w:t>
      </w:r>
      <w:r>
        <w:rPr>
          <w:spacing w:val="-23"/>
        </w:rPr>
        <w:t> </w:t>
      </w:r>
      <w:r>
        <w:rPr/>
        <w:t>more</w:t>
      </w:r>
      <w:r>
        <w:rPr>
          <w:spacing w:val="-22"/>
        </w:rPr>
        <w:t> </w:t>
      </w:r>
      <w:r>
        <w:rPr/>
        <w:t>on</w:t>
      </w:r>
      <w:r>
        <w:rPr>
          <w:spacing w:val="-23"/>
        </w:rPr>
        <w:t> </w:t>
      </w:r>
      <w:r>
        <w:rPr/>
        <w:t>the issue of waiver of</w:t>
      </w:r>
      <w:r>
        <w:rPr>
          <w:spacing w:val="-6"/>
        </w:rPr>
        <w:t> </w:t>
      </w:r>
      <w:r>
        <w:rPr/>
        <w:t>appraisal.)</w:t>
      </w:r>
    </w:p>
    <w:p>
      <w:pPr>
        <w:pStyle w:val="BodyText"/>
        <w:spacing w:before="1"/>
      </w:pPr>
    </w:p>
    <w:p>
      <w:pPr>
        <w:pStyle w:val="BodyText"/>
        <w:spacing w:line="242" w:lineRule="auto"/>
        <w:ind w:left="1520" w:right="1516" w:firstLine="720"/>
        <w:jc w:val="both"/>
      </w:pPr>
      <w:r>
        <w:rPr>
          <w:spacing w:val="3"/>
        </w:rPr>
        <w:t>In </w:t>
      </w:r>
      <w:r>
        <w:rPr/>
        <w:t>any event, where issues are raised by the parties in an effort to limit and/or expand the issues to be determined in the appraisal, such a </w:t>
      </w:r>
      <w:r>
        <w:rPr>
          <w:spacing w:val="2"/>
        </w:rPr>
        <w:t>judicial </w:t>
      </w:r>
      <w:r>
        <w:rPr/>
        <w:t>determination is beyond the scope</w:t>
      </w:r>
      <w:r>
        <w:rPr>
          <w:spacing w:val="-18"/>
        </w:rPr>
        <w:t> </w:t>
      </w:r>
      <w:r>
        <w:rPr/>
        <w:t>of</w:t>
      </w:r>
      <w:r>
        <w:rPr>
          <w:spacing w:val="-18"/>
        </w:rPr>
        <w:t> </w:t>
      </w:r>
      <w:r>
        <w:rPr/>
        <w:t>an</w:t>
      </w:r>
      <w:r>
        <w:rPr>
          <w:spacing w:val="-18"/>
        </w:rPr>
        <w:t> </w:t>
      </w:r>
      <w:r>
        <w:rPr/>
        <w:t>application</w:t>
      </w:r>
      <w:r>
        <w:rPr>
          <w:spacing w:val="-18"/>
        </w:rPr>
        <w:t> </w:t>
      </w:r>
      <w:r>
        <w:rPr/>
        <w:t>to</w:t>
      </w:r>
      <w:r>
        <w:rPr>
          <w:spacing w:val="-19"/>
        </w:rPr>
        <w:t> </w:t>
      </w:r>
      <w:r>
        <w:rPr/>
        <w:t>appoint</w:t>
      </w:r>
      <w:r>
        <w:rPr>
          <w:spacing w:val="-22"/>
        </w:rPr>
        <w:t> </w:t>
      </w:r>
      <w:r>
        <w:rPr/>
        <w:t>an</w:t>
      </w:r>
      <w:r>
        <w:rPr>
          <w:spacing w:val="-18"/>
        </w:rPr>
        <w:t> </w:t>
      </w:r>
      <w:r>
        <w:rPr/>
        <w:t>umpire. Requests</w:t>
      </w:r>
      <w:r>
        <w:rPr>
          <w:spacing w:val="-21"/>
        </w:rPr>
        <w:t> </w:t>
      </w:r>
      <w:r>
        <w:rPr/>
        <w:t>for</w:t>
      </w:r>
      <w:r>
        <w:rPr>
          <w:spacing w:val="-21"/>
        </w:rPr>
        <w:t> </w:t>
      </w:r>
      <w:r>
        <w:rPr/>
        <w:t>such</w:t>
      </w:r>
      <w:r>
        <w:rPr>
          <w:spacing w:val="-17"/>
        </w:rPr>
        <w:t> </w:t>
      </w:r>
      <w:r>
        <w:rPr/>
        <w:t>clarification</w:t>
      </w:r>
      <w:r>
        <w:rPr>
          <w:spacing w:val="-17"/>
        </w:rPr>
        <w:t> </w:t>
      </w:r>
      <w:r>
        <w:rPr/>
        <w:t>as</w:t>
      </w:r>
      <w:r>
        <w:rPr>
          <w:spacing w:val="-17"/>
        </w:rPr>
        <w:t> </w:t>
      </w:r>
      <w:r>
        <w:rPr/>
        <w:t>part</w:t>
      </w:r>
      <w:r>
        <w:rPr>
          <w:spacing w:val="-20"/>
        </w:rPr>
        <w:t> </w:t>
      </w:r>
      <w:r>
        <w:rPr/>
        <w:t>of</w:t>
      </w:r>
      <w:r>
        <w:rPr>
          <w:spacing w:val="-20"/>
        </w:rPr>
        <w:t> </w:t>
      </w:r>
      <w:r>
        <w:rPr/>
        <w:t>such</w:t>
      </w:r>
      <w:r>
        <w:rPr>
          <w:spacing w:val="-19"/>
        </w:rPr>
        <w:t> </w:t>
      </w:r>
      <w:r>
        <w:rPr/>
        <w:t>a limited action were properly</w:t>
      </w:r>
      <w:r>
        <w:rPr>
          <w:spacing w:val="-7"/>
        </w:rPr>
        <w:t> </w:t>
      </w:r>
      <w:r>
        <w:rPr/>
        <w:t>denied.</w:t>
      </w:r>
      <w:r>
        <w:rPr>
          <w:vertAlign w:val="superscript"/>
        </w:rPr>
        <w:t>126</w:t>
      </w:r>
    </w:p>
    <w:p>
      <w:pPr>
        <w:pStyle w:val="BodyText"/>
        <w:spacing w:before="9"/>
        <w:rPr>
          <w:sz w:val="29"/>
        </w:rPr>
      </w:pPr>
    </w:p>
    <w:tbl>
      <w:tblPr>
        <w:tblW w:w="0" w:type="auto"/>
        <w:jc w:val="left"/>
        <w:tblInd w:w="1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17"/>
        <w:gridCol w:w="1792"/>
        <w:gridCol w:w="3349"/>
      </w:tblGrid>
      <w:tr>
        <w:trPr>
          <w:trHeight w:val="291" w:hRule="atLeast"/>
        </w:trPr>
        <w:tc>
          <w:tcPr>
            <w:tcW w:w="717" w:type="dxa"/>
            <w:tcBorders>
              <w:bottom w:val="single" w:sz="12" w:space="0" w:color="FFFFFF"/>
            </w:tcBorders>
          </w:tcPr>
          <w:p>
            <w:pPr>
              <w:pStyle w:val="TableParagraph"/>
              <w:spacing w:line="240" w:lineRule="auto"/>
              <w:ind w:left="0"/>
              <w:rPr>
                <w:rFonts w:ascii="Times New Roman"/>
                <w:sz w:val="20"/>
              </w:rPr>
            </w:pPr>
          </w:p>
        </w:tc>
        <w:tc>
          <w:tcPr>
            <w:tcW w:w="5141" w:type="dxa"/>
            <w:gridSpan w:val="2"/>
            <w:tcBorders>
              <w:bottom w:val="single" w:sz="12" w:space="0" w:color="FFFFFF"/>
            </w:tcBorders>
            <w:shd w:val="clear" w:color="auto" w:fill="FADD64"/>
          </w:tcPr>
          <w:p>
            <w:pPr>
              <w:pStyle w:val="TableParagraph"/>
              <w:spacing w:line="272" w:lineRule="exact"/>
              <w:ind w:left="50"/>
              <w:rPr>
                <w:sz w:val="26"/>
              </w:rPr>
            </w:pPr>
            <w:r>
              <w:rPr>
                <w:sz w:val="26"/>
              </w:rPr>
              <w:t>It is within the authority of the appraisal</w:t>
            </w:r>
          </w:p>
        </w:tc>
      </w:tr>
      <w:tr>
        <w:trPr>
          <w:trHeight w:val="290" w:hRule="atLeast"/>
        </w:trPr>
        <w:tc>
          <w:tcPr>
            <w:tcW w:w="5858" w:type="dxa"/>
            <w:gridSpan w:val="3"/>
            <w:tcBorders>
              <w:top w:val="single" w:sz="12" w:space="0" w:color="FFFFFF"/>
              <w:bottom w:val="single" w:sz="12" w:space="0" w:color="FFFFFF"/>
            </w:tcBorders>
            <w:shd w:val="clear" w:color="auto" w:fill="FADD64"/>
          </w:tcPr>
          <w:p>
            <w:pPr>
              <w:pStyle w:val="TableParagraph"/>
              <w:rPr>
                <w:sz w:val="26"/>
              </w:rPr>
            </w:pPr>
            <w:r>
              <w:rPr>
                <w:sz w:val="26"/>
              </w:rPr>
              <w:t>team</w:t>
            </w:r>
            <w:r>
              <w:rPr>
                <w:spacing w:val="-28"/>
                <w:sz w:val="26"/>
              </w:rPr>
              <w:t> </w:t>
            </w:r>
            <w:r>
              <w:rPr>
                <w:sz w:val="26"/>
              </w:rPr>
              <w:t>to</w:t>
            </w:r>
            <w:r>
              <w:rPr>
                <w:spacing w:val="-25"/>
                <w:sz w:val="26"/>
              </w:rPr>
              <w:t> </w:t>
            </w:r>
            <w:r>
              <w:rPr>
                <w:sz w:val="26"/>
              </w:rPr>
              <w:t>determine</w:t>
            </w:r>
            <w:r>
              <w:rPr>
                <w:spacing w:val="-26"/>
                <w:sz w:val="26"/>
              </w:rPr>
              <w:t> </w:t>
            </w:r>
            <w:r>
              <w:rPr>
                <w:sz w:val="26"/>
              </w:rPr>
              <w:t>that</w:t>
            </w:r>
            <w:r>
              <w:rPr>
                <w:spacing w:val="-29"/>
                <w:sz w:val="26"/>
              </w:rPr>
              <w:t> </w:t>
            </w:r>
            <w:r>
              <w:rPr>
                <w:sz w:val="26"/>
              </w:rPr>
              <w:t>total</w:t>
            </w:r>
            <w:r>
              <w:rPr>
                <w:spacing w:val="-25"/>
                <w:sz w:val="26"/>
              </w:rPr>
              <w:t> </w:t>
            </w:r>
            <w:r>
              <w:rPr>
                <w:sz w:val="26"/>
              </w:rPr>
              <w:t>roof</w:t>
            </w:r>
            <w:r>
              <w:rPr>
                <w:spacing w:val="-25"/>
                <w:sz w:val="26"/>
              </w:rPr>
              <w:t> </w:t>
            </w:r>
            <w:r>
              <w:rPr>
                <w:sz w:val="26"/>
              </w:rPr>
              <w:t>replacement</w:t>
            </w:r>
          </w:p>
        </w:tc>
      </w:tr>
      <w:tr>
        <w:trPr>
          <w:trHeight w:val="290" w:hRule="atLeast"/>
        </w:trPr>
        <w:tc>
          <w:tcPr>
            <w:tcW w:w="5858" w:type="dxa"/>
            <w:gridSpan w:val="3"/>
            <w:tcBorders>
              <w:top w:val="single" w:sz="12" w:space="0" w:color="FFFFFF"/>
              <w:bottom w:val="single" w:sz="12" w:space="0" w:color="FFFFFF"/>
            </w:tcBorders>
            <w:shd w:val="clear" w:color="auto" w:fill="FADD64"/>
          </w:tcPr>
          <w:p>
            <w:pPr>
              <w:pStyle w:val="TableParagraph"/>
              <w:rPr>
                <w:sz w:val="26"/>
              </w:rPr>
            </w:pPr>
            <w:r>
              <w:rPr>
                <w:sz w:val="26"/>
              </w:rPr>
              <w:t>was</w:t>
            </w:r>
            <w:r>
              <w:rPr>
                <w:spacing w:val="-11"/>
                <w:sz w:val="26"/>
              </w:rPr>
              <w:t> </w:t>
            </w:r>
            <w:r>
              <w:rPr>
                <w:sz w:val="26"/>
              </w:rPr>
              <w:t>more</w:t>
            </w:r>
            <w:r>
              <w:rPr>
                <w:spacing w:val="-11"/>
                <w:sz w:val="26"/>
              </w:rPr>
              <w:t> </w:t>
            </w:r>
            <w:r>
              <w:rPr>
                <w:sz w:val="26"/>
              </w:rPr>
              <w:t>appropriate</w:t>
            </w:r>
            <w:r>
              <w:rPr>
                <w:spacing w:val="-11"/>
                <w:sz w:val="26"/>
              </w:rPr>
              <w:t> </w:t>
            </w:r>
            <w:r>
              <w:rPr>
                <w:sz w:val="26"/>
              </w:rPr>
              <w:t>than</w:t>
            </w:r>
            <w:r>
              <w:rPr>
                <w:spacing w:val="-11"/>
                <w:sz w:val="26"/>
              </w:rPr>
              <w:t> </w:t>
            </w:r>
            <w:r>
              <w:rPr>
                <w:sz w:val="26"/>
              </w:rPr>
              <w:t>mere</w:t>
            </w:r>
            <w:r>
              <w:rPr>
                <w:spacing w:val="-10"/>
                <w:sz w:val="26"/>
              </w:rPr>
              <w:t> </w:t>
            </w:r>
            <w:r>
              <w:rPr>
                <w:sz w:val="26"/>
              </w:rPr>
              <w:t>repair</w:t>
            </w:r>
            <w:r>
              <w:rPr>
                <w:spacing w:val="-11"/>
                <w:sz w:val="26"/>
              </w:rPr>
              <w:t> </w:t>
            </w:r>
            <w:r>
              <w:rPr>
                <w:sz w:val="26"/>
              </w:rPr>
              <w:t>of</w:t>
            </w:r>
            <w:r>
              <w:rPr>
                <w:spacing w:val="-10"/>
                <w:sz w:val="26"/>
              </w:rPr>
              <w:t> </w:t>
            </w:r>
            <w:r>
              <w:rPr>
                <w:sz w:val="26"/>
              </w:rPr>
              <w:t>the</w:t>
            </w:r>
          </w:p>
        </w:tc>
      </w:tr>
      <w:tr>
        <w:trPr>
          <w:trHeight w:val="291" w:hRule="atLeast"/>
        </w:trPr>
        <w:tc>
          <w:tcPr>
            <w:tcW w:w="2509" w:type="dxa"/>
            <w:gridSpan w:val="2"/>
            <w:tcBorders>
              <w:top w:val="single" w:sz="12" w:space="0" w:color="FFFFFF"/>
            </w:tcBorders>
            <w:shd w:val="clear" w:color="auto" w:fill="FADD64"/>
          </w:tcPr>
          <w:p>
            <w:pPr>
              <w:pStyle w:val="TableParagraph"/>
              <w:spacing w:line="272" w:lineRule="exact"/>
              <w:rPr>
                <w:sz w:val="26"/>
              </w:rPr>
            </w:pPr>
            <w:r>
              <w:rPr>
                <w:sz w:val="26"/>
              </w:rPr>
              <w:t>damaged shingles.</w:t>
            </w:r>
          </w:p>
        </w:tc>
        <w:tc>
          <w:tcPr>
            <w:tcW w:w="3349" w:type="dxa"/>
            <w:tcBorders>
              <w:top w:val="single" w:sz="12" w:space="0" w:color="FFFFFF"/>
            </w:tcBorders>
          </w:tcPr>
          <w:p>
            <w:pPr>
              <w:pStyle w:val="TableParagraph"/>
              <w:spacing w:line="240" w:lineRule="auto"/>
              <w:ind w:left="0"/>
              <w:rPr>
                <w:rFonts w:ascii="Times New Roman"/>
                <w:sz w:val="20"/>
              </w:rPr>
            </w:pPr>
          </w:p>
        </w:tc>
      </w:tr>
    </w:tbl>
    <w:p>
      <w:pPr>
        <w:pStyle w:val="BodyText"/>
        <w:spacing w:before="1"/>
        <w:rPr>
          <w:sz w:val="25"/>
        </w:rPr>
      </w:pPr>
    </w:p>
    <w:p>
      <w:pPr>
        <w:pStyle w:val="BodyText"/>
        <w:spacing w:line="242" w:lineRule="auto"/>
        <w:ind w:left="1520" w:right="1517" w:firstLine="720"/>
        <w:jc w:val="both"/>
      </w:pPr>
      <w:r>
        <w:rPr>
          <w:spacing w:val="3"/>
        </w:rPr>
        <w:t>In </w:t>
      </w:r>
      <w:r>
        <w:rPr/>
        <w:t>Louisiana, it was held that the total destruction</w:t>
      </w:r>
      <w:r>
        <w:rPr>
          <w:spacing w:val="-35"/>
        </w:rPr>
        <w:t> </w:t>
      </w:r>
      <w:r>
        <w:rPr/>
        <w:t>of</w:t>
      </w:r>
      <w:r>
        <w:rPr>
          <w:spacing w:val="-34"/>
        </w:rPr>
        <w:t> </w:t>
      </w:r>
      <w:r>
        <w:rPr/>
        <w:t>movable</w:t>
      </w:r>
      <w:r>
        <w:rPr>
          <w:spacing w:val="-33"/>
        </w:rPr>
        <w:t> </w:t>
      </w:r>
      <w:r>
        <w:rPr/>
        <w:t>property</w:t>
      </w:r>
      <w:r>
        <w:rPr>
          <w:spacing w:val="-37"/>
        </w:rPr>
        <w:t> </w:t>
      </w:r>
      <w:r>
        <w:rPr/>
        <w:t>did</w:t>
      </w:r>
      <w:r>
        <w:rPr>
          <w:spacing w:val="-35"/>
        </w:rPr>
        <w:t> </w:t>
      </w:r>
      <w:r>
        <w:rPr/>
        <w:t>not</w:t>
      </w:r>
      <w:r>
        <w:rPr>
          <w:spacing w:val="-35"/>
        </w:rPr>
        <w:t> </w:t>
      </w:r>
      <w:r>
        <w:rPr/>
        <w:t>render a</w:t>
      </w:r>
      <w:r>
        <w:rPr>
          <w:spacing w:val="-11"/>
        </w:rPr>
        <w:t> </w:t>
      </w:r>
      <w:r>
        <w:rPr/>
        <w:t>policy’s</w:t>
      </w:r>
      <w:r>
        <w:rPr>
          <w:spacing w:val="-10"/>
        </w:rPr>
        <w:t> </w:t>
      </w:r>
      <w:r>
        <w:rPr/>
        <w:t>appraisal</w:t>
      </w:r>
      <w:r>
        <w:rPr>
          <w:spacing w:val="-8"/>
        </w:rPr>
        <w:t> </w:t>
      </w:r>
      <w:r>
        <w:rPr/>
        <w:t>option</w:t>
      </w:r>
      <w:r>
        <w:rPr>
          <w:spacing w:val="-9"/>
        </w:rPr>
        <w:t> </w:t>
      </w:r>
      <w:r>
        <w:rPr/>
        <w:t>either</w:t>
      </w:r>
      <w:r>
        <w:rPr>
          <w:spacing w:val="-11"/>
        </w:rPr>
        <w:t> </w:t>
      </w:r>
      <w:r>
        <w:rPr/>
        <w:t>impossible</w:t>
      </w:r>
      <w:r>
        <w:rPr>
          <w:spacing w:val="-6"/>
        </w:rPr>
        <w:t> </w:t>
      </w:r>
      <w:r>
        <w:rPr/>
        <w:t>or unnecessary. </w:t>
      </w:r>
      <w:r>
        <w:rPr>
          <w:spacing w:val="2"/>
        </w:rPr>
        <w:t>In </w:t>
      </w:r>
      <w:r>
        <w:rPr/>
        <w:t>that case, an insured’s argument that there was nothing to appraise under the subject policy because the automobile at issue was wholly destroyed</w:t>
      </w:r>
      <w:r>
        <w:rPr>
          <w:spacing w:val="-36"/>
        </w:rPr>
        <w:t> </w:t>
      </w:r>
      <w:r>
        <w:rPr/>
        <w:t>was </w:t>
      </w:r>
      <w:r>
        <w:rPr>
          <w:spacing w:val="11"/>
        </w:rPr>
        <w:t>deemed </w:t>
      </w:r>
      <w:r>
        <w:rPr>
          <w:spacing w:val="10"/>
        </w:rPr>
        <w:t>“not </w:t>
      </w:r>
      <w:r>
        <w:rPr>
          <w:spacing w:val="9"/>
        </w:rPr>
        <w:t>tenable”. </w:t>
      </w:r>
      <w:r>
        <w:rPr>
          <w:spacing w:val="6"/>
        </w:rPr>
        <w:t>The </w:t>
      </w:r>
      <w:r>
        <w:rPr>
          <w:spacing w:val="8"/>
        </w:rPr>
        <w:t>court </w:t>
      </w:r>
      <w:r>
        <w:rPr/>
        <w:t>substantiated its position by asserting that no state statute imposed liability upon an insurer for movable property’s full value where total destruction</w:t>
      </w:r>
      <w:r>
        <w:rPr>
          <w:spacing w:val="-1"/>
        </w:rPr>
        <w:t> </w:t>
      </w:r>
      <w:r>
        <w:rPr/>
        <w:t>occurs.</w:t>
      </w:r>
      <w:r>
        <w:rPr>
          <w:vertAlign w:val="superscript"/>
        </w:rPr>
        <w:t>127</w:t>
      </w:r>
    </w:p>
    <w:p>
      <w:pPr>
        <w:pStyle w:val="BodyText"/>
        <w:spacing w:before="5"/>
        <w:rPr>
          <w:sz w:val="23"/>
        </w:rPr>
      </w:pPr>
      <w:r>
        <w:rPr/>
        <w:pict>
          <v:shape style="position:absolute;margin-left:162pt;margin-top:16.776485pt;width:143.9pt;height:.1pt;mso-position-horizontal-relative:page;mso-position-vertical-relative:paragraph;z-index:-251622400;mso-wrap-distance-left:0;mso-wrap-distance-right:0" coordorigin="3240,336" coordsize="2878,0" path="m3240,336l6118,336e" filled="false" stroked="true" strokeweight=".84pt" strokecolor="#000000">
            <v:path arrowok="t"/>
            <v:stroke dashstyle="solid"/>
            <w10:wrap type="topAndBottom"/>
          </v:shape>
        </w:pict>
      </w:r>
    </w:p>
    <w:p>
      <w:pPr>
        <w:pStyle w:val="ListParagraph"/>
        <w:numPr>
          <w:ilvl w:val="0"/>
          <w:numId w:val="4"/>
        </w:numPr>
        <w:tabs>
          <w:tab w:pos="1411" w:val="left" w:leader="none"/>
        </w:tabs>
        <w:spacing w:line="244" w:lineRule="auto" w:before="140" w:after="0"/>
        <w:ind w:left="1160" w:right="1165" w:firstLine="0"/>
        <w:jc w:val="left"/>
        <w:rPr>
          <w:sz w:val="18"/>
        </w:rPr>
      </w:pPr>
      <w:r>
        <w:rPr>
          <w:sz w:val="18"/>
          <w:u w:val="single"/>
        </w:rPr>
        <w:t>In</w:t>
      </w:r>
      <w:r>
        <w:rPr>
          <w:spacing w:val="-8"/>
          <w:sz w:val="18"/>
          <w:u w:val="single"/>
        </w:rPr>
        <w:t> </w:t>
      </w:r>
      <w:r>
        <w:rPr>
          <w:sz w:val="18"/>
          <w:u w:val="single"/>
        </w:rPr>
        <w:t>the</w:t>
      </w:r>
      <w:r>
        <w:rPr>
          <w:spacing w:val="-9"/>
          <w:sz w:val="18"/>
          <w:u w:val="single"/>
        </w:rPr>
        <w:t> </w:t>
      </w:r>
      <w:r>
        <w:rPr>
          <w:sz w:val="18"/>
          <w:u w:val="single"/>
        </w:rPr>
        <w:t>Matter</w:t>
      </w:r>
      <w:r>
        <w:rPr>
          <w:spacing w:val="-12"/>
          <w:sz w:val="18"/>
          <w:u w:val="single"/>
        </w:rPr>
        <w:t> </w:t>
      </w:r>
      <w:r>
        <w:rPr>
          <w:sz w:val="18"/>
          <w:u w:val="single"/>
        </w:rPr>
        <w:t>of</w:t>
      </w:r>
      <w:r>
        <w:rPr>
          <w:spacing w:val="-11"/>
          <w:sz w:val="18"/>
          <w:u w:val="single"/>
        </w:rPr>
        <w:t> </w:t>
      </w:r>
      <w:r>
        <w:rPr>
          <w:sz w:val="18"/>
          <w:u w:val="single"/>
        </w:rPr>
        <w:t>Merrimack</w:t>
      </w:r>
      <w:r>
        <w:rPr>
          <w:spacing w:val="-11"/>
          <w:sz w:val="18"/>
          <w:u w:val="single"/>
        </w:rPr>
        <w:t> </w:t>
      </w:r>
      <w:r>
        <w:rPr>
          <w:sz w:val="18"/>
          <w:u w:val="single"/>
        </w:rPr>
        <w:t>Mut.</w:t>
      </w:r>
      <w:r>
        <w:rPr>
          <w:spacing w:val="-8"/>
          <w:sz w:val="18"/>
          <w:u w:val="single"/>
        </w:rPr>
        <w:t> </w:t>
      </w:r>
      <w:r>
        <w:rPr>
          <w:sz w:val="18"/>
          <w:u w:val="single"/>
        </w:rPr>
        <w:t>Fire</w:t>
      </w:r>
      <w:r>
        <w:rPr>
          <w:spacing w:val="-9"/>
          <w:sz w:val="18"/>
          <w:u w:val="single"/>
        </w:rPr>
        <w:t> </w:t>
      </w:r>
      <w:r>
        <w:rPr>
          <w:sz w:val="18"/>
          <w:u w:val="single"/>
        </w:rPr>
        <w:t>Ins.</w:t>
      </w:r>
      <w:r>
        <w:rPr>
          <w:spacing w:val="-8"/>
          <w:sz w:val="18"/>
          <w:u w:val="single"/>
        </w:rPr>
        <w:t> </w:t>
      </w:r>
      <w:r>
        <w:rPr>
          <w:sz w:val="18"/>
          <w:u w:val="single"/>
        </w:rPr>
        <w:t>Co.</w:t>
      </w:r>
      <w:r>
        <w:rPr>
          <w:spacing w:val="-9"/>
          <w:sz w:val="18"/>
          <w:u w:val="single"/>
        </w:rPr>
        <w:t> </w:t>
      </w:r>
      <w:r>
        <w:rPr>
          <w:sz w:val="18"/>
          <w:u w:val="single"/>
        </w:rPr>
        <w:t>v.</w:t>
      </w:r>
      <w:r>
        <w:rPr>
          <w:spacing w:val="-8"/>
          <w:sz w:val="18"/>
          <w:u w:val="single"/>
        </w:rPr>
        <w:t> </w:t>
      </w:r>
      <w:r>
        <w:rPr>
          <w:sz w:val="18"/>
          <w:u w:val="single"/>
        </w:rPr>
        <w:t>Seibert</w:t>
      </w:r>
      <w:r>
        <w:rPr>
          <w:sz w:val="18"/>
        </w:rPr>
        <w:t>,</w:t>
      </w:r>
      <w:r>
        <w:rPr>
          <w:spacing w:val="-9"/>
          <w:sz w:val="18"/>
        </w:rPr>
        <w:t> </w:t>
      </w:r>
      <w:r>
        <w:rPr>
          <w:sz w:val="18"/>
        </w:rPr>
        <w:t>31</w:t>
      </w:r>
      <w:r>
        <w:rPr>
          <w:spacing w:val="-7"/>
          <w:sz w:val="18"/>
        </w:rPr>
        <w:t> </w:t>
      </w:r>
      <w:r>
        <w:rPr>
          <w:sz w:val="18"/>
        </w:rPr>
        <w:t>Misc.3d</w:t>
      </w:r>
      <w:r>
        <w:rPr>
          <w:spacing w:val="-8"/>
          <w:sz w:val="18"/>
        </w:rPr>
        <w:t> </w:t>
      </w:r>
      <w:r>
        <w:rPr>
          <w:sz w:val="18"/>
        </w:rPr>
        <w:t>523,</w:t>
      </w:r>
      <w:r>
        <w:rPr>
          <w:spacing w:val="-8"/>
          <w:sz w:val="18"/>
        </w:rPr>
        <w:t> </w:t>
      </w:r>
      <w:r>
        <w:rPr>
          <w:sz w:val="18"/>
        </w:rPr>
        <w:t>917</w:t>
      </w:r>
      <w:r>
        <w:rPr>
          <w:spacing w:val="-8"/>
          <w:sz w:val="18"/>
        </w:rPr>
        <w:t> </w:t>
      </w:r>
      <w:r>
        <w:rPr>
          <w:sz w:val="18"/>
        </w:rPr>
        <w:t>N.Y.S.2d 839, 2011 N.Y. Slip Op. 21060 (Monroe Cty.</w:t>
      </w:r>
      <w:r>
        <w:rPr>
          <w:spacing w:val="7"/>
          <w:sz w:val="18"/>
        </w:rPr>
        <w:t> </w:t>
      </w:r>
      <w:r>
        <w:rPr>
          <w:sz w:val="18"/>
        </w:rPr>
        <w:t>2011).</w:t>
      </w:r>
    </w:p>
    <w:p>
      <w:pPr>
        <w:pStyle w:val="ListParagraph"/>
        <w:numPr>
          <w:ilvl w:val="0"/>
          <w:numId w:val="4"/>
        </w:numPr>
        <w:tabs>
          <w:tab w:pos="1421" w:val="left" w:leader="none"/>
        </w:tabs>
        <w:spacing w:line="223" w:lineRule="exact" w:before="0" w:after="0"/>
        <w:ind w:left="1421" w:right="0" w:hanging="261"/>
        <w:jc w:val="left"/>
        <w:rPr>
          <w:rFonts w:ascii="Century Gothic"/>
          <w:sz w:val="18"/>
        </w:rPr>
      </w:pPr>
      <w:r>
        <w:rPr>
          <w:sz w:val="18"/>
          <w:u w:val="single"/>
        </w:rPr>
        <w:t>Hart v. Springfield Fire &amp; Marine Ins. Co.</w:t>
      </w:r>
      <w:r>
        <w:rPr>
          <w:sz w:val="18"/>
        </w:rPr>
        <w:t>, 66 So.558 (La.</w:t>
      </w:r>
      <w:r>
        <w:rPr>
          <w:spacing w:val="4"/>
          <w:sz w:val="18"/>
        </w:rPr>
        <w:t> </w:t>
      </w:r>
      <w:r>
        <w:rPr>
          <w:sz w:val="18"/>
        </w:rPr>
        <w:t>1914</w:t>
      </w:r>
      <w:r>
        <w:rPr>
          <w:rFonts w:ascii="Century Gothic"/>
          <w:sz w:val="18"/>
        </w:rPr>
        <w:t>).</w:t>
      </w:r>
    </w:p>
    <w:p>
      <w:pPr>
        <w:spacing w:after="0" w:line="223" w:lineRule="exact"/>
        <w:jc w:val="left"/>
        <w:rPr>
          <w:rFonts w:ascii="Century Gothic"/>
          <w:sz w:val="18"/>
        </w:rPr>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1520" w:right="1518" w:firstLine="720"/>
        <w:jc w:val="both"/>
      </w:pPr>
      <w:bookmarkStart w:name="Law and Procedure 100" w:id="8"/>
      <w:bookmarkEnd w:id="8"/>
      <w:r>
        <w:rPr/>
      </w:r>
      <w:r>
        <w:rPr/>
        <w:t>The Michigan Court of Appeals has</w:t>
      </w:r>
      <w:r>
        <w:rPr>
          <w:spacing w:val="-19"/>
        </w:rPr>
        <w:t> </w:t>
      </w:r>
      <w:r>
        <w:rPr/>
        <w:t>held that</w:t>
      </w:r>
      <w:r>
        <w:rPr>
          <w:spacing w:val="-27"/>
        </w:rPr>
        <w:t> </w:t>
      </w:r>
      <w:r>
        <w:rPr/>
        <w:t>where</w:t>
      </w:r>
      <w:r>
        <w:rPr>
          <w:spacing w:val="-26"/>
        </w:rPr>
        <w:t> </w:t>
      </w:r>
      <w:r>
        <w:rPr/>
        <w:t>the</w:t>
      </w:r>
      <w:r>
        <w:rPr>
          <w:spacing w:val="-24"/>
        </w:rPr>
        <w:t> </w:t>
      </w:r>
      <w:r>
        <w:rPr/>
        <w:t>carrier</w:t>
      </w:r>
      <w:r>
        <w:rPr>
          <w:spacing w:val="-25"/>
        </w:rPr>
        <w:t> </w:t>
      </w:r>
      <w:r>
        <w:rPr/>
        <w:t>did</w:t>
      </w:r>
      <w:r>
        <w:rPr>
          <w:spacing w:val="-23"/>
        </w:rPr>
        <w:t> </w:t>
      </w:r>
      <w:r>
        <w:rPr/>
        <w:t>not</w:t>
      </w:r>
      <w:r>
        <w:rPr>
          <w:spacing w:val="-24"/>
        </w:rPr>
        <w:t> </w:t>
      </w:r>
      <w:r>
        <w:rPr/>
        <w:t>properly</w:t>
      </w:r>
      <w:r>
        <w:rPr>
          <w:spacing w:val="-25"/>
        </w:rPr>
        <w:t> </w:t>
      </w:r>
      <w:r>
        <w:rPr/>
        <w:t>exercise its right to repair (as by not providing written notice within 30 days of the filing of a proof of loss),</w:t>
      </w:r>
      <w:r>
        <w:rPr>
          <w:spacing w:val="-11"/>
        </w:rPr>
        <w:t> </w:t>
      </w:r>
      <w:r>
        <w:rPr/>
        <w:t>a</w:t>
      </w:r>
      <w:r>
        <w:rPr>
          <w:spacing w:val="-5"/>
        </w:rPr>
        <w:t> </w:t>
      </w:r>
      <w:r>
        <w:rPr/>
        <w:t>repair</w:t>
      </w:r>
      <w:r>
        <w:rPr>
          <w:spacing w:val="-7"/>
        </w:rPr>
        <w:t> </w:t>
      </w:r>
      <w:r>
        <w:rPr/>
        <w:t>unsatisfactory</w:t>
      </w:r>
      <w:r>
        <w:rPr>
          <w:spacing w:val="-10"/>
        </w:rPr>
        <w:t> </w:t>
      </w:r>
      <w:r>
        <w:rPr/>
        <w:t>to</w:t>
      </w:r>
      <w:r>
        <w:rPr>
          <w:spacing w:val="-8"/>
        </w:rPr>
        <w:t> </w:t>
      </w:r>
      <w:r>
        <w:rPr/>
        <w:t>the</w:t>
      </w:r>
      <w:r>
        <w:rPr>
          <w:spacing w:val="-8"/>
        </w:rPr>
        <w:t> </w:t>
      </w:r>
      <w:r>
        <w:rPr/>
        <w:t>insured</w:t>
      </w:r>
      <w:r>
        <w:rPr>
          <w:spacing w:val="-9"/>
        </w:rPr>
        <w:t> </w:t>
      </w:r>
      <w:r>
        <w:rPr/>
        <w:t>was insufficient.</w:t>
      </w:r>
      <w:r>
        <w:rPr>
          <w:spacing w:val="19"/>
        </w:rPr>
        <w:t> </w:t>
      </w:r>
      <w:r>
        <w:rPr/>
        <w:t>Without</w:t>
      </w:r>
      <w:r>
        <w:rPr>
          <w:spacing w:val="-24"/>
        </w:rPr>
        <w:t> </w:t>
      </w:r>
      <w:r>
        <w:rPr/>
        <w:t>a</w:t>
      </w:r>
      <w:r>
        <w:rPr>
          <w:spacing w:val="-25"/>
        </w:rPr>
        <w:t> </w:t>
      </w:r>
      <w:r>
        <w:rPr/>
        <w:t>right</w:t>
      </w:r>
      <w:r>
        <w:rPr>
          <w:spacing w:val="-23"/>
        </w:rPr>
        <w:t> </w:t>
      </w:r>
      <w:r>
        <w:rPr/>
        <w:t>to</w:t>
      </w:r>
      <w:r>
        <w:rPr>
          <w:spacing w:val="-21"/>
        </w:rPr>
        <w:t> </w:t>
      </w:r>
      <w:r>
        <w:rPr/>
        <w:t>repair,</w:t>
      </w:r>
      <w:r>
        <w:rPr>
          <w:spacing w:val="-27"/>
        </w:rPr>
        <w:t> </w:t>
      </w:r>
      <w:r>
        <w:rPr/>
        <w:t>the</w:t>
      </w:r>
      <w:r>
        <w:rPr>
          <w:spacing w:val="-25"/>
        </w:rPr>
        <w:t> </w:t>
      </w:r>
      <w:r>
        <w:rPr/>
        <w:t>carrier is bound by its own express language and is bound</w:t>
      </w:r>
      <w:r>
        <w:rPr>
          <w:spacing w:val="-30"/>
        </w:rPr>
        <w:t> </w:t>
      </w:r>
      <w:r>
        <w:rPr/>
        <w:t>to</w:t>
      </w:r>
      <w:r>
        <w:rPr>
          <w:spacing w:val="-31"/>
        </w:rPr>
        <w:t> </w:t>
      </w:r>
      <w:r>
        <w:rPr/>
        <w:t>pay</w:t>
      </w:r>
      <w:r>
        <w:rPr>
          <w:spacing w:val="-33"/>
        </w:rPr>
        <w:t> </w:t>
      </w:r>
      <w:r>
        <w:rPr/>
        <w:t>the</w:t>
      </w:r>
      <w:r>
        <w:rPr>
          <w:spacing w:val="-32"/>
        </w:rPr>
        <w:t> </w:t>
      </w:r>
      <w:r>
        <w:rPr/>
        <w:t>“scheduled</w:t>
      </w:r>
      <w:r>
        <w:rPr>
          <w:spacing w:val="-28"/>
        </w:rPr>
        <w:t> </w:t>
      </w:r>
      <w:r>
        <w:rPr/>
        <w:t>value</w:t>
      </w:r>
      <w:r>
        <w:rPr>
          <w:spacing w:val="-29"/>
        </w:rPr>
        <w:t> </w:t>
      </w:r>
      <w:r>
        <w:rPr/>
        <w:t>contained in the fine art floater and appraisal was deemed inappropriate as there is no dispute regarding the scheduled item’s</w:t>
      </w:r>
      <w:r>
        <w:rPr>
          <w:spacing w:val="-7"/>
        </w:rPr>
        <w:t> </w:t>
      </w:r>
      <w:r>
        <w:rPr/>
        <w:t>value.</w:t>
      </w:r>
      <w:r>
        <w:rPr>
          <w:vertAlign w:val="superscript"/>
        </w:rPr>
        <w:t>128</w:t>
      </w:r>
    </w:p>
    <w:p>
      <w:pPr>
        <w:pStyle w:val="BodyText"/>
        <w:spacing w:before="11"/>
        <w:rPr>
          <w:sz w:val="25"/>
        </w:rPr>
      </w:pPr>
    </w:p>
    <w:p>
      <w:pPr>
        <w:pStyle w:val="BodyText"/>
        <w:spacing w:line="242" w:lineRule="auto"/>
        <w:ind w:left="1520" w:right="1518" w:firstLine="720"/>
        <w:jc w:val="both"/>
      </w:pPr>
      <w:r>
        <w:rPr/>
        <w:t>A court in Pennsylvania clarified the applicability</w:t>
      </w:r>
      <w:r>
        <w:rPr>
          <w:spacing w:val="-33"/>
        </w:rPr>
        <w:t> </w:t>
      </w:r>
      <w:r>
        <w:rPr/>
        <w:t>of</w:t>
      </w:r>
      <w:r>
        <w:rPr>
          <w:spacing w:val="-29"/>
        </w:rPr>
        <w:t> </w:t>
      </w:r>
      <w:r>
        <w:rPr/>
        <w:t>appraisal</w:t>
      </w:r>
      <w:r>
        <w:rPr>
          <w:spacing w:val="-28"/>
        </w:rPr>
        <w:t> </w:t>
      </w:r>
      <w:r>
        <w:rPr/>
        <w:t>to</w:t>
      </w:r>
      <w:r>
        <w:rPr>
          <w:spacing w:val="-28"/>
        </w:rPr>
        <w:t> </w:t>
      </w:r>
      <w:r>
        <w:rPr/>
        <w:t>issues</w:t>
      </w:r>
      <w:r>
        <w:rPr>
          <w:spacing w:val="-27"/>
        </w:rPr>
        <w:t> </w:t>
      </w:r>
      <w:r>
        <w:rPr/>
        <w:t>of</w:t>
      </w:r>
      <w:r>
        <w:rPr>
          <w:spacing w:val="-28"/>
        </w:rPr>
        <w:t> </w:t>
      </w:r>
      <w:r>
        <w:rPr>
          <w:spacing w:val="-3"/>
        </w:rPr>
        <w:t>scope</w:t>
      </w:r>
      <w:r>
        <w:rPr>
          <w:spacing w:val="-29"/>
        </w:rPr>
        <w:t> </w:t>
      </w:r>
      <w:r>
        <w:rPr/>
        <w:t>and extent of loss. While a dispute involving coverage would not warrant appraisal, one surrounding</w:t>
      </w:r>
      <w:r>
        <w:rPr>
          <w:spacing w:val="-10"/>
        </w:rPr>
        <w:t> </w:t>
      </w:r>
      <w:r>
        <w:rPr/>
        <w:t>the</w:t>
      </w:r>
      <w:r>
        <w:rPr>
          <w:spacing w:val="-12"/>
        </w:rPr>
        <w:t> </w:t>
      </w:r>
      <w:r>
        <w:rPr/>
        <w:t>extent</w:t>
      </w:r>
      <w:r>
        <w:rPr>
          <w:spacing w:val="-15"/>
        </w:rPr>
        <w:t> </w:t>
      </w:r>
      <w:r>
        <w:rPr/>
        <w:t>of</w:t>
      </w:r>
      <w:r>
        <w:rPr>
          <w:spacing w:val="-12"/>
        </w:rPr>
        <w:t> </w:t>
      </w:r>
      <w:r>
        <w:rPr/>
        <w:t>damage</w:t>
      </w:r>
      <w:r>
        <w:rPr>
          <w:spacing w:val="-10"/>
        </w:rPr>
        <w:t> </w:t>
      </w:r>
      <w:r>
        <w:rPr/>
        <w:t>or</w:t>
      </w:r>
      <w:r>
        <w:rPr>
          <w:spacing w:val="-11"/>
        </w:rPr>
        <w:t> </w:t>
      </w:r>
      <w:r>
        <w:rPr/>
        <w:t>cause</w:t>
      </w:r>
      <w:r>
        <w:rPr>
          <w:spacing w:val="-9"/>
        </w:rPr>
        <w:t> </w:t>
      </w:r>
      <w:r>
        <w:rPr/>
        <w:t>of a portion of the damage pertains to the amount of loss and thus </w:t>
      </w:r>
      <w:r>
        <w:rPr>
          <w:i/>
        </w:rPr>
        <w:t>is </w:t>
      </w:r>
      <w:r>
        <w:rPr/>
        <w:t>appropriate </w:t>
      </w:r>
      <w:r>
        <w:rPr>
          <w:spacing w:val="-5"/>
        </w:rPr>
        <w:t>for </w:t>
      </w:r>
      <w:r>
        <w:rPr/>
        <w:t>appraisal. </w:t>
      </w:r>
      <w:r>
        <w:rPr>
          <w:spacing w:val="2"/>
        </w:rPr>
        <w:t>It </w:t>
      </w:r>
      <w:r>
        <w:rPr/>
        <w:t>was held that disputes involving scope of repairs and causation assessments would not render such a disagreement </w:t>
      </w:r>
      <w:r>
        <w:rPr>
          <w:spacing w:val="-11"/>
        </w:rPr>
        <w:t>a </w:t>
      </w:r>
      <w:r>
        <w:rPr/>
        <w:t>coverage</w:t>
      </w:r>
      <w:r>
        <w:rPr>
          <w:spacing w:val="-28"/>
        </w:rPr>
        <w:t> </w:t>
      </w:r>
      <w:r>
        <w:rPr/>
        <w:t>dispute.</w:t>
      </w:r>
      <w:r>
        <w:rPr>
          <w:vertAlign w:val="superscript"/>
        </w:rPr>
        <w:t>129</w:t>
      </w:r>
      <w:r>
        <w:rPr>
          <w:spacing w:val="16"/>
          <w:vertAlign w:val="baseline"/>
        </w:rPr>
        <w:t> </w:t>
      </w:r>
      <w:r>
        <w:rPr>
          <w:vertAlign w:val="baseline"/>
        </w:rPr>
        <w:t>Indeed,</w:t>
      </w:r>
      <w:r>
        <w:rPr>
          <w:spacing w:val="-30"/>
          <w:vertAlign w:val="baseline"/>
        </w:rPr>
        <w:t> </w:t>
      </w:r>
      <w:r>
        <w:rPr>
          <w:vertAlign w:val="baseline"/>
        </w:rPr>
        <w:t>this</w:t>
      </w:r>
      <w:r>
        <w:rPr>
          <w:spacing w:val="-26"/>
          <w:vertAlign w:val="baseline"/>
        </w:rPr>
        <w:t> </w:t>
      </w:r>
      <w:r>
        <w:rPr>
          <w:vertAlign w:val="baseline"/>
        </w:rPr>
        <w:t>is</w:t>
      </w:r>
      <w:r>
        <w:rPr>
          <w:spacing w:val="-26"/>
          <w:vertAlign w:val="baseline"/>
        </w:rPr>
        <w:t> </w:t>
      </w:r>
      <w:r>
        <w:rPr>
          <w:vertAlign w:val="baseline"/>
        </w:rPr>
        <w:t>the</w:t>
      </w:r>
      <w:r>
        <w:rPr>
          <w:spacing w:val="-26"/>
          <w:vertAlign w:val="baseline"/>
        </w:rPr>
        <w:t> </w:t>
      </w:r>
      <w:r>
        <w:rPr>
          <w:spacing w:val="-8"/>
          <w:vertAlign w:val="baseline"/>
        </w:rPr>
        <w:t>modern </w:t>
      </w:r>
      <w:r>
        <w:rPr>
          <w:vertAlign w:val="baseline"/>
        </w:rPr>
        <w:t>view as will be detailed</w:t>
      </w:r>
      <w:r>
        <w:rPr>
          <w:spacing w:val="-12"/>
          <w:vertAlign w:val="baseline"/>
        </w:rPr>
        <w:t> </w:t>
      </w:r>
      <w:r>
        <w:rPr>
          <w:vertAlign w:val="baseline"/>
        </w:rPr>
        <w:t>below.</w:t>
      </w:r>
    </w:p>
    <w:p>
      <w:pPr>
        <w:pStyle w:val="BodyText"/>
        <w:spacing w:before="11"/>
        <w:rPr>
          <w:sz w:val="25"/>
        </w:rPr>
      </w:pPr>
    </w:p>
    <w:p>
      <w:pPr>
        <w:pStyle w:val="BodyText"/>
        <w:spacing w:line="242" w:lineRule="auto"/>
        <w:ind w:left="1520" w:right="1519" w:firstLine="720"/>
        <w:jc w:val="both"/>
      </w:pPr>
      <w:r>
        <w:rPr/>
        <w:t>Should a question arise about </w:t>
      </w:r>
      <w:r>
        <w:rPr>
          <w:spacing w:val="-5"/>
        </w:rPr>
        <w:t>the </w:t>
      </w:r>
      <w:r>
        <w:rPr/>
        <w:t>authority of an appraiser to act, the</w:t>
      </w:r>
      <w:r>
        <w:rPr>
          <w:spacing w:val="-34"/>
        </w:rPr>
        <w:t> </w:t>
      </w:r>
      <w:r>
        <w:rPr/>
        <w:t>testimony of the appraiser himself may be offered</w:t>
      </w:r>
      <w:r>
        <w:rPr>
          <w:spacing w:val="12"/>
        </w:rPr>
        <w:t> </w:t>
      </w:r>
      <w:r>
        <w:rPr>
          <w:spacing w:val="-7"/>
        </w:rPr>
        <w:t>to</w:t>
      </w:r>
    </w:p>
    <w:p>
      <w:pPr>
        <w:pStyle w:val="BodyText"/>
        <w:rPr>
          <w:sz w:val="20"/>
        </w:rPr>
      </w:pPr>
    </w:p>
    <w:p>
      <w:pPr>
        <w:pStyle w:val="BodyText"/>
        <w:rPr>
          <w:sz w:val="20"/>
        </w:rPr>
      </w:pPr>
    </w:p>
    <w:p>
      <w:pPr>
        <w:pStyle w:val="BodyText"/>
        <w:spacing w:before="9"/>
        <w:rPr>
          <w:sz w:val="22"/>
        </w:rPr>
      </w:pPr>
    </w:p>
    <w:p>
      <w:pPr>
        <w:pStyle w:val="ListParagraph"/>
        <w:numPr>
          <w:ilvl w:val="0"/>
          <w:numId w:val="4"/>
        </w:numPr>
        <w:tabs>
          <w:tab w:pos="1435" w:val="left" w:leader="none"/>
        </w:tabs>
        <w:spacing w:line="220" w:lineRule="auto" w:before="85" w:after="0"/>
        <w:ind w:left="1160" w:right="1165" w:firstLine="0"/>
        <w:jc w:val="left"/>
        <w:rPr>
          <w:sz w:val="18"/>
        </w:rPr>
      </w:pPr>
      <w:r>
        <w:rPr>
          <w:sz w:val="18"/>
          <w:u w:val="single"/>
        </w:rPr>
        <w:t>Shemesh v. Citizens Ins. Co. of America</w:t>
      </w:r>
      <w:r>
        <w:rPr>
          <w:sz w:val="18"/>
        </w:rPr>
        <w:t>, 2012 WL 6720588 (Mich. Ct. App. 2012).</w:t>
      </w:r>
      <w:r>
        <w:rPr>
          <w:position w:val="10"/>
          <w:sz w:val="18"/>
        </w:rPr>
        <w:t> </w:t>
      </w:r>
      <w:r>
        <w:rPr>
          <w:spacing w:val="2"/>
          <w:position w:val="10"/>
          <w:sz w:val="14"/>
        </w:rPr>
        <w:t>129</w:t>
      </w:r>
      <w:r>
        <w:rPr>
          <w:spacing w:val="2"/>
          <w:sz w:val="14"/>
          <w:u w:val="single"/>
        </w:rPr>
        <w:t> </w:t>
      </w:r>
      <w:r>
        <w:rPr>
          <w:sz w:val="18"/>
          <w:u w:val="single"/>
        </w:rPr>
        <w:t>Currie v. State Farm Fire and Cas. Co.</w:t>
      </w:r>
      <w:r>
        <w:rPr>
          <w:sz w:val="18"/>
        </w:rPr>
        <w:t>, 2014 WL 4081051 (E.D. Pa.), citing </w:t>
      </w:r>
      <w:r>
        <w:rPr>
          <w:sz w:val="18"/>
          <w:u w:val="single"/>
        </w:rPr>
        <w:t>Ice City, Inc. v. Ins. Co. of North America</w:t>
      </w:r>
      <w:r>
        <w:rPr>
          <w:sz w:val="18"/>
        </w:rPr>
        <w:t>, 314 A.2d 236 (1974).</w:t>
      </w:r>
    </w:p>
    <w:p>
      <w:pPr>
        <w:spacing w:after="0" w:line="220" w:lineRule="auto"/>
        <w:jc w:val="left"/>
        <w:rPr>
          <w:sz w:val="18"/>
        </w:rPr>
        <w:sectPr>
          <w:footerReference w:type="default" r:id="rId6"/>
          <w:pgSz w:w="12240" w:h="15840"/>
          <w:pgMar w:footer="2476" w:header="0" w:top="1500" w:bottom="26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5"/>
      </w:pPr>
      <w:bookmarkStart w:name="Law and Procedure 101" w:id="9"/>
      <w:bookmarkEnd w:id="9"/>
      <w:r>
        <w:rPr/>
      </w:r>
      <w:r>
        <w:rPr/>
        <w:t>establish his authority to act on behalf of the party that appointed him.</w:t>
      </w:r>
      <w:r>
        <w:rPr>
          <w:vertAlign w:val="superscript"/>
        </w:rPr>
        <w:t>130</w:t>
      </w:r>
    </w:p>
    <w:p>
      <w:pPr>
        <w:pStyle w:val="BodyText"/>
        <w:spacing w:before="1"/>
      </w:pPr>
    </w:p>
    <w:p>
      <w:pPr>
        <w:pStyle w:val="BodyText"/>
        <w:spacing w:line="242" w:lineRule="auto" w:before="1"/>
        <w:ind w:left="1520" w:right="1517" w:firstLine="720"/>
        <w:jc w:val="both"/>
      </w:pPr>
      <w:r>
        <w:rPr>
          <w:spacing w:val="-3"/>
        </w:rPr>
        <w:t>Where </w:t>
      </w:r>
      <w:r>
        <w:rPr/>
        <w:t>there is a dispute as to the existence of coverage, the burden of proof</w:t>
      </w:r>
      <w:r>
        <w:rPr>
          <w:spacing w:val="-52"/>
        </w:rPr>
        <w:t> </w:t>
      </w:r>
      <w:r>
        <w:rPr/>
        <w:t>to show coverage generally remains with the party seeking to compel appraisal.</w:t>
      </w:r>
      <w:r>
        <w:rPr>
          <w:vertAlign w:val="superscript"/>
        </w:rPr>
        <w:t>131</w:t>
      </w:r>
      <w:r>
        <w:rPr>
          <w:vertAlign w:val="baseline"/>
        </w:rPr>
        <w:t> </w:t>
      </w:r>
      <w:r>
        <w:rPr>
          <w:spacing w:val="-9"/>
          <w:vertAlign w:val="baseline"/>
        </w:rPr>
        <w:t>Query </w:t>
      </w:r>
      <w:r>
        <w:rPr>
          <w:vertAlign w:val="baseline"/>
        </w:rPr>
        <w:t>whether the result should be different in the event of an all-risk policy where coverage is assumed and the insurer has the burden </w:t>
      </w:r>
      <w:r>
        <w:rPr>
          <w:spacing w:val="-6"/>
          <w:vertAlign w:val="baseline"/>
        </w:rPr>
        <w:t>of </w:t>
      </w:r>
      <w:r>
        <w:rPr>
          <w:vertAlign w:val="baseline"/>
        </w:rPr>
        <w:t>establishing an exclusion or limitation.</w:t>
      </w:r>
    </w:p>
    <w:p>
      <w:pPr>
        <w:pStyle w:val="BodyText"/>
        <w:spacing w:before="12"/>
        <w:rPr>
          <w:sz w:val="25"/>
        </w:rPr>
      </w:pPr>
    </w:p>
    <w:p>
      <w:pPr>
        <w:pStyle w:val="BodyText"/>
        <w:spacing w:line="242" w:lineRule="auto"/>
        <w:ind w:left="1520" w:right="1517" w:firstLine="720"/>
        <w:jc w:val="both"/>
      </w:pPr>
      <w:r>
        <w:rPr/>
        <w:t>Where there was an issue of what items were in the house at the time of the loss, it is appropriate to appraise the claim as presented and allow the insurer to litigate the issue later if it chooses.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6"/>
        </w:rPr>
      </w:pPr>
      <w:r>
        <w:rPr/>
        <w:pict>
          <v:shape style="position:absolute;margin-left:162pt;margin-top:12.816323pt;width:143.9pt;height:.1pt;mso-position-horizontal-relative:page;mso-position-vertical-relative:paragraph;z-index:-251621376;mso-wrap-distance-left:0;mso-wrap-distance-right:0" coordorigin="3240,256" coordsize="2878,0" path="m3240,256l6118,256e" filled="false" stroked="true" strokeweight=".84pt" strokecolor="#000000">
            <v:path arrowok="t"/>
            <v:stroke dashstyle="solid"/>
            <w10:wrap type="topAndBottom"/>
          </v:shape>
        </w:pict>
      </w:r>
    </w:p>
    <w:p>
      <w:pPr>
        <w:pStyle w:val="ListParagraph"/>
        <w:numPr>
          <w:ilvl w:val="0"/>
          <w:numId w:val="5"/>
        </w:numPr>
        <w:tabs>
          <w:tab w:pos="1421" w:val="left" w:leader="none"/>
        </w:tabs>
        <w:spacing w:line="245" w:lineRule="exact" w:before="140" w:after="0"/>
        <w:ind w:left="1421" w:right="0" w:hanging="261"/>
        <w:jc w:val="left"/>
        <w:rPr>
          <w:sz w:val="18"/>
        </w:rPr>
      </w:pPr>
      <w:r>
        <w:rPr>
          <w:sz w:val="18"/>
          <w:u w:val="single"/>
        </w:rPr>
        <w:t>Isaac v. Donegal &amp; Conoy Mut. Fire Ins. Co.</w:t>
      </w:r>
      <w:r>
        <w:rPr>
          <w:sz w:val="18"/>
        </w:rPr>
        <w:t>, 301 Pa. 351, 152 A. 95</w:t>
      </w:r>
      <w:r>
        <w:rPr>
          <w:spacing w:val="2"/>
          <w:sz w:val="18"/>
        </w:rPr>
        <w:t> </w:t>
      </w:r>
      <w:r>
        <w:rPr>
          <w:sz w:val="18"/>
        </w:rPr>
        <w:t>(1930).</w:t>
      </w:r>
    </w:p>
    <w:p>
      <w:pPr>
        <w:pStyle w:val="ListParagraph"/>
        <w:numPr>
          <w:ilvl w:val="0"/>
          <w:numId w:val="5"/>
        </w:numPr>
        <w:tabs>
          <w:tab w:pos="1421" w:val="left" w:leader="none"/>
        </w:tabs>
        <w:spacing w:line="235" w:lineRule="exact" w:before="0" w:after="0"/>
        <w:ind w:left="1421" w:right="0" w:hanging="261"/>
        <w:jc w:val="left"/>
        <w:rPr>
          <w:sz w:val="18"/>
        </w:rPr>
      </w:pPr>
      <w:r>
        <w:rPr>
          <w:sz w:val="18"/>
          <w:u w:val="single"/>
        </w:rPr>
        <w:t>Fishman v. Middlesex Mut. Ins. Co.</w:t>
      </w:r>
      <w:r>
        <w:rPr>
          <w:sz w:val="18"/>
        </w:rPr>
        <w:t>, 4 Conn. App. 339, 494 A.2d 606</w:t>
      </w:r>
      <w:r>
        <w:rPr>
          <w:spacing w:val="7"/>
          <w:sz w:val="18"/>
        </w:rPr>
        <w:t> </w:t>
      </w:r>
      <w:r>
        <w:rPr>
          <w:sz w:val="18"/>
        </w:rPr>
        <w:t>(1985).</w:t>
      </w:r>
    </w:p>
    <w:p>
      <w:pPr>
        <w:spacing w:after="0" w:line="235" w:lineRule="exact"/>
        <w:jc w:val="left"/>
        <w:rPr>
          <w:sz w:val="18"/>
        </w:rPr>
        <w:sectPr>
          <w:footerReference w:type="default" r:id="rId7"/>
          <w:pgSz w:w="12240" w:h="15840"/>
          <w:pgMar w:footer="2273" w:header="0" w:top="1500" w:bottom="2460" w:left="1720" w:right="1720"/>
          <w:pgNumType w:start="77"/>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ListParagraph"/>
        <w:numPr>
          <w:ilvl w:val="0"/>
          <w:numId w:val="2"/>
        </w:numPr>
        <w:tabs>
          <w:tab w:pos="2239" w:val="left" w:leader="none"/>
          <w:tab w:pos="2240" w:val="left" w:leader="none"/>
        </w:tabs>
        <w:spacing w:line="242" w:lineRule="auto" w:before="42" w:after="0"/>
        <w:ind w:left="2240" w:right="1902" w:hanging="720"/>
        <w:jc w:val="left"/>
        <w:rPr>
          <w:rFonts w:ascii="Century Gothic" w:hAnsi="Century Gothic"/>
          <w:sz w:val="26"/>
        </w:rPr>
      </w:pPr>
      <w:bookmarkStart w:name="Law and Procedure 102" w:id="10"/>
      <w:bookmarkEnd w:id="10"/>
      <w:r>
        <w:rPr/>
      </w:r>
      <w:bookmarkStart w:name="Law and Procedure 102" w:id="11"/>
      <w:bookmarkEnd w:id="11"/>
      <w:r>
        <w:rPr>
          <w:rFonts w:ascii="Century Gothic" w:hAnsi="Century Gothic"/>
          <w:spacing w:val="2"/>
          <w:sz w:val="26"/>
        </w:rPr>
        <w:t>A</w:t>
      </w:r>
      <w:r>
        <w:rPr>
          <w:rFonts w:ascii="Century Gothic" w:hAnsi="Century Gothic"/>
          <w:spacing w:val="2"/>
          <w:sz w:val="26"/>
        </w:rPr>
        <w:t>PPRAISAL </w:t>
      </w:r>
      <w:r>
        <w:rPr>
          <w:rFonts w:ascii="Century Gothic" w:hAnsi="Century Gothic"/>
          <w:sz w:val="26"/>
        </w:rPr>
        <w:t>OF “LOSS AND VALUE” </w:t>
      </w:r>
      <w:r>
        <w:rPr>
          <w:rFonts w:ascii="Century Gothic" w:hAnsi="Century Gothic"/>
          <w:spacing w:val="-9"/>
          <w:sz w:val="26"/>
        </w:rPr>
        <w:t>TO </w:t>
      </w:r>
      <w:r>
        <w:rPr>
          <w:rFonts w:ascii="Century Gothic" w:hAnsi="Century Gothic"/>
          <w:sz w:val="26"/>
        </w:rPr>
        <w:t>PROPERTY </w:t>
      </w:r>
      <w:r>
        <w:rPr>
          <w:rFonts w:ascii="Century Gothic" w:hAnsi="Century Gothic"/>
          <w:spacing w:val="2"/>
          <w:sz w:val="26"/>
        </w:rPr>
        <w:t>AS </w:t>
      </w:r>
      <w:r>
        <w:rPr>
          <w:rFonts w:ascii="Century Gothic" w:hAnsi="Century Gothic"/>
          <w:spacing w:val="-3"/>
          <w:sz w:val="26"/>
        </w:rPr>
        <w:t>WELL </w:t>
      </w:r>
      <w:r>
        <w:rPr>
          <w:rFonts w:ascii="Century Gothic" w:hAnsi="Century Gothic"/>
          <w:sz w:val="26"/>
        </w:rPr>
        <w:t>AS ECONOMIC LOSS AND OTHER</w:t>
      </w:r>
      <w:r>
        <w:rPr>
          <w:rFonts w:ascii="Century Gothic" w:hAnsi="Century Gothic"/>
          <w:spacing w:val="-2"/>
          <w:sz w:val="26"/>
        </w:rPr>
        <w:t> </w:t>
      </w:r>
      <w:r>
        <w:rPr>
          <w:rFonts w:ascii="Century Gothic" w:hAnsi="Century Gothic"/>
          <w:sz w:val="26"/>
        </w:rPr>
        <w:t>CLAIMS</w:t>
      </w:r>
    </w:p>
    <w:p>
      <w:pPr>
        <w:pStyle w:val="BodyText"/>
        <w:spacing w:before="1"/>
      </w:pPr>
    </w:p>
    <w:p>
      <w:pPr>
        <w:pStyle w:val="BodyText"/>
        <w:spacing w:line="242" w:lineRule="auto"/>
        <w:ind w:left="1520" w:right="1519" w:firstLine="720"/>
        <w:jc w:val="both"/>
      </w:pPr>
      <w:r>
        <w:rPr>
          <w:spacing w:val="2"/>
        </w:rPr>
        <w:t>An </w:t>
      </w:r>
      <w:r>
        <w:rPr/>
        <w:t>appraisal may determine both the amount</w:t>
      </w:r>
      <w:r>
        <w:rPr>
          <w:spacing w:val="-26"/>
        </w:rPr>
        <w:t> </w:t>
      </w:r>
      <w:r>
        <w:rPr/>
        <w:t>and</w:t>
      </w:r>
      <w:r>
        <w:rPr>
          <w:spacing w:val="-23"/>
        </w:rPr>
        <w:t> </w:t>
      </w:r>
      <w:r>
        <w:rPr/>
        <w:t>extent</w:t>
      </w:r>
      <w:r>
        <w:rPr>
          <w:spacing w:val="-24"/>
        </w:rPr>
        <w:t> </w:t>
      </w:r>
      <w:r>
        <w:rPr/>
        <w:t>of</w:t>
      </w:r>
      <w:r>
        <w:rPr>
          <w:spacing w:val="-23"/>
        </w:rPr>
        <w:t> </w:t>
      </w:r>
      <w:r>
        <w:rPr/>
        <w:t>partial</w:t>
      </w:r>
      <w:r>
        <w:rPr>
          <w:spacing w:val="-25"/>
        </w:rPr>
        <w:t> </w:t>
      </w:r>
      <w:r>
        <w:rPr/>
        <w:t>damage</w:t>
      </w:r>
      <w:r>
        <w:rPr>
          <w:spacing w:val="-26"/>
        </w:rPr>
        <w:t> </w:t>
      </w:r>
      <w:r>
        <w:rPr/>
        <w:t>and</w:t>
      </w:r>
      <w:r>
        <w:rPr>
          <w:spacing w:val="-26"/>
        </w:rPr>
        <w:t> </w:t>
      </w:r>
      <w:r>
        <w:rPr/>
        <w:t>the cost to remediate it, as well as whether there has been a total loss. The value of damaged property is also appraisable. </w:t>
      </w:r>
      <w:r>
        <w:rPr>
          <w:spacing w:val="2"/>
        </w:rPr>
        <w:t>As </w:t>
      </w:r>
      <w:r>
        <w:rPr/>
        <w:t>will be seen, however, these are not universal</w:t>
      </w:r>
      <w:r>
        <w:rPr>
          <w:spacing w:val="-17"/>
        </w:rPr>
        <w:t> </w:t>
      </w:r>
      <w:r>
        <w:rPr/>
        <w:t>truths.</w:t>
      </w:r>
    </w:p>
    <w:p>
      <w:pPr>
        <w:pStyle w:val="BodyText"/>
        <w:spacing w:before="1"/>
      </w:pPr>
    </w:p>
    <w:p>
      <w:pPr>
        <w:pStyle w:val="BodyText"/>
        <w:spacing w:line="242" w:lineRule="auto"/>
        <w:ind w:left="1520" w:right="1517" w:firstLine="720"/>
        <w:jc w:val="both"/>
      </w:pPr>
      <w:r>
        <w:rPr/>
        <w:t>Other varieties of loss and damage in addition to property damage are subject to the appraisal provision. For example, business interruption claims, extra expense, lost rents, additional</w:t>
      </w:r>
      <w:r>
        <w:rPr>
          <w:spacing w:val="-30"/>
        </w:rPr>
        <w:t> </w:t>
      </w:r>
      <w:r>
        <w:rPr/>
        <w:t>living</w:t>
      </w:r>
      <w:r>
        <w:rPr>
          <w:spacing w:val="-31"/>
        </w:rPr>
        <w:t> </w:t>
      </w:r>
      <w:r>
        <w:rPr/>
        <w:t>expenses</w:t>
      </w:r>
      <w:r>
        <w:rPr>
          <w:spacing w:val="-35"/>
        </w:rPr>
        <w:t> </w:t>
      </w:r>
      <w:r>
        <w:rPr/>
        <w:t>and</w:t>
      </w:r>
      <w:r>
        <w:rPr>
          <w:spacing w:val="-35"/>
        </w:rPr>
        <w:t> </w:t>
      </w:r>
      <w:r>
        <w:rPr>
          <w:spacing w:val="-3"/>
        </w:rPr>
        <w:t>other</w:t>
      </w:r>
      <w:r>
        <w:rPr>
          <w:spacing w:val="-33"/>
        </w:rPr>
        <w:t> </w:t>
      </w:r>
      <w:r>
        <w:rPr/>
        <w:t>economic losses are also</w:t>
      </w:r>
      <w:r>
        <w:rPr>
          <w:spacing w:val="-3"/>
        </w:rPr>
        <w:t> </w:t>
      </w:r>
      <w:r>
        <w:rPr/>
        <w:t>appraisable.</w:t>
      </w:r>
      <w:r>
        <w:rPr>
          <w:vertAlign w:val="superscript"/>
        </w:rPr>
        <w:t>132</w:t>
      </w:r>
    </w:p>
    <w:p>
      <w:pPr>
        <w:pStyle w:val="BodyText"/>
      </w:pPr>
    </w:p>
    <w:p>
      <w:pPr>
        <w:pStyle w:val="BodyText"/>
        <w:spacing w:line="242" w:lineRule="auto" w:before="1"/>
        <w:ind w:left="1520" w:right="1515" w:firstLine="720"/>
        <w:jc w:val="both"/>
      </w:pPr>
      <w:r>
        <w:rPr/>
        <w:t>For example, under New York </w:t>
      </w:r>
      <w:r>
        <w:rPr>
          <w:spacing w:val="-4"/>
        </w:rPr>
        <w:t>law, </w:t>
      </w:r>
      <w:r>
        <w:rPr/>
        <w:t>calculation of the restoration period</w:t>
      </w:r>
      <w:r>
        <w:rPr>
          <w:spacing w:val="52"/>
        </w:rPr>
        <w:t> </w:t>
      </w:r>
      <w:r>
        <w:rPr/>
        <w:t>during which</w:t>
      </w:r>
      <w:r>
        <w:rPr>
          <w:spacing w:val="-19"/>
        </w:rPr>
        <w:t> </w:t>
      </w:r>
      <w:r>
        <w:rPr/>
        <w:t>the</w:t>
      </w:r>
      <w:r>
        <w:rPr>
          <w:spacing w:val="-19"/>
        </w:rPr>
        <w:t> </w:t>
      </w:r>
      <w:r>
        <w:rPr/>
        <w:t>insured’s</w:t>
      </w:r>
      <w:r>
        <w:rPr>
          <w:spacing w:val="-22"/>
        </w:rPr>
        <w:t> </w:t>
      </w:r>
      <w:r>
        <w:rPr/>
        <w:t>business</w:t>
      </w:r>
      <w:r>
        <w:rPr>
          <w:spacing w:val="-19"/>
        </w:rPr>
        <w:t> </w:t>
      </w:r>
      <w:r>
        <w:rPr/>
        <w:t>income</w:t>
      </w:r>
      <w:r>
        <w:rPr>
          <w:spacing w:val="-19"/>
        </w:rPr>
        <w:t> </w:t>
      </w:r>
      <w:r>
        <w:rPr/>
        <w:t>losses</w:t>
      </w:r>
      <w:r>
        <w:rPr>
          <w:spacing w:val="-17"/>
        </w:rPr>
        <w:t> </w:t>
      </w:r>
      <w:r>
        <w:rPr/>
        <w:t>can be attributed to a covered event is a factual question about damages, albeit sometimes a complex and contentious one, appropriately addressed by appraisal. However, an appraiser may not resolve coverage disputes or legal questions regarding the</w:t>
      </w:r>
      <w:r>
        <w:rPr>
          <w:spacing w:val="-26"/>
        </w:rPr>
        <w:t> </w:t>
      </w:r>
      <w:r>
        <w:rPr/>
        <w:t>interpretation of the</w:t>
      </w:r>
      <w:r>
        <w:rPr>
          <w:spacing w:val="-2"/>
        </w:rPr>
        <w:t> </w:t>
      </w:r>
      <w:r>
        <w:rPr/>
        <w:t>policy.</w:t>
      </w:r>
      <w:r>
        <w:rPr>
          <w:vertAlign w:val="superscript"/>
        </w:rPr>
        <w:t>133</w:t>
      </w:r>
    </w:p>
    <w:p>
      <w:pPr>
        <w:pStyle w:val="BodyText"/>
        <w:rPr>
          <w:sz w:val="20"/>
        </w:rPr>
      </w:pPr>
    </w:p>
    <w:p>
      <w:pPr>
        <w:pStyle w:val="BodyText"/>
        <w:rPr>
          <w:sz w:val="20"/>
        </w:rPr>
      </w:pPr>
    </w:p>
    <w:p>
      <w:pPr>
        <w:pStyle w:val="BodyText"/>
        <w:rPr>
          <w:sz w:val="11"/>
        </w:rPr>
      </w:pPr>
      <w:r>
        <w:rPr/>
        <w:pict>
          <v:shape style="position:absolute;margin-left:162pt;margin-top:9.18191pt;width:143.9pt;height:.1pt;mso-position-horizontal-relative:page;mso-position-vertical-relative:paragraph;z-index:-251620352;mso-wrap-distance-left:0;mso-wrap-distance-right:0" coordorigin="3240,184" coordsize="2878,0" path="m3240,184l6118,184e" filled="false" stroked="true" strokeweight=".84pt" strokecolor="#000000">
            <v:path arrowok="t"/>
            <v:stroke dashstyle="solid"/>
            <w10:wrap type="topAndBottom"/>
          </v:shape>
        </w:pict>
      </w:r>
    </w:p>
    <w:p>
      <w:pPr>
        <w:pStyle w:val="ListParagraph"/>
        <w:numPr>
          <w:ilvl w:val="0"/>
          <w:numId w:val="5"/>
        </w:numPr>
        <w:tabs>
          <w:tab w:pos="1406" w:val="left" w:leader="none"/>
        </w:tabs>
        <w:spacing w:line="244" w:lineRule="auto" w:before="140" w:after="0"/>
        <w:ind w:left="1160" w:right="1171" w:firstLine="0"/>
        <w:jc w:val="left"/>
        <w:rPr>
          <w:sz w:val="18"/>
        </w:rPr>
      </w:pPr>
      <w:r>
        <w:rPr>
          <w:sz w:val="18"/>
          <w:u w:val="single"/>
        </w:rPr>
        <w:t>Amerex</w:t>
      </w:r>
      <w:r>
        <w:rPr>
          <w:spacing w:val="-19"/>
          <w:sz w:val="18"/>
          <w:u w:val="single"/>
        </w:rPr>
        <w:t> </w:t>
      </w:r>
      <w:r>
        <w:rPr>
          <w:sz w:val="18"/>
          <w:u w:val="single"/>
        </w:rPr>
        <w:t>Group,</w:t>
      </w:r>
      <w:r>
        <w:rPr>
          <w:spacing w:val="-15"/>
          <w:sz w:val="18"/>
          <w:u w:val="single"/>
        </w:rPr>
        <w:t> </w:t>
      </w:r>
      <w:r>
        <w:rPr>
          <w:sz w:val="18"/>
          <w:u w:val="single"/>
        </w:rPr>
        <w:t>Inc.</w:t>
      </w:r>
      <w:r>
        <w:rPr>
          <w:spacing w:val="-16"/>
          <w:sz w:val="18"/>
          <w:u w:val="single"/>
        </w:rPr>
        <w:t> </w:t>
      </w:r>
      <w:r>
        <w:rPr>
          <w:sz w:val="18"/>
          <w:u w:val="single"/>
        </w:rPr>
        <w:t>v.</w:t>
      </w:r>
      <w:r>
        <w:rPr>
          <w:spacing w:val="-17"/>
          <w:sz w:val="18"/>
          <w:u w:val="single"/>
        </w:rPr>
        <w:t> </w:t>
      </w:r>
      <w:r>
        <w:rPr>
          <w:sz w:val="18"/>
          <w:u w:val="single"/>
        </w:rPr>
        <w:t>Lexington</w:t>
      </w:r>
      <w:r>
        <w:rPr>
          <w:spacing w:val="-16"/>
          <w:sz w:val="18"/>
          <w:u w:val="single"/>
        </w:rPr>
        <w:t> </w:t>
      </w:r>
      <w:r>
        <w:rPr>
          <w:sz w:val="18"/>
          <w:u w:val="single"/>
        </w:rPr>
        <w:t>Ins.</w:t>
      </w:r>
      <w:r>
        <w:rPr>
          <w:spacing w:val="-18"/>
          <w:sz w:val="18"/>
          <w:u w:val="single"/>
        </w:rPr>
        <w:t> </w:t>
      </w:r>
      <w:r>
        <w:rPr>
          <w:sz w:val="18"/>
          <w:u w:val="single"/>
        </w:rPr>
        <w:t>Co.</w:t>
      </w:r>
      <w:r>
        <w:rPr>
          <w:sz w:val="18"/>
        </w:rPr>
        <w:t>,</w:t>
      </w:r>
      <w:r>
        <w:rPr>
          <w:spacing w:val="-19"/>
          <w:sz w:val="18"/>
        </w:rPr>
        <w:t> </w:t>
      </w:r>
      <w:r>
        <w:rPr>
          <w:sz w:val="18"/>
        </w:rPr>
        <w:t>678</w:t>
      </w:r>
      <w:r>
        <w:rPr>
          <w:spacing w:val="-18"/>
          <w:sz w:val="18"/>
        </w:rPr>
        <w:t> </w:t>
      </w:r>
      <w:r>
        <w:rPr>
          <w:sz w:val="18"/>
        </w:rPr>
        <w:t>F.3d</w:t>
      </w:r>
      <w:r>
        <w:rPr>
          <w:spacing w:val="-18"/>
          <w:sz w:val="18"/>
        </w:rPr>
        <w:t> </w:t>
      </w:r>
      <w:r>
        <w:rPr>
          <w:sz w:val="18"/>
        </w:rPr>
        <w:t>193</w:t>
      </w:r>
      <w:r>
        <w:rPr>
          <w:spacing w:val="-17"/>
          <w:sz w:val="18"/>
        </w:rPr>
        <w:t> </w:t>
      </w:r>
      <w:r>
        <w:rPr>
          <w:sz w:val="18"/>
        </w:rPr>
        <w:t>(L.A.2</w:t>
      </w:r>
      <w:r>
        <w:rPr>
          <w:spacing w:val="-17"/>
          <w:sz w:val="18"/>
        </w:rPr>
        <w:t> </w:t>
      </w:r>
      <w:r>
        <w:rPr>
          <w:sz w:val="18"/>
        </w:rPr>
        <w:t>(N.Y.)</w:t>
      </w:r>
      <w:r>
        <w:rPr>
          <w:spacing w:val="-17"/>
          <w:sz w:val="18"/>
        </w:rPr>
        <w:t> </w:t>
      </w:r>
      <w:r>
        <w:rPr>
          <w:sz w:val="18"/>
        </w:rPr>
        <w:t>2012);</w:t>
      </w:r>
      <w:r>
        <w:rPr>
          <w:spacing w:val="-18"/>
          <w:sz w:val="18"/>
        </w:rPr>
        <w:t> </w:t>
      </w:r>
      <w:r>
        <w:rPr>
          <w:sz w:val="18"/>
          <w:u w:val="single"/>
        </w:rPr>
        <w:t>Lakewood Mfg. Co. v. Home Ins. Co.</w:t>
      </w:r>
      <w:r>
        <w:rPr>
          <w:sz w:val="18"/>
        </w:rPr>
        <w:t>, 422 F.2d 796, 24 Ohio Misc. 244 (6</w:t>
      </w:r>
      <w:r>
        <w:rPr>
          <w:position w:val="7"/>
          <w:sz w:val="10"/>
        </w:rPr>
        <w:t>th </w:t>
      </w:r>
      <w:r>
        <w:rPr>
          <w:sz w:val="18"/>
        </w:rPr>
        <w:t>Cir.</w:t>
      </w:r>
      <w:r>
        <w:rPr>
          <w:spacing w:val="12"/>
          <w:sz w:val="18"/>
        </w:rPr>
        <w:t> </w:t>
      </w:r>
      <w:r>
        <w:rPr>
          <w:sz w:val="18"/>
        </w:rPr>
        <w:t>1970).</w:t>
      </w:r>
    </w:p>
    <w:p>
      <w:pPr>
        <w:spacing w:line="206" w:lineRule="exact" w:before="0"/>
        <w:ind w:left="1160" w:right="0" w:firstLine="0"/>
        <w:jc w:val="left"/>
        <w:rPr>
          <w:rFonts w:ascii="Times New Roman"/>
          <w:sz w:val="18"/>
        </w:rPr>
      </w:pPr>
      <w:r>
        <w:rPr>
          <w:rFonts w:ascii="Times New Roman"/>
          <w:position w:val="9"/>
          <w:sz w:val="14"/>
        </w:rPr>
        <w:t>133 </w:t>
      </w:r>
      <w:r>
        <w:rPr>
          <w:rFonts w:ascii="Times New Roman"/>
          <w:sz w:val="18"/>
          <w:u w:val="single"/>
        </w:rPr>
        <w:t>Id</w:t>
      </w:r>
      <w:r>
        <w:rPr>
          <w:rFonts w:ascii="Times New Roman"/>
          <w:sz w:val="18"/>
        </w:rPr>
        <w:t>. at 205-206.</w:t>
      </w:r>
    </w:p>
    <w:p>
      <w:pPr>
        <w:spacing w:after="0" w:line="206" w:lineRule="exact"/>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firstLine="720"/>
        <w:jc w:val="both"/>
      </w:pPr>
      <w:bookmarkStart w:name="Law and Procedure 103" w:id="12"/>
      <w:bookmarkEnd w:id="12"/>
      <w:r>
        <w:rPr/>
      </w:r>
      <w:r>
        <w:rPr/>
        <w:t>Indeed, in </w:t>
      </w:r>
      <w:r>
        <w:rPr>
          <w:u w:val="single"/>
        </w:rPr>
        <w:t>Duane Reade, Inc. v. St. Paul</w:t>
      </w:r>
      <w:r>
        <w:rPr/>
        <w:t> </w:t>
      </w:r>
      <w:r>
        <w:rPr>
          <w:u w:val="single"/>
        </w:rPr>
        <w:t>Fire &amp; Marine Ins. Co.</w:t>
      </w:r>
      <w:r>
        <w:rPr/>
        <w:t>,</w:t>
      </w:r>
      <w:r>
        <w:rPr>
          <w:vertAlign w:val="superscript"/>
        </w:rPr>
        <w:t>134</w:t>
      </w:r>
      <w:r>
        <w:rPr>
          <w:vertAlign w:val="baseline"/>
        </w:rPr>
        <w:t> a claim related to </w:t>
      </w:r>
      <w:r>
        <w:rPr>
          <w:spacing w:val="-13"/>
          <w:vertAlign w:val="baseline"/>
        </w:rPr>
        <w:t>the </w:t>
      </w:r>
      <w:r>
        <w:rPr>
          <w:vertAlign w:val="baseline"/>
        </w:rPr>
        <w:t>attack on the World Trade Center, the court held that under New York law, the question of the length of the restoration period of a business interruption claim was a question of valuation</w:t>
      </w:r>
      <w:r>
        <w:rPr>
          <w:spacing w:val="-36"/>
          <w:vertAlign w:val="baseline"/>
        </w:rPr>
        <w:t> </w:t>
      </w:r>
      <w:r>
        <w:rPr>
          <w:vertAlign w:val="baseline"/>
        </w:rPr>
        <w:t>for</w:t>
      </w:r>
      <w:r>
        <w:rPr>
          <w:spacing w:val="-37"/>
          <w:vertAlign w:val="baseline"/>
        </w:rPr>
        <w:t> </w:t>
      </w:r>
      <w:r>
        <w:rPr>
          <w:vertAlign w:val="baseline"/>
        </w:rPr>
        <w:t>appraisers</w:t>
      </w:r>
      <w:r>
        <w:rPr>
          <w:spacing w:val="-36"/>
          <w:vertAlign w:val="baseline"/>
        </w:rPr>
        <w:t> </w:t>
      </w:r>
      <w:r>
        <w:rPr>
          <w:vertAlign w:val="baseline"/>
        </w:rPr>
        <w:t>though</w:t>
      </w:r>
      <w:r>
        <w:rPr>
          <w:spacing w:val="-34"/>
          <w:vertAlign w:val="baseline"/>
        </w:rPr>
        <w:t> </w:t>
      </w:r>
      <w:r>
        <w:rPr>
          <w:vertAlign w:val="baseline"/>
        </w:rPr>
        <w:t>the</w:t>
      </w:r>
      <w:r>
        <w:rPr>
          <w:spacing w:val="-38"/>
          <w:vertAlign w:val="baseline"/>
        </w:rPr>
        <w:t> </w:t>
      </w:r>
      <w:r>
        <w:rPr>
          <w:vertAlign w:val="baseline"/>
        </w:rPr>
        <w:t>definition</w:t>
      </w:r>
      <w:r>
        <w:rPr>
          <w:spacing w:val="-38"/>
          <w:vertAlign w:val="baseline"/>
        </w:rPr>
        <w:t> </w:t>
      </w:r>
      <w:r>
        <w:rPr>
          <w:vertAlign w:val="baseline"/>
        </w:rPr>
        <w:t>of the</w:t>
      </w:r>
      <w:r>
        <w:rPr>
          <w:spacing w:val="-10"/>
          <w:vertAlign w:val="baseline"/>
        </w:rPr>
        <w:t> </w:t>
      </w:r>
      <w:r>
        <w:rPr>
          <w:vertAlign w:val="baseline"/>
        </w:rPr>
        <w:t>restoration</w:t>
      </w:r>
      <w:r>
        <w:rPr>
          <w:spacing w:val="-8"/>
          <w:vertAlign w:val="baseline"/>
        </w:rPr>
        <w:t> </w:t>
      </w:r>
      <w:r>
        <w:rPr>
          <w:vertAlign w:val="baseline"/>
        </w:rPr>
        <w:t>period</w:t>
      </w:r>
      <w:r>
        <w:rPr>
          <w:spacing w:val="-12"/>
          <w:vertAlign w:val="baseline"/>
        </w:rPr>
        <w:t> </w:t>
      </w:r>
      <w:r>
        <w:rPr>
          <w:vertAlign w:val="baseline"/>
        </w:rPr>
        <w:t>was</w:t>
      </w:r>
      <w:r>
        <w:rPr>
          <w:spacing w:val="-8"/>
          <w:vertAlign w:val="baseline"/>
        </w:rPr>
        <w:t> </w:t>
      </w:r>
      <w:r>
        <w:rPr>
          <w:vertAlign w:val="baseline"/>
        </w:rPr>
        <w:t>to</w:t>
      </w:r>
      <w:r>
        <w:rPr>
          <w:spacing w:val="-9"/>
          <w:vertAlign w:val="baseline"/>
        </w:rPr>
        <w:t> </w:t>
      </w:r>
      <w:r>
        <w:rPr>
          <w:vertAlign w:val="baseline"/>
        </w:rPr>
        <w:t>be</w:t>
      </w:r>
      <w:r>
        <w:rPr>
          <w:spacing w:val="-9"/>
          <w:vertAlign w:val="baseline"/>
        </w:rPr>
        <w:t> </w:t>
      </w:r>
      <w:r>
        <w:rPr>
          <w:vertAlign w:val="baseline"/>
        </w:rPr>
        <w:t>settled</w:t>
      </w:r>
      <w:r>
        <w:rPr>
          <w:spacing w:val="-9"/>
          <w:vertAlign w:val="baseline"/>
        </w:rPr>
        <w:t> </w:t>
      </w:r>
      <w:r>
        <w:rPr>
          <w:vertAlign w:val="baseline"/>
        </w:rPr>
        <w:t>by</w:t>
      </w:r>
      <w:r>
        <w:rPr>
          <w:spacing w:val="-11"/>
          <w:vertAlign w:val="baseline"/>
        </w:rPr>
        <w:t> </w:t>
      </w:r>
      <w:r>
        <w:rPr>
          <w:vertAlign w:val="baseline"/>
        </w:rPr>
        <w:t>the court as a legal issue. </w:t>
      </w:r>
      <w:r>
        <w:rPr>
          <w:spacing w:val="4"/>
          <w:vertAlign w:val="baseline"/>
        </w:rPr>
        <w:t>In </w:t>
      </w:r>
      <w:r>
        <w:rPr>
          <w:vertAlign w:val="baseline"/>
        </w:rPr>
        <w:t>this claim which involved the destruction of the insured’s store located on the concourse of the World Trade Center, the court was confronted with the insured’s</w:t>
      </w:r>
      <w:r>
        <w:rPr>
          <w:spacing w:val="-14"/>
          <w:vertAlign w:val="baseline"/>
        </w:rPr>
        <w:t> </w:t>
      </w:r>
      <w:r>
        <w:rPr>
          <w:vertAlign w:val="baseline"/>
        </w:rPr>
        <w:t>claim</w:t>
      </w:r>
      <w:r>
        <w:rPr>
          <w:spacing w:val="-14"/>
          <w:vertAlign w:val="baseline"/>
        </w:rPr>
        <w:t> </w:t>
      </w:r>
      <w:r>
        <w:rPr>
          <w:vertAlign w:val="baseline"/>
        </w:rPr>
        <w:t>for</w:t>
      </w:r>
      <w:r>
        <w:rPr>
          <w:spacing w:val="-16"/>
          <w:vertAlign w:val="baseline"/>
        </w:rPr>
        <w:t> </w:t>
      </w:r>
      <w:r>
        <w:rPr>
          <w:vertAlign w:val="baseline"/>
        </w:rPr>
        <w:t>business</w:t>
      </w:r>
      <w:r>
        <w:rPr>
          <w:spacing w:val="-13"/>
          <w:vertAlign w:val="baseline"/>
        </w:rPr>
        <w:t> </w:t>
      </w:r>
      <w:r>
        <w:rPr>
          <w:vertAlign w:val="baseline"/>
        </w:rPr>
        <w:t>interruption</w:t>
      </w:r>
      <w:r>
        <w:rPr>
          <w:spacing w:val="-15"/>
          <w:vertAlign w:val="baseline"/>
        </w:rPr>
        <w:t> </w:t>
      </w:r>
      <w:r>
        <w:rPr>
          <w:vertAlign w:val="baseline"/>
        </w:rPr>
        <w:t>carried forward</w:t>
      </w:r>
      <w:r>
        <w:rPr>
          <w:spacing w:val="-24"/>
          <w:vertAlign w:val="baseline"/>
        </w:rPr>
        <w:t> </w:t>
      </w:r>
      <w:r>
        <w:rPr>
          <w:vertAlign w:val="baseline"/>
        </w:rPr>
        <w:t>for</w:t>
      </w:r>
      <w:r>
        <w:rPr>
          <w:spacing w:val="-25"/>
          <w:vertAlign w:val="baseline"/>
        </w:rPr>
        <w:t> </w:t>
      </w:r>
      <w:r>
        <w:rPr>
          <w:vertAlign w:val="baseline"/>
        </w:rPr>
        <w:t>the</w:t>
      </w:r>
      <w:r>
        <w:rPr>
          <w:spacing w:val="-23"/>
          <w:vertAlign w:val="baseline"/>
        </w:rPr>
        <w:t> </w:t>
      </w:r>
      <w:r>
        <w:rPr>
          <w:vertAlign w:val="baseline"/>
        </w:rPr>
        <w:t>actual</w:t>
      </w:r>
      <w:r>
        <w:rPr>
          <w:spacing w:val="-21"/>
          <w:vertAlign w:val="baseline"/>
        </w:rPr>
        <w:t> </w:t>
      </w:r>
      <w:r>
        <w:rPr>
          <w:vertAlign w:val="baseline"/>
        </w:rPr>
        <w:t>amount</w:t>
      </w:r>
      <w:r>
        <w:rPr>
          <w:spacing w:val="-24"/>
          <w:vertAlign w:val="baseline"/>
        </w:rPr>
        <w:t> </w:t>
      </w:r>
      <w:r>
        <w:rPr>
          <w:vertAlign w:val="baseline"/>
        </w:rPr>
        <w:t>of</w:t>
      </w:r>
      <w:r>
        <w:rPr>
          <w:spacing w:val="-24"/>
          <w:vertAlign w:val="baseline"/>
        </w:rPr>
        <w:t> </w:t>
      </w:r>
      <w:r>
        <w:rPr>
          <w:vertAlign w:val="baseline"/>
        </w:rPr>
        <w:t>time</w:t>
      </w:r>
      <w:r>
        <w:rPr>
          <w:spacing w:val="-24"/>
          <w:vertAlign w:val="baseline"/>
        </w:rPr>
        <w:t> </w:t>
      </w:r>
      <w:r>
        <w:rPr>
          <w:vertAlign w:val="baseline"/>
        </w:rPr>
        <w:t>required to restore operations at an identical store to the previous level against an assertion by the carrier that the claim should be limited to the time</w:t>
      </w:r>
      <w:r>
        <w:rPr>
          <w:spacing w:val="-12"/>
          <w:vertAlign w:val="baseline"/>
        </w:rPr>
        <w:t> </w:t>
      </w:r>
      <w:r>
        <w:rPr>
          <w:vertAlign w:val="baseline"/>
        </w:rPr>
        <w:t>required</w:t>
      </w:r>
      <w:r>
        <w:rPr>
          <w:spacing w:val="-11"/>
          <w:vertAlign w:val="baseline"/>
        </w:rPr>
        <w:t> </w:t>
      </w:r>
      <w:r>
        <w:rPr>
          <w:vertAlign w:val="baseline"/>
        </w:rPr>
        <w:t>to</w:t>
      </w:r>
      <w:r>
        <w:rPr>
          <w:spacing w:val="-11"/>
          <w:vertAlign w:val="baseline"/>
        </w:rPr>
        <w:t> </w:t>
      </w:r>
      <w:r>
        <w:rPr>
          <w:vertAlign w:val="baseline"/>
        </w:rPr>
        <w:t>restore</w:t>
      </w:r>
      <w:r>
        <w:rPr>
          <w:spacing w:val="-9"/>
          <w:vertAlign w:val="baseline"/>
        </w:rPr>
        <w:t> </w:t>
      </w:r>
      <w:r>
        <w:rPr>
          <w:vertAlign w:val="baseline"/>
        </w:rPr>
        <w:t>the</w:t>
      </w:r>
      <w:r>
        <w:rPr>
          <w:spacing w:val="-9"/>
          <w:vertAlign w:val="baseline"/>
        </w:rPr>
        <w:t> </w:t>
      </w:r>
      <w:r>
        <w:rPr>
          <w:vertAlign w:val="baseline"/>
        </w:rPr>
        <w:t>level</w:t>
      </w:r>
      <w:r>
        <w:rPr>
          <w:spacing w:val="-7"/>
          <w:vertAlign w:val="baseline"/>
        </w:rPr>
        <w:t> </w:t>
      </w:r>
      <w:r>
        <w:rPr>
          <w:vertAlign w:val="baseline"/>
        </w:rPr>
        <w:t>of</w:t>
      </w:r>
      <w:r>
        <w:rPr>
          <w:spacing w:val="-11"/>
          <w:vertAlign w:val="baseline"/>
        </w:rPr>
        <w:t> </w:t>
      </w:r>
      <w:r>
        <w:rPr>
          <w:vertAlign w:val="baseline"/>
        </w:rPr>
        <w:t>business</w:t>
      </w:r>
      <w:r>
        <w:rPr>
          <w:spacing w:val="-10"/>
          <w:vertAlign w:val="baseline"/>
        </w:rPr>
        <w:t> </w:t>
      </w:r>
      <w:r>
        <w:rPr>
          <w:vertAlign w:val="baseline"/>
        </w:rPr>
        <w:t>of the entire Duane Reade chain. Finding the </w:t>
      </w:r>
      <w:r>
        <w:rPr>
          <w:spacing w:val="16"/>
          <w:vertAlign w:val="baseline"/>
        </w:rPr>
        <w:t>carrier’s </w:t>
      </w:r>
      <w:r>
        <w:rPr>
          <w:spacing w:val="15"/>
          <w:vertAlign w:val="baseline"/>
        </w:rPr>
        <w:t>position </w:t>
      </w:r>
      <w:r>
        <w:rPr>
          <w:spacing w:val="8"/>
          <w:vertAlign w:val="baseline"/>
        </w:rPr>
        <w:t>to </w:t>
      </w:r>
      <w:r>
        <w:rPr>
          <w:spacing w:val="10"/>
          <w:vertAlign w:val="baseline"/>
        </w:rPr>
        <w:t>be </w:t>
      </w:r>
      <w:r>
        <w:rPr>
          <w:spacing w:val="16"/>
          <w:vertAlign w:val="baseline"/>
        </w:rPr>
        <w:t>“manifestly </w:t>
      </w:r>
      <w:r>
        <w:rPr>
          <w:vertAlign w:val="baseline"/>
        </w:rPr>
        <w:t>unreasonable” the court determined the definition of the period of restoration as the length of time required for the insured to resume “functionally equivalent operations </w:t>
      </w:r>
      <w:r>
        <w:rPr>
          <w:spacing w:val="-7"/>
          <w:vertAlign w:val="baseline"/>
        </w:rPr>
        <w:t>at </w:t>
      </w:r>
      <w:r>
        <w:rPr>
          <w:vertAlign w:val="baseline"/>
        </w:rPr>
        <w:t>the same location” and delegated the determination of the number of months and years to the</w:t>
      </w:r>
      <w:r>
        <w:rPr>
          <w:spacing w:val="-5"/>
          <w:vertAlign w:val="baseline"/>
        </w:rPr>
        <w:t> </w:t>
      </w:r>
      <w:r>
        <w:rPr>
          <w:vertAlign w:val="baseline"/>
        </w:rPr>
        <w:t>appraisers.</w:t>
      </w:r>
    </w:p>
    <w:p>
      <w:pPr>
        <w:pStyle w:val="BodyText"/>
        <w:spacing w:before="5"/>
        <w:rPr>
          <w:sz w:val="25"/>
        </w:rPr>
      </w:pPr>
    </w:p>
    <w:p>
      <w:pPr>
        <w:pStyle w:val="BodyText"/>
        <w:spacing w:line="242" w:lineRule="auto"/>
        <w:ind w:left="1520" w:right="1521" w:firstLine="791"/>
        <w:jc w:val="both"/>
      </w:pPr>
      <w:r>
        <w:rPr>
          <w:spacing w:val="-3"/>
        </w:rPr>
        <w:t>Where </w:t>
      </w:r>
      <w:r>
        <w:rPr/>
        <w:t>the appraisal award stated</w:t>
      </w:r>
      <w:r>
        <w:rPr>
          <w:spacing w:val="-19"/>
        </w:rPr>
        <w:t> </w:t>
      </w:r>
      <w:r>
        <w:rPr/>
        <w:t>both that the insured was entitled to loss of</w:t>
      </w:r>
      <w:r>
        <w:rPr>
          <w:spacing w:val="33"/>
        </w:rPr>
        <w:t> </w:t>
      </w:r>
      <w:r>
        <w:rPr/>
        <w:t>use</w:t>
      </w:r>
    </w:p>
    <w:p>
      <w:pPr>
        <w:pStyle w:val="BodyText"/>
        <w:spacing w:before="5"/>
        <w:rPr>
          <w:sz w:val="27"/>
        </w:rPr>
      </w:pPr>
      <w:r>
        <w:rPr/>
        <w:pict>
          <v:shape style="position:absolute;margin-left:162pt;margin-top:19.220942pt;width:143.9pt;height:.1pt;mso-position-horizontal-relative:page;mso-position-vertical-relative:paragraph;z-index:-251619328;mso-wrap-distance-left:0;mso-wrap-distance-right:0" coordorigin="3240,384" coordsize="2878,0" path="m3240,384l6118,384e" filled="false" stroked="true" strokeweight=".84pt" strokecolor="#000000">
            <v:path arrowok="t"/>
            <v:stroke dashstyle="solid"/>
            <w10:wrap type="topAndBottom"/>
          </v:shape>
        </w:pict>
      </w:r>
    </w:p>
    <w:p>
      <w:pPr>
        <w:pStyle w:val="BodyText"/>
        <w:spacing w:before="4"/>
        <w:rPr>
          <w:sz w:val="10"/>
        </w:rPr>
      </w:pPr>
    </w:p>
    <w:p>
      <w:pPr>
        <w:spacing w:before="71"/>
        <w:ind w:left="1160" w:right="0" w:firstLine="0"/>
        <w:jc w:val="left"/>
        <w:rPr>
          <w:rFonts w:ascii="Times New Roman"/>
          <w:sz w:val="24"/>
        </w:rPr>
      </w:pPr>
      <w:r>
        <w:rPr>
          <w:rFonts w:ascii="Times New Roman"/>
          <w:position w:val="10"/>
          <w:sz w:val="14"/>
        </w:rPr>
        <w:t>134 </w:t>
      </w:r>
      <w:r>
        <w:rPr>
          <w:rFonts w:ascii="Times New Roman"/>
          <w:sz w:val="18"/>
        </w:rPr>
        <w:t>279 F.Supp.2d 235 (S.D.N.Y. 2003)</w:t>
      </w:r>
      <w:r>
        <w:rPr>
          <w:rFonts w:ascii="Times New Roman"/>
          <w:sz w:val="24"/>
        </w:rPr>
        <w:t>.</w:t>
      </w:r>
    </w:p>
    <w:p>
      <w:pPr>
        <w:spacing w:after="0"/>
        <w:jc w:val="left"/>
        <w:rPr>
          <w:rFonts w:ascii="Times New Roman"/>
          <w:sz w:val="24"/>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104" w:id="13"/>
      <w:bookmarkEnd w:id="13"/>
      <w:r>
        <w:rPr/>
      </w:r>
      <w:r>
        <w:rPr/>
        <w:t>coverage</w:t>
      </w:r>
      <w:r>
        <w:rPr>
          <w:spacing w:val="-9"/>
        </w:rPr>
        <w:t> </w:t>
      </w:r>
      <w:r>
        <w:rPr/>
        <w:t>and</w:t>
      </w:r>
      <w:r>
        <w:rPr>
          <w:spacing w:val="-9"/>
        </w:rPr>
        <w:t> </w:t>
      </w:r>
      <w:r>
        <w:rPr/>
        <w:t>that</w:t>
      </w:r>
      <w:r>
        <w:rPr>
          <w:spacing w:val="-10"/>
        </w:rPr>
        <w:t> </w:t>
      </w:r>
      <w:r>
        <w:rPr/>
        <w:t>entitlement</w:t>
      </w:r>
      <w:r>
        <w:rPr>
          <w:spacing w:val="-11"/>
        </w:rPr>
        <w:t> </w:t>
      </w:r>
      <w:r>
        <w:rPr/>
        <w:t>to</w:t>
      </w:r>
      <w:r>
        <w:rPr>
          <w:spacing w:val="-12"/>
        </w:rPr>
        <w:t> </w:t>
      </w:r>
      <w:r>
        <w:rPr/>
        <w:t>the</w:t>
      </w:r>
      <w:r>
        <w:rPr>
          <w:spacing w:val="-13"/>
        </w:rPr>
        <w:t> </w:t>
      </w:r>
      <w:r>
        <w:rPr/>
        <w:t>amount depended upon whether the court found the loss to be covered, the insured was </w:t>
      </w:r>
      <w:r>
        <w:rPr>
          <w:spacing w:val="-4"/>
        </w:rPr>
        <w:t>not</w:t>
      </w:r>
      <w:r>
        <w:rPr>
          <w:spacing w:val="63"/>
        </w:rPr>
        <w:t> </w:t>
      </w:r>
      <w:r>
        <w:rPr/>
        <w:t>necessarily entitled to the amount of the award. One decision found no abuse of discretion by a trial court which subtracted</w:t>
      </w:r>
      <w:r>
        <w:rPr>
          <w:spacing w:val="-50"/>
        </w:rPr>
        <w:t> </w:t>
      </w:r>
      <w:r>
        <w:rPr/>
        <w:t>an amount awarded for “loss of use” from</w:t>
      </w:r>
      <w:r>
        <w:rPr>
          <w:spacing w:val="45"/>
        </w:rPr>
        <w:t> </w:t>
      </w:r>
      <w:r>
        <w:rPr>
          <w:spacing w:val="-5"/>
        </w:rPr>
        <w:t>an </w:t>
      </w:r>
      <w:r>
        <w:rPr/>
        <w:t>original appraisal judgment based on </w:t>
      </w:r>
      <w:r>
        <w:rPr>
          <w:spacing w:val="-4"/>
        </w:rPr>
        <w:t>“the </w:t>
      </w:r>
      <w:r>
        <w:rPr/>
        <w:t>plain and unambiguous language of </w:t>
      </w:r>
      <w:r>
        <w:rPr>
          <w:spacing w:val="-5"/>
        </w:rPr>
        <w:t>the </w:t>
      </w:r>
      <w:r>
        <w:rPr/>
        <w:t>policy,</w:t>
      </w:r>
      <w:r>
        <w:rPr>
          <w:spacing w:val="-31"/>
        </w:rPr>
        <w:t> </w:t>
      </w:r>
      <w:r>
        <w:rPr/>
        <w:t>as</w:t>
      </w:r>
      <w:r>
        <w:rPr>
          <w:spacing w:val="-29"/>
        </w:rPr>
        <w:t> </w:t>
      </w:r>
      <w:r>
        <w:rPr/>
        <w:t>well</w:t>
      </w:r>
      <w:r>
        <w:rPr>
          <w:spacing w:val="-27"/>
        </w:rPr>
        <w:t> </w:t>
      </w:r>
      <w:r>
        <w:rPr/>
        <w:t>as</w:t>
      </w:r>
      <w:r>
        <w:rPr>
          <w:spacing w:val="-28"/>
        </w:rPr>
        <w:t> </w:t>
      </w:r>
      <w:r>
        <w:rPr/>
        <w:t>the</w:t>
      </w:r>
      <w:r>
        <w:rPr>
          <w:spacing w:val="-31"/>
        </w:rPr>
        <w:t> </w:t>
      </w:r>
      <w:r>
        <w:rPr/>
        <w:t>uncontradicted</w:t>
      </w:r>
      <w:r>
        <w:rPr>
          <w:spacing w:val="-31"/>
        </w:rPr>
        <w:t> </w:t>
      </w:r>
      <w:r>
        <w:rPr/>
        <w:t>evidence that [the insured] did not incur any additional living expenses as a result of the</w:t>
      </w:r>
      <w:r>
        <w:rPr>
          <w:spacing w:val="-8"/>
        </w:rPr>
        <w:t> </w:t>
      </w:r>
      <w:r>
        <w:rPr/>
        <w:t>fire.”</w:t>
      </w:r>
      <w:r>
        <w:rPr>
          <w:vertAlign w:val="superscript"/>
        </w:rPr>
        <w:t>135</w:t>
      </w:r>
    </w:p>
    <w:p>
      <w:pPr>
        <w:pStyle w:val="BodyText"/>
        <w:spacing w:before="10"/>
        <w:rPr>
          <w:sz w:val="25"/>
        </w:rPr>
      </w:pPr>
    </w:p>
    <w:p>
      <w:pPr>
        <w:pStyle w:val="BodyText"/>
        <w:spacing w:line="242" w:lineRule="auto"/>
        <w:ind w:left="1520" w:right="1519" w:firstLine="720"/>
        <w:jc w:val="both"/>
      </w:pPr>
      <w:r>
        <w:rPr/>
        <w:t>Care should be taken in selecting appropriate appraisers who have expertise in the type of claim at issue. On behalf of the insured, an experienced and qualified public adjuster or forensic accountant may be appropriate for economic claims.</w:t>
      </w:r>
    </w:p>
    <w:p>
      <w:pPr>
        <w:pStyle w:val="BodyText"/>
        <w:spacing w:before="1"/>
      </w:pPr>
    </w:p>
    <w:p>
      <w:pPr>
        <w:pStyle w:val="BodyText"/>
        <w:spacing w:line="242" w:lineRule="auto"/>
        <w:ind w:left="1520" w:right="1521" w:firstLine="720"/>
        <w:jc w:val="both"/>
      </w:pPr>
      <w:r>
        <w:rPr/>
        <w:t>The</w:t>
      </w:r>
      <w:r>
        <w:rPr>
          <w:spacing w:val="-19"/>
        </w:rPr>
        <w:t> </w:t>
      </w:r>
      <w:r>
        <w:rPr/>
        <w:t>appraisal</w:t>
      </w:r>
      <w:r>
        <w:rPr>
          <w:spacing w:val="-17"/>
        </w:rPr>
        <w:t> </w:t>
      </w:r>
      <w:r>
        <w:rPr/>
        <w:t>clause</w:t>
      </w:r>
      <w:r>
        <w:rPr>
          <w:spacing w:val="-16"/>
        </w:rPr>
        <w:t> </w:t>
      </w:r>
      <w:r>
        <w:rPr/>
        <w:t>applies</w:t>
      </w:r>
      <w:r>
        <w:rPr>
          <w:spacing w:val="-17"/>
        </w:rPr>
        <w:t> </w:t>
      </w:r>
      <w:r>
        <w:rPr/>
        <w:t>to</w:t>
      </w:r>
      <w:r>
        <w:rPr>
          <w:spacing w:val="-18"/>
        </w:rPr>
        <w:t> </w:t>
      </w:r>
      <w:r>
        <w:rPr/>
        <w:t>first-party disputes over the value of loss to tangible property,</w:t>
      </w:r>
      <w:r>
        <w:rPr>
          <w:spacing w:val="-16"/>
        </w:rPr>
        <w:t> </w:t>
      </w:r>
      <w:r>
        <w:rPr/>
        <w:t>but</w:t>
      </w:r>
      <w:r>
        <w:rPr>
          <w:spacing w:val="-12"/>
        </w:rPr>
        <w:t> </w:t>
      </w:r>
      <w:r>
        <w:rPr/>
        <w:t>not</w:t>
      </w:r>
      <w:r>
        <w:rPr>
          <w:spacing w:val="-10"/>
        </w:rPr>
        <w:t> </w:t>
      </w:r>
      <w:r>
        <w:rPr/>
        <w:t>to</w:t>
      </w:r>
      <w:r>
        <w:rPr>
          <w:spacing w:val="-10"/>
        </w:rPr>
        <w:t> </w:t>
      </w:r>
      <w:r>
        <w:rPr/>
        <w:t>“causes</w:t>
      </w:r>
      <w:r>
        <w:rPr>
          <w:spacing w:val="-11"/>
        </w:rPr>
        <w:t> </w:t>
      </w:r>
      <w:r>
        <w:rPr/>
        <w:t>in</w:t>
      </w:r>
      <w:r>
        <w:rPr>
          <w:spacing w:val="-12"/>
        </w:rPr>
        <w:t> </w:t>
      </w:r>
      <w:r>
        <w:rPr/>
        <w:t>action”</w:t>
      </w:r>
      <w:r>
        <w:rPr>
          <w:spacing w:val="-13"/>
        </w:rPr>
        <w:t> </w:t>
      </w:r>
      <w:r>
        <w:rPr/>
        <w:t>such</w:t>
      </w:r>
      <w:r>
        <w:rPr>
          <w:spacing w:val="-10"/>
        </w:rPr>
        <w:t> </w:t>
      </w:r>
      <w:r>
        <w:rPr>
          <w:spacing w:val="-6"/>
        </w:rPr>
        <w:t>as </w:t>
      </w:r>
      <w:r>
        <w:rPr/>
        <w:t>personal injury</w:t>
      </w:r>
      <w:r>
        <w:rPr>
          <w:spacing w:val="-4"/>
        </w:rPr>
        <w:t> </w:t>
      </w:r>
      <w:r>
        <w:rPr/>
        <w:t>claims.</w:t>
      </w:r>
      <w:r>
        <w:rPr>
          <w:vertAlign w:val="superscript"/>
        </w:rPr>
        <w:t>136</w:t>
      </w:r>
    </w:p>
    <w:p>
      <w:pPr>
        <w:pStyle w:val="BodyText"/>
        <w:spacing w:before="1"/>
      </w:pPr>
    </w:p>
    <w:p>
      <w:pPr>
        <w:pStyle w:val="BodyText"/>
        <w:spacing w:line="242" w:lineRule="auto"/>
        <w:ind w:left="1520" w:right="1519" w:firstLine="720"/>
        <w:jc w:val="both"/>
      </w:pPr>
      <w:r>
        <w:rPr>
          <w:spacing w:val="4"/>
        </w:rPr>
        <w:t>In </w:t>
      </w:r>
      <w:r>
        <w:rPr/>
        <w:t>Florida, even where the insurer denies the claim </w:t>
      </w:r>
      <w:r>
        <w:rPr>
          <w:spacing w:val="2"/>
        </w:rPr>
        <w:t>in </w:t>
      </w:r>
      <w:r>
        <w:rPr/>
        <w:t>full and asserts defenses </w:t>
      </w:r>
      <w:r>
        <w:rPr>
          <w:spacing w:val="-8"/>
        </w:rPr>
        <w:t>to </w:t>
      </w:r>
      <w:r>
        <w:rPr/>
        <w:t>coverage like failure to cooperate or to comply</w:t>
      </w:r>
      <w:r>
        <w:rPr>
          <w:spacing w:val="-13"/>
        </w:rPr>
        <w:t> </w:t>
      </w:r>
      <w:r>
        <w:rPr/>
        <w:t>with</w:t>
      </w:r>
      <w:r>
        <w:rPr>
          <w:spacing w:val="-13"/>
        </w:rPr>
        <w:t> </w:t>
      </w:r>
      <w:r>
        <w:rPr/>
        <w:t>conditions</w:t>
      </w:r>
      <w:r>
        <w:rPr>
          <w:spacing w:val="-12"/>
        </w:rPr>
        <w:t> </w:t>
      </w:r>
      <w:r>
        <w:rPr/>
        <w:t>precedent,</w:t>
      </w:r>
      <w:r>
        <w:rPr>
          <w:spacing w:val="-15"/>
        </w:rPr>
        <w:t> </w:t>
      </w:r>
      <w:r>
        <w:rPr/>
        <w:t>a</w:t>
      </w:r>
      <w:r>
        <w:rPr>
          <w:spacing w:val="-10"/>
        </w:rPr>
        <w:t> </w:t>
      </w:r>
      <w:r>
        <w:rPr/>
        <w:t>cause</w:t>
      </w:r>
      <w:r>
        <w:rPr>
          <w:spacing w:val="-9"/>
        </w:rPr>
        <w:t> </w:t>
      </w:r>
      <w:r>
        <w:rPr>
          <w:spacing w:val="-6"/>
        </w:rPr>
        <w:t>of</w:t>
      </w:r>
    </w:p>
    <w:p>
      <w:pPr>
        <w:pStyle w:val="BodyText"/>
        <w:spacing w:before="5"/>
        <w:rPr>
          <w:sz w:val="27"/>
        </w:rPr>
      </w:pPr>
      <w:r>
        <w:rPr/>
        <w:pict>
          <v:shape style="position:absolute;margin-left:162pt;margin-top:19.208076pt;width:143.9pt;height:.1pt;mso-position-horizontal-relative:page;mso-position-vertical-relative:paragraph;z-index:-251618304;mso-wrap-distance-left:0;mso-wrap-distance-right:0" coordorigin="3240,384" coordsize="2878,0" path="m3240,384l6118,384e" filled="false" stroked="true" strokeweight=".84pt" strokecolor="#000000">
            <v:path arrowok="t"/>
            <v:stroke dashstyle="solid"/>
            <w10:wrap type="topAndBottom"/>
          </v:shape>
        </w:pict>
      </w:r>
    </w:p>
    <w:p>
      <w:pPr>
        <w:pStyle w:val="BodyText"/>
        <w:spacing w:before="10"/>
        <w:rPr>
          <w:sz w:val="13"/>
        </w:rPr>
      </w:pPr>
    </w:p>
    <w:p>
      <w:pPr>
        <w:pStyle w:val="ListParagraph"/>
        <w:numPr>
          <w:ilvl w:val="0"/>
          <w:numId w:val="6"/>
        </w:numPr>
        <w:tabs>
          <w:tab w:pos="1447" w:val="left" w:leader="none"/>
        </w:tabs>
        <w:spacing w:line="240" w:lineRule="auto" w:before="72" w:after="0"/>
        <w:ind w:left="1446" w:right="0" w:hanging="287"/>
        <w:jc w:val="left"/>
        <w:rPr>
          <w:sz w:val="18"/>
        </w:rPr>
      </w:pPr>
      <w:r>
        <w:rPr>
          <w:sz w:val="18"/>
          <w:u w:val="single"/>
        </w:rPr>
        <w:t>Westfield Nat. Ins. Co. v. Nakoa</w:t>
      </w:r>
      <w:r>
        <w:rPr>
          <w:sz w:val="18"/>
        </w:rPr>
        <w:t>, 963 N.E.2d 1126 (Ind. Ct. App.</w:t>
      </w:r>
      <w:r>
        <w:rPr>
          <w:spacing w:val="5"/>
          <w:sz w:val="18"/>
        </w:rPr>
        <w:t> </w:t>
      </w:r>
      <w:r>
        <w:rPr>
          <w:sz w:val="18"/>
        </w:rPr>
        <w:t>2012).</w:t>
      </w:r>
    </w:p>
    <w:p>
      <w:pPr>
        <w:pStyle w:val="ListParagraph"/>
        <w:numPr>
          <w:ilvl w:val="0"/>
          <w:numId w:val="6"/>
        </w:numPr>
        <w:tabs>
          <w:tab w:pos="1435" w:val="left" w:leader="none"/>
        </w:tabs>
        <w:spacing w:line="240" w:lineRule="auto" w:before="8" w:after="0"/>
        <w:ind w:left="1434" w:right="0" w:hanging="275"/>
        <w:jc w:val="left"/>
        <w:rPr>
          <w:sz w:val="18"/>
        </w:rPr>
      </w:pPr>
      <w:r>
        <w:rPr>
          <w:sz w:val="18"/>
          <w:u w:val="single"/>
        </w:rPr>
        <w:t>McDonnell v. State Farm Mut. Auto Ins. Co.</w:t>
      </w:r>
      <w:r>
        <w:rPr>
          <w:sz w:val="18"/>
        </w:rPr>
        <w:t>, 299 P.3d 715 (Alaska 2013)</w:t>
      </w:r>
      <w:r>
        <w:rPr>
          <w:spacing w:val="1"/>
          <w:sz w:val="18"/>
        </w:rPr>
        <w:t> </w:t>
      </w:r>
      <w:r>
        <w:rPr>
          <w:sz w:val="18"/>
        </w:rPr>
        <w:t>.</w:t>
      </w:r>
    </w:p>
    <w:p>
      <w:pPr>
        <w:spacing w:after="0" w:line="240"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105" w:id="14"/>
      <w:bookmarkEnd w:id="14"/>
      <w:r>
        <w:rPr/>
      </w:r>
      <w:r>
        <w:rPr/>
        <w:t>action to compel appraisal is not subject to dismissal prior to an evaluation of those defenses, as compelling appraisal </w:t>
      </w:r>
      <w:r>
        <w:rPr>
          <w:spacing w:val="-5"/>
        </w:rPr>
        <w:t>may </w:t>
      </w:r>
      <w:r>
        <w:rPr/>
        <w:t>become appropriate should the defenses </w:t>
      </w:r>
      <w:r>
        <w:rPr>
          <w:spacing w:val="-5"/>
        </w:rPr>
        <w:t>not </w:t>
      </w:r>
      <w:r>
        <w:rPr/>
        <w:t>be sustained. Dismissal of an appraisal claim</w:t>
      </w:r>
      <w:r>
        <w:rPr>
          <w:spacing w:val="-39"/>
        </w:rPr>
        <w:t> </w:t>
      </w:r>
      <w:r>
        <w:rPr/>
        <w:t>is not compulsory even where a claim is fully denied.</w:t>
      </w:r>
      <w:r>
        <w:rPr>
          <w:vertAlign w:val="superscript"/>
        </w:rPr>
        <w:t>137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0"/>
        </w:rPr>
      </w:pPr>
      <w:r>
        <w:rPr/>
        <w:pict>
          <v:shape style="position:absolute;margin-left:162pt;margin-top:8.679146pt;width:143.9pt;height:.1pt;mso-position-horizontal-relative:page;mso-position-vertical-relative:paragraph;z-index:-251617280;mso-wrap-distance-left:0;mso-wrap-distance-right:0" coordorigin="3240,174" coordsize="2878,0" path="m3240,174l6118,174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6"/>
        </w:numPr>
        <w:tabs>
          <w:tab w:pos="1428" w:val="left" w:leader="none"/>
        </w:tabs>
        <w:spacing w:line="254" w:lineRule="auto" w:before="71" w:after="0"/>
        <w:ind w:left="1160" w:right="1159" w:firstLine="0"/>
        <w:jc w:val="both"/>
        <w:rPr>
          <w:sz w:val="24"/>
        </w:rPr>
      </w:pPr>
      <w:r>
        <w:rPr>
          <w:sz w:val="18"/>
          <w:u w:val="single"/>
        </w:rPr>
        <w:t>Cypress</w:t>
      </w:r>
      <w:r>
        <w:rPr>
          <w:spacing w:val="-9"/>
          <w:sz w:val="18"/>
          <w:u w:val="single"/>
        </w:rPr>
        <w:t> </w:t>
      </w:r>
      <w:r>
        <w:rPr>
          <w:sz w:val="18"/>
          <w:u w:val="single"/>
        </w:rPr>
        <w:t>Chase</w:t>
      </w:r>
      <w:r>
        <w:rPr>
          <w:spacing w:val="-11"/>
          <w:sz w:val="18"/>
          <w:u w:val="single"/>
        </w:rPr>
        <w:t> </w:t>
      </w:r>
      <w:r>
        <w:rPr>
          <w:sz w:val="18"/>
          <w:u w:val="single"/>
        </w:rPr>
        <w:t>Condo</w:t>
      </w:r>
      <w:r>
        <w:rPr>
          <w:spacing w:val="-8"/>
          <w:sz w:val="18"/>
          <w:u w:val="single"/>
        </w:rPr>
        <w:t> </w:t>
      </w:r>
      <w:r>
        <w:rPr>
          <w:sz w:val="18"/>
          <w:u w:val="single"/>
        </w:rPr>
        <w:t>Ass’n</w:t>
      </w:r>
      <w:r>
        <w:rPr>
          <w:spacing w:val="-7"/>
          <w:sz w:val="18"/>
          <w:u w:val="single"/>
        </w:rPr>
        <w:t> </w:t>
      </w:r>
      <w:r>
        <w:rPr>
          <w:sz w:val="18"/>
          <w:u w:val="single"/>
        </w:rPr>
        <w:t>“A”</w:t>
      </w:r>
      <w:r>
        <w:rPr>
          <w:spacing w:val="-8"/>
          <w:sz w:val="18"/>
          <w:u w:val="single"/>
        </w:rPr>
        <w:t> </w:t>
      </w:r>
      <w:r>
        <w:rPr>
          <w:sz w:val="18"/>
          <w:u w:val="single"/>
        </w:rPr>
        <w:t>v.</w:t>
      </w:r>
      <w:r>
        <w:rPr>
          <w:spacing w:val="-6"/>
          <w:sz w:val="18"/>
          <w:u w:val="single"/>
        </w:rPr>
        <w:t> </w:t>
      </w:r>
      <w:r>
        <w:rPr>
          <w:sz w:val="18"/>
          <w:u w:val="single"/>
        </w:rPr>
        <w:t>QBE</w:t>
      </w:r>
      <w:r>
        <w:rPr>
          <w:spacing w:val="-7"/>
          <w:sz w:val="18"/>
          <w:u w:val="single"/>
        </w:rPr>
        <w:t> </w:t>
      </w:r>
      <w:r>
        <w:rPr>
          <w:sz w:val="18"/>
          <w:u w:val="single"/>
        </w:rPr>
        <w:t>Ins</w:t>
      </w:r>
      <w:r>
        <w:rPr>
          <w:spacing w:val="-8"/>
          <w:sz w:val="18"/>
          <w:u w:val="single"/>
        </w:rPr>
        <w:t> </w:t>
      </w:r>
      <w:r>
        <w:rPr>
          <w:sz w:val="18"/>
          <w:u w:val="single"/>
        </w:rPr>
        <w:t>.Co.</w:t>
      </w:r>
      <w:r>
        <w:rPr>
          <w:sz w:val="18"/>
        </w:rPr>
        <w:t>,</w:t>
      </w:r>
      <w:r>
        <w:rPr>
          <w:spacing w:val="-6"/>
          <w:sz w:val="18"/>
        </w:rPr>
        <w:t> </w:t>
      </w:r>
      <w:r>
        <w:rPr>
          <w:sz w:val="18"/>
        </w:rPr>
        <w:t>2013</w:t>
      </w:r>
      <w:r>
        <w:rPr>
          <w:spacing w:val="-6"/>
          <w:sz w:val="18"/>
        </w:rPr>
        <w:t> </w:t>
      </w:r>
      <w:r>
        <w:rPr>
          <w:sz w:val="18"/>
        </w:rPr>
        <w:t>WL</w:t>
      </w:r>
      <w:r>
        <w:rPr>
          <w:spacing w:val="-10"/>
          <w:sz w:val="18"/>
        </w:rPr>
        <w:t> </w:t>
      </w:r>
      <w:r>
        <w:rPr>
          <w:sz w:val="18"/>
        </w:rPr>
        <w:t>1191413</w:t>
      </w:r>
      <w:r>
        <w:rPr>
          <w:spacing w:val="-7"/>
          <w:sz w:val="18"/>
        </w:rPr>
        <w:t> </w:t>
      </w:r>
      <w:r>
        <w:rPr>
          <w:sz w:val="18"/>
        </w:rPr>
        <w:t>(S.D.</w:t>
      </w:r>
      <w:r>
        <w:rPr>
          <w:spacing w:val="-5"/>
          <w:sz w:val="18"/>
        </w:rPr>
        <w:t> </w:t>
      </w:r>
      <w:r>
        <w:rPr>
          <w:sz w:val="18"/>
        </w:rPr>
        <w:t>Fla.</w:t>
      </w:r>
      <w:r>
        <w:rPr>
          <w:spacing w:val="-6"/>
          <w:sz w:val="18"/>
        </w:rPr>
        <w:t> </w:t>
      </w:r>
      <w:r>
        <w:rPr>
          <w:sz w:val="18"/>
        </w:rPr>
        <w:t>2013);</w:t>
      </w:r>
      <w:r>
        <w:rPr>
          <w:sz w:val="18"/>
          <w:u w:val="single"/>
        </w:rPr>
        <w:t> State Farm Fire &amp; Cas Co. v Wingate</w:t>
      </w:r>
      <w:r>
        <w:rPr>
          <w:sz w:val="18"/>
        </w:rPr>
        <w:t>, 604 So.2d 578, 579 (Fla. 4</w:t>
      </w:r>
      <w:r>
        <w:rPr>
          <w:position w:val="7"/>
          <w:sz w:val="10"/>
        </w:rPr>
        <w:t>th </w:t>
      </w:r>
      <w:r>
        <w:rPr>
          <w:sz w:val="18"/>
        </w:rPr>
        <w:t>DCA 1992) (staying appraisal to allow resolution of coverage</w:t>
      </w:r>
      <w:r>
        <w:rPr>
          <w:spacing w:val="-5"/>
          <w:sz w:val="18"/>
        </w:rPr>
        <w:t> </w:t>
      </w:r>
      <w:r>
        <w:rPr>
          <w:sz w:val="18"/>
        </w:rPr>
        <w:t>issues)</w:t>
      </w:r>
      <w:r>
        <w:rPr>
          <w:sz w:val="24"/>
        </w:rPr>
        <w:t>.</w:t>
      </w:r>
    </w:p>
    <w:p>
      <w:pPr>
        <w:spacing w:after="0" w:line="254" w:lineRule="auto"/>
        <w:jc w:val="both"/>
        <w:rPr>
          <w:sz w:val="24"/>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ListParagraph"/>
        <w:numPr>
          <w:ilvl w:val="0"/>
          <w:numId w:val="2"/>
        </w:numPr>
        <w:tabs>
          <w:tab w:pos="719" w:val="left" w:leader="none"/>
          <w:tab w:pos="2240" w:val="left" w:leader="none"/>
        </w:tabs>
        <w:spacing w:line="240" w:lineRule="auto" w:before="42" w:after="0"/>
        <w:ind w:left="2240" w:right="442" w:hanging="2240"/>
        <w:jc w:val="left"/>
        <w:rPr>
          <w:rFonts w:ascii="Century Gothic"/>
          <w:sz w:val="26"/>
        </w:rPr>
      </w:pPr>
      <w:bookmarkStart w:name="Law and Procedure 106" w:id="15"/>
      <w:bookmarkEnd w:id="15"/>
      <w:r>
        <w:rPr/>
      </w:r>
      <w:bookmarkStart w:name="Law and Procedure 106" w:id="16"/>
      <w:bookmarkEnd w:id="16"/>
      <w:r>
        <w:rPr>
          <w:rFonts w:ascii="Century Gothic"/>
          <w:sz w:val="26"/>
        </w:rPr>
        <w:t>V</w:t>
      </w:r>
      <w:r>
        <w:rPr>
          <w:rFonts w:ascii="Century Gothic"/>
          <w:sz w:val="26"/>
        </w:rPr>
        <w:t>ALUED POLICIES AND A TOTAL</w:t>
      </w:r>
      <w:r>
        <w:rPr>
          <w:rFonts w:ascii="Century Gothic"/>
          <w:spacing w:val="-1"/>
          <w:sz w:val="26"/>
        </w:rPr>
        <w:t> </w:t>
      </w:r>
      <w:r>
        <w:rPr>
          <w:rFonts w:ascii="Century Gothic"/>
          <w:sz w:val="26"/>
        </w:rPr>
        <w:t>LOSS</w:t>
      </w:r>
    </w:p>
    <w:p>
      <w:pPr>
        <w:pStyle w:val="BodyText"/>
        <w:spacing w:before="5"/>
      </w:pPr>
    </w:p>
    <w:p>
      <w:pPr>
        <w:pStyle w:val="BodyText"/>
        <w:spacing w:line="242" w:lineRule="auto"/>
        <w:ind w:left="1520" w:right="1517" w:firstLine="720"/>
        <w:jc w:val="both"/>
      </w:pPr>
      <w:r>
        <w:rPr/>
        <w:t>Some jurisdictions have considered the applicability of the appraisal provision where the</w:t>
      </w:r>
      <w:r>
        <w:rPr>
          <w:spacing w:val="-16"/>
        </w:rPr>
        <w:t> </w:t>
      </w:r>
      <w:r>
        <w:rPr/>
        <w:t>parties</w:t>
      </w:r>
      <w:r>
        <w:rPr>
          <w:spacing w:val="-15"/>
        </w:rPr>
        <w:t> </w:t>
      </w:r>
      <w:r>
        <w:rPr/>
        <w:t>have</w:t>
      </w:r>
      <w:r>
        <w:rPr>
          <w:spacing w:val="-16"/>
        </w:rPr>
        <w:t> </w:t>
      </w:r>
      <w:r>
        <w:rPr/>
        <w:t>agreed</w:t>
      </w:r>
      <w:r>
        <w:rPr>
          <w:spacing w:val="-15"/>
        </w:rPr>
        <w:t> </w:t>
      </w:r>
      <w:r>
        <w:rPr/>
        <w:t>within</w:t>
      </w:r>
      <w:r>
        <w:rPr>
          <w:spacing w:val="-15"/>
        </w:rPr>
        <w:t> </w:t>
      </w:r>
      <w:r>
        <w:rPr/>
        <w:t>the</w:t>
      </w:r>
      <w:r>
        <w:rPr>
          <w:spacing w:val="-15"/>
        </w:rPr>
        <w:t> </w:t>
      </w:r>
      <w:r>
        <w:rPr/>
        <w:t>policy</w:t>
      </w:r>
      <w:r>
        <w:rPr>
          <w:spacing w:val="-16"/>
        </w:rPr>
        <w:t> </w:t>
      </w:r>
      <w:r>
        <w:rPr/>
        <w:t>as</w:t>
      </w:r>
      <w:r>
        <w:rPr>
          <w:spacing w:val="-12"/>
        </w:rPr>
        <w:t> </w:t>
      </w:r>
      <w:r>
        <w:rPr/>
        <w:t>to the value of the property insured. </w:t>
      </w:r>
      <w:r>
        <w:rPr>
          <w:spacing w:val="-3"/>
        </w:rPr>
        <w:t>Generally, </w:t>
      </w:r>
      <w:r>
        <w:rPr/>
        <w:t>such</w:t>
      </w:r>
      <w:r>
        <w:rPr>
          <w:spacing w:val="-27"/>
        </w:rPr>
        <w:t> </w:t>
      </w:r>
      <w:r>
        <w:rPr/>
        <w:t>a</w:t>
      </w:r>
      <w:r>
        <w:rPr>
          <w:spacing w:val="-25"/>
        </w:rPr>
        <w:t> </w:t>
      </w:r>
      <w:r>
        <w:rPr/>
        <w:t>policy</w:t>
      </w:r>
      <w:r>
        <w:rPr>
          <w:spacing w:val="-27"/>
        </w:rPr>
        <w:t> </w:t>
      </w:r>
      <w:r>
        <w:rPr/>
        <w:t>does</w:t>
      </w:r>
      <w:r>
        <w:rPr>
          <w:spacing w:val="-25"/>
        </w:rPr>
        <w:t> </w:t>
      </w:r>
      <w:r>
        <w:rPr/>
        <w:t>not</w:t>
      </w:r>
      <w:r>
        <w:rPr>
          <w:spacing w:val="-28"/>
        </w:rPr>
        <w:t> </w:t>
      </w:r>
      <w:r>
        <w:rPr/>
        <w:t>allow</w:t>
      </w:r>
      <w:r>
        <w:rPr>
          <w:spacing w:val="-29"/>
        </w:rPr>
        <w:t> </w:t>
      </w:r>
      <w:r>
        <w:rPr/>
        <w:t>for</w:t>
      </w:r>
      <w:r>
        <w:rPr>
          <w:spacing w:val="-28"/>
        </w:rPr>
        <w:t> </w:t>
      </w:r>
      <w:r>
        <w:rPr/>
        <w:t>appraisal</w:t>
      </w:r>
      <w:r>
        <w:rPr>
          <w:spacing w:val="-27"/>
        </w:rPr>
        <w:t> </w:t>
      </w:r>
      <w:r>
        <w:rPr/>
        <w:t>once there is a total</w:t>
      </w:r>
      <w:r>
        <w:rPr>
          <w:spacing w:val="-5"/>
        </w:rPr>
        <w:t> </w:t>
      </w:r>
      <w:r>
        <w:rPr/>
        <w:t>loss.</w:t>
      </w:r>
    </w:p>
    <w:p>
      <w:pPr>
        <w:pStyle w:val="BodyText"/>
        <w:spacing w:before="1"/>
      </w:pPr>
    </w:p>
    <w:p>
      <w:pPr>
        <w:pStyle w:val="BodyText"/>
        <w:spacing w:line="242" w:lineRule="auto"/>
        <w:ind w:left="1520" w:right="1517" w:firstLine="720"/>
        <w:jc w:val="both"/>
      </w:pPr>
      <w:r>
        <w:rPr/>
        <w:t>The</w:t>
      </w:r>
      <w:r>
        <w:rPr>
          <w:spacing w:val="-27"/>
        </w:rPr>
        <w:t> </w:t>
      </w:r>
      <w:r>
        <w:rPr/>
        <w:t>New</w:t>
      </w:r>
      <w:r>
        <w:rPr>
          <w:spacing w:val="-31"/>
        </w:rPr>
        <w:t> </w:t>
      </w:r>
      <w:r>
        <w:rPr/>
        <w:t>York</w:t>
      </w:r>
      <w:r>
        <w:rPr>
          <w:spacing w:val="-26"/>
        </w:rPr>
        <w:t> </w:t>
      </w:r>
      <w:r>
        <w:rPr/>
        <w:t>Court</w:t>
      </w:r>
      <w:r>
        <w:rPr>
          <w:spacing w:val="-26"/>
        </w:rPr>
        <w:t> </w:t>
      </w:r>
      <w:r>
        <w:rPr/>
        <w:t>of</w:t>
      </w:r>
      <w:r>
        <w:rPr>
          <w:spacing w:val="-27"/>
        </w:rPr>
        <w:t> </w:t>
      </w:r>
      <w:r>
        <w:rPr/>
        <w:t>Appeals</w:t>
      </w:r>
      <w:r>
        <w:rPr>
          <w:spacing w:val="-23"/>
        </w:rPr>
        <w:t> </w:t>
      </w:r>
      <w:r>
        <w:rPr/>
        <w:t>discussed the</w:t>
      </w:r>
      <w:r>
        <w:rPr>
          <w:spacing w:val="-16"/>
        </w:rPr>
        <w:t> </w:t>
      </w:r>
      <w:r>
        <w:rPr/>
        <w:t>issue</w:t>
      </w:r>
      <w:r>
        <w:rPr>
          <w:spacing w:val="-14"/>
        </w:rPr>
        <w:t> </w:t>
      </w:r>
      <w:r>
        <w:rPr/>
        <w:t>of</w:t>
      </w:r>
      <w:r>
        <w:rPr>
          <w:spacing w:val="-16"/>
        </w:rPr>
        <w:t> </w:t>
      </w:r>
      <w:r>
        <w:rPr/>
        <w:t>a</w:t>
      </w:r>
      <w:r>
        <w:rPr>
          <w:spacing w:val="-14"/>
        </w:rPr>
        <w:t> </w:t>
      </w:r>
      <w:r>
        <w:rPr/>
        <w:t>total</w:t>
      </w:r>
      <w:r>
        <w:rPr>
          <w:spacing w:val="-13"/>
        </w:rPr>
        <w:t> </w:t>
      </w:r>
      <w:r>
        <w:rPr/>
        <w:t>loss</w:t>
      </w:r>
      <w:r>
        <w:rPr>
          <w:spacing w:val="-13"/>
        </w:rPr>
        <w:t> </w:t>
      </w:r>
      <w:r>
        <w:rPr/>
        <w:t>under</w:t>
      </w:r>
      <w:r>
        <w:rPr>
          <w:spacing w:val="-16"/>
        </w:rPr>
        <w:t> </w:t>
      </w:r>
      <w:r>
        <w:rPr/>
        <w:t>the</w:t>
      </w:r>
      <w:r>
        <w:rPr>
          <w:spacing w:val="-16"/>
        </w:rPr>
        <w:t> </w:t>
      </w:r>
      <w:r>
        <w:rPr/>
        <w:t>agreed</w:t>
      </w:r>
      <w:r>
        <w:rPr>
          <w:spacing w:val="-14"/>
        </w:rPr>
        <w:t> </w:t>
      </w:r>
      <w:r>
        <w:rPr/>
        <w:t>value form of policy in the seminal case of </w:t>
      </w:r>
      <w:r>
        <w:rPr>
          <w:u w:val="single"/>
        </w:rPr>
        <w:t>Lee v.</w:t>
      </w:r>
      <w:r>
        <w:rPr/>
        <w:t> </w:t>
      </w:r>
      <w:r>
        <w:rPr>
          <w:u w:val="single"/>
        </w:rPr>
        <w:t>Hamilton Fire Ins. Co</w:t>
      </w:r>
      <w:r>
        <w:rPr/>
        <w:t>.</w:t>
      </w:r>
      <w:r>
        <w:rPr>
          <w:vertAlign w:val="superscript"/>
        </w:rPr>
        <w:t>138</w:t>
      </w:r>
      <w:r>
        <w:rPr>
          <w:vertAlign w:val="baseline"/>
        </w:rPr>
        <w:t> </w:t>
      </w:r>
      <w:r>
        <w:rPr>
          <w:spacing w:val="4"/>
          <w:vertAlign w:val="baseline"/>
        </w:rPr>
        <w:t>In </w:t>
      </w:r>
      <w:r>
        <w:rPr>
          <w:u w:val="single"/>
          <w:vertAlign w:val="baseline"/>
        </w:rPr>
        <w:t>Lee</w:t>
      </w:r>
      <w:r>
        <w:rPr>
          <w:vertAlign w:val="baseline"/>
        </w:rPr>
        <w:t>, New </w:t>
      </w:r>
      <w:r>
        <w:rPr>
          <w:spacing w:val="-7"/>
          <w:vertAlign w:val="baseline"/>
        </w:rPr>
        <w:t>York’s </w:t>
      </w:r>
      <w:r>
        <w:rPr>
          <w:vertAlign w:val="baseline"/>
        </w:rPr>
        <w:t>highest court stated that under these circumstances,</w:t>
      </w:r>
      <w:r>
        <w:rPr>
          <w:spacing w:val="-35"/>
          <w:vertAlign w:val="baseline"/>
        </w:rPr>
        <w:t> </w:t>
      </w:r>
      <w:r>
        <w:rPr>
          <w:vertAlign w:val="baseline"/>
        </w:rPr>
        <w:t>the</w:t>
      </w:r>
      <w:r>
        <w:rPr>
          <w:spacing w:val="-32"/>
          <w:vertAlign w:val="baseline"/>
        </w:rPr>
        <w:t> </w:t>
      </w:r>
      <w:r>
        <w:rPr>
          <w:vertAlign w:val="baseline"/>
        </w:rPr>
        <w:t>appraisal</w:t>
      </w:r>
      <w:r>
        <w:rPr>
          <w:spacing w:val="-31"/>
          <w:vertAlign w:val="baseline"/>
        </w:rPr>
        <w:t> </w:t>
      </w:r>
      <w:r>
        <w:rPr>
          <w:vertAlign w:val="baseline"/>
        </w:rPr>
        <w:t>covers</w:t>
      </w:r>
      <w:r>
        <w:rPr>
          <w:spacing w:val="-33"/>
          <w:vertAlign w:val="baseline"/>
        </w:rPr>
        <w:t> </w:t>
      </w:r>
      <w:r>
        <w:rPr>
          <w:vertAlign w:val="baseline"/>
        </w:rPr>
        <w:t>only</w:t>
      </w:r>
      <w:r>
        <w:rPr>
          <w:spacing w:val="-33"/>
          <w:vertAlign w:val="baseline"/>
        </w:rPr>
        <w:t> </w:t>
      </w:r>
      <w:r>
        <w:rPr>
          <w:vertAlign w:val="baseline"/>
        </w:rPr>
        <w:t>loss</w:t>
      </w:r>
      <w:r>
        <w:rPr>
          <w:spacing w:val="-31"/>
          <w:vertAlign w:val="baseline"/>
        </w:rPr>
        <w:t> </w:t>
      </w:r>
      <w:r>
        <w:rPr>
          <w:vertAlign w:val="baseline"/>
        </w:rPr>
        <w:t>or damage less than a total loss. According to the court, if the insured under such a policy claims a total loss and the insurer asserts a partial loss, and the latter insists on an appraisal, the granting of an appraisal by the insured cannot estop him from litigating the question</w:t>
      </w:r>
      <w:r>
        <w:rPr>
          <w:spacing w:val="-17"/>
          <w:vertAlign w:val="baseline"/>
        </w:rPr>
        <w:t> </w:t>
      </w:r>
      <w:r>
        <w:rPr>
          <w:vertAlign w:val="baseline"/>
        </w:rPr>
        <w:t>of</w:t>
      </w:r>
      <w:r>
        <w:rPr>
          <w:spacing w:val="-15"/>
          <w:vertAlign w:val="baseline"/>
        </w:rPr>
        <w:t> </w:t>
      </w:r>
      <w:r>
        <w:rPr>
          <w:vertAlign w:val="baseline"/>
        </w:rPr>
        <w:t>whether</w:t>
      </w:r>
      <w:r>
        <w:rPr>
          <w:spacing w:val="-16"/>
          <w:vertAlign w:val="baseline"/>
        </w:rPr>
        <w:t> </w:t>
      </w:r>
      <w:r>
        <w:rPr>
          <w:vertAlign w:val="baseline"/>
        </w:rPr>
        <w:t>he</w:t>
      </w:r>
      <w:r>
        <w:rPr>
          <w:spacing w:val="-17"/>
          <w:vertAlign w:val="baseline"/>
        </w:rPr>
        <w:t> </w:t>
      </w:r>
      <w:r>
        <w:rPr>
          <w:vertAlign w:val="baseline"/>
        </w:rPr>
        <w:t>suffered</w:t>
      </w:r>
      <w:r>
        <w:rPr>
          <w:spacing w:val="-15"/>
          <w:vertAlign w:val="baseline"/>
        </w:rPr>
        <w:t> </w:t>
      </w:r>
      <w:r>
        <w:rPr>
          <w:vertAlign w:val="baseline"/>
        </w:rPr>
        <w:t>a</w:t>
      </w:r>
      <w:r>
        <w:rPr>
          <w:spacing w:val="-15"/>
          <w:vertAlign w:val="baseline"/>
        </w:rPr>
        <w:t> </w:t>
      </w:r>
      <w:r>
        <w:rPr>
          <w:vertAlign w:val="baseline"/>
        </w:rPr>
        <w:t>total</w:t>
      </w:r>
      <w:r>
        <w:rPr>
          <w:spacing w:val="-14"/>
          <w:vertAlign w:val="baseline"/>
        </w:rPr>
        <w:t> </w:t>
      </w:r>
      <w:r>
        <w:rPr>
          <w:vertAlign w:val="baseline"/>
        </w:rPr>
        <w:t>loss.</w:t>
      </w:r>
      <w:r>
        <w:rPr>
          <w:spacing w:val="-18"/>
          <w:vertAlign w:val="baseline"/>
        </w:rPr>
        <w:t> </w:t>
      </w:r>
      <w:r>
        <w:rPr>
          <w:spacing w:val="2"/>
          <w:vertAlign w:val="baseline"/>
        </w:rPr>
        <w:t>If</w:t>
      </w:r>
      <w:r>
        <w:rPr>
          <w:spacing w:val="-17"/>
          <w:vertAlign w:val="baseline"/>
        </w:rPr>
        <w:t> </w:t>
      </w:r>
      <w:r>
        <w:rPr>
          <w:vertAlign w:val="baseline"/>
        </w:rPr>
        <w:t>it is</w:t>
      </w:r>
      <w:r>
        <w:rPr>
          <w:spacing w:val="-19"/>
          <w:vertAlign w:val="baseline"/>
        </w:rPr>
        <w:t> </w:t>
      </w:r>
      <w:r>
        <w:rPr>
          <w:vertAlign w:val="baseline"/>
        </w:rPr>
        <w:t>decided</w:t>
      </w:r>
      <w:r>
        <w:rPr>
          <w:spacing w:val="-20"/>
          <w:vertAlign w:val="baseline"/>
        </w:rPr>
        <w:t> </w:t>
      </w:r>
      <w:r>
        <w:rPr>
          <w:vertAlign w:val="baseline"/>
        </w:rPr>
        <w:t>by</w:t>
      </w:r>
      <w:r>
        <w:rPr>
          <w:spacing w:val="-20"/>
          <w:vertAlign w:val="baseline"/>
        </w:rPr>
        <w:t> </w:t>
      </w:r>
      <w:r>
        <w:rPr>
          <w:vertAlign w:val="baseline"/>
        </w:rPr>
        <w:t>the</w:t>
      </w:r>
      <w:r>
        <w:rPr>
          <w:spacing w:val="-19"/>
          <w:vertAlign w:val="baseline"/>
        </w:rPr>
        <w:t> </w:t>
      </w:r>
      <w:r>
        <w:rPr>
          <w:vertAlign w:val="baseline"/>
        </w:rPr>
        <w:t>court</w:t>
      </w:r>
      <w:r>
        <w:rPr>
          <w:spacing w:val="-21"/>
          <w:vertAlign w:val="baseline"/>
        </w:rPr>
        <w:t> </w:t>
      </w:r>
      <w:r>
        <w:rPr>
          <w:vertAlign w:val="baseline"/>
        </w:rPr>
        <w:t>that</w:t>
      </w:r>
      <w:r>
        <w:rPr>
          <w:spacing w:val="-17"/>
          <w:vertAlign w:val="baseline"/>
        </w:rPr>
        <w:t> </w:t>
      </w:r>
      <w:r>
        <w:rPr>
          <w:vertAlign w:val="baseline"/>
        </w:rPr>
        <w:t>the</w:t>
      </w:r>
      <w:r>
        <w:rPr>
          <w:spacing w:val="-16"/>
          <w:vertAlign w:val="baseline"/>
        </w:rPr>
        <w:t> </w:t>
      </w:r>
      <w:r>
        <w:rPr>
          <w:vertAlign w:val="baseline"/>
        </w:rPr>
        <w:t>loss</w:t>
      </w:r>
      <w:r>
        <w:rPr>
          <w:spacing w:val="-15"/>
          <w:vertAlign w:val="baseline"/>
        </w:rPr>
        <w:t> </w:t>
      </w:r>
      <w:r>
        <w:rPr>
          <w:vertAlign w:val="baseline"/>
        </w:rPr>
        <w:t>is</w:t>
      </w:r>
      <w:r>
        <w:rPr>
          <w:spacing w:val="-16"/>
          <w:vertAlign w:val="baseline"/>
        </w:rPr>
        <w:t> </w:t>
      </w:r>
      <w:r>
        <w:rPr>
          <w:vertAlign w:val="baseline"/>
        </w:rPr>
        <w:t>not</w:t>
      </w:r>
      <w:r>
        <w:rPr>
          <w:spacing w:val="-17"/>
          <w:vertAlign w:val="baseline"/>
        </w:rPr>
        <w:t> </w:t>
      </w:r>
      <w:r>
        <w:rPr>
          <w:vertAlign w:val="baseline"/>
        </w:rPr>
        <w:t>total, then</w:t>
      </w:r>
      <w:r>
        <w:rPr>
          <w:spacing w:val="-15"/>
          <w:vertAlign w:val="baseline"/>
        </w:rPr>
        <w:t> </w:t>
      </w:r>
      <w:r>
        <w:rPr>
          <w:vertAlign w:val="baseline"/>
        </w:rPr>
        <w:t>the</w:t>
      </w:r>
      <w:r>
        <w:rPr>
          <w:spacing w:val="-18"/>
          <w:vertAlign w:val="baseline"/>
        </w:rPr>
        <w:t> </w:t>
      </w:r>
      <w:r>
        <w:rPr>
          <w:vertAlign w:val="baseline"/>
        </w:rPr>
        <w:t>appraisal</w:t>
      </w:r>
      <w:r>
        <w:rPr>
          <w:spacing w:val="-14"/>
          <w:vertAlign w:val="baseline"/>
        </w:rPr>
        <w:t> </w:t>
      </w:r>
      <w:r>
        <w:rPr>
          <w:vertAlign w:val="baseline"/>
        </w:rPr>
        <w:t>stands,</w:t>
      </w:r>
      <w:r>
        <w:rPr>
          <w:spacing w:val="-17"/>
          <w:vertAlign w:val="baseline"/>
        </w:rPr>
        <w:t> </w:t>
      </w:r>
      <w:r>
        <w:rPr>
          <w:vertAlign w:val="baseline"/>
        </w:rPr>
        <w:t>but</w:t>
      </w:r>
      <w:r>
        <w:rPr>
          <w:spacing w:val="-15"/>
          <w:vertAlign w:val="baseline"/>
        </w:rPr>
        <w:t> </w:t>
      </w:r>
      <w:r>
        <w:rPr>
          <w:vertAlign w:val="baseline"/>
        </w:rPr>
        <w:t>should</w:t>
      </w:r>
      <w:r>
        <w:rPr>
          <w:spacing w:val="-13"/>
          <w:vertAlign w:val="baseline"/>
        </w:rPr>
        <w:t> </w:t>
      </w:r>
      <w:r>
        <w:rPr>
          <w:vertAlign w:val="baseline"/>
        </w:rPr>
        <w:t>the</w:t>
      </w:r>
      <w:r>
        <w:rPr>
          <w:spacing w:val="-16"/>
          <w:vertAlign w:val="baseline"/>
        </w:rPr>
        <w:t> </w:t>
      </w:r>
      <w:r>
        <w:rPr>
          <w:vertAlign w:val="baseline"/>
        </w:rPr>
        <w:t>court conclude that the loss was total, then, </w:t>
      </w:r>
      <w:r>
        <w:rPr>
          <w:spacing w:val="-3"/>
          <w:vertAlign w:val="baseline"/>
        </w:rPr>
        <w:t>under </w:t>
      </w:r>
      <w:r>
        <w:rPr>
          <w:vertAlign w:val="baseline"/>
        </w:rPr>
        <w:t>the valued policy, the insured would be entitled to receive the amount of the policy. Any other construction would emasculate</w:t>
      </w:r>
      <w:r>
        <w:rPr>
          <w:spacing w:val="-10"/>
          <w:vertAlign w:val="baseline"/>
        </w:rPr>
        <w:t> </w:t>
      </w:r>
      <w:r>
        <w:rPr>
          <w:spacing w:val="-5"/>
          <w:vertAlign w:val="baseline"/>
        </w:rPr>
        <w:t>the</w:t>
      </w:r>
    </w:p>
    <w:p>
      <w:pPr>
        <w:pStyle w:val="BodyText"/>
        <w:rPr>
          <w:sz w:val="20"/>
        </w:rPr>
      </w:pPr>
    </w:p>
    <w:p>
      <w:pPr>
        <w:pStyle w:val="BodyText"/>
        <w:rPr>
          <w:sz w:val="20"/>
        </w:rPr>
      </w:pPr>
    </w:p>
    <w:p>
      <w:pPr>
        <w:pStyle w:val="BodyText"/>
        <w:rPr>
          <w:sz w:val="20"/>
        </w:rPr>
      </w:pPr>
    </w:p>
    <w:p>
      <w:pPr>
        <w:pStyle w:val="BodyText"/>
        <w:spacing w:before="4"/>
        <w:rPr>
          <w:sz w:val="19"/>
        </w:rPr>
      </w:pPr>
      <w:r>
        <w:rPr/>
        <w:pict>
          <v:shape style="position:absolute;margin-left:162pt;margin-top:14.291167pt;width:143.9pt;height:.1pt;mso-position-horizontal-relative:page;mso-position-vertical-relative:paragraph;z-index:-251616256;mso-wrap-distance-left:0;mso-wrap-distance-right:0" coordorigin="3240,286" coordsize="2878,0" path="m3240,286l6118,286e" filled="false" stroked="true" strokeweight=".84pt" strokecolor="#000000">
            <v:path arrowok="t"/>
            <v:stroke dashstyle="solid"/>
            <w10:wrap type="topAndBottom"/>
          </v:shape>
        </w:pict>
      </w:r>
    </w:p>
    <w:p>
      <w:pPr>
        <w:pStyle w:val="BodyText"/>
        <w:spacing w:before="4"/>
        <w:rPr>
          <w:sz w:val="10"/>
        </w:rPr>
      </w:pPr>
    </w:p>
    <w:p>
      <w:pPr>
        <w:spacing w:before="71"/>
        <w:ind w:left="1160" w:right="0" w:firstLine="0"/>
        <w:jc w:val="left"/>
        <w:rPr>
          <w:rFonts w:ascii="Times New Roman"/>
          <w:sz w:val="18"/>
        </w:rPr>
      </w:pPr>
      <w:r>
        <w:rPr>
          <w:rFonts w:ascii="Times New Roman"/>
          <w:position w:val="10"/>
          <w:sz w:val="14"/>
        </w:rPr>
        <w:t>138 </w:t>
      </w:r>
      <w:r>
        <w:rPr>
          <w:rFonts w:ascii="Times New Roman"/>
          <w:sz w:val="18"/>
        </w:rPr>
        <w:t>251 N.Y. 230, 167 N.E. 426 (1929).</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5"/>
      </w:pPr>
      <w:bookmarkStart w:name="Law and Procedure 107" w:id="17"/>
      <w:bookmarkEnd w:id="17"/>
      <w:r>
        <w:rPr/>
      </w:r>
      <w:r>
        <w:rPr/>
        <w:t>valuation portion of the policy and disregard the fact that the policy is a valued policy.</w:t>
      </w:r>
      <w:r>
        <w:rPr>
          <w:vertAlign w:val="superscript"/>
        </w:rPr>
        <w:t>139</w:t>
      </w:r>
    </w:p>
    <w:p>
      <w:pPr>
        <w:pStyle w:val="BodyText"/>
        <w:spacing w:before="1"/>
      </w:pPr>
    </w:p>
    <w:p>
      <w:pPr>
        <w:pStyle w:val="BodyText"/>
        <w:spacing w:line="242" w:lineRule="auto" w:before="1"/>
        <w:ind w:left="1520" w:right="1518" w:firstLine="720"/>
        <w:jc w:val="both"/>
      </w:pPr>
      <w:r>
        <w:rPr/>
        <w:t>A Minnesota court has asserted there is no need for appraisal in the event of a total loss</w:t>
      </w:r>
      <w:r>
        <w:rPr>
          <w:spacing w:val="-7"/>
        </w:rPr>
        <w:t> </w:t>
      </w:r>
      <w:r>
        <w:rPr/>
        <w:t>since</w:t>
      </w:r>
      <w:r>
        <w:rPr>
          <w:spacing w:val="-9"/>
        </w:rPr>
        <w:t> </w:t>
      </w:r>
      <w:r>
        <w:rPr/>
        <w:t>the</w:t>
      </w:r>
      <w:r>
        <w:rPr>
          <w:spacing w:val="-8"/>
        </w:rPr>
        <w:t> </w:t>
      </w:r>
      <w:r>
        <w:rPr/>
        <w:t>amount</w:t>
      </w:r>
      <w:r>
        <w:rPr>
          <w:spacing w:val="-7"/>
        </w:rPr>
        <w:t> </w:t>
      </w:r>
      <w:r>
        <w:rPr/>
        <w:t>of</w:t>
      </w:r>
      <w:r>
        <w:rPr>
          <w:spacing w:val="-8"/>
        </w:rPr>
        <w:t> </w:t>
      </w:r>
      <w:r>
        <w:rPr/>
        <w:t>loss</w:t>
      </w:r>
      <w:r>
        <w:rPr>
          <w:spacing w:val="-8"/>
        </w:rPr>
        <w:t> </w:t>
      </w:r>
      <w:r>
        <w:rPr/>
        <w:t>is</w:t>
      </w:r>
      <w:r>
        <w:rPr>
          <w:spacing w:val="-9"/>
        </w:rPr>
        <w:t> </w:t>
      </w:r>
      <w:r>
        <w:rPr/>
        <w:t>predetermined. </w:t>
      </w:r>
      <w:r>
        <w:rPr>
          <w:spacing w:val="3"/>
        </w:rPr>
        <w:t>It </w:t>
      </w:r>
      <w:r>
        <w:rPr/>
        <w:t>explained that the language found within both the pertinent state statute and a</w:t>
      </w:r>
      <w:r>
        <w:rPr>
          <w:spacing w:val="-41"/>
        </w:rPr>
        <w:t> </w:t>
      </w:r>
      <w:r>
        <w:rPr/>
        <w:t>policy’s appraisal</w:t>
      </w:r>
      <w:r>
        <w:rPr>
          <w:spacing w:val="-10"/>
        </w:rPr>
        <w:t> </w:t>
      </w:r>
      <w:r>
        <w:rPr/>
        <w:t>provision</w:t>
      </w:r>
      <w:r>
        <w:rPr>
          <w:spacing w:val="-9"/>
        </w:rPr>
        <w:t> </w:t>
      </w:r>
      <w:r>
        <w:rPr/>
        <w:t>stating</w:t>
      </w:r>
      <w:r>
        <w:rPr>
          <w:spacing w:val="-11"/>
        </w:rPr>
        <w:t> </w:t>
      </w:r>
      <w:r>
        <w:rPr/>
        <w:t>“except</w:t>
      </w:r>
      <w:r>
        <w:rPr>
          <w:spacing w:val="-13"/>
        </w:rPr>
        <w:t> </w:t>
      </w:r>
      <w:r>
        <w:rPr/>
        <w:t>in</w:t>
      </w:r>
      <w:r>
        <w:rPr>
          <w:spacing w:val="-12"/>
        </w:rPr>
        <w:t> </w:t>
      </w:r>
      <w:r>
        <w:rPr/>
        <w:t>the</w:t>
      </w:r>
      <w:r>
        <w:rPr>
          <w:spacing w:val="-12"/>
        </w:rPr>
        <w:t> </w:t>
      </w:r>
      <w:r>
        <w:rPr/>
        <w:t>case of</w:t>
      </w:r>
      <w:r>
        <w:rPr>
          <w:spacing w:val="-24"/>
        </w:rPr>
        <w:t> </w:t>
      </w:r>
      <w:r>
        <w:rPr/>
        <w:t>total</w:t>
      </w:r>
      <w:r>
        <w:rPr>
          <w:spacing w:val="-22"/>
        </w:rPr>
        <w:t> </w:t>
      </w:r>
      <w:r>
        <w:rPr/>
        <w:t>loss”</w:t>
      </w:r>
      <w:r>
        <w:rPr>
          <w:spacing w:val="-21"/>
        </w:rPr>
        <w:t> </w:t>
      </w:r>
      <w:r>
        <w:rPr/>
        <w:t>was</w:t>
      </w:r>
      <w:r>
        <w:rPr>
          <w:spacing w:val="-22"/>
        </w:rPr>
        <w:t> </w:t>
      </w:r>
      <w:r>
        <w:rPr/>
        <w:t>meant</w:t>
      </w:r>
      <w:r>
        <w:rPr>
          <w:spacing w:val="-24"/>
        </w:rPr>
        <w:t> </w:t>
      </w:r>
      <w:r>
        <w:rPr/>
        <w:t>to</w:t>
      </w:r>
      <w:r>
        <w:rPr>
          <w:spacing w:val="-22"/>
        </w:rPr>
        <w:t> </w:t>
      </w:r>
      <w:r>
        <w:rPr/>
        <w:t>prevent</w:t>
      </w:r>
      <w:r>
        <w:rPr>
          <w:spacing w:val="-27"/>
        </w:rPr>
        <w:t> </w:t>
      </w:r>
      <w:r>
        <w:rPr/>
        <w:t>parties</w:t>
      </w:r>
      <w:r>
        <w:rPr>
          <w:spacing w:val="-25"/>
        </w:rPr>
        <w:t> </w:t>
      </w:r>
      <w:r>
        <w:rPr>
          <w:spacing w:val="-4"/>
        </w:rPr>
        <w:t>from </w:t>
      </w:r>
      <w:r>
        <w:rPr/>
        <w:t>claiming an amount higher or lower than a policy’s limits where a total loss</w:t>
      </w:r>
      <w:r>
        <w:rPr>
          <w:spacing w:val="-11"/>
        </w:rPr>
        <w:t> </w:t>
      </w:r>
      <w:r>
        <w:rPr/>
        <w:t>occurs.</w:t>
      </w:r>
    </w:p>
    <w:p>
      <w:pPr>
        <w:pStyle w:val="BodyText"/>
        <w:spacing w:before="11"/>
        <w:rPr>
          <w:sz w:val="25"/>
        </w:rPr>
      </w:pPr>
    </w:p>
    <w:p>
      <w:pPr>
        <w:pStyle w:val="BodyText"/>
        <w:spacing w:line="242" w:lineRule="auto"/>
        <w:ind w:left="1520" w:right="1517" w:firstLine="720"/>
        <w:jc w:val="both"/>
      </w:pPr>
      <w:r>
        <w:rPr/>
        <w:t>Total</w:t>
      </w:r>
      <w:r>
        <w:rPr>
          <w:spacing w:val="-31"/>
        </w:rPr>
        <w:t> </w:t>
      </w:r>
      <w:r>
        <w:rPr/>
        <w:t>loss,</w:t>
      </w:r>
      <w:r>
        <w:rPr>
          <w:spacing w:val="-31"/>
        </w:rPr>
        <w:t> </w:t>
      </w:r>
      <w:r>
        <w:rPr/>
        <w:t>while</w:t>
      </w:r>
      <w:r>
        <w:rPr>
          <w:spacing w:val="-31"/>
        </w:rPr>
        <w:t> </w:t>
      </w:r>
      <w:r>
        <w:rPr/>
        <w:t>not</w:t>
      </w:r>
      <w:r>
        <w:rPr>
          <w:spacing w:val="-33"/>
        </w:rPr>
        <w:t> </w:t>
      </w:r>
      <w:r>
        <w:rPr/>
        <w:t>defined</w:t>
      </w:r>
      <w:r>
        <w:rPr>
          <w:spacing w:val="-31"/>
        </w:rPr>
        <w:t> </w:t>
      </w:r>
      <w:r>
        <w:rPr/>
        <w:t>by</w:t>
      </w:r>
      <w:r>
        <w:rPr>
          <w:spacing w:val="-34"/>
        </w:rPr>
        <w:t> </w:t>
      </w:r>
      <w:r>
        <w:rPr/>
        <w:t>the</w:t>
      </w:r>
      <w:r>
        <w:rPr>
          <w:spacing w:val="-33"/>
        </w:rPr>
        <w:t> </w:t>
      </w:r>
      <w:r>
        <w:rPr/>
        <w:t>statute or</w:t>
      </w:r>
      <w:r>
        <w:rPr>
          <w:spacing w:val="-22"/>
        </w:rPr>
        <w:t> </w:t>
      </w:r>
      <w:r>
        <w:rPr/>
        <w:t>policy,</w:t>
      </w:r>
      <w:r>
        <w:rPr>
          <w:spacing w:val="-24"/>
        </w:rPr>
        <w:t> </w:t>
      </w:r>
      <w:r>
        <w:rPr/>
        <w:t>has</w:t>
      </w:r>
      <w:r>
        <w:rPr>
          <w:spacing w:val="-21"/>
        </w:rPr>
        <w:t> </w:t>
      </w:r>
      <w:r>
        <w:rPr/>
        <w:t>been</w:t>
      </w:r>
      <w:r>
        <w:rPr>
          <w:spacing w:val="-18"/>
        </w:rPr>
        <w:t> </w:t>
      </w:r>
      <w:r>
        <w:rPr/>
        <w:t>described</w:t>
      </w:r>
      <w:r>
        <w:rPr>
          <w:spacing w:val="-19"/>
        </w:rPr>
        <w:t> </w:t>
      </w:r>
      <w:r>
        <w:rPr/>
        <w:t>at</w:t>
      </w:r>
      <w:r>
        <w:rPr>
          <w:spacing w:val="-20"/>
        </w:rPr>
        <w:t> </w:t>
      </w:r>
      <w:r>
        <w:rPr/>
        <w:t>common</w:t>
      </w:r>
      <w:r>
        <w:rPr>
          <w:spacing w:val="-21"/>
        </w:rPr>
        <w:t> </w:t>
      </w:r>
      <w:r>
        <w:rPr>
          <w:spacing w:val="-4"/>
        </w:rPr>
        <w:t>law: </w:t>
      </w:r>
      <w:r>
        <w:rPr/>
        <w:t>“A</w:t>
      </w:r>
      <w:r>
        <w:rPr>
          <w:spacing w:val="-21"/>
        </w:rPr>
        <w:t> </w:t>
      </w:r>
      <w:r>
        <w:rPr/>
        <w:t>building</w:t>
      </w:r>
      <w:r>
        <w:rPr>
          <w:spacing w:val="-24"/>
        </w:rPr>
        <w:t> </w:t>
      </w:r>
      <w:r>
        <w:rPr/>
        <w:t>is</w:t>
      </w:r>
      <w:r>
        <w:rPr>
          <w:spacing w:val="-24"/>
        </w:rPr>
        <w:t> </w:t>
      </w:r>
      <w:r>
        <w:rPr/>
        <w:t>not</w:t>
      </w:r>
      <w:r>
        <w:rPr>
          <w:spacing w:val="-26"/>
        </w:rPr>
        <w:t> </w:t>
      </w:r>
      <w:r>
        <w:rPr/>
        <w:t>a</w:t>
      </w:r>
      <w:r>
        <w:rPr>
          <w:spacing w:val="-26"/>
        </w:rPr>
        <w:t> </w:t>
      </w:r>
      <w:r>
        <w:rPr/>
        <w:t>total</w:t>
      </w:r>
      <w:r>
        <w:rPr>
          <w:spacing w:val="-25"/>
        </w:rPr>
        <w:t> </w:t>
      </w:r>
      <w:r>
        <w:rPr/>
        <w:t>loss…unless</w:t>
      </w:r>
      <w:r>
        <w:rPr>
          <w:spacing w:val="-26"/>
        </w:rPr>
        <w:t> </w:t>
      </w:r>
      <w:r>
        <w:rPr/>
        <w:t>it</w:t>
      </w:r>
      <w:r>
        <w:rPr>
          <w:spacing w:val="-26"/>
        </w:rPr>
        <w:t> </w:t>
      </w:r>
      <w:r>
        <w:rPr/>
        <w:t>has</w:t>
      </w:r>
      <w:r>
        <w:rPr>
          <w:spacing w:val="-26"/>
        </w:rPr>
        <w:t> </w:t>
      </w:r>
      <w:r>
        <w:rPr/>
        <w:t>been so far destroyed by the fire that no substantial part or portion of it above ground remains in place capable of being safely utilized in restoring</w:t>
      </w:r>
      <w:r>
        <w:rPr>
          <w:spacing w:val="-11"/>
        </w:rPr>
        <w:t> </w:t>
      </w:r>
      <w:r>
        <w:rPr/>
        <w:t>the</w:t>
      </w:r>
      <w:r>
        <w:rPr>
          <w:spacing w:val="-12"/>
        </w:rPr>
        <w:t> </w:t>
      </w:r>
      <w:r>
        <w:rPr/>
        <w:t>building</w:t>
      </w:r>
      <w:r>
        <w:rPr>
          <w:spacing w:val="-11"/>
        </w:rPr>
        <w:t> </w:t>
      </w:r>
      <w:r>
        <w:rPr/>
        <w:t>to</w:t>
      </w:r>
      <w:r>
        <w:rPr>
          <w:spacing w:val="-11"/>
        </w:rPr>
        <w:t> </w:t>
      </w:r>
      <w:r>
        <w:rPr/>
        <w:t>the</w:t>
      </w:r>
      <w:r>
        <w:rPr>
          <w:spacing w:val="-14"/>
        </w:rPr>
        <w:t> </w:t>
      </w:r>
      <w:r>
        <w:rPr/>
        <w:t>condition</w:t>
      </w:r>
      <w:r>
        <w:rPr>
          <w:spacing w:val="-10"/>
        </w:rPr>
        <w:t> </w:t>
      </w:r>
      <w:r>
        <w:rPr/>
        <w:t>in</w:t>
      </w:r>
      <w:r>
        <w:rPr>
          <w:spacing w:val="-12"/>
        </w:rPr>
        <w:t> </w:t>
      </w:r>
      <w:r>
        <w:rPr/>
        <w:t>which </w:t>
      </w:r>
      <w:r>
        <w:rPr>
          <w:spacing w:val="2"/>
        </w:rPr>
        <w:t>it </w:t>
      </w:r>
      <w:r>
        <w:rPr/>
        <w:t>was before the fire…There can be no total loss</w:t>
      </w:r>
      <w:r>
        <w:rPr>
          <w:spacing w:val="-8"/>
        </w:rPr>
        <w:t> </w:t>
      </w:r>
      <w:r>
        <w:rPr/>
        <w:t>of</w:t>
      </w:r>
      <w:r>
        <w:rPr>
          <w:spacing w:val="-9"/>
        </w:rPr>
        <w:t> </w:t>
      </w:r>
      <w:r>
        <w:rPr/>
        <w:t>a</w:t>
      </w:r>
      <w:r>
        <w:rPr>
          <w:spacing w:val="-8"/>
        </w:rPr>
        <w:t> </w:t>
      </w:r>
      <w:r>
        <w:rPr/>
        <w:t>building</w:t>
      </w:r>
      <w:r>
        <w:rPr>
          <w:spacing w:val="-9"/>
        </w:rPr>
        <w:t> </w:t>
      </w:r>
      <w:r>
        <w:rPr/>
        <w:t>so</w:t>
      </w:r>
      <w:r>
        <w:rPr>
          <w:spacing w:val="-8"/>
        </w:rPr>
        <w:t> </w:t>
      </w:r>
      <w:r>
        <w:rPr/>
        <w:t>long</w:t>
      </w:r>
      <w:r>
        <w:rPr>
          <w:spacing w:val="-7"/>
        </w:rPr>
        <w:t> </w:t>
      </w:r>
      <w:r>
        <w:rPr/>
        <w:t>as</w:t>
      </w:r>
      <w:r>
        <w:rPr>
          <w:spacing w:val="-10"/>
        </w:rPr>
        <w:t> </w:t>
      </w:r>
      <w:r>
        <w:rPr/>
        <w:t>the</w:t>
      </w:r>
      <w:r>
        <w:rPr>
          <w:spacing w:val="-12"/>
        </w:rPr>
        <w:t> </w:t>
      </w:r>
      <w:r>
        <w:rPr/>
        <w:t>remnant</w:t>
      </w:r>
      <w:r>
        <w:rPr>
          <w:spacing w:val="-10"/>
        </w:rPr>
        <w:t> </w:t>
      </w:r>
      <w:r>
        <w:rPr/>
        <w:t>of</w:t>
      </w:r>
      <w:r>
        <w:rPr>
          <w:spacing w:val="-9"/>
        </w:rPr>
        <w:t> </w:t>
      </w:r>
      <w:r>
        <w:rPr/>
        <w:t>the structure left standing above ground is reasonably</w:t>
      </w:r>
      <w:r>
        <w:rPr>
          <w:spacing w:val="-35"/>
        </w:rPr>
        <w:t> </w:t>
      </w:r>
      <w:r>
        <w:rPr/>
        <w:t>and</w:t>
      </w:r>
      <w:r>
        <w:rPr>
          <w:spacing w:val="-36"/>
        </w:rPr>
        <w:t> </w:t>
      </w:r>
      <w:r>
        <w:rPr/>
        <w:t>safely</w:t>
      </w:r>
      <w:r>
        <w:rPr>
          <w:spacing w:val="-36"/>
        </w:rPr>
        <w:t> </w:t>
      </w:r>
      <w:r>
        <w:rPr/>
        <w:t>adapted</w:t>
      </w:r>
      <w:r>
        <w:rPr>
          <w:spacing w:val="-37"/>
        </w:rPr>
        <w:t> </w:t>
      </w:r>
      <w:r>
        <w:rPr>
          <w:spacing w:val="-2"/>
        </w:rPr>
        <w:t>for</w:t>
      </w:r>
      <w:r>
        <w:rPr>
          <w:spacing w:val="-39"/>
        </w:rPr>
        <w:t> </w:t>
      </w:r>
      <w:r>
        <w:rPr/>
        <w:t>use</w:t>
      </w:r>
      <w:r>
        <w:rPr>
          <w:spacing w:val="-37"/>
        </w:rPr>
        <w:t> </w:t>
      </w:r>
      <w:r>
        <w:rPr>
          <w:spacing w:val="-3"/>
        </w:rPr>
        <w:t>(without </w:t>
      </w:r>
      <w:r>
        <w:rPr/>
        <w:t>being taken down) as a basis upon which to restore</w:t>
      </w:r>
      <w:r>
        <w:rPr>
          <w:spacing w:val="-10"/>
        </w:rPr>
        <w:t> </w:t>
      </w:r>
      <w:r>
        <w:rPr/>
        <w:t>the</w:t>
      </w:r>
      <w:r>
        <w:rPr>
          <w:spacing w:val="-9"/>
        </w:rPr>
        <w:t> </w:t>
      </w:r>
      <w:r>
        <w:rPr/>
        <w:t>building</w:t>
      </w:r>
      <w:r>
        <w:rPr>
          <w:spacing w:val="-8"/>
        </w:rPr>
        <w:t> </w:t>
      </w:r>
      <w:r>
        <w:rPr/>
        <w:t>to</w:t>
      </w:r>
      <w:r>
        <w:rPr>
          <w:spacing w:val="-8"/>
        </w:rPr>
        <w:t> </w:t>
      </w:r>
      <w:r>
        <w:rPr/>
        <w:t>the</w:t>
      </w:r>
      <w:r>
        <w:rPr>
          <w:spacing w:val="-9"/>
        </w:rPr>
        <w:t> </w:t>
      </w:r>
      <w:r>
        <w:rPr/>
        <w:t>condition</w:t>
      </w:r>
      <w:r>
        <w:rPr>
          <w:spacing w:val="-9"/>
        </w:rPr>
        <w:t> </w:t>
      </w:r>
      <w:r>
        <w:rPr/>
        <w:t>in</w:t>
      </w:r>
      <w:r>
        <w:rPr>
          <w:spacing w:val="-11"/>
        </w:rPr>
        <w:t> </w:t>
      </w:r>
      <w:r>
        <w:rPr/>
        <w:t>which</w:t>
      </w:r>
      <w:r>
        <w:rPr>
          <w:spacing w:val="-10"/>
        </w:rPr>
        <w:t> </w:t>
      </w:r>
      <w:r>
        <w:rPr/>
        <w:t>it was immediately before the fire; and whether </w:t>
      </w:r>
      <w:r>
        <w:rPr>
          <w:spacing w:val="2"/>
        </w:rPr>
        <w:t>it is </w:t>
      </w:r>
      <w:r>
        <w:rPr/>
        <w:t>so adapted depends upon the question whether a reasonably prudent owner of </w:t>
      </w:r>
      <w:r>
        <w:rPr>
          <w:spacing w:val="-5"/>
        </w:rPr>
        <w:t>the </w:t>
      </w:r>
      <w:r>
        <w:rPr/>
        <w:t>building,</w:t>
      </w:r>
      <w:r>
        <w:rPr>
          <w:spacing w:val="-23"/>
        </w:rPr>
        <w:t> </w:t>
      </w:r>
      <w:r>
        <w:rPr/>
        <w:t>uninsured,</w:t>
      </w:r>
      <w:r>
        <w:rPr>
          <w:spacing w:val="-25"/>
        </w:rPr>
        <w:t> </w:t>
      </w:r>
      <w:r>
        <w:rPr/>
        <w:t>desiring</w:t>
      </w:r>
      <w:r>
        <w:rPr>
          <w:spacing w:val="-22"/>
        </w:rPr>
        <w:t> </w:t>
      </w:r>
      <w:r>
        <w:rPr/>
        <w:t>such</w:t>
      </w:r>
      <w:r>
        <w:rPr>
          <w:spacing w:val="-21"/>
        </w:rPr>
        <w:t> </w:t>
      </w:r>
      <w:r>
        <w:rPr/>
        <w:t>a</w:t>
      </w:r>
      <w:r>
        <w:rPr>
          <w:spacing w:val="-24"/>
        </w:rPr>
        <w:t> </w:t>
      </w:r>
      <w:r>
        <w:rPr/>
        <w:t>structure</w:t>
      </w:r>
      <w:r>
        <w:rPr>
          <w:spacing w:val="-21"/>
        </w:rPr>
        <w:t> </w:t>
      </w:r>
      <w:r>
        <w:rPr/>
        <w:t>as</w:t>
      </w:r>
    </w:p>
    <w:p>
      <w:pPr>
        <w:pStyle w:val="BodyText"/>
        <w:rPr>
          <w:sz w:val="20"/>
        </w:rPr>
      </w:pPr>
    </w:p>
    <w:p>
      <w:pPr>
        <w:pStyle w:val="BodyText"/>
        <w:spacing w:before="11"/>
        <w:rPr>
          <w:sz w:val="12"/>
        </w:rPr>
      </w:pPr>
      <w:r>
        <w:rPr/>
        <w:pict>
          <v:shape style="position:absolute;margin-left:162pt;margin-top:10.31959pt;width:143.9pt;height:.1pt;mso-position-horizontal-relative:page;mso-position-vertical-relative:paragraph;z-index:-251615232;mso-wrap-distance-left:0;mso-wrap-distance-right:0" coordorigin="3240,206" coordsize="2878,0" path="m3240,206l6118,206e" filled="false" stroked="true" strokeweight=".84pt" strokecolor="#000000">
            <v:path arrowok="t"/>
            <v:stroke dashstyle="solid"/>
            <w10:wrap type="topAndBottom"/>
          </v:shape>
        </w:pict>
      </w:r>
    </w:p>
    <w:p>
      <w:pPr>
        <w:pStyle w:val="ListParagraph"/>
        <w:numPr>
          <w:ilvl w:val="0"/>
          <w:numId w:val="7"/>
        </w:numPr>
        <w:tabs>
          <w:tab w:pos="1447" w:val="left" w:leader="none"/>
        </w:tabs>
        <w:spacing w:line="240" w:lineRule="auto" w:before="144" w:after="0"/>
        <w:ind w:left="1446" w:right="0" w:hanging="287"/>
        <w:jc w:val="left"/>
        <w:rPr>
          <w:sz w:val="18"/>
        </w:rPr>
      </w:pPr>
      <w:r>
        <w:rPr>
          <w:position w:val="-8"/>
          <w:sz w:val="18"/>
          <w:u w:val="single"/>
        </w:rPr>
        <w:t>Id.</w:t>
      </w:r>
    </w:p>
    <w:p>
      <w:pPr>
        <w:spacing w:after="0" w:line="240" w:lineRule="auto"/>
        <w:jc w:val="left"/>
        <w:rPr>
          <w:sz w:val="18"/>
        </w:rPr>
        <w:sectPr>
          <w:footerReference w:type="default" r:id="rId8"/>
          <w:pgSz w:w="12240" w:h="15840"/>
          <w:pgMar w:footer="2273" w:header="0" w:top="1500" w:bottom="2460" w:left="1720" w:right="1720"/>
          <w:pgNumType w:start="83"/>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9"/>
        <w:jc w:val="both"/>
      </w:pPr>
      <w:bookmarkStart w:name="Law and Procedure 108" w:id="18"/>
      <w:bookmarkEnd w:id="18"/>
      <w:r>
        <w:rPr/>
      </w:r>
      <w:r>
        <w:rPr/>
        <w:t>the</w:t>
      </w:r>
      <w:r>
        <w:rPr>
          <w:spacing w:val="-12"/>
        </w:rPr>
        <w:t> </w:t>
      </w:r>
      <w:r>
        <w:rPr/>
        <w:t>one</w:t>
      </w:r>
      <w:r>
        <w:rPr>
          <w:spacing w:val="-10"/>
        </w:rPr>
        <w:t> </w:t>
      </w:r>
      <w:r>
        <w:rPr/>
        <w:t>in</w:t>
      </w:r>
      <w:r>
        <w:rPr>
          <w:spacing w:val="-10"/>
        </w:rPr>
        <w:t> </w:t>
      </w:r>
      <w:r>
        <w:rPr/>
        <w:t>question</w:t>
      </w:r>
      <w:r>
        <w:rPr>
          <w:spacing w:val="-10"/>
        </w:rPr>
        <w:t> </w:t>
      </w:r>
      <w:r>
        <w:rPr/>
        <w:t>was</w:t>
      </w:r>
      <w:r>
        <w:rPr>
          <w:spacing w:val="-10"/>
        </w:rPr>
        <w:t> </w:t>
      </w:r>
      <w:r>
        <w:rPr/>
        <w:t>before</w:t>
      </w:r>
      <w:r>
        <w:rPr>
          <w:spacing w:val="-9"/>
        </w:rPr>
        <w:t> </w:t>
      </w:r>
      <w:r>
        <w:rPr/>
        <w:t>the</w:t>
      </w:r>
      <w:r>
        <w:rPr>
          <w:spacing w:val="-8"/>
        </w:rPr>
        <w:t> </w:t>
      </w:r>
      <w:r>
        <w:rPr/>
        <w:t>fire,</w:t>
      </w:r>
      <w:r>
        <w:rPr>
          <w:spacing w:val="-12"/>
        </w:rPr>
        <w:t> </w:t>
      </w:r>
      <w:r>
        <w:rPr/>
        <w:t>would, in proceeding to restore the building, utilize such standing remnant as a basis. </w:t>
      </w:r>
      <w:r>
        <w:rPr>
          <w:spacing w:val="3"/>
        </w:rPr>
        <w:t>If </w:t>
      </w:r>
      <w:r>
        <w:rPr/>
        <w:t>he</w:t>
      </w:r>
      <w:r>
        <w:rPr>
          <w:spacing w:val="-36"/>
        </w:rPr>
        <w:t> </w:t>
      </w:r>
      <w:r>
        <w:rPr/>
        <w:t>would, then the loss </w:t>
      </w:r>
      <w:r>
        <w:rPr>
          <w:spacing w:val="2"/>
        </w:rPr>
        <w:t>is </w:t>
      </w:r>
      <w:r>
        <w:rPr/>
        <w:t>not</w:t>
      </w:r>
      <w:r>
        <w:rPr>
          <w:spacing w:val="-8"/>
        </w:rPr>
        <w:t> </w:t>
      </w:r>
      <w:r>
        <w:rPr/>
        <w:t>total.”</w:t>
      </w:r>
      <w:r>
        <w:rPr>
          <w:vertAlign w:val="superscript"/>
        </w:rPr>
        <w:t>140</w:t>
      </w:r>
    </w:p>
    <w:p>
      <w:pPr>
        <w:pStyle w:val="BodyText"/>
        <w:spacing w:before="1"/>
      </w:pPr>
    </w:p>
    <w:p>
      <w:pPr>
        <w:pStyle w:val="BodyText"/>
        <w:spacing w:line="242" w:lineRule="auto"/>
        <w:ind w:left="1520" w:right="1516" w:firstLine="720"/>
        <w:jc w:val="both"/>
      </w:pPr>
      <w:r>
        <w:rPr>
          <w:spacing w:val="3"/>
        </w:rPr>
        <w:t>In </w:t>
      </w:r>
      <w:r>
        <w:rPr/>
        <w:t>Minnesota, the determination of whether a total loss has been sustained is beyond the scope of appraisal. </w:t>
      </w:r>
      <w:r>
        <w:rPr>
          <w:spacing w:val="3"/>
        </w:rPr>
        <w:t>In </w:t>
      </w:r>
      <w:r>
        <w:rPr/>
        <w:t>a case which applied the aforementioned “total-loss prudent-person” standard, total loss was </w:t>
      </w:r>
      <w:r>
        <w:rPr>
          <w:spacing w:val="4"/>
        </w:rPr>
        <w:t>distinguished </w:t>
      </w:r>
      <w:r>
        <w:rPr>
          <w:spacing w:val="3"/>
        </w:rPr>
        <w:t>from </w:t>
      </w:r>
      <w:r>
        <w:rPr/>
        <w:t>the </w:t>
      </w:r>
      <w:r>
        <w:rPr>
          <w:spacing w:val="3"/>
        </w:rPr>
        <w:t>factual </w:t>
      </w:r>
      <w:r>
        <w:rPr>
          <w:spacing w:val="4"/>
        </w:rPr>
        <w:t>dispute </w:t>
      </w:r>
      <w:r>
        <w:rPr/>
        <w:t>submitted to appraisal. Although Minnesota had not previously considered whether an appraisal or court was a more appropriate forum for such a determination, it adhered to the</w:t>
      </w:r>
      <w:r>
        <w:rPr>
          <w:spacing w:val="-13"/>
        </w:rPr>
        <w:t> </w:t>
      </w:r>
      <w:r>
        <w:rPr/>
        <w:t>prevailing</w:t>
      </w:r>
      <w:r>
        <w:rPr>
          <w:spacing w:val="-12"/>
        </w:rPr>
        <w:t> </w:t>
      </w:r>
      <w:r>
        <w:rPr/>
        <w:t>rule</w:t>
      </w:r>
      <w:r>
        <w:rPr>
          <w:spacing w:val="-14"/>
        </w:rPr>
        <w:t> </w:t>
      </w:r>
      <w:r>
        <w:rPr/>
        <w:t>that</w:t>
      </w:r>
      <w:r>
        <w:rPr>
          <w:spacing w:val="-16"/>
        </w:rPr>
        <w:t> </w:t>
      </w:r>
      <w:r>
        <w:rPr/>
        <w:t>“the</w:t>
      </w:r>
      <w:r>
        <w:rPr>
          <w:spacing w:val="-15"/>
        </w:rPr>
        <w:t> </w:t>
      </w:r>
      <w:r>
        <w:rPr/>
        <w:t>sole</w:t>
      </w:r>
      <w:r>
        <w:rPr>
          <w:spacing w:val="-12"/>
        </w:rPr>
        <w:t> </w:t>
      </w:r>
      <w:r>
        <w:rPr/>
        <w:t>purpose</w:t>
      </w:r>
      <w:r>
        <w:rPr>
          <w:spacing w:val="-12"/>
        </w:rPr>
        <w:t> </w:t>
      </w:r>
      <w:r>
        <w:rPr/>
        <w:t>of</w:t>
      </w:r>
      <w:r>
        <w:rPr>
          <w:spacing w:val="-13"/>
        </w:rPr>
        <w:t> </w:t>
      </w:r>
      <w:r>
        <w:rPr/>
        <w:t>an appraisal is to determine the amount of damage…[a]s a consequence, an appraisal clause</w:t>
      </w:r>
      <w:r>
        <w:rPr>
          <w:spacing w:val="-38"/>
        </w:rPr>
        <w:t> </w:t>
      </w:r>
      <w:r>
        <w:rPr/>
        <w:t>does</w:t>
      </w:r>
      <w:r>
        <w:rPr>
          <w:spacing w:val="-33"/>
        </w:rPr>
        <w:t> </w:t>
      </w:r>
      <w:r>
        <w:rPr/>
        <w:t>not</w:t>
      </w:r>
      <w:r>
        <w:rPr>
          <w:spacing w:val="-34"/>
        </w:rPr>
        <w:t> </w:t>
      </w:r>
      <w:r>
        <w:rPr/>
        <w:t>permit</w:t>
      </w:r>
      <w:r>
        <w:rPr>
          <w:spacing w:val="-36"/>
        </w:rPr>
        <w:t> </w:t>
      </w:r>
      <w:r>
        <w:rPr/>
        <w:t>appraisers</w:t>
      </w:r>
      <w:r>
        <w:rPr>
          <w:spacing w:val="-33"/>
        </w:rPr>
        <w:t> </w:t>
      </w:r>
      <w:r>
        <w:rPr/>
        <w:t>to</w:t>
      </w:r>
      <w:r>
        <w:rPr>
          <w:spacing w:val="-33"/>
        </w:rPr>
        <w:t> </w:t>
      </w:r>
      <w:r>
        <w:rPr/>
        <w:t>determine whether</w:t>
      </w:r>
      <w:r>
        <w:rPr>
          <w:spacing w:val="-33"/>
        </w:rPr>
        <w:t> </w:t>
      </w:r>
      <w:r>
        <w:rPr/>
        <w:t>a</w:t>
      </w:r>
      <w:r>
        <w:rPr>
          <w:spacing w:val="-30"/>
        </w:rPr>
        <w:t> </w:t>
      </w:r>
      <w:r>
        <w:rPr/>
        <w:t>loss</w:t>
      </w:r>
      <w:r>
        <w:rPr>
          <w:spacing w:val="-30"/>
        </w:rPr>
        <w:t> </w:t>
      </w:r>
      <w:r>
        <w:rPr/>
        <w:t>was,</w:t>
      </w:r>
      <w:r>
        <w:rPr>
          <w:spacing w:val="-30"/>
        </w:rPr>
        <w:t> </w:t>
      </w:r>
      <w:r>
        <w:rPr/>
        <w:t>in</w:t>
      </w:r>
      <w:r>
        <w:rPr>
          <w:spacing w:val="-29"/>
        </w:rPr>
        <w:t> </w:t>
      </w:r>
      <w:r>
        <w:rPr/>
        <w:t>fact,</w:t>
      </w:r>
      <w:r>
        <w:rPr>
          <w:spacing w:val="-31"/>
        </w:rPr>
        <w:t> </w:t>
      </w:r>
      <w:r>
        <w:rPr/>
        <w:t>total.”</w:t>
      </w:r>
      <w:r>
        <w:rPr>
          <w:spacing w:val="-29"/>
        </w:rPr>
        <w:t> </w:t>
      </w:r>
      <w:r>
        <w:rPr/>
        <w:t>The</w:t>
      </w:r>
      <w:r>
        <w:rPr>
          <w:spacing w:val="-30"/>
        </w:rPr>
        <w:t> </w:t>
      </w:r>
      <w:r>
        <w:rPr/>
        <w:t>court</w:t>
      </w:r>
      <w:r>
        <w:rPr>
          <w:spacing w:val="-30"/>
        </w:rPr>
        <w:t> </w:t>
      </w:r>
      <w:r>
        <w:rPr/>
        <w:t>was found to be the most appropriate forum for a determination of total loss, as the statutory appraisal</w:t>
      </w:r>
      <w:r>
        <w:rPr>
          <w:spacing w:val="-16"/>
        </w:rPr>
        <w:t> </w:t>
      </w:r>
      <w:r>
        <w:rPr/>
        <w:t>procedure</w:t>
      </w:r>
      <w:r>
        <w:rPr>
          <w:spacing w:val="-16"/>
        </w:rPr>
        <w:t> </w:t>
      </w:r>
      <w:r>
        <w:rPr/>
        <w:t>and</w:t>
      </w:r>
      <w:r>
        <w:rPr>
          <w:spacing w:val="-14"/>
        </w:rPr>
        <w:t> </w:t>
      </w:r>
      <w:r>
        <w:rPr/>
        <w:t>appraisers’</w:t>
      </w:r>
      <w:r>
        <w:rPr>
          <w:spacing w:val="-14"/>
        </w:rPr>
        <w:t> </w:t>
      </w:r>
      <w:r>
        <w:rPr/>
        <w:t>authority were inconsistent with the common law </w:t>
      </w:r>
      <w:r>
        <w:rPr>
          <w:spacing w:val="8"/>
        </w:rPr>
        <w:t>guidelines, </w:t>
      </w:r>
      <w:r>
        <w:rPr>
          <w:spacing w:val="6"/>
        </w:rPr>
        <w:t>and </w:t>
      </w:r>
      <w:r>
        <w:rPr/>
        <w:t>a </w:t>
      </w:r>
      <w:r>
        <w:rPr>
          <w:spacing w:val="4"/>
        </w:rPr>
        <w:t>total </w:t>
      </w:r>
      <w:r>
        <w:rPr>
          <w:spacing w:val="5"/>
        </w:rPr>
        <w:t>loss </w:t>
      </w:r>
      <w:r>
        <w:rPr>
          <w:spacing w:val="7"/>
        </w:rPr>
        <w:t>requires </w:t>
      </w:r>
      <w:r>
        <w:rPr/>
        <w:t>“interpretation and application of common- law</w:t>
      </w:r>
      <w:r>
        <w:rPr>
          <w:spacing w:val="-22"/>
        </w:rPr>
        <w:t> </w:t>
      </w:r>
      <w:r>
        <w:rPr/>
        <w:t>and</w:t>
      </w:r>
      <w:r>
        <w:rPr>
          <w:spacing w:val="-18"/>
        </w:rPr>
        <w:t> </w:t>
      </w:r>
      <w:r>
        <w:rPr/>
        <w:t>legal</w:t>
      </w:r>
      <w:r>
        <w:rPr>
          <w:spacing w:val="-14"/>
        </w:rPr>
        <w:t> </w:t>
      </w:r>
      <w:r>
        <w:rPr/>
        <w:t>standards</w:t>
      </w:r>
      <w:r>
        <w:rPr>
          <w:spacing w:val="-16"/>
        </w:rPr>
        <w:t> </w:t>
      </w:r>
      <w:r>
        <w:rPr/>
        <w:t>that</w:t>
      </w:r>
      <w:r>
        <w:rPr>
          <w:spacing w:val="-19"/>
        </w:rPr>
        <w:t> </w:t>
      </w:r>
      <w:r>
        <w:rPr/>
        <w:t>are</w:t>
      </w:r>
      <w:r>
        <w:rPr>
          <w:spacing w:val="-18"/>
        </w:rPr>
        <w:t> </w:t>
      </w:r>
      <w:r>
        <w:rPr/>
        <w:t>broader</w:t>
      </w:r>
      <w:r>
        <w:rPr>
          <w:spacing w:val="-19"/>
        </w:rPr>
        <w:t> </w:t>
      </w:r>
      <w:r>
        <w:rPr/>
        <w:t>than</w:t>
      </w:r>
    </w:p>
    <w:p>
      <w:pPr>
        <w:pStyle w:val="BodyText"/>
        <w:rPr>
          <w:sz w:val="20"/>
        </w:rPr>
      </w:pPr>
    </w:p>
    <w:p>
      <w:pPr>
        <w:pStyle w:val="BodyText"/>
        <w:rPr>
          <w:sz w:val="20"/>
        </w:rPr>
      </w:pPr>
    </w:p>
    <w:p>
      <w:pPr>
        <w:pStyle w:val="BodyText"/>
        <w:rPr>
          <w:sz w:val="20"/>
        </w:rPr>
      </w:pPr>
    </w:p>
    <w:p>
      <w:pPr>
        <w:pStyle w:val="BodyText"/>
        <w:spacing w:before="3"/>
        <w:rPr>
          <w:sz w:val="28"/>
        </w:rPr>
      </w:pPr>
      <w:r>
        <w:rPr/>
        <w:pict>
          <v:shape style="position:absolute;margin-left:162pt;margin-top:19.760742pt;width:143.9pt;height:.1pt;mso-position-horizontal-relative:page;mso-position-vertical-relative:paragraph;z-index:-251614208;mso-wrap-distance-left:0;mso-wrap-distance-right:0" coordorigin="3240,395" coordsize="2878,0" path="m3240,395l6118,395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7"/>
        </w:numPr>
        <w:tabs>
          <w:tab w:pos="1423" w:val="left" w:leader="none"/>
        </w:tabs>
        <w:spacing w:line="261" w:lineRule="auto" w:before="71" w:after="0"/>
        <w:ind w:left="1160" w:right="1164" w:firstLine="0"/>
        <w:jc w:val="left"/>
        <w:rPr>
          <w:sz w:val="18"/>
        </w:rPr>
      </w:pPr>
      <w:r>
        <w:rPr>
          <w:sz w:val="18"/>
          <w:u w:val="single"/>
        </w:rPr>
        <w:t>Auto-Owners</w:t>
      </w:r>
      <w:r>
        <w:rPr>
          <w:spacing w:val="-16"/>
          <w:sz w:val="18"/>
          <w:u w:val="single"/>
        </w:rPr>
        <w:t> </w:t>
      </w:r>
      <w:r>
        <w:rPr>
          <w:sz w:val="18"/>
          <w:u w:val="single"/>
        </w:rPr>
        <w:t>Ins.</w:t>
      </w:r>
      <w:r>
        <w:rPr>
          <w:spacing w:val="-15"/>
          <w:sz w:val="18"/>
          <w:u w:val="single"/>
        </w:rPr>
        <w:t> </w:t>
      </w:r>
      <w:r>
        <w:rPr>
          <w:sz w:val="18"/>
          <w:u w:val="single"/>
        </w:rPr>
        <w:t>Co.</w:t>
      </w:r>
      <w:r>
        <w:rPr>
          <w:spacing w:val="-15"/>
          <w:sz w:val="18"/>
          <w:u w:val="single"/>
        </w:rPr>
        <w:t> </w:t>
      </w:r>
      <w:r>
        <w:rPr>
          <w:sz w:val="18"/>
          <w:u w:val="single"/>
        </w:rPr>
        <w:t>v.</w:t>
      </w:r>
      <w:r>
        <w:rPr>
          <w:spacing w:val="-15"/>
          <w:sz w:val="18"/>
          <w:u w:val="single"/>
        </w:rPr>
        <w:t> </w:t>
      </w:r>
      <w:r>
        <w:rPr>
          <w:sz w:val="18"/>
          <w:u w:val="single"/>
        </w:rPr>
        <w:t>Second</w:t>
      </w:r>
      <w:r>
        <w:rPr>
          <w:spacing w:val="-14"/>
          <w:sz w:val="18"/>
          <w:u w:val="single"/>
        </w:rPr>
        <w:t> </w:t>
      </w:r>
      <w:r>
        <w:rPr>
          <w:sz w:val="18"/>
          <w:u w:val="single"/>
        </w:rPr>
        <w:t>Chance</w:t>
      </w:r>
      <w:r>
        <w:rPr>
          <w:spacing w:val="-17"/>
          <w:sz w:val="18"/>
          <w:u w:val="single"/>
        </w:rPr>
        <w:t> </w:t>
      </w:r>
      <w:r>
        <w:rPr>
          <w:sz w:val="18"/>
          <w:u w:val="single"/>
        </w:rPr>
        <w:t>Investments,</w:t>
      </w:r>
      <w:r>
        <w:rPr>
          <w:spacing w:val="-15"/>
          <w:sz w:val="18"/>
          <w:u w:val="single"/>
        </w:rPr>
        <w:t> </w:t>
      </w:r>
      <w:r>
        <w:rPr>
          <w:sz w:val="18"/>
          <w:u w:val="single"/>
        </w:rPr>
        <w:t>LLC</w:t>
      </w:r>
      <w:r>
        <w:rPr>
          <w:sz w:val="18"/>
        </w:rPr>
        <w:t>,</w:t>
      </w:r>
      <w:r>
        <w:rPr>
          <w:spacing w:val="-15"/>
          <w:sz w:val="18"/>
        </w:rPr>
        <w:t> </w:t>
      </w:r>
      <w:r>
        <w:rPr>
          <w:sz w:val="18"/>
        </w:rPr>
        <w:t>812</w:t>
      </w:r>
      <w:r>
        <w:rPr>
          <w:spacing w:val="-14"/>
          <w:sz w:val="18"/>
        </w:rPr>
        <w:t> </w:t>
      </w:r>
      <w:r>
        <w:rPr>
          <w:sz w:val="18"/>
        </w:rPr>
        <w:t>N.W.2d</w:t>
      </w:r>
      <w:r>
        <w:rPr>
          <w:spacing w:val="-12"/>
          <w:sz w:val="18"/>
        </w:rPr>
        <w:t> </w:t>
      </w:r>
      <w:r>
        <w:rPr>
          <w:sz w:val="18"/>
        </w:rPr>
        <w:t>194</w:t>
      </w:r>
      <w:r>
        <w:rPr>
          <w:spacing w:val="-12"/>
          <w:sz w:val="18"/>
        </w:rPr>
        <w:t> </w:t>
      </w:r>
      <w:r>
        <w:rPr>
          <w:sz w:val="18"/>
        </w:rPr>
        <w:t>(Minn.</w:t>
      </w:r>
      <w:r>
        <w:rPr>
          <w:spacing w:val="-12"/>
          <w:sz w:val="18"/>
        </w:rPr>
        <w:t> </w:t>
      </w:r>
      <w:r>
        <w:rPr>
          <w:sz w:val="18"/>
        </w:rPr>
        <w:t>Ct. App. 2012).</w:t>
      </w:r>
    </w:p>
    <w:p>
      <w:pPr>
        <w:spacing w:after="0" w:line="261"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before="76"/>
        <w:ind w:left="1520"/>
      </w:pPr>
      <w:bookmarkStart w:name="Law and Procedure 109" w:id="19"/>
      <w:bookmarkEnd w:id="19"/>
      <w:r>
        <w:rPr/>
      </w:r>
      <w:r>
        <w:rPr/>
        <w:t>loss valuation.”</w:t>
      </w:r>
      <w:r>
        <w:rPr>
          <w:vertAlign w:val="superscript"/>
        </w:rPr>
        <w:t>141</w:t>
      </w:r>
    </w:p>
    <w:p>
      <w:pPr>
        <w:pStyle w:val="BodyText"/>
        <w:spacing w:before="6"/>
      </w:pPr>
    </w:p>
    <w:p>
      <w:pPr>
        <w:pStyle w:val="BodyText"/>
        <w:spacing w:line="242" w:lineRule="auto"/>
        <w:ind w:left="1520" w:right="1520" w:firstLine="720"/>
        <w:jc w:val="both"/>
      </w:pPr>
      <w:r>
        <w:rPr/>
        <w:t>If the policy is </w:t>
      </w:r>
      <w:r>
        <w:rPr>
          <w:b/>
        </w:rPr>
        <w:t>not </w:t>
      </w:r>
      <w:r>
        <w:rPr/>
        <w:t>a valued form and there is no question but that a total loss occurred, the appraiser can typically determine what the value of the total loss actually is.</w:t>
      </w:r>
      <w:r>
        <w:rPr>
          <w:vertAlign w:val="superscript"/>
        </w:rPr>
        <w:t>142</w:t>
      </w:r>
    </w:p>
    <w:p>
      <w:pPr>
        <w:pStyle w:val="BodyText"/>
      </w:pPr>
    </w:p>
    <w:p>
      <w:pPr>
        <w:pStyle w:val="BodyText"/>
        <w:spacing w:line="242" w:lineRule="auto" w:before="1"/>
        <w:ind w:left="1520" w:right="1515" w:firstLine="720"/>
        <w:jc w:val="both"/>
      </w:pPr>
      <w:r>
        <w:rPr>
          <w:spacing w:val="3"/>
        </w:rPr>
        <w:t>It</w:t>
      </w:r>
      <w:r>
        <w:rPr>
          <w:spacing w:val="-27"/>
        </w:rPr>
        <w:t> </w:t>
      </w:r>
      <w:r>
        <w:rPr/>
        <w:t>should</w:t>
      </w:r>
      <w:r>
        <w:rPr>
          <w:spacing w:val="-20"/>
        </w:rPr>
        <w:t> </w:t>
      </w:r>
      <w:r>
        <w:rPr/>
        <w:t>be</w:t>
      </w:r>
      <w:r>
        <w:rPr>
          <w:spacing w:val="-22"/>
        </w:rPr>
        <w:t> </w:t>
      </w:r>
      <w:r>
        <w:rPr/>
        <w:t>noted</w:t>
      </w:r>
      <w:r>
        <w:rPr>
          <w:spacing w:val="-23"/>
        </w:rPr>
        <w:t> </w:t>
      </w:r>
      <w:r>
        <w:rPr/>
        <w:t>that</w:t>
      </w:r>
      <w:r>
        <w:rPr>
          <w:spacing w:val="-24"/>
        </w:rPr>
        <w:t> </w:t>
      </w:r>
      <w:r>
        <w:rPr/>
        <w:t>while</w:t>
      </w:r>
      <w:r>
        <w:rPr>
          <w:spacing w:val="-22"/>
        </w:rPr>
        <w:t> </w:t>
      </w:r>
      <w:r>
        <w:rPr/>
        <w:t>some</w:t>
      </w:r>
      <w:r>
        <w:rPr>
          <w:spacing w:val="-23"/>
        </w:rPr>
        <w:t> </w:t>
      </w:r>
      <w:r>
        <w:rPr/>
        <w:t>courts do not authorize appraisers to determine whether</w:t>
      </w:r>
      <w:r>
        <w:rPr>
          <w:spacing w:val="-21"/>
        </w:rPr>
        <w:t> </w:t>
      </w:r>
      <w:r>
        <w:rPr/>
        <w:t>a</w:t>
      </w:r>
      <w:r>
        <w:rPr>
          <w:spacing w:val="-18"/>
        </w:rPr>
        <w:t> </w:t>
      </w:r>
      <w:r>
        <w:rPr/>
        <w:t>loss</w:t>
      </w:r>
      <w:r>
        <w:rPr>
          <w:spacing w:val="-19"/>
        </w:rPr>
        <w:t> </w:t>
      </w:r>
      <w:r>
        <w:rPr/>
        <w:t>is</w:t>
      </w:r>
      <w:r>
        <w:rPr>
          <w:spacing w:val="-19"/>
        </w:rPr>
        <w:t> </w:t>
      </w:r>
      <w:r>
        <w:rPr/>
        <w:t>total,</w:t>
      </w:r>
      <w:r>
        <w:rPr>
          <w:spacing w:val="-20"/>
        </w:rPr>
        <w:t> </w:t>
      </w:r>
      <w:r>
        <w:rPr/>
        <w:t>an</w:t>
      </w:r>
      <w:r>
        <w:rPr>
          <w:spacing w:val="-19"/>
        </w:rPr>
        <w:t> </w:t>
      </w:r>
      <w:r>
        <w:rPr/>
        <w:t>appraisal</w:t>
      </w:r>
      <w:r>
        <w:rPr>
          <w:spacing w:val="-17"/>
        </w:rPr>
        <w:t> </w:t>
      </w:r>
      <w:r>
        <w:rPr/>
        <w:t>agreement may be so drawn as to cover the question whether</w:t>
      </w:r>
      <w:r>
        <w:rPr>
          <w:spacing w:val="-12"/>
        </w:rPr>
        <w:t> </w:t>
      </w:r>
      <w:r>
        <w:rPr/>
        <w:t>or</w:t>
      </w:r>
      <w:r>
        <w:rPr>
          <w:spacing w:val="-11"/>
        </w:rPr>
        <w:t> </w:t>
      </w:r>
      <w:r>
        <w:rPr/>
        <w:t>not</w:t>
      </w:r>
      <w:r>
        <w:rPr>
          <w:spacing w:val="-12"/>
        </w:rPr>
        <w:t> </w:t>
      </w:r>
      <w:r>
        <w:rPr/>
        <w:t>there</w:t>
      </w:r>
      <w:r>
        <w:rPr>
          <w:spacing w:val="-11"/>
        </w:rPr>
        <w:t> </w:t>
      </w:r>
      <w:r>
        <w:rPr/>
        <w:t>was</w:t>
      </w:r>
      <w:r>
        <w:rPr>
          <w:spacing w:val="-10"/>
        </w:rPr>
        <w:t> </w:t>
      </w:r>
      <w:r>
        <w:rPr/>
        <w:t>a</w:t>
      </w:r>
      <w:r>
        <w:rPr>
          <w:spacing w:val="-10"/>
        </w:rPr>
        <w:t> </w:t>
      </w:r>
      <w:r>
        <w:rPr/>
        <w:t>total</w:t>
      </w:r>
      <w:r>
        <w:rPr>
          <w:spacing w:val="-10"/>
        </w:rPr>
        <w:t> </w:t>
      </w:r>
      <w:r>
        <w:rPr>
          <w:spacing w:val="-4"/>
        </w:rPr>
        <w:t>destruction.</w:t>
      </w:r>
      <w:r>
        <w:rPr>
          <w:spacing w:val="-4"/>
          <w:vertAlign w:val="superscript"/>
        </w:rPr>
        <w:t>143</w:t>
      </w:r>
    </w:p>
    <w:p>
      <w:pPr>
        <w:pStyle w:val="BodyText"/>
      </w:pPr>
    </w:p>
    <w:p>
      <w:pPr>
        <w:pStyle w:val="BodyText"/>
        <w:spacing w:line="242" w:lineRule="auto" w:before="1"/>
        <w:ind w:left="1520" w:right="1518" w:firstLine="720"/>
        <w:jc w:val="both"/>
      </w:pPr>
      <w:r>
        <w:rPr/>
        <w:t>A Florida case has illuminated </w:t>
      </w:r>
      <w:r>
        <w:rPr>
          <w:spacing w:val="-5"/>
        </w:rPr>
        <w:t>the </w:t>
      </w:r>
      <w:r>
        <w:rPr/>
        <w:t>distinction between a total loss and a constructive total loss. </w:t>
      </w:r>
      <w:r>
        <w:rPr>
          <w:spacing w:val="3"/>
        </w:rPr>
        <w:t>In </w:t>
      </w:r>
      <w:r>
        <w:rPr/>
        <w:t>an action by an insured against an insurer involving wind damage,</w:t>
      </w:r>
      <w:r>
        <w:rPr>
          <w:spacing w:val="-15"/>
        </w:rPr>
        <w:t> </w:t>
      </w:r>
      <w:r>
        <w:rPr/>
        <w:t>a</w:t>
      </w:r>
      <w:r>
        <w:rPr>
          <w:spacing w:val="-13"/>
        </w:rPr>
        <w:t> </w:t>
      </w:r>
      <w:r>
        <w:rPr/>
        <w:t>District</w:t>
      </w:r>
      <w:r>
        <w:rPr>
          <w:spacing w:val="-15"/>
        </w:rPr>
        <w:t> </w:t>
      </w:r>
      <w:r>
        <w:rPr/>
        <w:t>Court</w:t>
      </w:r>
      <w:r>
        <w:rPr>
          <w:spacing w:val="-19"/>
        </w:rPr>
        <w:t> </w:t>
      </w:r>
      <w:r>
        <w:rPr/>
        <w:t>of</w:t>
      </w:r>
      <w:r>
        <w:rPr>
          <w:spacing w:val="-15"/>
        </w:rPr>
        <w:t> </w:t>
      </w:r>
      <w:r>
        <w:rPr/>
        <w:t>Appeal</w:t>
      </w:r>
      <w:r>
        <w:rPr>
          <w:spacing w:val="-13"/>
        </w:rPr>
        <w:t> </w:t>
      </w:r>
      <w:r>
        <w:rPr/>
        <w:t>found</w:t>
      </w:r>
      <w:r>
        <w:rPr>
          <w:spacing w:val="-10"/>
        </w:rPr>
        <w:t> </w:t>
      </w:r>
      <w:r>
        <w:rPr>
          <w:spacing w:val="-4"/>
        </w:rPr>
        <w:t>that </w:t>
      </w:r>
      <w:r>
        <w:rPr/>
        <w:t>the</w:t>
      </w:r>
      <w:r>
        <w:rPr>
          <w:spacing w:val="-23"/>
        </w:rPr>
        <w:t> </w:t>
      </w:r>
      <w:r>
        <w:rPr/>
        <w:t>lower</w:t>
      </w:r>
      <w:r>
        <w:rPr>
          <w:spacing w:val="-24"/>
        </w:rPr>
        <w:t> </w:t>
      </w:r>
      <w:r>
        <w:rPr/>
        <w:t>court</w:t>
      </w:r>
      <w:r>
        <w:rPr>
          <w:spacing w:val="-24"/>
        </w:rPr>
        <w:t> </w:t>
      </w:r>
      <w:r>
        <w:rPr/>
        <w:t>was</w:t>
      </w:r>
      <w:r>
        <w:rPr>
          <w:spacing w:val="-22"/>
        </w:rPr>
        <w:t> </w:t>
      </w:r>
      <w:r>
        <w:rPr/>
        <w:t>correct</w:t>
      </w:r>
      <w:r>
        <w:rPr>
          <w:spacing w:val="-26"/>
        </w:rPr>
        <w:t> </w:t>
      </w:r>
      <w:r>
        <w:rPr/>
        <w:t>in</w:t>
      </w:r>
      <w:r>
        <w:rPr>
          <w:spacing w:val="-22"/>
        </w:rPr>
        <w:t> </w:t>
      </w:r>
      <w:r>
        <w:rPr/>
        <w:t>allowing</w:t>
      </w:r>
      <w:r>
        <w:rPr>
          <w:spacing w:val="-22"/>
        </w:rPr>
        <w:t> </w:t>
      </w:r>
      <w:r>
        <w:rPr/>
        <w:t>a</w:t>
      </w:r>
      <w:r>
        <w:rPr>
          <w:spacing w:val="-22"/>
        </w:rPr>
        <w:t> </w:t>
      </w:r>
      <w:r>
        <w:rPr/>
        <w:t>jury</w:t>
      </w:r>
      <w:r>
        <w:rPr>
          <w:spacing w:val="-26"/>
        </w:rPr>
        <w:t> </w:t>
      </w:r>
      <w:r>
        <w:rPr/>
        <w:t>to decide which type of loss a mobile home</w:t>
      </w:r>
      <w:r>
        <w:rPr>
          <w:spacing w:val="-42"/>
        </w:rPr>
        <w:t> </w:t>
      </w:r>
      <w:r>
        <w:rPr/>
        <w:t>had suffered. This particular matter did not</w:t>
      </w:r>
      <w:r>
        <w:rPr>
          <w:spacing w:val="-53"/>
        </w:rPr>
        <w:t> </w:t>
      </w:r>
      <w:r>
        <w:rPr/>
        <w:t>address appraisal,</w:t>
      </w:r>
      <w:r>
        <w:rPr>
          <w:spacing w:val="-26"/>
        </w:rPr>
        <w:t> </w:t>
      </w:r>
      <w:r>
        <w:rPr/>
        <w:t>but</w:t>
      </w:r>
      <w:r>
        <w:rPr>
          <w:spacing w:val="-24"/>
        </w:rPr>
        <w:t> </w:t>
      </w:r>
      <w:r>
        <w:rPr/>
        <w:t>clarified</w:t>
      </w:r>
      <w:r>
        <w:rPr>
          <w:spacing w:val="-22"/>
        </w:rPr>
        <w:t> </w:t>
      </w:r>
      <w:r>
        <w:rPr/>
        <w:t>the</w:t>
      </w:r>
      <w:r>
        <w:rPr>
          <w:spacing w:val="-23"/>
        </w:rPr>
        <w:t> </w:t>
      </w:r>
      <w:r>
        <w:rPr/>
        <w:t>distinction</w:t>
      </w:r>
      <w:r>
        <w:rPr>
          <w:spacing w:val="-21"/>
        </w:rPr>
        <w:t> </w:t>
      </w:r>
      <w:r>
        <w:rPr/>
        <w:t>between these losses. </w:t>
      </w:r>
      <w:r>
        <w:rPr>
          <w:spacing w:val="4"/>
        </w:rPr>
        <w:t>It </w:t>
      </w:r>
      <w:r>
        <w:rPr/>
        <w:t>applied the identity test in stating, “a building is considered an actual total loss…if it ‘has lost its identity and</w:t>
      </w:r>
      <w:r>
        <w:rPr>
          <w:spacing w:val="48"/>
        </w:rPr>
        <w:t> </w:t>
      </w:r>
      <w:r>
        <w:rPr/>
        <w:t>specific</w:t>
      </w:r>
    </w:p>
    <w:p>
      <w:pPr>
        <w:pStyle w:val="BodyText"/>
        <w:spacing w:before="8"/>
        <w:rPr>
          <w:sz w:val="28"/>
        </w:rPr>
      </w:pPr>
      <w:r>
        <w:rPr/>
        <w:pict>
          <v:shape style="position:absolute;margin-left:162pt;margin-top:19.994347pt;width:143.9pt;height:.1pt;mso-position-horizontal-relative:page;mso-position-vertical-relative:paragraph;z-index:-251613184;mso-wrap-distance-left:0;mso-wrap-distance-right:0" coordorigin="3240,400" coordsize="2878,0" path="m3240,400l6118,400e" filled="false" stroked="true" strokeweight=".84pt" strokecolor="#000000">
            <v:path arrowok="t"/>
            <v:stroke dashstyle="solid"/>
            <w10:wrap type="topAndBottom"/>
          </v:shape>
        </w:pict>
      </w:r>
    </w:p>
    <w:p>
      <w:pPr>
        <w:pStyle w:val="ListParagraph"/>
        <w:numPr>
          <w:ilvl w:val="0"/>
          <w:numId w:val="7"/>
        </w:numPr>
        <w:tabs>
          <w:tab w:pos="1430" w:val="left" w:leader="none"/>
        </w:tabs>
        <w:spacing w:line="244" w:lineRule="auto" w:before="140" w:after="0"/>
        <w:ind w:left="1160" w:right="1171" w:firstLine="0"/>
        <w:jc w:val="left"/>
        <w:rPr>
          <w:sz w:val="18"/>
        </w:rPr>
      </w:pPr>
      <w:r>
        <w:rPr>
          <w:sz w:val="18"/>
          <w:u w:val="single"/>
        </w:rPr>
        <w:t>Id.</w:t>
      </w:r>
      <w:r>
        <w:rPr>
          <w:sz w:val="18"/>
        </w:rPr>
        <w:t>, citing 15 Lee R. Russell &amp; Thomas F. Segalla, </w:t>
      </w:r>
      <w:r>
        <w:rPr>
          <w:i/>
          <w:sz w:val="18"/>
        </w:rPr>
        <w:t>Couch on Insurance </w:t>
      </w:r>
      <w:r>
        <w:rPr>
          <w:sz w:val="18"/>
        </w:rPr>
        <w:t>3d. §210:42 (2005).</w:t>
      </w:r>
    </w:p>
    <w:p>
      <w:pPr>
        <w:pStyle w:val="BodyText"/>
        <w:rPr>
          <w:rFonts w:ascii="Times New Roman"/>
          <w:sz w:val="13"/>
        </w:rPr>
      </w:pPr>
    </w:p>
    <w:p>
      <w:pPr>
        <w:pStyle w:val="ListParagraph"/>
        <w:numPr>
          <w:ilvl w:val="0"/>
          <w:numId w:val="7"/>
        </w:numPr>
        <w:tabs>
          <w:tab w:pos="1402" w:val="left" w:leader="none"/>
        </w:tabs>
        <w:spacing w:line="244" w:lineRule="auto" w:before="71" w:after="0"/>
        <w:ind w:left="1160" w:right="1329" w:firstLine="0"/>
        <w:jc w:val="left"/>
        <w:rPr>
          <w:sz w:val="18"/>
        </w:rPr>
      </w:pPr>
      <w:r>
        <w:rPr>
          <w:sz w:val="18"/>
          <w:u w:val="single"/>
        </w:rPr>
        <w:t>Littrell v. Allemannia Fire Ins. Co. of Pittsburgh, Pa.</w:t>
      </w:r>
      <w:r>
        <w:rPr>
          <w:sz w:val="18"/>
        </w:rPr>
        <w:t>, 222 A.D. 302, 226 N.Y.S.343 (3d Dept. 1928), </w:t>
      </w:r>
      <w:r>
        <w:rPr>
          <w:i/>
          <w:sz w:val="18"/>
        </w:rPr>
        <w:t>modified on other grounds, </w:t>
      </w:r>
      <w:r>
        <w:rPr>
          <w:sz w:val="18"/>
        </w:rPr>
        <w:t>224 A.D. 523, 231 N.Y.S. 520 (3d</w:t>
      </w:r>
      <w:r>
        <w:rPr>
          <w:spacing w:val="26"/>
          <w:sz w:val="18"/>
        </w:rPr>
        <w:t> </w:t>
      </w:r>
      <w:r>
        <w:rPr>
          <w:sz w:val="18"/>
        </w:rPr>
        <w:t>Dept.</w:t>
      </w:r>
    </w:p>
    <w:p>
      <w:pPr>
        <w:spacing w:line="182" w:lineRule="exact" w:before="1"/>
        <w:ind w:left="1160" w:right="0" w:firstLine="0"/>
        <w:jc w:val="left"/>
        <w:rPr>
          <w:rFonts w:ascii="Times New Roman" w:hAnsi="Times New Roman"/>
          <w:sz w:val="18"/>
        </w:rPr>
      </w:pPr>
      <w:r>
        <w:rPr>
          <w:rFonts w:ascii="Times New Roman" w:hAnsi="Times New Roman"/>
          <w:sz w:val="18"/>
        </w:rPr>
        <w:t>1928) </w:t>
      </w:r>
      <w:r>
        <w:rPr>
          <w:rFonts w:ascii="Times New Roman" w:hAnsi="Times New Roman"/>
          <w:i/>
          <w:sz w:val="18"/>
        </w:rPr>
        <w:t>rev’d on other grounds, </w:t>
      </w:r>
      <w:r>
        <w:rPr>
          <w:rFonts w:ascii="Times New Roman" w:hAnsi="Times New Roman"/>
          <w:sz w:val="18"/>
        </w:rPr>
        <w:t>250 N.Y. 628, 166 N.E. 350 (1929).</w:t>
      </w:r>
    </w:p>
    <w:p>
      <w:pPr>
        <w:pStyle w:val="ListParagraph"/>
        <w:numPr>
          <w:ilvl w:val="0"/>
          <w:numId w:val="7"/>
        </w:numPr>
        <w:tabs>
          <w:tab w:pos="1411" w:val="left" w:leader="none"/>
        </w:tabs>
        <w:spacing w:line="235" w:lineRule="exact" w:before="0" w:after="0"/>
        <w:ind w:left="1410" w:right="0" w:hanging="251"/>
        <w:jc w:val="left"/>
        <w:rPr>
          <w:sz w:val="18"/>
        </w:rPr>
      </w:pPr>
      <w:r>
        <w:rPr>
          <w:sz w:val="18"/>
          <w:u w:val="single"/>
        </w:rPr>
        <w:t>Yendel v. Western Assur. Co.</w:t>
      </w:r>
      <w:r>
        <w:rPr>
          <w:sz w:val="18"/>
        </w:rPr>
        <w:t>, 21 Misc. 348, 47 N.Y.S.141 (App. Term</w:t>
      </w:r>
      <w:r>
        <w:rPr>
          <w:spacing w:val="-1"/>
          <w:sz w:val="18"/>
        </w:rPr>
        <w:t> </w:t>
      </w:r>
      <w:r>
        <w:rPr>
          <w:sz w:val="18"/>
        </w:rPr>
        <w:t>1897).</w:t>
      </w:r>
    </w:p>
    <w:p>
      <w:pPr>
        <w:spacing w:after="0" w:line="235" w:lineRule="exact"/>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5"/>
        <w:jc w:val="both"/>
      </w:pPr>
      <w:bookmarkStart w:name="Law and Procedure 110" w:id="20"/>
      <w:bookmarkEnd w:id="20"/>
      <w:r>
        <w:rPr/>
      </w:r>
      <w:r>
        <w:rPr/>
        <w:t>character as a building, and becomes so far disintegrated,</w:t>
      </w:r>
      <w:r>
        <w:rPr>
          <w:spacing w:val="-36"/>
        </w:rPr>
        <w:t> </w:t>
      </w:r>
      <w:r>
        <w:rPr/>
        <w:t>it</w:t>
      </w:r>
      <w:r>
        <w:rPr>
          <w:spacing w:val="-35"/>
        </w:rPr>
        <w:t> </w:t>
      </w:r>
      <w:r>
        <w:rPr/>
        <w:t>cannot</w:t>
      </w:r>
      <w:r>
        <w:rPr>
          <w:spacing w:val="-34"/>
        </w:rPr>
        <w:t> </w:t>
      </w:r>
      <w:r>
        <w:rPr/>
        <w:t>be</w:t>
      </w:r>
      <w:r>
        <w:rPr>
          <w:spacing w:val="-33"/>
        </w:rPr>
        <w:t> </w:t>
      </w:r>
      <w:r>
        <w:rPr/>
        <w:t>possibly</w:t>
      </w:r>
      <w:r>
        <w:rPr>
          <w:spacing w:val="-33"/>
        </w:rPr>
        <w:t> </w:t>
      </w:r>
      <w:r>
        <w:rPr/>
        <w:t>designated as a building, although some part of it </w:t>
      </w:r>
      <w:r>
        <w:rPr>
          <w:spacing w:val="-5"/>
        </w:rPr>
        <w:t>may </w:t>
      </w:r>
      <w:r>
        <w:rPr/>
        <w:t>remain standing.’” However, “‘[A] building is considered a constructive total loss when the building,</w:t>
      </w:r>
      <w:r>
        <w:rPr>
          <w:spacing w:val="-22"/>
        </w:rPr>
        <w:t> </w:t>
      </w:r>
      <w:r>
        <w:rPr/>
        <w:t>although</w:t>
      </w:r>
      <w:r>
        <w:rPr>
          <w:spacing w:val="-16"/>
        </w:rPr>
        <w:t> </w:t>
      </w:r>
      <w:r>
        <w:rPr/>
        <w:t>still</w:t>
      </w:r>
      <w:r>
        <w:rPr>
          <w:spacing w:val="-19"/>
        </w:rPr>
        <w:t> </w:t>
      </w:r>
      <w:r>
        <w:rPr/>
        <w:t>standing,</w:t>
      </w:r>
      <w:r>
        <w:rPr>
          <w:spacing w:val="-22"/>
        </w:rPr>
        <w:t> </w:t>
      </w:r>
      <w:r>
        <w:rPr/>
        <w:t>is</w:t>
      </w:r>
      <w:r>
        <w:rPr>
          <w:spacing w:val="-19"/>
        </w:rPr>
        <w:t> </w:t>
      </w:r>
      <w:r>
        <w:rPr/>
        <w:t>damaged</w:t>
      </w:r>
      <w:r>
        <w:rPr>
          <w:spacing w:val="-18"/>
        </w:rPr>
        <w:t> </w:t>
      </w:r>
      <w:r>
        <w:rPr/>
        <w:t>to the extent that ordinances or regulations in effect prohibit or prevent the building’s</w:t>
      </w:r>
      <w:r>
        <w:rPr>
          <w:spacing w:val="-40"/>
        </w:rPr>
        <w:t> </w:t>
      </w:r>
      <w:r>
        <w:rPr/>
        <w:t>repair, such</w:t>
      </w:r>
      <w:r>
        <w:rPr>
          <w:spacing w:val="-10"/>
        </w:rPr>
        <w:t> </w:t>
      </w:r>
      <w:r>
        <w:rPr/>
        <w:t>that</w:t>
      </w:r>
      <w:r>
        <w:rPr>
          <w:spacing w:val="-13"/>
        </w:rPr>
        <w:t> </w:t>
      </w:r>
      <w:r>
        <w:rPr/>
        <w:t>the</w:t>
      </w:r>
      <w:r>
        <w:rPr>
          <w:spacing w:val="-12"/>
        </w:rPr>
        <w:t> </w:t>
      </w:r>
      <w:r>
        <w:rPr/>
        <w:t>building</w:t>
      </w:r>
      <w:r>
        <w:rPr>
          <w:spacing w:val="-9"/>
        </w:rPr>
        <w:t> </w:t>
      </w:r>
      <w:r>
        <w:rPr/>
        <w:t>has</w:t>
      </w:r>
      <w:r>
        <w:rPr>
          <w:spacing w:val="-10"/>
        </w:rPr>
        <w:t> </w:t>
      </w:r>
      <w:r>
        <w:rPr/>
        <w:t>to</w:t>
      </w:r>
      <w:r>
        <w:rPr>
          <w:spacing w:val="-9"/>
        </w:rPr>
        <w:t> </w:t>
      </w:r>
      <w:r>
        <w:rPr/>
        <w:t>be</w:t>
      </w:r>
      <w:r>
        <w:rPr>
          <w:spacing w:val="-8"/>
        </w:rPr>
        <w:t> </w:t>
      </w:r>
      <w:r>
        <w:rPr/>
        <w:t>demolished.’”</w:t>
      </w:r>
    </w:p>
    <w:p>
      <w:pPr>
        <w:pStyle w:val="BodyText"/>
        <w:spacing w:before="11"/>
        <w:rPr>
          <w:sz w:val="25"/>
        </w:rPr>
      </w:pPr>
    </w:p>
    <w:p>
      <w:pPr>
        <w:pStyle w:val="BodyText"/>
        <w:spacing w:line="242" w:lineRule="auto"/>
        <w:ind w:left="1520" w:right="1517" w:firstLine="720"/>
        <w:jc w:val="both"/>
      </w:pPr>
      <w:r>
        <w:rPr/>
        <w:t>Further,</w:t>
      </w:r>
      <w:r>
        <w:rPr>
          <w:spacing w:val="-36"/>
        </w:rPr>
        <w:t> </w:t>
      </w:r>
      <w:r>
        <w:rPr/>
        <w:t>the</w:t>
      </w:r>
      <w:r>
        <w:rPr>
          <w:spacing w:val="-33"/>
        </w:rPr>
        <w:t> </w:t>
      </w:r>
      <w:r>
        <w:rPr/>
        <w:t>county’s</w:t>
      </w:r>
      <w:r>
        <w:rPr>
          <w:spacing w:val="-30"/>
        </w:rPr>
        <w:t> </w:t>
      </w:r>
      <w:r>
        <w:rPr/>
        <w:t>substantial</w:t>
      </w:r>
      <w:r>
        <w:rPr>
          <w:spacing w:val="-29"/>
        </w:rPr>
        <w:t> </w:t>
      </w:r>
      <w:r>
        <w:rPr/>
        <w:t>damage determination, which required demolition of the property to comply with regulations, was relevant to a determination of</w:t>
      </w:r>
      <w:r>
        <w:rPr>
          <w:spacing w:val="51"/>
        </w:rPr>
        <w:t> </w:t>
      </w:r>
      <w:r>
        <w:rPr/>
        <w:t>constructive total</w:t>
      </w:r>
      <w:r>
        <w:rPr>
          <w:spacing w:val="-1"/>
        </w:rPr>
        <w:t> </w:t>
      </w:r>
      <w:r>
        <w:rPr/>
        <w:t>loss.</w:t>
      </w:r>
      <w:r>
        <w:rPr>
          <w:vertAlign w:val="superscript"/>
        </w:rPr>
        <w:t>144</w:t>
      </w:r>
    </w:p>
    <w:p>
      <w:pPr>
        <w:pStyle w:val="BodyText"/>
        <w:spacing w:before="1"/>
      </w:pPr>
    </w:p>
    <w:p>
      <w:pPr>
        <w:pStyle w:val="BodyText"/>
        <w:spacing w:line="242" w:lineRule="auto"/>
        <w:ind w:left="1520" w:right="1517" w:firstLine="720"/>
        <w:jc w:val="both"/>
      </w:pPr>
      <w:r>
        <w:rPr>
          <w:spacing w:val="3"/>
        </w:rPr>
        <w:t>It</w:t>
      </w:r>
      <w:r>
        <w:rPr>
          <w:spacing w:val="-30"/>
        </w:rPr>
        <w:t> </w:t>
      </w:r>
      <w:r>
        <w:rPr/>
        <w:t>has</w:t>
      </w:r>
      <w:r>
        <w:rPr>
          <w:spacing w:val="-30"/>
        </w:rPr>
        <w:t> </w:t>
      </w:r>
      <w:r>
        <w:rPr/>
        <w:t>long</w:t>
      </w:r>
      <w:r>
        <w:rPr>
          <w:spacing w:val="-28"/>
        </w:rPr>
        <w:t> </w:t>
      </w:r>
      <w:r>
        <w:rPr/>
        <w:t>been</w:t>
      </w:r>
      <w:r>
        <w:rPr>
          <w:spacing w:val="-30"/>
        </w:rPr>
        <w:t> </w:t>
      </w:r>
      <w:r>
        <w:rPr/>
        <w:t>recognized</w:t>
      </w:r>
      <w:r>
        <w:rPr>
          <w:spacing w:val="-31"/>
        </w:rPr>
        <w:t> </w:t>
      </w:r>
      <w:r>
        <w:rPr/>
        <w:t>that</w:t>
      </w:r>
      <w:r>
        <w:rPr>
          <w:spacing w:val="-28"/>
        </w:rPr>
        <w:t> </w:t>
      </w:r>
      <w:r>
        <w:rPr/>
        <w:t>where</w:t>
      </w:r>
      <w:r>
        <w:rPr>
          <w:spacing w:val="-28"/>
        </w:rPr>
        <w:t> </w:t>
      </w:r>
      <w:r>
        <w:rPr/>
        <w:t>a policy is a valued policy as to merchandise sold and not delivered, appraisal is </w:t>
      </w:r>
      <w:r>
        <w:rPr>
          <w:spacing w:val="-5"/>
        </w:rPr>
        <w:t>not </w:t>
      </w:r>
      <w:r>
        <w:rPr/>
        <w:t>appropriate in the event of a total</w:t>
      </w:r>
      <w:r>
        <w:rPr>
          <w:spacing w:val="-11"/>
        </w:rPr>
        <w:t> </w:t>
      </w:r>
      <w:r>
        <w:rPr/>
        <w:t>loss.</w:t>
      </w:r>
      <w:r>
        <w:rPr>
          <w:vertAlign w:val="superscript"/>
        </w:rPr>
        <w:t>145</w:t>
      </w:r>
    </w:p>
    <w:p>
      <w:pPr>
        <w:pStyle w:val="BodyText"/>
        <w:spacing w:before="1"/>
      </w:pPr>
    </w:p>
    <w:p>
      <w:pPr>
        <w:pStyle w:val="BodyText"/>
        <w:spacing w:line="242" w:lineRule="auto" w:before="1"/>
        <w:ind w:left="1520" w:right="1518" w:firstLine="720"/>
        <w:jc w:val="both"/>
      </w:pPr>
      <w:r>
        <w:rPr>
          <w:spacing w:val="4"/>
        </w:rPr>
        <w:t>In </w:t>
      </w:r>
      <w:r>
        <w:rPr/>
        <w:t>California, where a total loss had occurred, it is for the court to determine whether the policy at issue </w:t>
      </w:r>
      <w:r>
        <w:rPr>
          <w:spacing w:val="2"/>
        </w:rPr>
        <w:t>is </w:t>
      </w:r>
      <w:r>
        <w:rPr/>
        <w:t>either “open or valued”</w:t>
      </w:r>
      <w:r>
        <w:rPr>
          <w:spacing w:val="-31"/>
        </w:rPr>
        <w:t> </w:t>
      </w:r>
      <w:r>
        <w:rPr/>
        <w:t>should</w:t>
      </w:r>
      <w:r>
        <w:rPr>
          <w:spacing w:val="-25"/>
        </w:rPr>
        <w:t> </w:t>
      </w:r>
      <w:r>
        <w:rPr/>
        <w:t>that</w:t>
      </w:r>
      <w:r>
        <w:rPr>
          <w:spacing w:val="-28"/>
        </w:rPr>
        <w:t> </w:t>
      </w:r>
      <w:r>
        <w:rPr/>
        <w:t>issue</w:t>
      </w:r>
      <w:r>
        <w:rPr>
          <w:spacing w:val="-29"/>
        </w:rPr>
        <w:t> </w:t>
      </w:r>
      <w:r>
        <w:rPr/>
        <w:t>reasonably</w:t>
      </w:r>
      <w:r>
        <w:rPr>
          <w:spacing w:val="-28"/>
        </w:rPr>
        <w:t> </w:t>
      </w:r>
      <w:r>
        <w:rPr/>
        <w:t>be</w:t>
      </w:r>
      <w:r>
        <w:rPr>
          <w:spacing w:val="-30"/>
        </w:rPr>
        <w:t> </w:t>
      </w:r>
      <w:r>
        <w:rPr/>
        <w:t>raised.</w:t>
      </w:r>
    </w:p>
    <w:p>
      <w:pPr>
        <w:pStyle w:val="BodyText"/>
        <w:spacing w:before="8"/>
        <w:rPr>
          <w:sz w:val="20"/>
        </w:rPr>
      </w:pPr>
      <w:r>
        <w:rPr/>
        <w:pict>
          <v:shape style="position:absolute;margin-left:162pt;margin-top:15.101494pt;width:143.9pt;height:.1pt;mso-position-horizontal-relative:page;mso-position-vertical-relative:paragraph;z-index:-251612160;mso-wrap-distance-left:0;mso-wrap-distance-right:0" coordorigin="3240,302" coordsize="2878,0" path="m3240,302l6118,302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7"/>
        </w:numPr>
        <w:tabs>
          <w:tab w:pos="1435" w:val="left" w:leader="none"/>
        </w:tabs>
        <w:spacing w:line="254" w:lineRule="exact" w:before="72" w:after="0"/>
        <w:ind w:left="1434" w:right="0" w:hanging="275"/>
        <w:jc w:val="both"/>
        <w:rPr>
          <w:sz w:val="24"/>
        </w:rPr>
      </w:pPr>
      <w:r>
        <w:rPr>
          <w:sz w:val="18"/>
          <w:u w:val="single"/>
        </w:rPr>
        <w:t>Citizens Prop. Ins, Corp. v. Hamilton</w:t>
      </w:r>
      <w:r>
        <w:rPr>
          <w:sz w:val="18"/>
        </w:rPr>
        <w:t>, 43 So.3d 746 (Fla. </w:t>
      </w:r>
      <w:r>
        <w:rPr>
          <w:spacing w:val="2"/>
          <w:sz w:val="18"/>
        </w:rPr>
        <w:t>1</w:t>
      </w:r>
      <w:r>
        <w:rPr>
          <w:spacing w:val="2"/>
          <w:position w:val="7"/>
          <w:sz w:val="10"/>
        </w:rPr>
        <w:t>st </w:t>
      </w:r>
      <w:r>
        <w:rPr>
          <w:sz w:val="18"/>
        </w:rPr>
        <w:t>DCA</w:t>
      </w:r>
      <w:r>
        <w:rPr>
          <w:spacing w:val="-5"/>
          <w:sz w:val="18"/>
        </w:rPr>
        <w:t> </w:t>
      </w:r>
      <w:r>
        <w:rPr>
          <w:sz w:val="18"/>
        </w:rPr>
        <w:t>2010)</w:t>
      </w:r>
      <w:r>
        <w:rPr>
          <w:sz w:val="24"/>
        </w:rPr>
        <w:t>.</w:t>
      </w:r>
    </w:p>
    <w:p>
      <w:pPr>
        <w:pStyle w:val="ListParagraph"/>
        <w:numPr>
          <w:ilvl w:val="0"/>
          <w:numId w:val="7"/>
        </w:numPr>
        <w:tabs>
          <w:tab w:pos="1414" w:val="left" w:leader="none"/>
        </w:tabs>
        <w:spacing w:line="241" w:lineRule="exact" w:before="0" w:after="0"/>
        <w:ind w:left="1413" w:right="0" w:hanging="254"/>
        <w:jc w:val="both"/>
        <w:rPr>
          <w:sz w:val="18"/>
        </w:rPr>
      </w:pPr>
      <w:r>
        <w:rPr>
          <w:sz w:val="18"/>
          <w:u w:val="single"/>
        </w:rPr>
        <w:t>Buchholz</w:t>
      </w:r>
      <w:r>
        <w:rPr>
          <w:spacing w:val="-7"/>
          <w:sz w:val="18"/>
          <w:u w:val="single"/>
        </w:rPr>
        <w:t> </w:t>
      </w:r>
      <w:r>
        <w:rPr>
          <w:sz w:val="18"/>
          <w:u w:val="single"/>
        </w:rPr>
        <w:t>v.</w:t>
      </w:r>
      <w:r>
        <w:rPr>
          <w:spacing w:val="-6"/>
          <w:sz w:val="18"/>
          <w:u w:val="single"/>
        </w:rPr>
        <w:t> </w:t>
      </w:r>
      <w:r>
        <w:rPr>
          <w:sz w:val="18"/>
          <w:u w:val="single"/>
        </w:rPr>
        <w:t>US</w:t>
      </w:r>
      <w:r>
        <w:rPr>
          <w:spacing w:val="-7"/>
          <w:sz w:val="18"/>
          <w:u w:val="single"/>
        </w:rPr>
        <w:t> </w:t>
      </w:r>
      <w:r>
        <w:rPr>
          <w:sz w:val="18"/>
          <w:u w:val="single"/>
        </w:rPr>
        <w:t>Fire</w:t>
      </w:r>
      <w:r>
        <w:rPr>
          <w:spacing w:val="-7"/>
          <w:sz w:val="18"/>
          <w:u w:val="single"/>
        </w:rPr>
        <w:t> </w:t>
      </w:r>
      <w:r>
        <w:rPr>
          <w:sz w:val="18"/>
          <w:u w:val="single"/>
        </w:rPr>
        <w:t>Ins.</w:t>
      </w:r>
      <w:r>
        <w:rPr>
          <w:spacing w:val="-7"/>
          <w:sz w:val="18"/>
          <w:u w:val="single"/>
        </w:rPr>
        <w:t> </w:t>
      </w:r>
      <w:r>
        <w:rPr>
          <w:sz w:val="18"/>
          <w:u w:val="single"/>
        </w:rPr>
        <w:t>Co</w:t>
      </w:r>
      <w:r>
        <w:rPr>
          <w:sz w:val="18"/>
        </w:rPr>
        <w:t>.,</w:t>
      </w:r>
      <w:r>
        <w:rPr>
          <w:spacing w:val="-6"/>
          <w:sz w:val="18"/>
        </w:rPr>
        <w:t> </w:t>
      </w:r>
      <w:r>
        <w:rPr>
          <w:sz w:val="18"/>
        </w:rPr>
        <w:t>293</w:t>
      </w:r>
      <w:r>
        <w:rPr>
          <w:spacing w:val="-6"/>
          <w:sz w:val="18"/>
        </w:rPr>
        <w:t> </w:t>
      </w:r>
      <w:r>
        <w:rPr>
          <w:sz w:val="18"/>
        </w:rPr>
        <w:t>N.Y.</w:t>
      </w:r>
      <w:r>
        <w:rPr>
          <w:spacing w:val="-7"/>
          <w:sz w:val="18"/>
        </w:rPr>
        <w:t> </w:t>
      </w:r>
      <w:r>
        <w:rPr>
          <w:sz w:val="18"/>
        </w:rPr>
        <w:t>82,</w:t>
      </w:r>
      <w:r>
        <w:rPr>
          <w:spacing w:val="-6"/>
          <w:sz w:val="18"/>
        </w:rPr>
        <w:t> </w:t>
      </w:r>
      <w:r>
        <w:rPr>
          <w:sz w:val="18"/>
        </w:rPr>
        <w:t>56</w:t>
      </w:r>
      <w:r>
        <w:rPr>
          <w:spacing w:val="-6"/>
          <w:sz w:val="18"/>
        </w:rPr>
        <w:t> </w:t>
      </w:r>
      <w:r>
        <w:rPr>
          <w:sz w:val="18"/>
        </w:rPr>
        <w:t>N.E.2d</w:t>
      </w:r>
      <w:r>
        <w:rPr>
          <w:spacing w:val="-6"/>
          <w:sz w:val="18"/>
        </w:rPr>
        <w:t> </w:t>
      </w:r>
      <w:r>
        <w:rPr>
          <w:sz w:val="18"/>
        </w:rPr>
        <w:t>43</w:t>
      </w:r>
      <w:r>
        <w:rPr>
          <w:spacing w:val="-5"/>
          <w:sz w:val="18"/>
        </w:rPr>
        <w:t> </w:t>
      </w:r>
      <w:r>
        <w:rPr>
          <w:sz w:val="18"/>
        </w:rPr>
        <w:t>(1944);</w:t>
      </w:r>
      <w:r>
        <w:rPr>
          <w:spacing w:val="-4"/>
          <w:sz w:val="18"/>
        </w:rPr>
        <w:t> </w:t>
      </w:r>
      <w:r>
        <w:rPr>
          <w:sz w:val="18"/>
          <w:u w:val="single"/>
        </w:rPr>
        <w:t>Lite</w:t>
      </w:r>
      <w:r>
        <w:rPr>
          <w:spacing w:val="-5"/>
          <w:sz w:val="18"/>
          <w:u w:val="single"/>
        </w:rPr>
        <w:t> </w:t>
      </w:r>
      <w:r>
        <w:rPr>
          <w:sz w:val="18"/>
          <w:u w:val="single"/>
        </w:rPr>
        <w:t>v.</w:t>
      </w:r>
      <w:r>
        <w:rPr>
          <w:spacing w:val="-4"/>
          <w:sz w:val="18"/>
          <w:u w:val="single"/>
        </w:rPr>
        <w:t> </w:t>
      </w:r>
      <w:r>
        <w:rPr>
          <w:sz w:val="18"/>
          <w:u w:val="single"/>
        </w:rPr>
        <w:t>Fireman’s</w:t>
      </w:r>
      <w:r>
        <w:rPr>
          <w:spacing w:val="-5"/>
          <w:sz w:val="18"/>
          <w:u w:val="single"/>
        </w:rPr>
        <w:t> </w:t>
      </w:r>
      <w:r>
        <w:rPr>
          <w:sz w:val="18"/>
          <w:u w:val="single"/>
        </w:rPr>
        <w:t>Ins.</w:t>
      </w:r>
    </w:p>
    <w:p>
      <w:pPr>
        <w:spacing w:line="244" w:lineRule="auto" w:before="5"/>
        <w:ind w:left="1160" w:right="1158" w:firstLine="0"/>
        <w:jc w:val="both"/>
        <w:rPr>
          <w:rFonts w:ascii="Times New Roman"/>
          <w:sz w:val="10"/>
        </w:rPr>
      </w:pPr>
      <w:r>
        <w:rPr>
          <w:rFonts w:ascii="Times New Roman"/>
          <w:sz w:val="18"/>
          <w:u w:val="single"/>
        </w:rPr>
        <w:t>Co. of Newark, N.J.</w:t>
      </w:r>
      <w:r>
        <w:rPr>
          <w:rFonts w:ascii="Times New Roman"/>
          <w:sz w:val="18"/>
        </w:rPr>
        <w:t>, 119 A.D. 410, 104 N.Y.S. 434 (1</w:t>
      </w:r>
      <w:r>
        <w:rPr>
          <w:rFonts w:ascii="Times New Roman"/>
          <w:position w:val="7"/>
          <w:sz w:val="10"/>
        </w:rPr>
        <w:t>st </w:t>
      </w:r>
      <w:r>
        <w:rPr>
          <w:rFonts w:ascii="Times New Roman"/>
          <w:sz w:val="18"/>
        </w:rPr>
        <w:t>Dept. 1907); </w:t>
      </w:r>
      <w:r>
        <w:rPr>
          <w:rFonts w:ascii="Times New Roman"/>
          <w:sz w:val="18"/>
          <w:u w:val="single"/>
        </w:rPr>
        <w:t>Buffalo Elevating v.</w:t>
      </w:r>
      <w:r>
        <w:rPr>
          <w:rFonts w:ascii="Times New Roman"/>
          <w:sz w:val="18"/>
        </w:rPr>
        <w:t> </w:t>
      </w:r>
      <w:r>
        <w:rPr>
          <w:rFonts w:ascii="Times New Roman"/>
          <w:sz w:val="18"/>
          <w:u w:val="single"/>
        </w:rPr>
        <w:t>Prussian</w:t>
      </w:r>
      <w:r>
        <w:rPr>
          <w:rFonts w:ascii="Times New Roman"/>
          <w:spacing w:val="-14"/>
          <w:sz w:val="18"/>
          <w:u w:val="single"/>
        </w:rPr>
        <w:t> </w:t>
      </w:r>
      <w:r>
        <w:rPr>
          <w:rFonts w:ascii="Times New Roman"/>
          <w:sz w:val="18"/>
          <w:u w:val="single"/>
        </w:rPr>
        <w:t>Nat.</w:t>
      </w:r>
      <w:r>
        <w:rPr>
          <w:rFonts w:ascii="Times New Roman"/>
          <w:spacing w:val="-13"/>
          <w:sz w:val="18"/>
          <w:u w:val="single"/>
        </w:rPr>
        <w:t> </w:t>
      </w:r>
      <w:r>
        <w:rPr>
          <w:rFonts w:ascii="Times New Roman"/>
          <w:sz w:val="18"/>
          <w:u w:val="single"/>
        </w:rPr>
        <w:t>Ins.</w:t>
      </w:r>
      <w:r>
        <w:rPr>
          <w:rFonts w:ascii="Times New Roman"/>
          <w:spacing w:val="-13"/>
          <w:sz w:val="18"/>
          <w:u w:val="single"/>
        </w:rPr>
        <w:t> </w:t>
      </w:r>
      <w:r>
        <w:rPr>
          <w:rFonts w:ascii="Times New Roman"/>
          <w:sz w:val="18"/>
          <w:u w:val="single"/>
        </w:rPr>
        <w:t>Co.</w:t>
      </w:r>
      <w:r>
        <w:rPr>
          <w:rFonts w:ascii="Times New Roman"/>
          <w:sz w:val="18"/>
        </w:rPr>
        <w:t>,</w:t>
      </w:r>
      <w:r>
        <w:rPr>
          <w:rFonts w:ascii="Times New Roman"/>
          <w:spacing w:val="-13"/>
          <w:sz w:val="18"/>
        </w:rPr>
        <w:t> </w:t>
      </w:r>
      <w:r>
        <w:rPr>
          <w:rFonts w:ascii="Times New Roman"/>
          <w:sz w:val="18"/>
        </w:rPr>
        <w:t>64</w:t>
      </w:r>
      <w:r>
        <w:rPr>
          <w:rFonts w:ascii="Times New Roman"/>
          <w:spacing w:val="-12"/>
          <w:sz w:val="18"/>
        </w:rPr>
        <w:t> </w:t>
      </w:r>
      <w:r>
        <w:rPr>
          <w:rFonts w:ascii="Times New Roman"/>
          <w:sz w:val="18"/>
        </w:rPr>
        <w:t>A.D.</w:t>
      </w:r>
      <w:r>
        <w:rPr>
          <w:rFonts w:ascii="Times New Roman"/>
          <w:spacing w:val="-14"/>
          <w:sz w:val="18"/>
        </w:rPr>
        <w:t> </w:t>
      </w:r>
      <w:r>
        <w:rPr>
          <w:rFonts w:ascii="Times New Roman"/>
          <w:sz w:val="18"/>
        </w:rPr>
        <w:t>182,</w:t>
      </w:r>
      <w:r>
        <w:rPr>
          <w:rFonts w:ascii="Times New Roman"/>
          <w:spacing w:val="-16"/>
          <w:sz w:val="18"/>
        </w:rPr>
        <w:t> </w:t>
      </w:r>
      <w:r>
        <w:rPr>
          <w:rFonts w:ascii="Times New Roman"/>
          <w:sz w:val="18"/>
        </w:rPr>
        <w:t>71</w:t>
      </w:r>
      <w:r>
        <w:rPr>
          <w:rFonts w:ascii="Times New Roman"/>
          <w:spacing w:val="-14"/>
          <w:sz w:val="18"/>
        </w:rPr>
        <w:t> </w:t>
      </w:r>
      <w:r>
        <w:rPr>
          <w:rFonts w:ascii="Times New Roman"/>
          <w:sz w:val="18"/>
        </w:rPr>
        <w:t>N.Y.S.</w:t>
      </w:r>
      <w:r>
        <w:rPr>
          <w:rFonts w:ascii="Times New Roman"/>
          <w:spacing w:val="-14"/>
          <w:sz w:val="18"/>
        </w:rPr>
        <w:t> </w:t>
      </w:r>
      <w:r>
        <w:rPr>
          <w:rFonts w:ascii="Times New Roman"/>
          <w:sz w:val="18"/>
        </w:rPr>
        <w:t>918</w:t>
      </w:r>
      <w:r>
        <w:rPr>
          <w:rFonts w:ascii="Times New Roman"/>
          <w:spacing w:val="-12"/>
          <w:sz w:val="18"/>
        </w:rPr>
        <w:t> </w:t>
      </w:r>
      <w:r>
        <w:rPr>
          <w:rFonts w:ascii="Times New Roman"/>
          <w:sz w:val="18"/>
        </w:rPr>
        <w:t>(4</w:t>
      </w:r>
      <w:r>
        <w:rPr>
          <w:rFonts w:ascii="Times New Roman"/>
          <w:position w:val="7"/>
          <w:sz w:val="10"/>
        </w:rPr>
        <w:t>th</w:t>
      </w:r>
      <w:r>
        <w:rPr>
          <w:rFonts w:ascii="Times New Roman"/>
          <w:spacing w:val="9"/>
          <w:position w:val="7"/>
          <w:sz w:val="10"/>
        </w:rPr>
        <w:t> </w:t>
      </w:r>
      <w:r>
        <w:rPr>
          <w:rFonts w:ascii="Times New Roman"/>
          <w:sz w:val="18"/>
        </w:rPr>
        <w:t>Dept.</w:t>
      </w:r>
      <w:r>
        <w:rPr>
          <w:rFonts w:ascii="Times New Roman"/>
          <w:spacing w:val="-12"/>
          <w:sz w:val="18"/>
        </w:rPr>
        <w:t> </w:t>
      </w:r>
      <w:r>
        <w:rPr>
          <w:rFonts w:ascii="Times New Roman"/>
          <w:sz w:val="18"/>
        </w:rPr>
        <w:t>1901);</w:t>
      </w:r>
      <w:r>
        <w:rPr>
          <w:rFonts w:ascii="Times New Roman"/>
          <w:spacing w:val="-13"/>
          <w:sz w:val="18"/>
        </w:rPr>
        <w:t> </w:t>
      </w:r>
      <w:r>
        <w:rPr>
          <w:rFonts w:ascii="Times New Roman"/>
          <w:sz w:val="18"/>
          <w:u w:val="single"/>
        </w:rPr>
        <w:t>Harris</w:t>
      </w:r>
      <w:r>
        <w:rPr>
          <w:rFonts w:ascii="Times New Roman"/>
          <w:spacing w:val="-14"/>
          <w:sz w:val="18"/>
          <w:u w:val="single"/>
        </w:rPr>
        <w:t> </w:t>
      </w:r>
      <w:r>
        <w:rPr>
          <w:rFonts w:ascii="Times New Roman"/>
          <w:sz w:val="18"/>
          <w:u w:val="single"/>
        </w:rPr>
        <w:t>v.</w:t>
      </w:r>
      <w:r>
        <w:rPr>
          <w:rFonts w:ascii="Times New Roman"/>
          <w:spacing w:val="-14"/>
          <w:sz w:val="18"/>
          <w:u w:val="single"/>
        </w:rPr>
        <w:t> </w:t>
      </w:r>
      <w:r>
        <w:rPr>
          <w:rFonts w:ascii="Times New Roman"/>
          <w:sz w:val="18"/>
          <w:u w:val="single"/>
        </w:rPr>
        <w:t>Eagle</w:t>
      </w:r>
      <w:r>
        <w:rPr>
          <w:rFonts w:ascii="Times New Roman"/>
          <w:spacing w:val="-14"/>
          <w:sz w:val="18"/>
          <w:u w:val="single"/>
        </w:rPr>
        <w:t> </w:t>
      </w:r>
      <w:r>
        <w:rPr>
          <w:rFonts w:ascii="Times New Roman"/>
          <w:sz w:val="18"/>
          <w:u w:val="single"/>
        </w:rPr>
        <w:t>Ins.</w:t>
      </w:r>
      <w:r>
        <w:rPr>
          <w:rFonts w:ascii="Times New Roman"/>
          <w:spacing w:val="-13"/>
          <w:sz w:val="18"/>
          <w:u w:val="single"/>
        </w:rPr>
        <w:t> </w:t>
      </w:r>
      <w:r>
        <w:rPr>
          <w:rFonts w:ascii="Times New Roman"/>
          <w:sz w:val="18"/>
          <w:u w:val="single"/>
        </w:rPr>
        <w:t>Co.</w:t>
      </w:r>
      <w:r>
        <w:rPr>
          <w:rFonts w:ascii="Times New Roman"/>
          <w:sz w:val="18"/>
        </w:rPr>
        <w:t>, 5 Johns 368 (N.Y. Sup. Ct. 1901); </w:t>
      </w:r>
      <w:r>
        <w:rPr>
          <w:rFonts w:ascii="Times New Roman"/>
          <w:sz w:val="18"/>
          <w:u w:val="single"/>
        </w:rPr>
        <w:t>Lang v. Eagle Fire Co.</w:t>
      </w:r>
      <w:r>
        <w:rPr>
          <w:rFonts w:ascii="Times New Roman"/>
          <w:sz w:val="18"/>
        </w:rPr>
        <w:t>, 12 A.D. 39, 42 N.Y.S. 539</w:t>
      </w:r>
      <w:r>
        <w:rPr>
          <w:rFonts w:ascii="Times New Roman"/>
          <w:spacing w:val="29"/>
          <w:sz w:val="18"/>
        </w:rPr>
        <w:t> </w:t>
      </w:r>
      <w:r>
        <w:rPr>
          <w:rFonts w:ascii="Times New Roman"/>
          <w:sz w:val="18"/>
        </w:rPr>
        <w:t>(4</w:t>
      </w:r>
      <w:r>
        <w:rPr>
          <w:rFonts w:ascii="Times New Roman"/>
          <w:position w:val="7"/>
          <w:sz w:val="10"/>
        </w:rPr>
        <w:t>th</w:t>
      </w:r>
    </w:p>
    <w:p>
      <w:pPr>
        <w:spacing w:line="244" w:lineRule="auto" w:before="0"/>
        <w:ind w:left="1160" w:right="1165" w:firstLine="0"/>
        <w:jc w:val="both"/>
        <w:rPr>
          <w:rFonts w:ascii="Times New Roman" w:hAnsi="Times New Roman"/>
          <w:sz w:val="18"/>
        </w:rPr>
      </w:pPr>
      <w:r>
        <w:rPr>
          <w:rFonts w:ascii="Times New Roman" w:hAnsi="Times New Roman"/>
          <w:sz w:val="18"/>
        </w:rPr>
        <w:t>Dept. 1896); </w:t>
      </w:r>
      <w:r>
        <w:rPr>
          <w:rFonts w:ascii="Times New Roman" w:hAnsi="Times New Roman"/>
          <w:sz w:val="18"/>
          <w:u w:val="single"/>
        </w:rPr>
        <w:t>Baldwin v. Fraternal Acc. Ass’n of America</w:t>
      </w:r>
      <w:r>
        <w:rPr>
          <w:rFonts w:ascii="Times New Roman" w:hAnsi="Times New Roman"/>
          <w:sz w:val="18"/>
        </w:rPr>
        <w:t>, 21 Misc. 124, 46 N.Y.S. 1016 (1897); </w:t>
      </w:r>
      <w:r>
        <w:rPr>
          <w:rFonts w:ascii="Times New Roman" w:hAnsi="Times New Roman"/>
          <w:sz w:val="18"/>
          <w:u w:val="single"/>
        </w:rPr>
        <w:t>Knickerbocker Ins. Co. of New York v. Tinguaro Sugar Co.</w:t>
      </w:r>
      <w:r>
        <w:rPr>
          <w:rFonts w:ascii="Times New Roman" w:hAnsi="Times New Roman"/>
          <w:sz w:val="18"/>
        </w:rPr>
        <w:t>, 16 F.2d 128 (2d Cir. 1926);</w:t>
      </w:r>
      <w:r>
        <w:rPr>
          <w:rFonts w:ascii="Times New Roman" w:hAnsi="Times New Roman"/>
          <w:spacing w:val="-7"/>
          <w:sz w:val="18"/>
        </w:rPr>
        <w:t> </w:t>
      </w:r>
      <w:r>
        <w:rPr>
          <w:rFonts w:ascii="Times New Roman" w:hAnsi="Times New Roman"/>
          <w:sz w:val="18"/>
          <w:u w:val="single"/>
        </w:rPr>
        <w:t>Young</w:t>
      </w:r>
      <w:r>
        <w:rPr>
          <w:rFonts w:ascii="Times New Roman" w:hAnsi="Times New Roman"/>
          <w:spacing w:val="-7"/>
          <w:sz w:val="18"/>
          <w:u w:val="single"/>
        </w:rPr>
        <w:t> </w:t>
      </w:r>
      <w:r>
        <w:rPr>
          <w:rFonts w:ascii="Times New Roman" w:hAnsi="Times New Roman"/>
          <w:sz w:val="18"/>
          <w:u w:val="single"/>
        </w:rPr>
        <w:t>v.</w:t>
      </w:r>
      <w:r>
        <w:rPr>
          <w:rFonts w:ascii="Times New Roman" w:hAnsi="Times New Roman"/>
          <w:spacing w:val="-6"/>
          <w:sz w:val="18"/>
          <w:u w:val="single"/>
        </w:rPr>
        <w:t> </w:t>
      </w:r>
      <w:r>
        <w:rPr>
          <w:rFonts w:ascii="Times New Roman" w:hAnsi="Times New Roman"/>
          <w:sz w:val="18"/>
          <w:u w:val="single"/>
        </w:rPr>
        <w:t>Allstate</w:t>
      </w:r>
      <w:r>
        <w:rPr>
          <w:rFonts w:ascii="Times New Roman" w:hAnsi="Times New Roman"/>
          <w:spacing w:val="-7"/>
          <w:sz w:val="18"/>
          <w:u w:val="single"/>
        </w:rPr>
        <w:t> </w:t>
      </w:r>
      <w:r>
        <w:rPr>
          <w:rFonts w:ascii="Times New Roman" w:hAnsi="Times New Roman"/>
          <w:sz w:val="18"/>
          <w:u w:val="single"/>
        </w:rPr>
        <w:t>Ins.</w:t>
      </w:r>
      <w:r>
        <w:rPr>
          <w:rFonts w:ascii="Times New Roman" w:hAnsi="Times New Roman"/>
          <w:spacing w:val="-7"/>
          <w:sz w:val="18"/>
          <w:u w:val="single"/>
        </w:rPr>
        <w:t> </w:t>
      </w:r>
      <w:r>
        <w:rPr>
          <w:rFonts w:ascii="Times New Roman" w:hAnsi="Times New Roman"/>
          <w:sz w:val="18"/>
          <w:u w:val="single"/>
        </w:rPr>
        <w:t>Co.</w:t>
      </w:r>
      <w:r>
        <w:rPr>
          <w:rFonts w:ascii="Times New Roman" w:hAnsi="Times New Roman"/>
          <w:sz w:val="18"/>
        </w:rPr>
        <w:t>,</w:t>
      </w:r>
      <w:r>
        <w:rPr>
          <w:rFonts w:ascii="Times New Roman" w:hAnsi="Times New Roman"/>
          <w:spacing w:val="-5"/>
          <w:sz w:val="18"/>
        </w:rPr>
        <w:t> </w:t>
      </w:r>
      <w:r>
        <w:rPr>
          <w:rFonts w:ascii="Times New Roman" w:hAnsi="Times New Roman"/>
          <w:sz w:val="18"/>
        </w:rPr>
        <w:t>351</w:t>
      </w:r>
      <w:r>
        <w:rPr>
          <w:rFonts w:ascii="Times New Roman" w:hAnsi="Times New Roman"/>
          <w:spacing w:val="-5"/>
          <w:sz w:val="18"/>
        </w:rPr>
        <w:t> </w:t>
      </w:r>
      <w:r>
        <w:rPr>
          <w:rFonts w:ascii="Times New Roman" w:hAnsi="Times New Roman"/>
          <w:sz w:val="18"/>
        </w:rPr>
        <w:t>Ill.</w:t>
      </w:r>
      <w:r>
        <w:rPr>
          <w:rFonts w:ascii="Times New Roman" w:hAnsi="Times New Roman"/>
          <w:spacing w:val="-3"/>
          <w:sz w:val="18"/>
        </w:rPr>
        <w:t> </w:t>
      </w:r>
      <w:r>
        <w:rPr>
          <w:rFonts w:ascii="Times New Roman" w:hAnsi="Times New Roman"/>
          <w:sz w:val="18"/>
        </w:rPr>
        <w:t>App.3d</w:t>
      </w:r>
      <w:r>
        <w:rPr>
          <w:rFonts w:ascii="Times New Roman" w:hAnsi="Times New Roman"/>
          <w:spacing w:val="-2"/>
          <w:sz w:val="18"/>
        </w:rPr>
        <w:t> </w:t>
      </w:r>
      <w:r>
        <w:rPr>
          <w:rFonts w:ascii="Times New Roman" w:hAnsi="Times New Roman"/>
          <w:sz w:val="18"/>
        </w:rPr>
        <w:t>151,</w:t>
      </w:r>
      <w:r>
        <w:rPr>
          <w:rFonts w:ascii="Times New Roman" w:hAnsi="Times New Roman"/>
          <w:spacing w:val="-4"/>
          <w:sz w:val="18"/>
        </w:rPr>
        <w:t> </w:t>
      </w:r>
      <w:r>
        <w:rPr>
          <w:rFonts w:ascii="Times New Roman" w:hAnsi="Times New Roman"/>
          <w:sz w:val="18"/>
        </w:rPr>
        <w:t>812</w:t>
      </w:r>
      <w:r>
        <w:rPr>
          <w:rFonts w:ascii="Times New Roman" w:hAnsi="Times New Roman"/>
          <w:spacing w:val="-2"/>
          <w:sz w:val="18"/>
        </w:rPr>
        <w:t> </w:t>
      </w:r>
      <w:r>
        <w:rPr>
          <w:rFonts w:ascii="Times New Roman" w:hAnsi="Times New Roman"/>
          <w:sz w:val="18"/>
        </w:rPr>
        <w:t>N.E.</w:t>
      </w:r>
      <w:r>
        <w:rPr>
          <w:rFonts w:ascii="Times New Roman" w:hAnsi="Times New Roman"/>
          <w:spacing w:val="-2"/>
          <w:sz w:val="18"/>
        </w:rPr>
        <w:t> </w:t>
      </w:r>
      <w:r>
        <w:rPr>
          <w:rFonts w:ascii="Times New Roman" w:hAnsi="Times New Roman"/>
          <w:sz w:val="18"/>
        </w:rPr>
        <w:t>2d</w:t>
      </w:r>
      <w:r>
        <w:rPr>
          <w:rFonts w:ascii="Times New Roman" w:hAnsi="Times New Roman"/>
          <w:spacing w:val="-6"/>
          <w:sz w:val="18"/>
        </w:rPr>
        <w:t> </w:t>
      </w:r>
      <w:r>
        <w:rPr>
          <w:rFonts w:ascii="Times New Roman" w:hAnsi="Times New Roman"/>
          <w:sz w:val="18"/>
        </w:rPr>
        <w:t>741</w:t>
      </w:r>
      <w:r>
        <w:rPr>
          <w:rFonts w:ascii="Times New Roman" w:hAnsi="Times New Roman"/>
          <w:spacing w:val="-5"/>
          <w:sz w:val="18"/>
        </w:rPr>
        <w:t> </w:t>
      </w:r>
      <w:r>
        <w:rPr>
          <w:rFonts w:ascii="Times New Roman" w:hAnsi="Times New Roman"/>
          <w:sz w:val="18"/>
        </w:rPr>
        <w:t>(App.</w:t>
      </w:r>
      <w:r>
        <w:rPr>
          <w:rFonts w:ascii="Times New Roman" w:hAnsi="Times New Roman"/>
          <w:spacing w:val="-6"/>
          <w:sz w:val="18"/>
        </w:rPr>
        <w:t> </w:t>
      </w:r>
      <w:r>
        <w:rPr>
          <w:rFonts w:ascii="Times New Roman" w:hAnsi="Times New Roman"/>
          <w:sz w:val="18"/>
        </w:rPr>
        <w:t>Ct.</w:t>
      </w:r>
      <w:r>
        <w:rPr>
          <w:rFonts w:ascii="Times New Roman" w:hAnsi="Times New Roman"/>
          <w:spacing w:val="-5"/>
          <w:sz w:val="18"/>
        </w:rPr>
        <w:t> </w:t>
      </w:r>
      <w:r>
        <w:rPr>
          <w:rFonts w:ascii="Times New Roman" w:hAnsi="Times New Roman"/>
          <w:sz w:val="18"/>
        </w:rPr>
        <w:t>of</w:t>
      </w:r>
      <w:r>
        <w:rPr>
          <w:rFonts w:ascii="Times New Roman" w:hAnsi="Times New Roman"/>
          <w:spacing w:val="-8"/>
          <w:sz w:val="18"/>
        </w:rPr>
        <w:t> </w:t>
      </w:r>
      <w:r>
        <w:rPr>
          <w:rFonts w:ascii="Times New Roman" w:hAnsi="Times New Roman"/>
          <w:sz w:val="18"/>
        </w:rPr>
        <w:t>Ill.</w:t>
      </w:r>
      <w:r>
        <w:rPr>
          <w:rFonts w:ascii="Times New Roman" w:hAnsi="Times New Roman"/>
          <w:spacing w:val="-6"/>
          <w:sz w:val="18"/>
        </w:rPr>
        <w:t> </w:t>
      </w:r>
      <w:r>
        <w:rPr>
          <w:rFonts w:ascii="Times New Roman" w:hAnsi="Times New Roman"/>
          <w:sz w:val="18"/>
        </w:rPr>
        <w:t>1</w:t>
      </w:r>
      <w:r>
        <w:rPr>
          <w:rFonts w:ascii="Times New Roman" w:hAnsi="Times New Roman"/>
          <w:position w:val="7"/>
          <w:sz w:val="10"/>
        </w:rPr>
        <w:t>st </w:t>
      </w:r>
      <w:r>
        <w:rPr>
          <w:rFonts w:ascii="Times New Roman" w:hAnsi="Times New Roman"/>
          <w:sz w:val="18"/>
        </w:rPr>
        <w:t>Dist, 6</w:t>
      </w:r>
      <w:r>
        <w:rPr>
          <w:rFonts w:ascii="Times New Roman" w:hAnsi="Times New Roman"/>
          <w:position w:val="7"/>
          <w:sz w:val="10"/>
        </w:rPr>
        <w:t>th </w:t>
      </w:r>
      <w:r>
        <w:rPr>
          <w:rFonts w:ascii="Times New Roman" w:hAnsi="Times New Roman"/>
          <w:sz w:val="18"/>
        </w:rPr>
        <w:t>Div.</w:t>
      </w:r>
      <w:r>
        <w:rPr>
          <w:rFonts w:ascii="Times New Roman" w:hAnsi="Times New Roman"/>
          <w:spacing w:val="-4"/>
          <w:sz w:val="18"/>
        </w:rPr>
        <w:t> </w:t>
      </w:r>
      <w:r>
        <w:rPr>
          <w:rFonts w:ascii="Times New Roman" w:hAnsi="Times New Roman"/>
          <w:sz w:val="18"/>
        </w:rPr>
        <w:t>2004).</w:t>
      </w:r>
    </w:p>
    <w:p>
      <w:pPr>
        <w:spacing w:after="0" w:line="244" w:lineRule="auto"/>
        <w:jc w:val="both"/>
        <w:rPr>
          <w:rFonts w:ascii="Times New Roman" w:hAns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111" w:id="21"/>
      <w:bookmarkEnd w:id="21"/>
      <w:r>
        <w:rPr/>
      </w:r>
      <w:r>
        <w:rPr>
          <w:spacing w:val="2"/>
        </w:rPr>
        <w:t>An</w:t>
      </w:r>
      <w:r>
        <w:rPr>
          <w:spacing w:val="-17"/>
        </w:rPr>
        <w:t> </w:t>
      </w:r>
      <w:r>
        <w:rPr/>
        <w:t>open</w:t>
      </w:r>
      <w:r>
        <w:rPr>
          <w:spacing w:val="-15"/>
        </w:rPr>
        <w:t> </w:t>
      </w:r>
      <w:r>
        <w:rPr/>
        <w:t>policy</w:t>
      </w:r>
      <w:r>
        <w:rPr>
          <w:spacing w:val="-18"/>
        </w:rPr>
        <w:t> </w:t>
      </w:r>
      <w:r>
        <w:rPr/>
        <w:t>is</w:t>
      </w:r>
      <w:r>
        <w:rPr>
          <w:spacing w:val="-17"/>
        </w:rPr>
        <w:t> </w:t>
      </w:r>
      <w:r>
        <w:rPr/>
        <w:t>one</w:t>
      </w:r>
      <w:r>
        <w:rPr>
          <w:spacing w:val="-15"/>
        </w:rPr>
        <w:t> </w:t>
      </w:r>
      <w:r>
        <w:rPr/>
        <w:t>in</w:t>
      </w:r>
      <w:r>
        <w:rPr>
          <w:spacing w:val="-16"/>
        </w:rPr>
        <w:t> </w:t>
      </w:r>
      <w:r>
        <w:rPr/>
        <w:t>which</w:t>
      </w:r>
      <w:r>
        <w:rPr>
          <w:spacing w:val="-16"/>
        </w:rPr>
        <w:t> </w:t>
      </w:r>
      <w:r>
        <w:rPr/>
        <w:t>the</w:t>
      </w:r>
      <w:r>
        <w:rPr>
          <w:spacing w:val="-16"/>
        </w:rPr>
        <w:t> </w:t>
      </w:r>
      <w:r>
        <w:rPr/>
        <w:t>value</w:t>
      </w:r>
      <w:r>
        <w:rPr>
          <w:spacing w:val="-15"/>
        </w:rPr>
        <w:t> </w:t>
      </w:r>
      <w:r>
        <w:rPr/>
        <w:t>of</w:t>
      </w:r>
      <w:r>
        <w:rPr>
          <w:spacing w:val="-16"/>
        </w:rPr>
        <w:t> </w:t>
      </w:r>
      <w:r>
        <w:rPr/>
        <w:t>the subject</w:t>
      </w:r>
      <w:r>
        <w:rPr>
          <w:spacing w:val="-9"/>
        </w:rPr>
        <w:t> </w:t>
      </w:r>
      <w:r>
        <w:rPr/>
        <w:t>matter</w:t>
      </w:r>
      <w:r>
        <w:rPr>
          <w:spacing w:val="-9"/>
        </w:rPr>
        <w:t> </w:t>
      </w:r>
      <w:r>
        <w:rPr/>
        <w:t>is</w:t>
      </w:r>
      <w:r>
        <w:rPr>
          <w:spacing w:val="-6"/>
        </w:rPr>
        <w:t> </w:t>
      </w:r>
      <w:r>
        <w:rPr/>
        <w:t>not</w:t>
      </w:r>
      <w:r>
        <w:rPr>
          <w:spacing w:val="-9"/>
        </w:rPr>
        <w:t> </w:t>
      </w:r>
      <w:r>
        <w:rPr/>
        <w:t>agreed</w:t>
      </w:r>
      <w:r>
        <w:rPr>
          <w:spacing w:val="-7"/>
        </w:rPr>
        <w:t> </w:t>
      </w:r>
      <w:r>
        <w:rPr/>
        <w:t>upon</w:t>
      </w:r>
      <w:r>
        <w:rPr>
          <w:spacing w:val="-5"/>
        </w:rPr>
        <w:t> </w:t>
      </w:r>
      <w:r>
        <w:rPr/>
        <w:t>but</w:t>
      </w:r>
      <w:r>
        <w:rPr>
          <w:spacing w:val="-7"/>
        </w:rPr>
        <w:t> </w:t>
      </w:r>
      <w:r>
        <w:rPr/>
        <w:t>is</w:t>
      </w:r>
      <w:r>
        <w:rPr>
          <w:spacing w:val="-7"/>
        </w:rPr>
        <w:t> </w:t>
      </w:r>
      <w:r>
        <w:rPr/>
        <w:t>left</w:t>
      </w:r>
      <w:r>
        <w:rPr>
          <w:spacing w:val="-8"/>
        </w:rPr>
        <w:t> </w:t>
      </w:r>
      <w:r>
        <w:rPr/>
        <w:t>to be</w:t>
      </w:r>
      <w:r>
        <w:rPr>
          <w:spacing w:val="-14"/>
        </w:rPr>
        <w:t> </w:t>
      </w:r>
      <w:r>
        <w:rPr/>
        <w:t>ascertained</w:t>
      </w:r>
      <w:r>
        <w:rPr>
          <w:spacing w:val="-15"/>
        </w:rPr>
        <w:t> </w:t>
      </w:r>
      <w:r>
        <w:rPr/>
        <w:t>in</w:t>
      </w:r>
      <w:r>
        <w:rPr>
          <w:spacing w:val="-14"/>
        </w:rPr>
        <w:t> </w:t>
      </w:r>
      <w:r>
        <w:rPr/>
        <w:t>case</w:t>
      </w:r>
      <w:r>
        <w:rPr>
          <w:spacing w:val="-13"/>
        </w:rPr>
        <w:t> </w:t>
      </w:r>
      <w:r>
        <w:rPr/>
        <w:t>of</w:t>
      </w:r>
      <w:r>
        <w:rPr>
          <w:spacing w:val="-16"/>
        </w:rPr>
        <w:t> </w:t>
      </w:r>
      <w:r>
        <w:rPr/>
        <w:t>loss.”</w:t>
      </w:r>
      <w:r>
        <w:rPr>
          <w:spacing w:val="-14"/>
        </w:rPr>
        <w:t> </w:t>
      </w:r>
      <w:r>
        <w:rPr/>
        <w:t>(Cal.</w:t>
      </w:r>
      <w:r>
        <w:rPr>
          <w:spacing w:val="-15"/>
        </w:rPr>
        <w:t> </w:t>
      </w:r>
      <w:r>
        <w:rPr/>
        <w:t>Ins.</w:t>
      </w:r>
      <w:r>
        <w:rPr>
          <w:spacing w:val="-16"/>
        </w:rPr>
        <w:t> </w:t>
      </w:r>
      <w:r>
        <w:rPr/>
        <w:t>Code</w:t>
      </w:r>
    </w:p>
    <w:p>
      <w:pPr>
        <w:pStyle w:val="BodyText"/>
        <w:spacing w:line="242" w:lineRule="auto"/>
        <w:ind w:left="1520" w:right="1522"/>
        <w:jc w:val="both"/>
      </w:pPr>
      <w:r>
        <w:rPr/>
        <w:t>§411) “A valued policy is one which expresses on</w:t>
      </w:r>
      <w:r>
        <w:rPr>
          <w:spacing w:val="-27"/>
        </w:rPr>
        <w:t> </w:t>
      </w:r>
      <w:r>
        <w:rPr/>
        <w:t>its</w:t>
      </w:r>
      <w:r>
        <w:rPr>
          <w:spacing w:val="-26"/>
        </w:rPr>
        <w:t> </w:t>
      </w:r>
      <w:r>
        <w:rPr/>
        <w:t>face</w:t>
      </w:r>
      <w:r>
        <w:rPr>
          <w:spacing w:val="-27"/>
        </w:rPr>
        <w:t> </w:t>
      </w:r>
      <w:r>
        <w:rPr/>
        <w:t>an</w:t>
      </w:r>
      <w:r>
        <w:rPr>
          <w:spacing w:val="-26"/>
        </w:rPr>
        <w:t> </w:t>
      </w:r>
      <w:r>
        <w:rPr/>
        <w:t>agreement</w:t>
      </w:r>
      <w:r>
        <w:rPr>
          <w:spacing w:val="-31"/>
        </w:rPr>
        <w:t> </w:t>
      </w:r>
      <w:r>
        <w:rPr/>
        <w:t>that</w:t>
      </w:r>
      <w:r>
        <w:rPr>
          <w:spacing w:val="-28"/>
        </w:rPr>
        <w:t> </w:t>
      </w:r>
      <w:r>
        <w:rPr/>
        <w:t>the</w:t>
      </w:r>
      <w:r>
        <w:rPr>
          <w:spacing w:val="-27"/>
        </w:rPr>
        <w:t> </w:t>
      </w:r>
      <w:r>
        <w:rPr/>
        <w:t>thing</w:t>
      </w:r>
      <w:r>
        <w:rPr>
          <w:spacing w:val="-25"/>
        </w:rPr>
        <w:t> </w:t>
      </w:r>
      <w:r>
        <w:rPr/>
        <w:t>insured shall be valued at a specified sum. (Ins.</w:t>
      </w:r>
      <w:r>
        <w:rPr>
          <w:spacing w:val="23"/>
        </w:rPr>
        <w:t> </w:t>
      </w:r>
      <w:r>
        <w:rPr/>
        <w:t>Code</w:t>
      </w:r>
    </w:p>
    <w:p>
      <w:pPr>
        <w:pStyle w:val="BodyText"/>
        <w:spacing w:line="318" w:lineRule="exact"/>
        <w:ind w:left="1520"/>
      </w:pPr>
      <w:r>
        <w:rPr/>
        <w:t>§412)</w:t>
      </w:r>
      <w:r>
        <w:rPr>
          <w:vertAlign w:val="superscript"/>
        </w:rPr>
        <w:t>146</w:t>
      </w:r>
    </w:p>
    <w:p>
      <w:pPr>
        <w:pStyle w:val="BodyText"/>
        <w:spacing w:before="4"/>
      </w:pPr>
    </w:p>
    <w:p>
      <w:pPr>
        <w:pStyle w:val="BodyText"/>
        <w:spacing w:line="242" w:lineRule="auto"/>
        <w:ind w:left="1520" w:right="1521" w:firstLine="720"/>
        <w:jc w:val="both"/>
      </w:pPr>
      <w:r>
        <w:rPr>
          <w:spacing w:val="3"/>
        </w:rPr>
        <w:t>In </w:t>
      </w:r>
      <w:r>
        <w:rPr/>
        <w:t>Missouri, </w:t>
      </w:r>
      <w:r>
        <w:rPr>
          <w:spacing w:val="2"/>
        </w:rPr>
        <w:t>it </w:t>
      </w:r>
      <w:r>
        <w:rPr/>
        <w:t>has been held that </w:t>
      </w:r>
      <w:r>
        <w:rPr>
          <w:spacing w:val="-5"/>
        </w:rPr>
        <w:t>the </w:t>
      </w:r>
      <w:r>
        <w:rPr/>
        <w:t>state’s “valued policy statute” only applied</w:t>
      </w:r>
      <w:r>
        <w:rPr>
          <w:spacing w:val="-29"/>
        </w:rPr>
        <w:t> </w:t>
      </w:r>
      <w:r>
        <w:rPr/>
        <w:t>to fire claims and has no applicability to losses caused by risks other than</w:t>
      </w:r>
      <w:r>
        <w:rPr>
          <w:spacing w:val="-7"/>
        </w:rPr>
        <w:t> </w:t>
      </w:r>
      <w:r>
        <w:rPr/>
        <w:t>fire.</w:t>
      </w:r>
      <w:r>
        <w:rPr>
          <w:vertAlign w:val="superscript"/>
        </w:rPr>
        <w:t>147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9"/>
        </w:rPr>
      </w:pPr>
      <w:r>
        <w:rPr/>
        <w:pict>
          <v:shape style="position:absolute;margin-left:162pt;margin-top:14.18642pt;width:143.9pt;height:.1pt;mso-position-horizontal-relative:page;mso-position-vertical-relative:paragraph;z-index:-251611136;mso-wrap-distance-left:0;mso-wrap-distance-right:0" coordorigin="3240,284" coordsize="2878,0" path="m3240,284l6118,284e" filled="false" stroked="true" strokeweight=".84pt" strokecolor="#000000">
            <v:path arrowok="t"/>
            <v:stroke dashstyle="solid"/>
            <w10:wrap type="topAndBottom"/>
          </v:shape>
        </w:pict>
      </w:r>
    </w:p>
    <w:p>
      <w:pPr>
        <w:pStyle w:val="ListParagraph"/>
        <w:numPr>
          <w:ilvl w:val="0"/>
          <w:numId w:val="7"/>
        </w:numPr>
        <w:tabs>
          <w:tab w:pos="1435" w:val="left" w:leader="none"/>
        </w:tabs>
        <w:spacing w:line="247" w:lineRule="auto" w:before="140" w:after="0"/>
        <w:ind w:left="1160" w:right="1165" w:firstLine="0"/>
        <w:jc w:val="left"/>
        <w:rPr>
          <w:sz w:val="24"/>
        </w:rPr>
      </w:pPr>
      <w:r>
        <w:rPr>
          <w:sz w:val="18"/>
          <w:u w:val="single"/>
        </w:rPr>
        <w:t>Certain Underwriters at Lloyd’s of London v. Bart Enterprises, Int’l Ltd</w:t>
      </w:r>
      <w:r>
        <w:rPr>
          <w:sz w:val="18"/>
        </w:rPr>
        <w:t>., 2013 WL 2252914 (Cal. App.</w:t>
      </w:r>
      <w:r>
        <w:rPr>
          <w:spacing w:val="1"/>
          <w:sz w:val="18"/>
        </w:rPr>
        <w:t> </w:t>
      </w:r>
      <w:r>
        <w:rPr>
          <w:sz w:val="18"/>
        </w:rPr>
        <w:t>2013)</w:t>
      </w:r>
      <w:r>
        <w:rPr>
          <w:sz w:val="24"/>
        </w:rPr>
        <w:t>.</w:t>
      </w:r>
    </w:p>
    <w:p>
      <w:pPr>
        <w:spacing w:line="262" w:lineRule="exact" w:before="0"/>
        <w:ind w:left="1160" w:right="0" w:firstLine="0"/>
        <w:jc w:val="left"/>
        <w:rPr>
          <w:rFonts w:ascii="Times New Roman" w:hAnsi="Times New Roman"/>
          <w:sz w:val="18"/>
        </w:rPr>
      </w:pPr>
      <w:r>
        <w:rPr>
          <w:rFonts w:ascii="Times New Roman" w:hAnsi="Times New Roman"/>
          <w:position w:val="10"/>
          <w:sz w:val="14"/>
        </w:rPr>
        <w:t>147 </w:t>
      </w:r>
      <w:r>
        <w:rPr>
          <w:rFonts w:ascii="Times New Roman" w:hAnsi="Times New Roman"/>
          <w:sz w:val="18"/>
          <w:u w:val="single"/>
        </w:rPr>
        <w:t>Garvin v. Acuity</w:t>
      </w:r>
      <w:r>
        <w:rPr>
          <w:rFonts w:ascii="Times New Roman" w:hAnsi="Times New Roman"/>
          <w:sz w:val="18"/>
        </w:rPr>
        <w:t>, 2012 WL 5197223 (W.D. Mo. 2012); Mo. Rev. Stat.</w:t>
      </w:r>
      <w:r>
        <w:rPr>
          <w:sz w:val="18"/>
        </w:rPr>
        <w:t>§</w:t>
      </w:r>
      <w:r>
        <w:rPr>
          <w:rFonts w:ascii="Times New Roman" w:hAnsi="Times New Roman"/>
          <w:sz w:val="18"/>
        </w:rPr>
        <w:t>379.140</w:t>
      </w:r>
    </w:p>
    <w:p>
      <w:pPr>
        <w:spacing w:after="0" w:line="262" w:lineRule="exact"/>
        <w:jc w:val="left"/>
        <w:rPr>
          <w:rFonts w:ascii="Times New Roman" w:hAns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ListParagraph"/>
        <w:numPr>
          <w:ilvl w:val="0"/>
          <w:numId w:val="2"/>
        </w:numPr>
        <w:tabs>
          <w:tab w:pos="2239" w:val="left" w:leader="none"/>
          <w:tab w:pos="2240" w:val="left" w:leader="none"/>
        </w:tabs>
        <w:spacing w:line="242" w:lineRule="auto" w:before="42" w:after="0"/>
        <w:ind w:left="2237" w:right="1906" w:hanging="718"/>
        <w:jc w:val="left"/>
        <w:rPr>
          <w:rFonts w:ascii="Century Gothic"/>
          <w:sz w:val="26"/>
        </w:rPr>
      </w:pPr>
      <w:bookmarkStart w:name="Law and Procedure 112" w:id="22"/>
      <w:bookmarkEnd w:id="22"/>
      <w:r>
        <w:rPr/>
      </w:r>
      <w:bookmarkStart w:name="Law and Procedure 112" w:id="23"/>
      <w:bookmarkEnd w:id="23"/>
      <w:r>
        <w:rPr>
          <w:rFonts w:ascii="Century Gothic"/>
          <w:sz w:val="26"/>
        </w:rPr>
        <w:t>I</w:t>
      </w:r>
      <w:r>
        <w:rPr>
          <w:rFonts w:ascii="Century Gothic"/>
          <w:sz w:val="26"/>
        </w:rPr>
        <w:t>SSUES OF SCOPE OR EXTENT OF </w:t>
      </w:r>
      <w:r>
        <w:rPr>
          <w:rFonts w:ascii="Century Gothic"/>
          <w:spacing w:val="-3"/>
          <w:sz w:val="26"/>
        </w:rPr>
        <w:t>LOSS, </w:t>
      </w:r>
      <w:r>
        <w:rPr>
          <w:rFonts w:ascii="Century Gothic"/>
          <w:sz w:val="26"/>
        </w:rPr>
        <w:t>CAUSATION AND</w:t>
      </w:r>
      <w:r>
        <w:rPr>
          <w:rFonts w:ascii="Century Gothic"/>
          <w:spacing w:val="-2"/>
          <w:sz w:val="26"/>
        </w:rPr>
        <w:t> </w:t>
      </w:r>
      <w:r>
        <w:rPr>
          <w:rFonts w:ascii="Century Gothic"/>
          <w:sz w:val="26"/>
        </w:rPr>
        <w:t>COVERAGE</w:t>
      </w:r>
    </w:p>
    <w:p>
      <w:pPr>
        <w:pStyle w:val="BodyText"/>
        <w:spacing w:before="1"/>
      </w:pPr>
    </w:p>
    <w:p>
      <w:pPr>
        <w:pStyle w:val="ListParagraph"/>
        <w:numPr>
          <w:ilvl w:val="0"/>
          <w:numId w:val="8"/>
        </w:numPr>
        <w:tabs>
          <w:tab w:pos="1878" w:val="left" w:leader="none"/>
        </w:tabs>
        <w:spacing w:line="240" w:lineRule="auto" w:before="1" w:after="0"/>
        <w:ind w:left="1877" w:right="0" w:hanging="358"/>
        <w:jc w:val="left"/>
        <w:rPr>
          <w:rFonts w:ascii="Century Gothic"/>
          <w:sz w:val="26"/>
        </w:rPr>
      </w:pPr>
      <w:r>
        <w:rPr>
          <w:rFonts w:ascii="Century Gothic"/>
          <w:sz w:val="26"/>
        </w:rPr>
        <w:t>Scope or Extent of</w:t>
      </w:r>
      <w:r>
        <w:rPr>
          <w:rFonts w:ascii="Century Gothic"/>
          <w:spacing w:val="68"/>
          <w:sz w:val="26"/>
        </w:rPr>
        <w:t> </w:t>
      </w:r>
      <w:r>
        <w:rPr>
          <w:rFonts w:ascii="Century Gothic"/>
          <w:sz w:val="26"/>
        </w:rPr>
        <w:t>Loss</w:t>
      </w:r>
    </w:p>
    <w:p>
      <w:pPr>
        <w:pStyle w:val="BodyText"/>
        <w:spacing w:before="5"/>
      </w:pPr>
    </w:p>
    <w:p>
      <w:pPr>
        <w:pStyle w:val="BodyText"/>
        <w:spacing w:line="242" w:lineRule="auto"/>
        <w:ind w:left="1520" w:right="1519" w:firstLine="720"/>
        <w:jc w:val="both"/>
      </w:pPr>
      <w:r>
        <w:rPr/>
        <w:t>The</w:t>
      </w:r>
      <w:r>
        <w:rPr>
          <w:spacing w:val="-18"/>
        </w:rPr>
        <w:t> </w:t>
      </w:r>
      <w:r>
        <w:rPr/>
        <w:t>appraisal</w:t>
      </w:r>
      <w:r>
        <w:rPr>
          <w:spacing w:val="-16"/>
        </w:rPr>
        <w:t> </w:t>
      </w:r>
      <w:r>
        <w:rPr/>
        <w:t>team</w:t>
      </w:r>
      <w:r>
        <w:rPr>
          <w:spacing w:val="-20"/>
        </w:rPr>
        <w:t> </w:t>
      </w:r>
      <w:r>
        <w:rPr/>
        <w:t>is</w:t>
      </w:r>
      <w:r>
        <w:rPr>
          <w:spacing w:val="-18"/>
        </w:rPr>
        <w:t> </w:t>
      </w:r>
      <w:r>
        <w:rPr/>
        <w:t>generally</w:t>
      </w:r>
      <w:r>
        <w:rPr>
          <w:spacing w:val="-17"/>
        </w:rPr>
        <w:t> </w:t>
      </w:r>
      <w:r>
        <w:rPr/>
        <w:t>limited</w:t>
      </w:r>
      <w:r>
        <w:rPr>
          <w:spacing w:val="-18"/>
        </w:rPr>
        <w:t> </w:t>
      </w:r>
      <w:r>
        <w:rPr/>
        <w:t>to a determination of the value and the</w:t>
      </w:r>
      <w:r>
        <w:rPr>
          <w:spacing w:val="-10"/>
        </w:rPr>
        <w:t> </w:t>
      </w:r>
      <w:r>
        <w:rPr/>
        <w:t>amount of the loss to each item of damage sustained by the</w:t>
      </w:r>
      <w:r>
        <w:rPr>
          <w:spacing w:val="-4"/>
        </w:rPr>
        <w:t> </w:t>
      </w:r>
      <w:r>
        <w:rPr/>
        <w:t>insured.</w:t>
      </w:r>
    </w:p>
    <w:p>
      <w:pPr>
        <w:pStyle w:val="BodyText"/>
        <w:spacing w:before="1"/>
      </w:pPr>
    </w:p>
    <w:p>
      <w:pPr>
        <w:pStyle w:val="BodyText"/>
        <w:spacing w:line="242" w:lineRule="auto" w:before="1"/>
        <w:ind w:left="1520" w:right="1518" w:firstLine="720"/>
        <w:jc w:val="both"/>
      </w:pPr>
      <w:r>
        <w:rPr/>
        <w:t>A frequent issue that regularly causes </w:t>
      </w:r>
      <w:r>
        <w:rPr>
          <w:spacing w:val="21"/>
        </w:rPr>
        <w:t>frustration </w:t>
      </w:r>
      <w:r>
        <w:rPr>
          <w:spacing w:val="15"/>
        </w:rPr>
        <w:t>and </w:t>
      </w:r>
      <w:r>
        <w:rPr>
          <w:spacing w:val="19"/>
        </w:rPr>
        <w:t>antagonism </w:t>
      </w:r>
      <w:r>
        <w:rPr>
          <w:spacing w:val="13"/>
        </w:rPr>
        <w:t>in </w:t>
      </w:r>
      <w:r>
        <w:rPr>
          <w:spacing w:val="15"/>
        </w:rPr>
        <w:t>the </w:t>
      </w:r>
      <w:r>
        <w:rPr/>
        <w:t>determination</w:t>
      </w:r>
      <w:r>
        <w:rPr>
          <w:spacing w:val="-13"/>
        </w:rPr>
        <w:t> </w:t>
      </w:r>
      <w:r>
        <w:rPr/>
        <w:t>of</w:t>
      </w:r>
      <w:r>
        <w:rPr>
          <w:spacing w:val="-12"/>
        </w:rPr>
        <w:t> </w:t>
      </w:r>
      <w:r>
        <w:rPr/>
        <w:t>value</w:t>
      </w:r>
      <w:r>
        <w:rPr>
          <w:spacing w:val="-11"/>
        </w:rPr>
        <w:t> </w:t>
      </w:r>
      <w:r>
        <w:rPr/>
        <w:t>and</w:t>
      </w:r>
      <w:r>
        <w:rPr>
          <w:spacing w:val="-14"/>
        </w:rPr>
        <w:t> </w:t>
      </w:r>
      <w:r>
        <w:rPr/>
        <w:t>the</w:t>
      </w:r>
      <w:r>
        <w:rPr>
          <w:spacing w:val="-17"/>
        </w:rPr>
        <w:t> </w:t>
      </w:r>
      <w:r>
        <w:rPr/>
        <w:t>amount</w:t>
      </w:r>
      <w:r>
        <w:rPr>
          <w:spacing w:val="-15"/>
        </w:rPr>
        <w:t> </w:t>
      </w:r>
      <w:r>
        <w:rPr/>
        <w:t>of</w:t>
      </w:r>
      <w:r>
        <w:rPr>
          <w:spacing w:val="-13"/>
        </w:rPr>
        <w:t> </w:t>
      </w:r>
      <w:r>
        <w:rPr/>
        <w:t>loss is whether the scope of loss is something that may be appraised under the Standard Fire Policy.</w:t>
      </w:r>
    </w:p>
    <w:p>
      <w:pPr>
        <w:pStyle w:val="BodyText"/>
      </w:pPr>
    </w:p>
    <w:p>
      <w:pPr>
        <w:pStyle w:val="BodyText"/>
        <w:spacing w:line="242" w:lineRule="auto"/>
        <w:ind w:left="1520" w:right="1518" w:firstLine="720"/>
        <w:jc w:val="both"/>
      </w:pPr>
      <w:r>
        <w:rPr/>
        <w:t>For example, it is universally accepted that the cost of replacing wooden </w:t>
      </w:r>
      <w:r>
        <w:rPr>
          <w:spacing w:val="-3"/>
        </w:rPr>
        <w:t>beams </w:t>
      </w:r>
      <w:r>
        <w:rPr/>
        <w:t>which have been charred by fire would be subject</w:t>
      </w:r>
      <w:r>
        <w:rPr>
          <w:spacing w:val="-29"/>
        </w:rPr>
        <w:t> </w:t>
      </w:r>
      <w:r>
        <w:rPr/>
        <w:t>to</w:t>
      </w:r>
      <w:r>
        <w:rPr>
          <w:spacing w:val="-27"/>
        </w:rPr>
        <w:t> </w:t>
      </w:r>
      <w:r>
        <w:rPr/>
        <w:t>an</w:t>
      </w:r>
      <w:r>
        <w:rPr>
          <w:spacing w:val="-28"/>
        </w:rPr>
        <w:t> </w:t>
      </w:r>
      <w:r>
        <w:rPr/>
        <w:t>appraisal.</w:t>
      </w:r>
      <w:r>
        <w:rPr>
          <w:spacing w:val="19"/>
        </w:rPr>
        <w:t> </w:t>
      </w:r>
      <w:r>
        <w:rPr/>
        <w:t>However,</w:t>
      </w:r>
      <w:r>
        <w:rPr>
          <w:spacing w:val="-30"/>
        </w:rPr>
        <w:t> </w:t>
      </w:r>
      <w:r>
        <w:rPr/>
        <w:t>the</w:t>
      </w:r>
      <w:r>
        <w:rPr>
          <w:spacing w:val="-27"/>
        </w:rPr>
        <w:t> </w:t>
      </w:r>
      <w:r>
        <w:rPr/>
        <w:t>question </w:t>
      </w:r>
      <w:r>
        <w:rPr>
          <w:spacing w:val="5"/>
        </w:rPr>
        <w:t>of </w:t>
      </w:r>
      <w:r>
        <w:rPr>
          <w:spacing w:val="6"/>
        </w:rPr>
        <w:t>how</w:t>
      </w:r>
      <w:r>
        <w:rPr>
          <w:spacing w:val="83"/>
        </w:rPr>
        <w:t> </w:t>
      </w:r>
      <w:r>
        <w:rPr>
          <w:spacing w:val="6"/>
        </w:rPr>
        <w:t>many  </w:t>
      </w:r>
      <w:r>
        <w:rPr>
          <w:spacing w:val="7"/>
        </w:rPr>
        <w:t>beams </w:t>
      </w:r>
      <w:r>
        <w:rPr>
          <w:spacing w:val="6"/>
        </w:rPr>
        <w:t>would  </w:t>
      </w:r>
      <w:r>
        <w:rPr>
          <w:spacing w:val="9"/>
        </w:rPr>
        <w:t>require </w:t>
      </w:r>
      <w:r>
        <w:rPr/>
        <w:t>replacement, it has been argued, is </w:t>
      </w:r>
      <w:r>
        <w:rPr>
          <w:spacing w:val="-4"/>
        </w:rPr>
        <w:t>not </w:t>
      </w:r>
      <w:r>
        <w:rPr/>
        <w:t>subject to appraisal, as a possible coverage issue.</w:t>
      </w:r>
    </w:p>
    <w:p>
      <w:pPr>
        <w:pStyle w:val="BodyText"/>
      </w:pPr>
    </w:p>
    <w:p>
      <w:pPr>
        <w:pStyle w:val="BodyText"/>
        <w:spacing w:line="242" w:lineRule="auto"/>
        <w:ind w:left="1520" w:right="1517" w:firstLine="720"/>
        <w:jc w:val="both"/>
      </w:pPr>
      <w:r>
        <w:rPr>
          <w:spacing w:val="3"/>
        </w:rPr>
        <w:t>In</w:t>
      </w:r>
      <w:r>
        <w:rPr>
          <w:spacing w:val="-21"/>
        </w:rPr>
        <w:t> </w:t>
      </w:r>
      <w:r>
        <w:rPr/>
        <w:t>practice,</w:t>
      </w:r>
      <w:r>
        <w:rPr>
          <w:spacing w:val="-25"/>
        </w:rPr>
        <w:t> </w:t>
      </w:r>
      <w:r>
        <w:rPr/>
        <w:t>perhaps</w:t>
      </w:r>
      <w:r>
        <w:rPr>
          <w:spacing w:val="-21"/>
        </w:rPr>
        <w:t> </w:t>
      </w:r>
      <w:r>
        <w:rPr/>
        <w:t>the</w:t>
      </w:r>
      <w:r>
        <w:rPr>
          <w:spacing w:val="-22"/>
        </w:rPr>
        <w:t> </w:t>
      </w:r>
      <w:r>
        <w:rPr/>
        <w:t>most</w:t>
      </w:r>
      <w:r>
        <w:rPr>
          <w:spacing w:val="-25"/>
        </w:rPr>
        <w:t> </w:t>
      </w:r>
      <w:r>
        <w:rPr/>
        <w:t>commonly occurring issue might, for example, be in a</w:t>
      </w:r>
      <w:r>
        <w:rPr>
          <w:spacing w:val="-36"/>
        </w:rPr>
        <w:t> </w:t>
      </w:r>
      <w:r>
        <w:rPr/>
        <w:t>fire claim where the issue of how many beams or joists</w:t>
      </w:r>
      <w:r>
        <w:rPr>
          <w:spacing w:val="-20"/>
        </w:rPr>
        <w:t> </w:t>
      </w:r>
      <w:r>
        <w:rPr/>
        <w:t>need</w:t>
      </w:r>
      <w:r>
        <w:rPr>
          <w:spacing w:val="-21"/>
        </w:rPr>
        <w:t> </w:t>
      </w:r>
      <w:r>
        <w:rPr/>
        <w:t>be</w:t>
      </w:r>
      <w:r>
        <w:rPr>
          <w:spacing w:val="-19"/>
        </w:rPr>
        <w:t> </w:t>
      </w:r>
      <w:r>
        <w:rPr/>
        <w:t>replaced</w:t>
      </w:r>
      <w:r>
        <w:rPr>
          <w:spacing w:val="-19"/>
        </w:rPr>
        <w:t> </w:t>
      </w:r>
      <w:r>
        <w:rPr/>
        <w:t>and</w:t>
      </w:r>
      <w:r>
        <w:rPr>
          <w:spacing w:val="-17"/>
        </w:rPr>
        <w:t> </w:t>
      </w:r>
      <w:r>
        <w:rPr/>
        <w:t>how</w:t>
      </w:r>
      <w:r>
        <w:rPr>
          <w:spacing w:val="-21"/>
        </w:rPr>
        <w:t> </w:t>
      </w:r>
      <w:r>
        <w:rPr/>
        <w:t>many</w:t>
      </w:r>
      <w:r>
        <w:rPr>
          <w:spacing w:val="-20"/>
        </w:rPr>
        <w:t> </w:t>
      </w:r>
      <w:r>
        <w:rPr/>
        <w:t>merely repaired or deodorized. Similar issues arise in almost every claim and become the focus</w:t>
      </w:r>
      <w:r>
        <w:rPr>
          <w:spacing w:val="64"/>
        </w:rPr>
        <w:t> </w:t>
      </w:r>
      <w:r>
        <w:rPr/>
        <w:t>of</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1520" w:right="1521"/>
        <w:jc w:val="both"/>
      </w:pPr>
      <w:bookmarkStart w:name="Law and Procedure 113" w:id="24"/>
      <w:bookmarkEnd w:id="24"/>
      <w:r>
        <w:rPr/>
      </w:r>
      <w:r>
        <w:rPr/>
        <w:t>the appraisers’ attention. A number of insurance</w:t>
      </w:r>
      <w:r>
        <w:rPr>
          <w:spacing w:val="-17"/>
        </w:rPr>
        <w:t> </w:t>
      </w:r>
      <w:r>
        <w:rPr/>
        <w:t>companies</w:t>
      </w:r>
      <w:r>
        <w:rPr>
          <w:spacing w:val="-17"/>
        </w:rPr>
        <w:t> </w:t>
      </w:r>
      <w:r>
        <w:rPr/>
        <w:t>have</w:t>
      </w:r>
      <w:r>
        <w:rPr>
          <w:spacing w:val="-17"/>
        </w:rPr>
        <w:t> </w:t>
      </w:r>
      <w:r>
        <w:rPr/>
        <w:t>asserted</w:t>
      </w:r>
      <w:r>
        <w:rPr>
          <w:spacing w:val="-16"/>
        </w:rPr>
        <w:t> </w:t>
      </w:r>
      <w:r>
        <w:rPr/>
        <w:t>that</w:t>
      </w:r>
      <w:r>
        <w:rPr>
          <w:spacing w:val="-16"/>
        </w:rPr>
        <w:t> </w:t>
      </w:r>
      <w:r>
        <w:rPr/>
        <w:t>this</w:t>
      </w:r>
      <w:r>
        <w:rPr>
          <w:spacing w:val="-15"/>
        </w:rPr>
        <w:t> </w:t>
      </w:r>
      <w:r>
        <w:rPr>
          <w:spacing w:val="-5"/>
        </w:rPr>
        <w:t>is </w:t>
      </w:r>
      <w:r>
        <w:rPr/>
        <w:t>“an issue of scope” and not subject to appraisal. Logically this is at odds with the Standard Fire Policy and tends to thwart the fundamental </w:t>
      </w:r>
      <w:r>
        <w:rPr>
          <w:spacing w:val="3"/>
        </w:rPr>
        <w:t>purpose </w:t>
      </w:r>
      <w:r>
        <w:rPr>
          <w:spacing w:val="2"/>
        </w:rPr>
        <w:t>of </w:t>
      </w:r>
      <w:r>
        <w:rPr/>
        <w:t>the </w:t>
      </w:r>
      <w:r>
        <w:rPr>
          <w:spacing w:val="2"/>
        </w:rPr>
        <w:t>appraisal </w:t>
      </w:r>
      <w:r>
        <w:rPr/>
        <w:t>provision.</w:t>
      </w:r>
    </w:p>
    <w:p>
      <w:pPr>
        <w:pStyle w:val="BodyText"/>
      </w:pPr>
    </w:p>
    <w:p>
      <w:pPr>
        <w:pStyle w:val="BodyText"/>
        <w:spacing w:line="242" w:lineRule="auto"/>
        <w:ind w:left="1520" w:right="1517" w:firstLine="720"/>
        <w:jc w:val="both"/>
      </w:pPr>
      <w:r>
        <w:rPr/>
        <w:t>The Standard Fire Policy, in the first sentence of its appraisal clause, states that appraisal is appropriate “in case the insured and this company shall fail to agree as to the actual cash value or the amount of </w:t>
      </w:r>
      <w:r>
        <w:rPr>
          <w:spacing w:val="-6"/>
        </w:rPr>
        <w:t>loss...”</w:t>
      </w:r>
      <w:r>
        <w:rPr>
          <w:spacing w:val="-6"/>
          <w:vertAlign w:val="superscript"/>
        </w:rPr>
        <w:t>148</w:t>
      </w:r>
      <w:r>
        <w:rPr>
          <w:spacing w:val="-6"/>
          <w:vertAlign w:val="baseline"/>
        </w:rPr>
        <w:t> </w:t>
      </w:r>
      <w:r>
        <w:rPr>
          <w:vertAlign w:val="baseline"/>
        </w:rPr>
        <w:t>Objective analysis of the unambiguous terminology of the policy must lead one to conclude that in determining the amount of loss, one must draw conclusions as to the extent</w:t>
      </w:r>
      <w:r>
        <w:rPr>
          <w:spacing w:val="-12"/>
          <w:vertAlign w:val="baseline"/>
        </w:rPr>
        <w:t> </w:t>
      </w:r>
      <w:r>
        <w:rPr>
          <w:vertAlign w:val="baseline"/>
        </w:rPr>
        <w:t>of</w:t>
      </w:r>
      <w:r>
        <w:rPr>
          <w:spacing w:val="-8"/>
          <w:vertAlign w:val="baseline"/>
        </w:rPr>
        <w:t> </w:t>
      </w:r>
      <w:r>
        <w:rPr>
          <w:vertAlign w:val="baseline"/>
        </w:rPr>
        <w:t>damage</w:t>
      </w:r>
      <w:r>
        <w:rPr>
          <w:spacing w:val="-8"/>
          <w:vertAlign w:val="baseline"/>
        </w:rPr>
        <w:t> </w:t>
      </w:r>
      <w:r>
        <w:rPr>
          <w:vertAlign w:val="baseline"/>
        </w:rPr>
        <w:t>to</w:t>
      </w:r>
      <w:r>
        <w:rPr>
          <w:spacing w:val="-9"/>
          <w:vertAlign w:val="baseline"/>
        </w:rPr>
        <w:t> </w:t>
      </w:r>
      <w:r>
        <w:rPr>
          <w:vertAlign w:val="baseline"/>
        </w:rPr>
        <w:t>the</w:t>
      </w:r>
      <w:r>
        <w:rPr>
          <w:spacing w:val="-8"/>
          <w:vertAlign w:val="baseline"/>
        </w:rPr>
        <w:t> </w:t>
      </w:r>
      <w:r>
        <w:rPr>
          <w:vertAlign w:val="baseline"/>
        </w:rPr>
        <w:t>property</w:t>
      </w:r>
      <w:r>
        <w:rPr>
          <w:spacing w:val="-11"/>
          <w:vertAlign w:val="baseline"/>
        </w:rPr>
        <w:t> </w:t>
      </w:r>
      <w:r>
        <w:rPr>
          <w:vertAlign w:val="baseline"/>
        </w:rPr>
        <w:t>which</w:t>
      </w:r>
      <w:r>
        <w:rPr>
          <w:spacing w:val="-9"/>
          <w:vertAlign w:val="baseline"/>
        </w:rPr>
        <w:t> </w:t>
      </w:r>
      <w:r>
        <w:rPr>
          <w:vertAlign w:val="baseline"/>
        </w:rPr>
        <w:t>is</w:t>
      </w:r>
      <w:r>
        <w:rPr>
          <w:spacing w:val="-8"/>
          <w:vertAlign w:val="baseline"/>
        </w:rPr>
        <w:t> </w:t>
      </w:r>
      <w:r>
        <w:rPr>
          <w:vertAlign w:val="baseline"/>
        </w:rPr>
        <w:t>the subject of the appraisal and the amount, </w:t>
      </w:r>
      <w:r>
        <w:rPr>
          <w:spacing w:val="9"/>
          <w:vertAlign w:val="baseline"/>
        </w:rPr>
        <w:t>extent, </w:t>
      </w:r>
      <w:r>
        <w:rPr>
          <w:spacing w:val="7"/>
          <w:vertAlign w:val="baseline"/>
        </w:rPr>
        <w:t>and </w:t>
      </w:r>
      <w:r>
        <w:rPr>
          <w:spacing w:val="9"/>
          <w:vertAlign w:val="baseline"/>
        </w:rPr>
        <w:t>cost </w:t>
      </w:r>
      <w:r>
        <w:rPr>
          <w:spacing w:val="6"/>
          <w:vertAlign w:val="baseline"/>
        </w:rPr>
        <w:t>of </w:t>
      </w:r>
      <w:r>
        <w:rPr>
          <w:spacing w:val="9"/>
          <w:vertAlign w:val="baseline"/>
        </w:rPr>
        <w:t>remediation </w:t>
      </w:r>
      <w:r>
        <w:rPr>
          <w:spacing w:val="6"/>
          <w:vertAlign w:val="baseline"/>
        </w:rPr>
        <w:t>or  </w:t>
      </w:r>
      <w:r>
        <w:rPr>
          <w:vertAlign w:val="baseline"/>
        </w:rPr>
        <w:t>replacement in order to fulfill the carrier’s responsibility under the</w:t>
      </w:r>
      <w:r>
        <w:rPr>
          <w:spacing w:val="-6"/>
          <w:vertAlign w:val="baseline"/>
        </w:rPr>
        <w:t> </w:t>
      </w:r>
      <w:r>
        <w:rPr>
          <w:vertAlign w:val="baseline"/>
        </w:rPr>
        <w:t>policy.</w:t>
      </w:r>
    </w:p>
    <w:p>
      <w:pPr>
        <w:pStyle w:val="BodyText"/>
        <w:spacing w:before="10"/>
        <w:rPr>
          <w:sz w:val="25"/>
        </w:rPr>
      </w:pPr>
    </w:p>
    <w:p>
      <w:pPr>
        <w:pStyle w:val="BodyText"/>
        <w:spacing w:line="242" w:lineRule="auto"/>
        <w:ind w:left="1520" w:right="1520" w:firstLine="720"/>
        <w:jc w:val="both"/>
      </w:pPr>
      <w:r>
        <w:rPr/>
        <w:t>Certainly at its extreme, an overly strict interpretation</w:t>
      </w:r>
      <w:r>
        <w:rPr>
          <w:spacing w:val="-16"/>
        </w:rPr>
        <w:t> </w:t>
      </w:r>
      <w:r>
        <w:rPr/>
        <w:t>would</w:t>
      </w:r>
      <w:r>
        <w:rPr>
          <w:spacing w:val="-14"/>
        </w:rPr>
        <w:t> </w:t>
      </w:r>
      <w:r>
        <w:rPr/>
        <w:t>tend</w:t>
      </w:r>
      <w:r>
        <w:rPr>
          <w:spacing w:val="-16"/>
        </w:rPr>
        <w:t> </w:t>
      </w:r>
      <w:r>
        <w:rPr/>
        <w:t>to</w:t>
      </w:r>
      <w:r>
        <w:rPr>
          <w:spacing w:val="-15"/>
        </w:rPr>
        <w:t> </w:t>
      </w:r>
      <w:r>
        <w:rPr/>
        <w:t>frustrate</w:t>
      </w:r>
      <w:r>
        <w:rPr>
          <w:spacing w:val="-19"/>
        </w:rPr>
        <w:t> </w:t>
      </w:r>
      <w:r>
        <w:rPr/>
        <w:t>the</w:t>
      </w:r>
      <w:r>
        <w:rPr>
          <w:spacing w:val="-16"/>
        </w:rPr>
        <w:t> </w:t>
      </w:r>
      <w:r>
        <w:rPr/>
        <w:t>clear intent of the appraisal provision which is to provide an efficient mechanism to determine the value of loss and</w:t>
      </w:r>
      <w:r>
        <w:rPr>
          <w:spacing w:val="-8"/>
        </w:rPr>
        <w:t> </w:t>
      </w:r>
      <w:r>
        <w:rPr/>
        <w:t>damage.</w:t>
      </w:r>
    </w:p>
    <w:p>
      <w:pPr>
        <w:pStyle w:val="BodyText"/>
        <w:rPr>
          <w:sz w:val="20"/>
        </w:rPr>
      </w:pPr>
    </w:p>
    <w:p>
      <w:pPr>
        <w:pStyle w:val="BodyText"/>
        <w:rPr>
          <w:sz w:val="20"/>
        </w:rPr>
      </w:pPr>
    </w:p>
    <w:p>
      <w:pPr>
        <w:pStyle w:val="BodyText"/>
        <w:rPr>
          <w:sz w:val="20"/>
        </w:rPr>
      </w:pPr>
    </w:p>
    <w:p>
      <w:pPr>
        <w:pStyle w:val="BodyText"/>
        <w:spacing w:before="10"/>
        <w:rPr>
          <w:sz w:val="19"/>
        </w:rPr>
      </w:pPr>
      <w:r>
        <w:rPr/>
        <w:pict>
          <v:shape style="position:absolute;margin-left:162pt;margin-top:14.572696pt;width:143.9pt;height:.1pt;mso-position-horizontal-relative:page;mso-position-vertical-relative:paragraph;z-index:-251610112;mso-wrap-distance-left:0;mso-wrap-distance-right:0" coordorigin="3240,291" coordsize="2878,0" path="m3240,291l6118,291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9"/>
        </w:numPr>
        <w:tabs>
          <w:tab w:pos="1435" w:val="left" w:leader="none"/>
        </w:tabs>
        <w:spacing w:line="240" w:lineRule="auto" w:before="71" w:after="0"/>
        <w:ind w:left="1434" w:right="0" w:hanging="275"/>
        <w:jc w:val="left"/>
        <w:rPr>
          <w:sz w:val="24"/>
        </w:rPr>
      </w:pPr>
      <w:r>
        <w:rPr>
          <w:i/>
          <w:sz w:val="18"/>
        </w:rPr>
        <w:t>See e.g</w:t>
      </w:r>
      <w:r>
        <w:rPr>
          <w:sz w:val="18"/>
        </w:rPr>
        <w:t>., N.Y. Ins. Law</w:t>
      </w:r>
      <w:r>
        <w:rPr>
          <w:spacing w:val="-4"/>
          <w:sz w:val="18"/>
        </w:rPr>
        <w:t> </w:t>
      </w:r>
      <w:r>
        <w:rPr>
          <w:sz w:val="18"/>
        </w:rPr>
        <w:t>§3404</w:t>
      </w:r>
      <w:r>
        <w:rPr>
          <w:sz w:val="24"/>
        </w:rPr>
        <w:t>.</w:t>
      </w:r>
    </w:p>
    <w:p>
      <w:pPr>
        <w:spacing w:after="0" w:line="240" w:lineRule="auto"/>
        <w:jc w:val="left"/>
        <w:rPr>
          <w:sz w:val="24"/>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firstLine="720"/>
        <w:jc w:val="both"/>
      </w:pPr>
      <w:bookmarkStart w:name="Law and Procedure 114" w:id="25"/>
      <w:bookmarkEnd w:id="25"/>
      <w:r>
        <w:rPr/>
      </w:r>
      <w:r>
        <w:rPr/>
        <w:t>Historically, there had been a </w:t>
      </w:r>
      <w:r>
        <w:rPr>
          <w:spacing w:val="-3"/>
        </w:rPr>
        <w:t>tendency </w:t>
      </w:r>
      <w:r>
        <w:rPr/>
        <w:t>by</w:t>
      </w:r>
      <w:r>
        <w:rPr>
          <w:spacing w:val="-24"/>
        </w:rPr>
        <w:t> </w:t>
      </w:r>
      <w:r>
        <w:rPr/>
        <w:t>the</w:t>
      </w:r>
      <w:r>
        <w:rPr>
          <w:spacing w:val="-23"/>
        </w:rPr>
        <w:t> </w:t>
      </w:r>
      <w:r>
        <w:rPr/>
        <w:t>courts</w:t>
      </w:r>
      <w:r>
        <w:rPr>
          <w:spacing w:val="-20"/>
        </w:rPr>
        <w:t> </w:t>
      </w:r>
      <w:r>
        <w:rPr/>
        <w:t>to</w:t>
      </w:r>
      <w:r>
        <w:rPr>
          <w:spacing w:val="-19"/>
        </w:rPr>
        <w:t> </w:t>
      </w:r>
      <w:r>
        <w:rPr/>
        <w:t>treat</w:t>
      </w:r>
      <w:r>
        <w:rPr>
          <w:spacing w:val="-22"/>
        </w:rPr>
        <w:t> </w:t>
      </w:r>
      <w:r>
        <w:rPr/>
        <w:t>issues</w:t>
      </w:r>
      <w:r>
        <w:rPr>
          <w:spacing w:val="-19"/>
        </w:rPr>
        <w:t> </w:t>
      </w:r>
      <w:r>
        <w:rPr/>
        <w:t>relating</w:t>
      </w:r>
      <w:r>
        <w:rPr>
          <w:spacing w:val="-19"/>
        </w:rPr>
        <w:t> </w:t>
      </w:r>
      <w:r>
        <w:rPr/>
        <w:t>to</w:t>
      </w:r>
      <w:r>
        <w:rPr>
          <w:spacing w:val="-20"/>
        </w:rPr>
        <w:t> </w:t>
      </w:r>
      <w:r>
        <w:rPr/>
        <w:t>scope</w:t>
      </w:r>
      <w:r>
        <w:rPr>
          <w:spacing w:val="-19"/>
        </w:rPr>
        <w:t> </w:t>
      </w:r>
      <w:r>
        <w:rPr/>
        <w:t>of loss as a coverage issue and deprive the parties</w:t>
      </w:r>
      <w:r>
        <w:rPr>
          <w:spacing w:val="-17"/>
        </w:rPr>
        <w:t> </w:t>
      </w:r>
      <w:r>
        <w:rPr/>
        <w:t>of</w:t>
      </w:r>
      <w:r>
        <w:rPr>
          <w:spacing w:val="-16"/>
        </w:rPr>
        <w:t> </w:t>
      </w:r>
      <w:r>
        <w:rPr/>
        <w:t>the</w:t>
      </w:r>
      <w:r>
        <w:rPr>
          <w:spacing w:val="-18"/>
        </w:rPr>
        <w:t> </w:t>
      </w:r>
      <w:r>
        <w:rPr/>
        <w:t>right</w:t>
      </w:r>
      <w:r>
        <w:rPr>
          <w:spacing w:val="-16"/>
        </w:rPr>
        <w:t> </w:t>
      </w:r>
      <w:r>
        <w:rPr/>
        <w:t>to</w:t>
      </w:r>
      <w:r>
        <w:rPr>
          <w:spacing w:val="-16"/>
        </w:rPr>
        <w:t> </w:t>
      </w:r>
      <w:r>
        <w:rPr/>
        <w:t>appraise</w:t>
      </w:r>
      <w:r>
        <w:rPr>
          <w:spacing w:val="-17"/>
        </w:rPr>
        <w:t> </w:t>
      </w:r>
      <w:r>
        <w:rPr/>
        <w:t>that</w:t>
      </w:r>
      <w:r>
        <w:rPr>
          <w:spacing w:val="-17"/>
        </w:rPr>
        <w:t> </w:t>
      </w:r>
      <w:r>
        <w:rPr/>
        <w:t>aspect</w:t>
      </w:r>
      <w:r>
        <w:rPr>
          <w:spacing w:val="-18"/>
        </w:rPr>
        <w:t> </w:t>
      </w:r>
      <w:r>
        <w:rPr/>
        <w:t>of</w:t>
      </w:r>
      <w:r>
        <w:rPr>
          <w:spacing w:val="-16"/>
        </w:rPr>
        <w:t> </w:t>
      </w:r>
      <w:r>
        <w:rPr/>
        <w:t>a disagreement.</w:t>
      </w:r>
      <w:r>
        <w:rPr>
          <w:spacing w:val="-3"/>
        </w:rPr>
        <w:t> </w:t>
      </w:r>
      <w:r>
        <w:rPr>
          <w:vertAlign w:val="superscript"/>
        </w:rPr>
        <w:t>149</w:t>
      </w:r>
    </w:p>
    <w:p>
      <w:pPr>
        <w:pStyle w:val="BodyText"/>
      </w:pPr>
    </w:p>
    <w:p>
      <w:pPr>
        <w:pStyle w:val="BodyText"/>
        <w:spacing w:line="242" w:lineRule="auto" w:before="1"/>
        <w:ind w:left="1520" w:right="1514" w:firstLine="720"/>
        <w:jc w:val="both"/>
      </w:pPr>
      <w:r>
        <w:rPr>
          <w:spacing w:val="3"/>
        </w:rPr>
        <w:t>In</w:t>
      </w:r>
      <w:r>
        <w:rPr>
          <w:spacing w:val="-32"/>
        </w:rPr>
        <w:t> </w:t>
      </w:r>
      <w:r>
        <w:rPr/>
        <w:t>late</w:t>
      </w:r>
      <w:r>
        <w:rPr>
          <w:spacing w:val="-32"/>
        </w:rPr>
        <w:t> </w:t>
      </w:r>
      <w:r>
        <w:rPr/>
        <w:t>2014,</w:t>
      </w:r>
      <w:r>
        <w:rPr>
          <w:spacing w:val="-33"/>
        </w:rPr>
        <w:t> </w:t>
      </w:r>
      <w:r>
        <w:rPr/>
        <w:t>historic</w:t>
      </w:r>
      <w:r>
        <w:rPr>
          <w:spacing w:val="-31"/>
        </w:rPr>
        <w:t> </w:t>
      </w:r>
      <w:r>
        <w:rPr/>
        <w:t>legislation</w:t>
      </w:r>
      <w:r>
        <w:rPr>
          <w:spacing w:val="-33"/>
        </w:rPr>
        <w:t> </w:t>
      </w:r>
      <w:r>
        <w:rPr>
          <w:spacing w:val="-3"/>
        </w:rPr>
        <w:t>was</w:t>
      </w:r>
      <w:r>
        <w:rPr>
          <w:spacing w:val="-34"/>
        </w:rPr>
        <w:t> </w:t>
      </w:r>
      <w:r>
        <w:rPr/>
        <w:t>signed into law by Governor Andrew Cuomo which clarified that issues of scope of loss (or</w:t>
      </w:r>
      <w:r>
        <w:rPr>
          <w:spacing w:val="-17"/>
        </w:rPr>
        <w:t> </w:t>
      </w:r>
      <w:r>
        <w:rPr/>
        <w:t>“extent of loss or damage” as stated in the</w:t>
      </w:r>
      <w:r>
        <w:rPr>
          <w:spacing w:val="-51"/>
        </w:rPr>
        <w:t> </w:t>
      </w:r>
      <w:r>
        <w:rPr/>
        <w:t>legislation) are appraisable in the state of New York. This legislation was the culmination of ten years of effort within the legislature and on behalf of consumers to encourage the use of appraisal to resolve all of the issues that comprise the question of the “amount of loss”. The author drafted the legislation which passed both houses of the legislature unanimously. The relevant language</w:t>
      </w:r>
      <w:r>
        <w:rPr>
          <w:spacing w:val="-3"/>
        </w:rPr>
        <w:t> </w:t>
      </w:r>
      <w:r>
        <w:rPr/>
        <w:t>reads:</w:t>
      </w:r>
    </w:p>
    <w:p>
      <w:pPr>
        <w:pStyle w:val="BodyText"/>
        <w:spacing w:before="10"/>
        <w:rPr>
          <w:sz w:val="25"/>
        </w:rPr>
      </w:pPr>
    </w:p>
    <w:p>
      <w:pPr>
        <w:pStyle w:val="BodyText"/>
        <w:spacing w:line="242" w:lineRule="auto"/>
        <w:ind w:left="2240" w:right="2237"/>
        <w:jc w:val="both"/>
      </w:pPr>
      <w:r>
        <w:rPr/>
        <w:t>“An appraisal shall determine </w:t>
      </w:r>
      <w:r>
        <w:rPr>
          <w:spacing w:val="-5"/>
        </w:rPr>
        <w:t>the </w:t>
      </w:r>
      <w:r>
        <w:rPr/>
        <w:t>a</w:t>
      </w:r>
      <w:r>
        <w:rPr>
          <w:spacing w:val="-32"/>
        </w:rPr>
        <w:t> </w:t>
      </w:r>
      <w:r>
        <w:rPr/>
        <w:t>c</w:t>
      </w:r>
      <w:r>
        <w:rPr>
          <w:spacing w:val="-31"/>
        </w:rPr>
        <w:t> </w:t>
      </w:r>
      <w:r>
        <w:rPr/>
        <w:t>t</w:t>
      </w:r>
      <w:r>
        <w:rPr>
          <w:spacing w:val="-33"/>
        </w:rPr>
        <w:t> </w:t>
      </w:r>
      <w:r>
        <w:rPr/>
        <w:t>u</w:t>
      </w:r>
      <w:r>
        <w:rPr>
          <w:spacing w:val="-31"/>
        </w:rPr>
        <w:t> </w:t>
      </w:r>
      <w:r>
        <w:rPr/>
        <w:t>a</w:t>
      </w:r>
      <w:r>
        <w:rPr>
          <w:spacing w:val="-31"/>
        </w:rPr>
        <w:t> </w:t>
      </w:r>
      <w:r>
        <w:rPr/>
        <w:t>l</w:t>
      </w:r>
      <w:r>
        <w:rPr>
          <w:spacing w:val="8"/>
        </w:rPr>
        <w:t> </w:t>
      </w:r>
      <w:r>
        <w:rPr/>
        <w:t>c</w:t>
      </w:r>
      <w:r>
        <w:rPr>
          <w:spacing w:val="-31"/>
        </w:rPr>
        <w:t> </w:t>
      </w:r>
      <w:r>
        <w:rPr/>
        <w:t>a</w:t>
      </w:r>
      <w:r>
        <w:rPr>
          <w:spacing w:val="-33"/>
        </w:rPr>
        <w:t> </w:t>
      </w:r>
      <w:r>
        <w:rPr/>
        <w:t>s</w:t>
      </w:r>
      <w:r>
        <w:rPr>
          <w:spacing w:val="-31"/>
        </w:rPr>
        <w:t> </w:t>
      </w:r>
      <w:r>
        <w:rPr/>
        <w:t>h</w:t>
      </w:r>
      <w:r>
        <w:rPr>
          <w:spacing w:val="8"/>
        </w:rPr>
        <w:t> </w:t>
      </w:r>
      <w:r>
        <w:rPr/>
        <w:t>v</w:t>
      </w:r>
      <w:r>
        <w:rPr>
          <w:spacing w:val="-36"/>
        </w:rPr>
        <w:t> </w:t>
      </w:r>
      <w:r>
        <w:rPr/>
        <w:t>a</w:t>
      </w:r>
      <w:r>
        <w:rPr>
          <w:spacing w:val="-34"/>
        </w:rPr>
        <w:t> </w:t>
      </w:r>
      <w:r>
        <w:rPr/>
        <w:t>l</w:t>
      </w:r>
      <w:r>
        <w:rPr>
          <w:spacing w:val="-33"/>
        </w:rPr>
        <w:t> </w:t>
      </w:r>
      <w:r>
        <w:rPr/>
        <w:t>u</w:t>
      </w:r>
      <w:r>
        <w:rPr>
          <w:spacing w:val="-33"/>
        </w:rPr>
        <w:t> </w:t>
      </w:r>
      <w:r>
        <w:rPr/>
        <w:t>e</w:t>
      </w:r>
      <w:r>
        <w:rPr>
          <w:spacing w:val="-32"/>
        </w:rPr>
        <w:t> </w:t>
      </w:r>
      <w:r>
        <w:rPr/>
        <w:t>,</w:t>
      </w:r>
      <w:r>
        <w:rPr>
          <w:spacing w:val="5"/>
        </w:rPr>
        <w:t> </w:t>
      </w:r>
      <w:r>
        <w:rPr/>
        <w:t>t</w:t>
      </w:r>
      <w:r>
        <w:rPr>
          <w:spacing w:val="-33"/>
        </w:rPr>
        <w:t> </w:t>
      </w:r>
      <w:r>
        <w:rPr/>
        <w:t>h</w:t>
      </w:r>
      <w:r>
        <w:rPr>
          <w:spacing w:val="-32"/>
        </w:rPr>
        <w:t> </w:t>
      </w:r>
      <w:r>
        <w:rPr/>
        <w:t>e replacement</w:t>
      </w:r>
      <w:r>
        <w:rPr>
          <w:spacing w:val="-35"/>
        </w:rPr>
        <w:t> </w:t>
      </w:r>
      <w:r>
        <w:rPr/>
        <w:t>cost,</w:t>
      </w:r>
      <w:r>
        <w:rPr>
          <w:spacing w:val="-36"/>
        </w:rPr>
        <w:t> </w:t>
      </w:r>
      <w:r>
        <w:rPr/>
        <w:t>the</w:t>
      </w:r>
      <w:r>
        <w:rPr>
          <w:spacing w:val="-38"/>
        </w:rPr>
        <w:t> </w:t>
      </w:r>
      <w:r>
        <w:rPr/>
        <w:t>extent</w:t>
      </w:r>
      <w:r>
        <w:rPr>
          <w:spacing w:val="-35"/>
        </w:rPr>
        <w:t> </w:t>
      </w:r>
      <w:r>
        <w:rPr/>
        <w:t>of</w:t>
      </w:r>
      <w:r>
        <w:rPr>
          <w:spacing w:val="-35"/>
        </w:rPr>
        <w:t> </w:t>
      </w:r>
      <w:r>
        <w:rPr/>
        <w:t>the loss</w:t>
      </w:r>
      <w:r>
        <w:rPr>
          <w:spacing w:val="-13"/>
        </w:rPr>
        <w:t> </w:t>
      </w:r>
      <w:r>
        <w:rPr/>
        <w:t>or</w:t>
      </w:r>
      <w:r>
        <w:rPr>
          <w:spacing w:val="-16"/>
        </w:rPr>
        <w:t> </w:t>
      </w:r>
      <w:r>
        <w:rPr/>
        <w:t>damage</w:t>
      </w:r>
      <w:r>
        <w:rPr>
          <w:spacing w:val="-16"/>
        </w:rPr>
        <w:t> </w:t>
      </w:r>
      <w:r>
        <w:rPr/>
        <w:t>and</w:t>
      </w:r>
      <w:r>
        <w:rPr>
          <w:spacing w:val="-14"/>
        </w:rPr>
        <w:t> </w:t>
      </w:r>
      <w:r>
        <w:rPr/>
        <w:t>the</w:t>
      </w:r>
      <w:r>
        <w:rPr>
          <w:spacing w:val="-15"/>
        </w:rPr>
        <w:t> </w:t>
      </w:r>
      <w:r>
        <w:rPr/>
        <w:t>amount</w:t>
      </w:r>
      <w:r>
        <w:rPr>
          <w:spacing w:val="-15"/>
        </w:rPr>
        <w:t> </w:t>
      </w:r>
      <w:r>
        <w:rPr>
          <w:spacing w:val="-6"/>
        </w:rPr>
        <w:t>of </w:t>
      </w:r>
      <w:r>
        <w:rPr/>
        <w:t>the loss or damage which shall </w:t>
      </w:r>
      <w:r>
        <w:rPr>
          <w:spacing w:val="-6"/>
        </w:rPr>
        <w:t>be </w:t>
      </w:r>
      <w:r>
        <w:rPr/>
        <w:t>determined as specified in the policy and shall proceed pursuant to the terms of the applicable appraisal clause of the</w:t>
      </w:r>
      <w:r>
        <w:rPr>
          <w:spacing w:val="58"/>
        </w:rPr>
        <w:t> </w:t>
      </w:r>
      <w:r>
        <w:rPr/>
        <w:t>insurance</w:t>
      </w:r>
    </w:p>
    <w:p>
      <w:pPr>
        <w:pStyle w:val="BodyText"/>
        <w:rPr>
          <w:sz w:val="20"/>
        </w:rPr>
      </w:pPr>
    </w:p>
    <w:p>
      <w:pPr>
        <w:pStyle w:val="BodyText"/>
        <w:spacing w:before="2"/>
        <w:rPr>
          <w:sz w:val="16"/>
        </w:rPr>
      </w:pPr>
      <w:r>
        <w:rPr/>
        <w:pict>
          <v:shape style="position:absolute;margin-left:162pt;margin-top:12.357944pt;width:143.9pt;height:.1pt;mso-position-horizontal-relative:page;mso-position-vertical-relative:paragraph;z-index:-251609088;mso-wrap-distance-left:0;mso-wrap-distance-right:0" coordorigin="3240,247" coordsize="2878,0" path="m3240,247l6118,247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9"/>
        </w:numPr>
        <w:tabs>
          <w:tab w:pos="1421" w:val="left" w:leader="none"/>
        </w:tabs>
        <w:spacing w:line="240" w:lineRule="auto" w:before="71" w:after="0"/>
        <w:ind w:left="1420" w:right="0" w:hanging="261"/>
        <w:jc w:val="left"/>
        <w:rPr>
          <w:sz w:val="18"/>
        </w:rPr>
      </w:pPr>
      <w:r>
        <w:rPr>
          <w:sz w:val="18"/>
          <w:u w:val="single"/>
        </w:rPr>
        <w:t>Kawa</w:t>
      </w:r>
      <w:r>
        <w:rPr>
          <w:spacing w:val="-15"/>
          <w:sz w:val="18"/>
          <w:u w:val="single"/>
        </w:rPr>
        <w:t> </w:t>
      </w:r>
      <w:r>
        <w:rPr>
          <w:sz w:val="18"/>
          <w:u w:val="single"/>
        </w:rPr>
        <w:t>v.</w:t>
      </w:r>
      <w:r>
        <w:rPr>
          <w:spacing w:val="-14"/>
          <w:sz w:val="18"/>
          <w:u w:val="single"/>
        </w:rPr>
        <w:t> </w:t>
      </w:r>
      <w:r>
        <w:rPr>
          <w:sz w:val="18"/>
          <w:u w:val="single"/>
        </w:rPr>
        <w:t>Nationwide</w:t>
      </w:r>
      <w:r>
        <w:rPr>
          <w:spacing w:val="-15"/>
          <w:sz w:val="18"/>
          <w:u w:val="single"/>
        </w:rPr>
        <w:t> </w:t>
      </w:r>
      <w:r>
        <w:rPr>
          <w:sz w:val="18"/>
          <w:u w:val="single"/>
        </w:rPr>
        <w:t>Mut.</w:t>
      </w:r>
      <w:r>
        <w:rPr>
          <w:spacing w:val="-13"/>
          <w:sz w:val="18"/>
          <w:u w:val="single"/>
        </w:rPr>
        <w:t> </w:t>
      </w:r>
      <w:r>
        <w:rPr>
          <w:sz w:val="18"/>
          <w:u w:val="single"/>
        </w:rPr>
        <w:t>Ins.</w:t>
      </w:r>
      <w:r>
        <w:rPr>
          <w:spacing w:val="-14"/>
          <w:sz w:val="18"/>
          <w:u w:val="single"/>
        </w:rPr>
        <w:t> </w:t>
      </w:r>
      <w:r>
        <w:rPr>
          <w:sz w:val="18"/>
          <w:u w:val="single"/>
        </w:rPr>
        <w:t>Co.</w:t>
      </w:r>
      <w:r>
        <w:rPr>
          <w:sz w:val="18"/>
        </w:rPr>
        <w:t>,</w:t>
      </w:r>
      <w:r>
        <w:rPr>
          <w:spacing w:val="-13"/>
          <w:sz w:val="18"/>
        </w:rPr>
        <w:t> </w:t>
      </w:r>
      <w:r>
        <w:rPr>
          <w:sz w:val="18"/>
        </w:rPr>
        <w:t>664</w:t>
      </w:r>
      <w:r>
        <w:rPr>
          <w:spacing w:val="-12"/>
          <w:sz w:val="18"/>
        </w:rPr>
        <w:t> </w:t>
      </w:r>
      <w:r>
        <w:rPr>
          <w:sz w:val="18"/>
        </w:rPr>
        <w:t>N.Y.S.2d</w:t>
      </w:r>
      <w:r>
        <w:rPr>
          <w:spacing w:val="-13"/>
          <w:sz w:val="18"/>
        </w:rPr>
        <w:t> </w:t>
      </w:r>
      <w:r>
        <w:rPr>
          <w:sz w:val="18"/>
        </w:rPr>
        <w:t>430,</w:t>
      </w:r>
      <w:r>
        <w:rPr>
          <w:spacing w:val="-11"/>
          <w:sz w:val="18"/>
        </w:rPr>
        <w:t> </w:t>
      </w:r>
      <w:r>
        <w:rPr>
          <w:sz w:val="18"/>
        </w:rPr>
        <w:t>174</w:t>
      </w:r>
      <w:r>
        <w:rPr>
          <w:spacing w:val="-11"/>
          <w:sz w:val="18"/>
        </w:rPr>
        <w:t> </w:t>
      </w:r>
      <w:r>
        <w:rPr>
          <w:sz w:val="18"/>
        </w:rPr>
        <w:t>Misc.2d</w:t>
      </w:r>
      <w:r>
        <w:rPr>
          <w:spacing w:val="-11"/>
          <w:sz w:val="18"/>
        </w:rPr>
        <w:t> </w:t>
      </w:r>
      <w:r>
        <w:rPr>
          <w:sz w:val="18"/>
        </w:rPr>
        <w:t>407,</w:t>
      </w:r>
      <w:r>
        <w:rPr>
          <w:spacing w:val="-11"/>
          <w:sz w:val="18"/>
        </w:rPr>
        <w:t> </w:t>
      </w:r>
      <w:r>
        <w:rPr>
          <w:sz w:val="18"/>
        </w:rPr>
        <w:t>1997</w:t>
      </w:r>
      <w:r>
        <w:rPr>
          <w:spacing w:val="-10"/>
          <w:sz w:val="18"/>
        </w:rPr>
        <w:t> </w:t>
      </w:r>
      <w:r>
        <w:rPr>
          <w:sz w:val="18"/>
        </w:rPr>
        <w:t>N.Y.</w:t>
      </w:r>
      <w:r>
        <w:rPr>
          <w:spacing w:val="-11"/>
          <w:sz w:val="18"/>
        </w:rPr>
        <w:t> </w:t>
      </w:r>
      <w:r>
        <w:rPr>
          <w:sz w:val="18"/>
        </w:rPr>
        <w:t>Slip</w:t>
      </w:r>
    </w:p>
    <w:p>
      <w:pPr>
        <w:spacing w:before="19"/>
        <w:ind w:left="1160" w:right="0" w:firstLine="0"/>
        <w:jc w:val="left"/>
        <w:rPr>
          <w:rFonts w:ascii="Times New Roman"/>
          <w:sz w:val="18"/>
        </w:rPr>
      </w:pPr>
      <w:r>
        <w:rPr>
          <w:rFonts w:ascii="Times New Roman"/>
          <w:sz w:val="18"/>
        </w:rPr>
        <w:t>Op. 97580 (1997).</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2240" w:right="2237"/>
        <w:jc w:val="both"/>
      </w:pPr>
      <w:bookmarkStart w:name="Law and Procedure 115" w:id="26"/>
      <w:bookmarkEnd w:id="26"/>
      <w:r>
        <w:rPr/>
      </w:r>
      <w:r>
        <w:rPr/>
        <w:t>policy and not as an arbitration. Notwithstanding the provisions of this subsection, an appraisal shall not determine whether the </w:t>
      </w:r>
      <w:r>
        <w:rPr>
          <w:spacing w:val="-3"/>
        </w:rPr>
        <w:t>policy </w:t>
      </w:r>
      <w:r>
        <w:rPr/>
        <w:t>actually</w:t>
      </w:r>
      <w:r>
        <w:rPr>
          <w:spacing w:val="-27"/>
        </w:rPr>
        <w:t> </w:t>
      </w:r>
      <w:r>
        <w:rPr/>
        <w:t>provides</w:t>
      </w:r>
      <w:r>
        <w:rPr>
          <w:spacing w:val="-29"/>
        </w:rPr>
        <w:t> </w:t>
      </w:r>
      <w:r>
        <w:rPr/>
        <w:t>coverage</w:t>
      </w:r>
      <w:r>
        <w:rPr>
          <w:spacing w:val="-27"/>
        </w:rPr>
        <w:t> </w:t>
      </w:r>
      <w:r>
        <w:rPr/>
        <w:t>for</w:t>
      </w:r>
      <w:r>
        <w:rPr>
          <w:spacing w:val="-26"/>
        </w:rPr>
        <w:t> </w:t>
      </w:r>
      <w:r>
        <w:rPr>
          <w:spacing w:val="-5"/>
        </w:rPr>
        <w:t>any </w:t>
      </w:r>
      <w:r>
        <w:rPr/>
        <w:t>portion of the claimed loss </w:t>
      </w:r>
      <w:r>
        <w:rPr>
          <w:spacing w:val="-6"/>
        </w:rPr>
        <w:t>or </w:t>
      </w:r>
      <w:r>
        <w:rPr/>
        <w:t>damage.”</w:t>
      </w:r>
      <w:r>
        <w:rPr>
          <w:vertAlign w:val="superscript"/>
        </w:rPr>
        <w:t>150</w:t>
      </w:r>
    </w:p>
    <w:p>
      <w:pPr>
        <w:pStyle w:val="BodyText"/>
      </w:pPr>
    </w:p>
    <w:p>
      <w:pPr>
        <w:pStyle w:val="BodyText"/>
        <w:spacing w:line="242" w:lineRule="auto"/>
        <w:ind w:left="1520" w:right="1518" w:firstLine="720"/>
        <w:jc w:val="both"/>
      </w:pPr>
      <w:r>
        <w:rPr>
          <w:spacing w:val="2"/>
        </w:rPr>
        <w:t>As </w:t>
      </w:r>
      <w:r>
        <w:rPr/>
        <w:t>of 2015, the existence of issues </w:t>
      </w:r>
      <w:r>
        <w:rPr>
          <w:spacing w:val="-6"/>
        </w:rPr>
        <w:t>of </w:t>
      </w:r>
      <w:r>
        <w:rPr/>
        <w:t>scope</w:t>
      </w:r>
      <w:r>
        <w:rPr>
          <w:spacing w:val="-19"/>
        </w:rPr>
        <w:t> </w:t>
      </w:r>
      <w:r>
        <w:rPr/>
        <w:t>of</w:t>
      </w:r>
      <w:r>
        <w:rPr>
          <w:spacing w:val="-18"/>
        </w:rPr>
        <w:t> </w:t>
      </w:r>
      <w:r>
        <w:rPr/>
        <w:t>loss</w:t>
      </w:r>
      <w:r>
        <w:rPr>
          <w:spacing w:val="-16"/>
        </w:rPr>
        <w:t> </w:t>
      </w:r>
      <w:r>
        <w:rPr/>
        <w:t>or</w:t>
      </w:r>
      <w:r>
        <w:rPr>
          <w:spacing w:val="-19"/>
        </w:rPr>
        <w:t> </w:t>
      </w:r>
      <w:r>
        <w:rPr/>
        <w:t>minor</w:t>
      </w:r>
      <w:r>
        <w:rPr>
          <w:spacing w:val="-19"/>
        </w:rPr>
        <w:t> </w:t>
      </w:r>
      <w:r>
        <w:rPr/>
        <w:t>issues</w:t>
      </w:r>
      <w:r>
        <w:rPr>
          <w:spacing w:val="-17"/>
        </w:rPr>
        <w:t> </w:t>
      </w:r>
      <w:r>
        <w:rPr/>
        <w:t>of</w:t>
      </w:r>
      <w:r>
        <w:rPr>
          <w:spacing w:val="-21"/>
        </w:rPr>
        <w:t> </w:t>
      </w:r>
      <w:r>
        <w:rPr/>
        <w:t>causation</w:t>
      </w:r>
      <w:r>
        <w:rPr>
          <w:spacing w:val="-20"/>
        </w:rPr>
        <w:t> </w:t>
      </w:r>
      <w:r>
        <w:rPr/>
        <w:t>within a covered loss afford no excuse for avoiding appraisal </w:t>
      </w:r>
      <w:r>
        <w:rPr>
          <w:spacing w:val="2"/>
        </w:rPr>
        <w:t>in </w:t>
      </w:r>
      <w:r>
        <w:rPr/>
        <w:t>New</w:t>
      </w:r>
      <w:r>
        <w:rPr>
          <w:spacing w:val="-10"/>
        </w:rPr>
        <w:t> </w:t>
      </w:r>
      <w:r>
        <w:rPr/>
        <w:t>York.</w:t>
      </w:r>
    </w:p>
    <w:p>
      <w:pPr>
        <w:pStyle w:val="BodyText"/>
        <w:spacing w:before="1"/>
      </w:pPr>
    </w:p>
    <w:p>
      <w:pPr>
        <w:pStyle w:val="BodyText"/>
        <w:spacing w:line="242" w:lineRule="auto"/>
        <w:ind w:left="1520" w:right="1518" w:firstLine="720"/>
        <w:jc w:val="both"/>
      </w:pPr>
      <w:r>
        <w:rPr/>
        <w:t>A</w:t>
      </w:r>
      <w:r>
        <w:rPr>
          <w:spacing w:val="-18"/>
        </w:rPr>
        <w:t> </w:t>
      </w:r>
      <w:r>
        <w:rPr/>
        <w:t>Minnesota</w:t>
      </w:r>
      <w:r>
        <w:rPr>
          <w:spacing w:val="-22"/>
        </w:rPr>
        <w:t> </w:t>
      </w:r>
      <w:r>
        <w:rPr/>
        <w:t>court</w:t>
      </w:r>
      <w:r>
        <w:rPr>
          <w:spacing w:val="-23"/>
        </w:rPr>
        <w:t> </w:t>
      </w:r>
      <w:r>
        <w:rPr/>
        <w:t>affirmed</w:t>
      </w:r>
      <w:r>
        <w:rPr>
          <w:spacing w:val="-21"/>
        </w:rPr>
        <w:t> </w:t>
      </w:r>
      <w:r>
        <w:rPr/>
        <w:t>an</w:t>
      </w:r>
      <w:r>
        <w:rPr>
          <w:spacing w:val="-19"/>
        </w:rPr>
        <w:t> </w:t>
      </w:r>
      <w:r>
        <w:rPr/>
        <w:t>award</w:t>
      </w:r>
      <w:r>
        <w:rPr>
          <w:spacing w:val="-19"/>
        </w:rPr>
        <w:t> </w:t>
      </w:r>
      <w:r>
        <w:rPr>
          <w:spacing w:val="-4"/>
        </w:rPr>
        <w:t>for </w:t>
      </w:r>
      <w:r>
        <w:rPr/>
        <w:t>replacement of all siding panels of a </w:t>
      </w:r>
      <w:r>
        <w:rPr>
          <w:spacing w:val="-3"/>
        </w:rPr>
        <w:t>property </w:t>
      </w:r>
      <w:r>
        <w:rPr/>
        <w:t>where matching was required by the applicable</w:t>
      </w:r>
      <w:r>
        <w:rPr>
          <w:spacing w:val="-41"/>
        </w:rPr>
        <w:t> </w:t>
      </w:r>
      <w:r>
        <w:rPr/>
        <w:t>policy.</w:t>
      </w:r>
      <w:r>
        <w:rPr>
          <w:spacing w:val="-39"/>
        </w:rPr>
        <w:t> </w:t>
      </w:r>
      <w:r>
        <w:rPr/>
        <w:t>The</w:t>
      </w:r>
      <w:r>
        <w:rPr>
          <w:spacing w:val="-37"/>
        </w:rPr>
        <w:t> </w:t>
      </w:r>
      <w:r>
        <w:rPr/>
        <w:t>policy</w:t>
      </w:r>
      <w:r>
        <w:rPr>
          <w:spacing w:val="-40"/>
        </w:rPr>
        <w:t> </w:t>
      </w:r>
      <w:r>
        <w:rPr/>
        <w:t>there</w:t>
      </w:r>
      <w:r>
        <w:rPr>
          <w:spacing w:val="-38"/>
        </w:rPr>
        <w:t> </w:t>
      </w:r>
      <w:r>
        <w:rPr/>
        <w:t>required</w:t>
      </w:r>
      <w:r>
        <w:rPr>
          <w:spacing w:val="-39"/>
        </w:rPr>
        <w:t> </w:t>
      </w:r>
      <w:r>
        <w:rPr/>
        <w:t>the replacement</w:t>
      </w:r>
      <w:r>
        <w:rPr>
          <w:spacing w:val="-40"/>
        </w:rPr>
        <w:t> </w:t>
      </w:r>
      <w:r>
        <w:rPr/>
        <w:t>of</w:t>
      </w:r>
      <w:r>
        <w:rPr>
          <w:spacing w:val="-38"/>
        </w:rPr>
        <w:t> </w:t>
      </w:r>
      <w:r>
        <w:rPr/>
        <w:t>“damaged</w:t>
      </w:r>
      <w:r>
        <w:rPr>
          <w:spacing w:val="-41"/>
        </w:rPr>
        <w:t> </w:t>
      </w:r>
      <w:r>
        <w:rPr/>
        <w:t>property</w:t>
      </w:r>
      <w:r>
        <w:rPr>
          <w:spacing w:val="-40"/>
        </w:rPr>
        <w:t> </w:t>
      </w:r>
      <w:r>
        <w:rPr/>
        <w:t>with</w:t>
      </w:r>
      <w:r>
        <w:rPr>
          <w:spacing w:val="-39"/>
        </w:rPr>
        <w:t> </w:t>
      </w:r>
      <w:r>
        <w:rPr/>
        <w:t>other property…[o]f comparable material and quality.” The Court determined that this required a reasonable (not identical) color match between damaged and undamaged material, a standard correctly applied by the appraisal panel. Because the policy also required compensation for direct physical</w:t>
      </w:r>
      <w:r>
        <w:rPr>
          <w:spacing w:val="-22"/>
        </w:rPr>
        <w:t> </w:t>
      </w:r>
      <w:r>
        <w:rPr/>
        <w:t>loss or damage to covered property as a result of a covered loss, when combined with the inability to replace damaged panels </w:t>
      </w:r>
      <w:r>
        <w:rPr>
          <w:spacing w:val="-4"/>
        </w:rPr>
        <w:t>with</w:t>
      </w:r>
      <w:r>
        <w:rPr>
          <w:spacing w:val="63"/>
        </w:rPr>
        <w:t> </w:t>
      </w:r>
      <w:r>
        <w:rPr/>
        <w:t>siding of comparable material and</w:t>
      </w:r>
      <w:r>
        <w:rPr>
          <w:spacing w:val="65"/>
        </w:rPr>
        <w:t> </w:t>
      </w:r>
      <w:r>
        <w:rPr/>
        <w:t>quality</w:t>
      </w:r>
    </w:p>
    <w:p>
      <w:pPr>
        <w:pStyle w:val="BodyText"/>
        <w:spacing w:before="8"/>
      </w:pPr>
      <w:r>
        <w:rPr/>
        <w:pict>
          <v:shape style="position:absolute;margin-left:162pt;margin-top:18.745649pt;width:143.9pt;height:.1pt;mso-position-horizontal-relative:page;mso-position-vertical-relative:paragraph;z-index:-251608064;mso-wrap-distance-left:0;mso-wrap-distance-right:0" coordorigin="3240,375" coordsize="2878,0" path="m3240,375l6118,375e" filled="false" stroked="true" strokeweight=".84pt" strokecolor="#000000">
            <v:path arrowok="t"/>
            <v:stroke dashstyle="solid"/>
            <w10:wrap type="topAndBottom"/>
          </v:shape>
        </w:pict>
      </w:r>
    </w:p>
    <w:p>
      <w:pPr>
        <w:pStyle w:val="BodyText"/>
        <w:spacing w:before="9"/>
        <w:rPr>
          <w:sz w:val="13"/>
        </w:rPr>
      </w:pPr>
    </w:p>
    <w:p>
      <w:pPr>
        <w:spacing w:before="42"/>
        <w:ind w:left="1160" w:right="0" w:firstLine="0"/>
        <w:jc w:val="left"/>
        <w:rPr>
          <w:rFonts w:ascii="Times New Roman" w:hAnsi="Times New Roman"/>
          <w:sz w:val="18"/>
        </w:rPr>
      </w:pPr>
      <w:r>
        <w:rPr>
          <w:rFonts w:ascii="Times New Roman" w:hAnsi="Times New Roman"/>
          <w:position w:val="10"/>
          <w:sz w:val="14"/>
        </w:rPr>
        <w:t>150 </w:t>
      </w:r>
      <w:r>
        <w:rPr>
          <w:rFonts w:ascii="Times New Roman" w:hAnsi="Times New Roman"/>
          <w:sz w:val="18"/>
        </w:rPr>
        <w:t>N.Y. Ins. Law </w:t>
      </w:r>
      <w:r>
        <w:rPr>
          <w:sz w:val="18"/>
        </w:rPr>
        <w:t>§</w:t>
      </w:r>
      <w:r>
        <w:rPr>
          <w:rFonts w:ascii="Times New Roman" w:hAnsi="Times New Roman"/>
          <w:sz w:val="18"/>
        </w:rPr>
        <w:t>3408, amended L. 2014. C451 </w:t>
      </w:r>
      <w:r>
        <w:rPr>
          <w:sz w:val="26"/>
        </w:rPr>
        <w:t>§</w:t>
      </w:r>
      <w:r>
        <w:rPr>
          <w:rFonts w:ascii="Times New Roman" w:hAnsi="Times New Roman"/>
          <w:sz w:val="18"/>
        </w:rPr>
        <w:t>1, eff. Nov. 21, 2014.</w:t>
      </w:r>
    </w:p>
    <w:p>
      <w:pPr>
        <w:spacing w:after="0"/>
        <w:jc w:val="left"/>
        <w:rPr>
          <w:rFonts w:ascii="Times New Roman" w:hAns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116" w:id="27"/>
      <w:bookmarkEnd w:id="27"/>
      <w:r>
        <w:rPr/>
      </w:r>
      <w:r>
        <w:rPr/>
        <w:t>resulting in a color mismatch, the insured was entitled to the replacement of all of its siding panels. There, it was ultimately held that “an appraisal panel can appropriately </w:t>
      </w:r>
      <w:r>
        <w:rPr>
          <w:spacing w:val="-3"/>
        </w:rPr>
        <w:t>resolve </w:t>
      </w:r>
      <w:r>
        <w:rPr/>
        <w:t>questions</w:t>
      </w:r>
      <w:r>
        <w:rPr>
          <w:spacing w:val="-33"/>
        </w:rPr>
        <w:t> </w:t>
      </w:r>
      <w:r>
        <w:rPr/>
        <w:t>of</w:t>
      </w:r>
      <w:r>
        <w:rPr>
          <w:spacing w:val="-33"/>
        </w:rPr>
        <w:t> </w:t>
      </w:r>
      <w:r>
        <w:rPr/>
        <w:t>law</w:t>
      </w:r>
      <w:r>
        <w:rPr>
          <w:spacing w:val="-37"/>
        </w:rPr>
        <w:t> </w:t>
      </w:r>
      <w:r>
        <w:rPr/>
        <w:t>when</w:t>
      </w:r>
      <w:r>
        <w:rPr>
          <w:spacing w:val="-32"/>
        </w:rPr>
        <w:t> </w:t>
      </w:r>
      <w:r>
        <w:rPr/>
        <w:t>determining</w:t>
      </w:r>
      <w:r>
        <w:rPr>
          <w:spacing w:val="-31"/>
        </w:rPr>
        <w:t> </w:t>
      </w:r>
      <w:r>
        <w:rPr/>
        <w:t>the</w:t>
      </w:r>
      <w:r>
        <w:rPr>
          <w:spacing w:val="-32"/>
        </w:rPr>
        <w:t> </w:t>
      </w:r>
      <w:r>
        <w:rPr/>
        <w:t>amount of</w:t>
      </w:r>
      <w:r>
        <w:rPr>
          <w:spacing w:val="-24"/>
        </w:rPr>
        <w:t> </w:t>
      </w:r>
      <w:r>
        <w:rPr/>
        <w:t>loss</w:t>
      </w:r>
      <w:r>
        <w:rPr>
          <w:spacing w:val="-23"/>
        </w:rPr>
        <w:t> </w:t>
      </w:r>
      <w:r>
        <w:rPr/>
        <w:t>[but]</w:t>
      </w:r>
      <w:r>
        <w:rPr>
          <w:spacing w:val="-21"/>
        </w:rPr>
        <w:t> </w:t>
      </w:r>
      <w:r>
        <w:rPr/>
        <w:t>[t]his</w:t>
      </w:r>
      <w:r>
        <w:rPr>
          <w:spacing w:val="-25"/>
        </w:rPr>
        <w:t> </w:t>
      </w:r>
      <w:r>
        <w:rPr/>
        <w:t>authority</w:t>
      </w:r>
      <w:r>
        <w:rPr>
          <w:spacing w:val="-26"/>
        </w:rPr>
        <w:t> </w:t>
      </w:r>
      <w:r>
        <w:rPr/>
        <w:t>is...subject</w:t>
      </w:r>
      <w:r>
        <w:rPr>
          <w:spacing w:val="-27"/>
        </w:rPr>
        <w:t> </w:t>
      </w:r>
      <w:r>
        <w:rPr/>
        <w:t>to</w:t>
      </w:r>
      <w:r>
        <w:rPr>
          <w:spacing w:val="-23"/>
        </w:rPr>
        <w:t> </w:t>
      </w:r>
      <w:r>
        <w:rPr/>
        <w:t>judicial review.” The Court found that the appraisal panel had applied the correct legal</w:t>
      </w:r>
      <w:r>
        <w:rPr>
          <w:spacing w:val="-13"/>
        </w:rPr>
        <w:t> </w:t>
      </w:r>
      <w:r>
        <w:rPr/>
        <w:t>standard on the basis of that the plain meaning of the </w:t>
      </w:r>
      <w:r>
        <w:rPr>
          <w:spacing w:val="3"/>
        </w:rPr>
        <w:t>phrase </w:t>
      </w:r>
      <w:r>
        <w:rPr>
          <w:spacing w:val="4"/>
        </w:rPr>
        <w:t>indicated </w:t>
      </w:r>
      <w:r>
        <w:rPr>
          <w:spacing w:val="3"/>
        </w:rPr>
        <w:t>material </w:t>
      </w:r>
      <w:r>
        <w:rPr>
          <w:spacing w:val="4"/>
        </w:rPr>
        <w:t>suitable </w:t>
      </w:r>
      <w:r>
        <w:rPr>
          <w:spacing w:val="3"/>
        </w:rPr>
        <w:t>for </w:t>
      </w:r>
      <w:r>
        <w:rPr/>
        <w:t>matching. However, the Court limited its opinion to the facts before it, observing that each storm-related property damage claim was</w:t>
      </w:r>
      <w:r>
        <w:rPr>
          <w:spacing w:val="-1"/>
        </w:rPr>
        <w:t> </w:t>
      </w:r>
      <w:r>
        <w:rPr/>
        <w:t>unique.</w:t>
      </w:r>
      <w:r>
        <w:rPr>
          <w:vertAlign w:val="superscript"/>
        </w:rPr>
        <w:t>151</w:t>
      </w:r>
    </w:p>
    <w:p>
      <w:pPr>
        <w:pStyle w:val="BodyText"/>
        <w:spacing w:before="9"/>
        <w:rPr>
          <w:sz w:val="25"/>
        </w:rPr>
      </w:pPr>
    </w:p>
    <w:p>
      <w:pPr>
        <w:pStyle w:val="BodyText"/>
        <w:spacing w:line="242" w:lineRule="auto" w:before="1"/>
        <w:ind w:left="1520" w:right="1517" w:firstLine="720"/>
        <w:jc w:val="both"/>
      </w:pPr>
      <w:r>
        <w:rPr>
          <w:spacing w:val="4"/>
        </w:rPr>
        <w:t>In </w:t>
      </w:r>
      <w:r>
        <w:rPr/>
        <w:t>Wisconsin, it was necessary for the Court to distinguish its role from that of an appraiser</w:t>
      </w:r>
      <w:r>
        <w:rPr>
          <w:spacing w:val="-17"/>
        </w:rPr>
        <w:t> </w:t>
      </w:r>
      <w:r>
        <w:rPr/>
        <w:t>where</w:t>
      </w:r>
      <w:r>
        <w:rPr>
          <w:spacing w:val="-15"/>
        </w:rPr>
        <w:t> </w:t>
      </w:r>
      <w:r>
        <w:rPr/>
        <w:t>it</w:t>
      </w:r>
      <w:r>
        <w:rPr>
          <w:spacing w:val="-18"/>
        </w:rPr>
        <w:t> </w:t>
      </w:r>
      <w:r>
        <w:rPr/>
        <w:t>was</w:t>
      </w:r>
      <w:r>
        <w:rPr>
          <w:spacing w:val="-13"/>
        </w:rPr>
        <w:t> </w:t>
      </w:r>
      <w:r>
        <w:rPr/>
        <w:t>asked</w:t>
      </w:r>
      <w:r>
        <w:rPr>
          <w:spacing w:val="-14"/>
        </w:rPr>
        <w:t> </w:t>
      </w:r>
      <w:r>
        <w:rPr/>
        <w:t>to</w:t>
      </w:r>
      <w:r>
        <w:rPr>
          <w:spacing w:val="-15"/>
        </w:rPr>
        <w:t> </w:t>
      </w:r>
      <w:r>
        <w:rPr/>
        <w:t>determine</w:t>
      </w:r>
      <w:r>
        <w:rPr>
          <w:spacing w:val="-15"/>
        </w:rPr>
        <w:t> </w:t>
      </w:r>
      <w:r>
        <w:rPr/>
        <w:t>the cost of repair and replacement. The </w:t>
      </w:r>
      <w:r>
        <w:rPr>
          <w:spacing w:val="-3"/>
        </w:rPr>
        <w:t>Court </w:t>
      </w:r>
      <w:r>
        <w:rPr/>
        <w:t>affirmed that the cost of repair</w:t>
      </w:r>
      <w:r>
        <w:rPr>
          <w:spacing w:val="-53"/>
        </w:rPr>
        <w:t> </w:t>
      </w:r>
      <w:r>
        <w:rPr/>
        <w:t>was a decision properly before the appraisers. </w:t>
      </w:r>
      <w:r>
        <w:rPr>
          <w:spacing w:val="3"/>
        </w:rPr>
        <w:t>It </w:t>
      </w:r>
      <w:r>
        <w:rPr/>
        <w:t>illuminated the purpose of the appraisal process, to determine the total loss claimed – meaning that appraisers should assess each item of damage claimed in proof of loss statements, determine the damaged portions of</w:t>
      </w:r>
      <w:r>
        <w:rPr>
          <w:spacing w:val="55"/>
        </w:rPr>
        <w:t> </w:t>
      </w:r>
      <w:r>
        <w:rPr/>
        <w:t>the property</w:t>
      </w:r>
      <w:r>
        <w:rPr>
          <w:spacing w:val="-32"/>
        </w:rPr>
        <w:t> </w:t>
      </w:r>
      <w:r>
        <w:rPr/>
        <w:t>and</w:t>
      </w:r>
      <w:r>
        <w:rPr>
          <w:spacing w:val="-27"/>
        </w:rPr>
        <w:t> </w:t>
      </w:r>
      <w:r>
        <w:rPr/>
        <w:t>the</w:t>
      </w:r>
      <w:r>
        <w:rPr>
          <w:spacing w:val="-27"/>
        </w:rPr>
        <w:t> </w:t>
      </w:r>
      <w:r>
        <w:rPr/>
        <w:t>cost</w:t>
      </w:r>
      <w:r>
        <w:rPr>
          <w:spacing w:val="-27"/>
        </w:rPr>
        <w:t> </w:t>
      </w:r>
      <w:r>
        <w:rPr/>
        <w:t>of</w:t>
      </w:r>
      <w:r>
        <w:rPr>
          <w:spacing w:val="-29"/>
        </w:rPr>
        <w:t> </w:t>
      </w:r>
      <w:r>
        <w:rPr/>
        <w:t>repair,</w:t>
      </w:r>
      <w:r>
        <w:rPr>
          <w:spacing w:val="-31"/>
        </w:rPr>
        <w:t> </w:t>
      </w:r>
      <w:r>
        <w:rPr/>
        <w:t>and</w:t>
      </w:r>
      <w:r>
        <w:rPr>
          <w:spacing w:val="-28"/>
        </w:rPr>
        <w:t> </w:t>
      </w:r>
      <w:r>
        <w:rPr/>
        <w:t>finally</w:t>
      </w:r>
      <w:r>
        <w:rPr>
          <w:spacing w:val="-28"/>
        </w:rPr>
        <w:t> </w:t>
      </w:r>
      <w:r>
        <w:rPr/>
        <w:t>issue an</w:t>
      </w:r>
      <w:r>
        <w:rPr>
          <w:spacing w:val="18"/>
        </w:rPr>
        <w:t> </w:t>
      </w:r>
      <w:r>
        <w:rPr/>
        <w:t>award</w:t>
      </w:r>
      <w:r>
        <w:rPr>
          <w:spacing w:val="18"/>
        </w:rPr>
        <w:t> </w:t>
      </w:r>
      <w:r>
        <w:rPr/>
        <w:t>itemizing</w:t>
      </w:r>
      <w:r>
        <w:rPr>
          <w:spacing w:val="18"/>
        </w:rPr>
        <w:t> </w:t>
      </w:r>
      <w:r>
        <w:rPr/>
        <w:t>damages</w:t>
      </w:r>
      <w:r>
        <w:rPr>
          <w:spacing w:val="18"/>
        </w:rPr>
        <w:t> </w:t>
      </w:r>
      <w:r>
        <w:rPr/>
        <w:t>and</w:t>
      </w:r>
      <w:r>
        <w:rPr>
          <w:spacing w:val="19"/>
        </w:rPr>
        <w:t> </w:t>
      </w:r>
      <w:r>
        <w:rPr/>
        <w:t>cost</w:t>
      </w:r>
      <w:r>
        <w:rPr>
          <w:spacing w:val="17"/>
        </w:rPr>
        <w:t> </w:t>
      </w:r>
      <w:r>
        <w:rPr/>
        <w:t>of</w:t>
      </w:r>
    </w:p>
    <w:p>
      <w:pPr>
        <w:pStyle w:val="BodyText"/>
        <w:rPr>
          <w:sz w:val="20"/>
        </w:rPr>
      </w:pPr>
    </w:p>
    <w:p>
      <w:pPr>
        <w:pStyle w:val="BodyText"/>
        <w:spacing w:before="2"/>
        <w:rPr>
          <w:sz w:val="19"/>
        </w:rPr>
      </w:pPr>
      <w:r>
        <w:rPr/>
        <w:pict>
          <v:shape style="position:absolute;margin-left:162pt;margin-top:14.186909pt;width:143.9pt;height:.1pt;mso-position-horizontal-relative:page;mso-position-vertical-relative:paragraph;z-index:-251607040;mso-wrap-distance-left:0;mso-wrap-distance-right:0" coordorigin="3240,284" coordsize="2878,0" path="m3240,284l6118,284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0"/>
        </w:numPr>
        <w:tabs>
          <w:tab w:pos="1428" w:val="left" w:leader="none"/>
        </w:tabs>
        <w:spacing w:line="261" w:lineRule="auto" w:before="71" w:after="0"/>
        <w:ind w:left="1160" w:right="1166" w:firstLine="0"/>
        <w:jc w:val="left"/>
        <w:rPr>
          <w:sz w:val="18"/>
        </w:rPr>
      </w:pPr>
      <w:r>
        <w:rPr>
          <w:sz w:val="18"/>
          <w:u w:val="single"/>
        </w:rPr>
        <w:t>Cedar</w:t>
      </w:r>
      <w:r>
        <w:rPr>
          <w:spacing w:val="-9"/>
          <w:sz w:val="18"/>
          <w:u w:val="single"/>
        </w:rPr>
        <w:t> </w:t>
      </w:r>
      <w:r>
        <w:rPr>
          <w:sz w:val="18"/>
          <w:u w:val="single"/>
        </w:rPr>
        <w:t>Bluff</w:t>
      </w:r>
      <w:r>
        <w:rPr>
          <w:spacing w:val="-10"/>
          <w:sz w:val="18"/>
          <w:u w:val="single"/>
        </w:rPr>
        <w:t> </w:t>
      </w:r>
      <w:r>
        <w:rPr>
          <w:sz w:val="18"/>
          <w:u w:val="single"/>
        </w:rPr>
        <w:t>Townhome</w:t>
      </w:r>
      <w:r>
        <w:rPr>
          <w:spacing w:val="-9"/>
          <w:sz w:val="18"/>
          <w:u w:val="single"/>
        </w:rPr>
        <w:t> </w:t>
      </w:r>
      <w:r>
        <w:rPr>
          <w:sz w:val="18"/>
          <w:u w:val="single"/>
        </w:rPr>
        <w:t>Condo</w:t>
      </w:r>
      <w:r>
        <w:rPr>
          <w:spacing w:val="-8"/>
          <w:sz w:val="18"/>
          <w:u w:val="single"/>
        </w:rPr>
        <w:t> </w:t>
      </w:r>
      <w:r>
        <w:rPr>
          <w:sz w:val="18"/>
          <w:u w:val="single"/>
        </w:rPr>
        <w:t>Ass’n</w:t>
      </w:r>
      <w:r>
        <w:rPr>
          <w:spacing w:val="-8"/>
          <w:sz w:val="18"/>
          <w:u w:val="single"/>
        </w:rPr>
        <w:t> </w:t>
      </w:r>
      <w:r>
        <w:rPr>
          <w:sz w:val="18"/>
          <w:u w:val="single"/>
        </w:rPr>
        <w:t>v.</w:t>
      </w:r>
      <w:r>
        <w:rPr>
          <w:spacing w:val="-10"/>
          <w:sz w:val="18"/>
          <w:u w:val="single"/>
        </w:rPr>
        <w:t> </w:t>
      </w:r>
      <w:r>
        <w:rPr>
          <w:sz w:val="18"/>
          <w:u w:val="single"/>
        </w:rPr>
        <w:t>American</w:t>
      </w:r>
      <w:r>
        <w:rPr>
          <w:spacing w:val="-9"/>
          <w:sz w:val="18"/>
          <w:u w:val="single"/>
        </w:rPr>
        <w:t> </w:t>
      </w:r>
      <w:r>
        <w:rPr>
          <w:sz w:val="18"/>
          <w:u w:val="single"/>
        </w:rPr>
        <w:t>Family</w:t>
      </w:r>
      <w:r>
        <w:rPr>
          <w:spacing w:val="-11"/>
          <w:sz w:val="18"/>
          <w:u w:val="single"/>
        </w:rPr>
        <w:t> </w:t>
      </w:r>
      <w:r>
        <w:rPr>
          <w:sz w:val="18"/>
          <w:u w:val="single"/>
        </w:rPr>
        <w:t>Mut.</w:t>
      </w:r>
      <w:r>
        <w:rPr>
          <w:spacing w:val="-8"/>
          <w:sz w:val="18"/>
          <w:u w:val="single"/>
        </w:rPr>
        <w:t> </w:t>
      </w:r>
      <w:r>
        <w:rPr>
          <w:sz w:val="18"/>
          <w:u w:val="single"/>
        </w:rPr>
        <w:t>Ins.</w:t>
      </w:r>
      <w:r>
        <w:rPr>
          <w:spacing w:val="-11"/>
          <w:sz w:val="18"/>
          <w:u w:val="single"/>
        </w:rPr>
        <w:t> </w:t>
      </w:r>
      <w:r>
        <w:rPr>
          <w:sz w:val="18"/>
          <w:u w:val="single"/>
        </w:rPr>
        <w:t>Co.</w:t>
      </w:r>
      <w:r>
        <w:rPr>
          <w:sz w:val="18"/>
        </w:rPr>
        <w:t>,</w:t>
      </w:r>
      <w:r>
        <w:rPr>
          <w:spacing w:val="-9"/>
          <w:sz w:val="18"/>
        </w:rPr>
        <w:t> </w:t>
      </w:r>
      <w:r>
        <w:rPr>
          <w:sz w:val="18"/>
        </w:rPr>
        <w:t>857</w:t>
      </w:r>
      <w:r>
        <w:rPr>
          <w:spacing w:val="-10"/>
          <w:sz w:val="18"/>
        </w:rPr>
        <w:t> </w:t>
      </w:r>
      <w:r>
        <w:rPr>
          <w:sz w:val="18"/>
        </w:rPr>
        <w:t>N.W.</w:t>
      </w:r>
      <w:r>
        <w:rPr>
          <w:spacing w:val="-8"/>
          <w:sz w:val="18"/>
        </w:rPr>
        <w:t> </w:t>
      </w:r>
      <w:r>
        <w:rPr>
          <w:sz w:val="18"/>
        </w:rPr>
        <w:t>290 (Minn. 2014).</w:t>
      </w:r>
    </w:p>
    <w:p>
      <w:pPr>
        <w:spacing w:after="0" w:line="261"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117" w:id="28"/>
      <w:bookmarkEnd w:id="28"/>
      <w:r>
        <w:rPr/>
      </w:r>
      <w:r>
        <w:rPr/>
        <w:t>repair. The Court emphasized that in the case before it, only then might it be necessary for it to resolve the replacement cost for</w:t>
      </w:r>
      <w:r>
        <w:rPr>
          <w:spacing w:val="45"/>
        </w:rPr>
        <w:t> </w:t>
      </w:r>
      <w:r>
        <w:rPr/>
        <w:t>the insureds’ home. </w:t>
      </w:r>
      <w:r>
        <w:rPr>
          <w:spacing w:val="3"/>
        </w:rPr>
        <w:t>It </w:t>
      </w:r>
      <w:r>
        <w:rPr/>
        <w:t>further clarified </w:t>
      </w:r>
      <w:r>
        <w:rPr>
          <w:spacing w:val="-4"/>
        </w:rPr>
        <w:t>that </w:t>
      </w:r>
      <w:r>
        <w:rPr/>
        <w:t>appraisers should not consider causation for items</w:t>
      </w:r>
      <w:r>
        <w:rPr>
          <w:spacing w:val="-26"/>
        </w:rPr>
        <w:t> </w:t>
      </w:r>
      <w:r>
        <w:rPr/>
        <w:t>of</w:t>
      </w:r>
      <w:r>
        <w:rPr>
          <w:spacing w:val="-22"/>
        </w:rPr>
        <w:t> </w:t>
      </w:r>
      <w:r>
        <w:rPr/>
        <w:t>damage;</w:t>
      </w:r>
      <w:r>
        <w:rPr>
          <w:spacing w:val="-27"/>
        </w:rPr>
        <w:t> </w:t>
      </w:r>
      <w:r>
        <w:rPr/>
        <w:t>such</w:t>
      </w:r>
      <w:r>
        <w:rPr>
          <w:spacing w:val="-23"/>
        </w:rPr>
        <w:t> </w:t>
      </w:r>
      <w:r>
        <w:rPr/>
        <w:t>a</w:t>
      </w:r>
      <w:r>
        <w:rPr>
          <w:spacing w:val="-24"/>
        </w:rPr>
        <w:t> </w:t>
      </w:r>
      <w:r>
        <w:rPr/>
        <w:t>determination</w:t>
      </w:r>
      <w:r>
        <w:rPr>
          <w:spacing w:val="-24"/>
        </w:rPr>
        <w:t> </w:t>
      </w:r>
      <w:r>
        <w:rPr/>
        <w:t>should be made by the court along with whether</w:t>
      </w:r>
      <w:r>
        <w:rPr>
          <w:spacing w:val="-38"/>
        </w:rPr>
        <w:t> </w:t>
      </w:r>
      <w:r>
        <w:rPr/>
        <w:t>the damage was covered under the</w:t>
      </w:r>
      <w:r>
        <w:rPr>
          <w:spacing w:val="-13"/>
        </w:rPr>
        <w:t> </w:t>
      </w:r>
      <w:r>
        <w:rPr/>
        <w:t>policy.</w:t>
      </w:r>
      <w:r>
        <w:rPr>
          <w:u w:val="single"/>
          <w:vertAlign w:val="superscript"/>
        </w:rPr>
        <w:t>152</w:t>
      </w:r>
    </w:p>
    <w:p>
      <w:pPr>
        <w:pStyle w:val="BodyText"/>
        <w:spacing w:before="12"/>
        <w:rPr>
          <w:sz w:val="25"/>
        </w:rPr>
      </w:pPr>
    </w:p>
    <w:p>
      <w:pPr>
        <w:pStyle w:val="BodyText"/>
        <w:spacing w:line="242" w:lineRule="auto"/>
        <w:ind w:left="1520" w:right="1521" w:firstLine="720"/>
        <w:jc w:val="both"/>
      </w:pPr>
      <w:r>
        <w:rPr/>
        <w:t>However,</w:t>
      </w:r>
      <w:r>
        <w:rPr>
          <w:spacing w:val="-18"/>
        </w:rPr>
        <w:t> </w:t>
      </w:r>
      <w:r>
        <w:rPr/>
        <w:t>a</w:t>
      </w:r>
      <w:r>
        <w:rPr>
          <w:spacing w:val="-14"/>
        </w:rPr>
        <w:t> </w:t>
      </w:r>
      <w:r>
        <w:rPr/>
        <w:t>partially</w:t>
      </w:r>
      <w:r>
        <w:rPr>
          <w:spacing w:val="-15"/>
        </w:rPr>
        <w:t> </w:t>
      </w:r>
      <w:r>
        <w:rPr/>
        <w:t>covered</w:t>
      </w:r>
      <w:r>
        <w:rPr>
          <w:spacing w:val="-12"/>
        </w:rPr>
        <w:t> </w:t>
      </w:r>
      <w:r>
        <w:rPr/>
        <w:t>loss</w:t>
      </w:r>
      <w:r>
        <w:rPr>
          <w:spacing w:val="-13"/>
        </w:rPr>
        <w:t> </w:t>
      </w:r>
      <w:r>
        <w:rPr/>
        <w:t>is</w:t>
      </w:r>
      <w:r>
        <w:rPr>
          <w:spacing w:val="-14"/>
        </w:rPr>
        <w:t> </w:t>
      </w:r>
      <w:r>
        <w:rPr/>
        <w:t>more likely appraisable than a complete</w:t>
      </w:r>
      <w:r>
        <w:rPr>
          <w:spacing w:val="-9"/>
        </w:rPr>
        <w:t> </w:t>
      </w:r>
      <w:r>
        <w:rPr/>
        <w:t>denial.</w:t>
      </w:r>
    </w:p>
    <w:p>
      <w:pPr>
        <w:pStyle w:val="BodyText"/>
        <w:spacing w:before="2"/>
      </w:pPr>
    </w:p>
    <w:p>
      <w:pPr>
        <w:pStyle w:val="BodyText"/>
        <w:spacing w:line="242" w:lineRule="auto"/>
        <w:ind w:left="1520" w:right="1515" w:firstLine="720"/>
        <w:jc w:val="both"/>
      </w:pPr>
      <w:r>
        <w:rPr>
          <w:spacing w:val="3"/>
        </w:rPr>
        <w:t>In</w:t>
      </w:r>
      <w:r>
        <w:rPr>
          <w:spacing w:val="-12"/>
        </w:rPr>
        <w:t> </w:t>
      </w:r>
      <w:r>
        <w:rPr/>
        <w:t>a</w:t>
      </w:r>
      <w:r>
        <w:rPr>
          <w:spacing w:val="-12"/>
        </w:rPr>
        <w:t> </w:t>
      </w:r>
      <w:r>
        <w:rPr/>
        <w:t>recent</w:t>
      </w:r>
      <w:r>
        <w:rPr>
          <w:spacing w:val="-14"/>
        </w:rPr>
        <w:t> </w:t>
      </w:r>
      <w:r>
        <w:rPr/>
        <w:t>Missouri</w:t>
      </w:r>
      <w:r>
        <w:rPr>
          <w:spacing w:val="-9"/>
        </w:rPr>
        <w:t> </w:t>
      </w:r>
      <w:r>
        <w:rPr/>
        <w:t>case</w:t>
      </w:r>
      <w:r>
        <w:rPr>
          <w:spacing w:val="-11"/>
        </w:rPr>
        <w:t> </w:t>
      </w:r>
      <w:r>
        <w:rPr/>
        <w:t>in</w:t>
      </w:r>
      <w:r>
        <w:rPr>
          <w:spacing w:val="-12"/>
        </w:rPr>
        <w:t> </w:t>
      </w:r>
      <w:r>
        <w:rPr/>
        <w:t>which</w:t>
      </w:r>
      <w:r>
        <w:rPr>
          <w:spacing w:val="-11"/>
        </w:rPr>
        <w:t> </w:t>
      </w:r>
      <w:r>
        <w:rPr/>
        <w:t>parties agreed that there was a covered loss but disagreed as to the amount of loss </w:t>
      </w:r>
      <w:r>
        <w:rPr>
          <w:spacing w:val="-3"/>
        </w:rPr>
        <w:t>covered, </w:t>
      </w:r>
      <w:r>
        <w:rPr/>
        <w:t>the Court ultimately found the dispute resolvable by appraisal, stating it could not allow the insurer to “circumvent the appraisal provision</w:t>
      </w:r>
      <w:r>
        <w:rPr>
          <w:spacing w:val="-11"/>
        </w:rPr>
        <w:t> </w:t>
      </w:r>
      <w:r>
        <w:rPr/>
        <w:t>the</w:t>
      </w:r>
      <w:r>
        <w:rPr>
          <w:spacing w:val="-8"/>
        </w:rPr>
        <w:t> </w:t>
      </w:r>
      <w:r>
        <w:rPr/>
        <w:t>parties</w:t>
      </w:r>
      <w:r>
        <w:rPr>
          <w:spacing w:val="-9"/>
        </w:rPr>
        <w:t> </w:t>
      </w:r>
      <w:r>
        <w:rPr/>
        <w:t>contracted</w:t>
      </w:r>
      <w:r>
        <w:rPr>
          <w:spacing w:val="-9"/>
        </w:rPr>
        <w:t> </w:t>
      </w:r>
      <w:r>
        <w:rPr/>
        <w:t>for</w:t>
      </w:r>
      <w:r>
        <w:rPr>
          <w:spacing w:val="-11"/>
        </w:rPr>
        <w:t> </w:t>
      </w:r>
      <w:r>
        <w:rPr/>
        <w:t>by</w:t>
      </w:r>
      <w:r>
        <w:rPr>
          <w:spacing w:val="-13"/>
        </w:rPr>
        <w:t> </w:t>
      </w:r>
      <w:r>
        <w:rPr/>
        <w:t>casting the dispute in this light.” </w:t>
      </w:r>
      <w:r>
        <w:rPr>
          <w:spacing w:val="2"/>
        </w:rPr>
        <w:t>As </w:t>
      </w:r>
      <w:r>
        <w:rPr/>
        <w:t>the policy unambiguously provided coverage for the perils at issue, the Court observed a dispute over extent of loss caused by such perils is appraisable.</w:t>
      </w:r>
      <w:r>
        <w:rPr>
          <w:vertAlign w:val="superscript"/>
        </w:rPr>
        <w:t>153</w:t>
      </w:r>
    </w:p>
    <w:p>
      <w:pPr>
        <w:pStyle w:val="BodyText"/>
        <w:spacing w:before="10"/>
        <w:rPr>
          <w:sz w:val="25"/>
        </w:rPr>
      </w:pPr>
    </w:p>
    <w:p>
      <w:pPr>
        <w:pStyle w:val="BodyText"/>
        <w:spacing w:line="242" w:lineRule="auto"/>
        <w:ind w:left="1520" w:right="1518" w:firstLine="720"/>
        <w:jc w:val="both"/>
      </w:pPr>
      <w:r>
        <w:rPr/>
        <w:t>Another example is found in the case </w:t>
      </w:r>
      <w:r>
        <w:rPr>
          <w:spacing w:val="-6"/>
        </w:rPr>
        <w:t>of </w:t>
      </w:r>
      <w:r>
        <w:rPr>
          <w:u w:val="single"/>
        </w:rPr>
        <w:t>Safeco</w:t>
      </w:r>
      <w:r>
        <w:rPr>
          <w:spacing w:val="-12"/>
          <w:u w:val="single"/>
        </w:rPr>
        <w:t> </w:t>
      </w:r>
      <w:r>
        <w:rPr>
          <w:u w:val="single"/>
        </w:rPr>
        <w:t>Ins.</w:t>
      </w:r>
      <w:r>
        <w:rPr>
          <w:spacing w:val="-15"/>
          <w:u w:val="single"/>
        </w:rPr>
        <w:t> </w:t>
      </w:r>
      <w:r>
        <w:rPr>
          <w:u w:val="single"/>
        </w:rPr>
        <w:t>Co.</w:t>
      </w:r>
      <w:r>
        <w:rPr>
          <w:spacing w:val="-15"/>
          <w:u w:val="single"/>
        </w:rPr>
        <w:t> </w:t>
      </w:r>
      <w:r>
        <w:rPr>
          <w:u w:val="single"/>
        </w:rPr>
        <w:t>v.</w:t>
      </w:r>
      <w:r>
        <w:rPr>
          <w:spacing w:val="-15"/>
          <w:u w:val="single"/>
        </w:rPr>
        <w:t> </w:t>
      </w:r>
      <w:r>
        <w:rPr>
          <w:u w:val="single"/>
        </w:rPr>
        <w:t>Sharma</w:t>
      </w:r>
      <w:r>
        <w:rPr/>
        <w:t>,</w:t>
      </w:r>
      <w:r>
        <w:rPr>
          <w:vertAlign w:val="superscript"/>
        </w:rPr>
        <w:t>154</w:t>
      </w:r>
      <w:r>
        <w:rPr>
          <w:spacing w:val="-15"/>
          <w:vertAlign w:val="baseline"/>
        </w:rPr>
        <w:t> </w:t>
      </w:r>
      <w:r>
        <w:rPr>
          <w:vertAlign w:val="baseline"/>
        </w:rPr>
        <w:t>in</w:t>
      </w:r>
      <w:r>
        <w:rPr>
          <w:spacing w:val="-13"/>
          <w:vertAlign w:val="baseline"/>
        </w:rPr>
        <w:t> </w:t>
      </w:r>
      <w:r>
        <w:rPr>
          <w:vertAlign w:val="baseline"/>
        </w:rPr>
        <w:t>which</w:t>
      </w:r>
      <w:r>
        <w:rPr>
          <w:spacing w:val="-12"/>
          <w:vertAlign w:val="baseline"/>
        </w:rPr>
        <w:t> </w:t>
      </w:r>
      <w:r>
        <w:rPr>
          <w:vertAlign w:val="baseline"/>
        </w:rPr>
        <w:t>the</w:t>
      </w:r>
      <w:r>
        <w:rPr>
          <w:spacing w:val="-14"/>
          <w:vertAlign w:val="baseline"/>
        </w:rPr>
        <w:t> </w:t>
      </w:r>
      <w:r>
        <w:rPr>
          <w:spacing w:val="-8"/>
          <w:vertAlign w:val="baseline"/>
        </w:rPr>
        <w:t>court </w:t>
      </w:r>
      <w:r>
        <w:rPr>
          <w:vertAlign w:val="baseline"/>
        </w:rPr>
        <w:t>reversed</w:t>
      </w:r>
      <w:r>
        <w:rPr>
          <w:spacing w:val="21"/>
          <w:vertAlign w:val="baseline"/>
        </w:rPr>
        <w:t> </w:t>
      </w:r>
      <w:r>
        <w:rPr>
          <w:vertAlign w:val="baseline"/>
        </w:rPr>
        <w:t>a</w:t>
      </w:r>
      <w:r>
        <w:rPr>
          <w:spacing w:val="25"/>
          <w:vertAlign w:val="baseline"/>
        </w:rPr>
        <w:t> </w:t>
      </w:r>
      <w:r>
        <w:rPr>
          <w:vertAlign w:val="baseline"/>
        </w:rPr>
        <w:t>prior</w:t>
      </w:r>
      <w:r>
        <w:rPr>
          <w:spacing w:val="22"/>
          <w:vertAlign w:val="baseline"/>
        </w:rPr>
        <w:t> </w:t>
      </w:r>
      <w:r>
        <w:rPr>
          <w:vertAlign w:val="baseline"/>
        </w:rPr>
        <w:t>confirmation</w:t>
      </w:r>
      <w:r>
        <w:rPr>
          <w:spacing w:val="23"/>
          <w:vertAlign w:val="baseline"/>
        </w:rPr>
        <w:t> </w:t>
      </w:r>
      <w:r>
        <w:rPr>
          <w:vertAlign w:val="baseline"/>
        </w:rPr>
        <w:t>of</w:t>
      </w:r>
      <w:r>
        <w:rPr>
          <w:spacing w:val="23"/>
          <w:vertAlign w:val="baseline"/>
        </w:rPr>
        <w:t> </w:t>
      </w:r>
      <w:r>
        <w:rPr>
          <w:vertAlign w:val="baseline"/>
        </w:rPr>
        <w:t>an</w:t>
      </w:r>
      <w:r>
        <w:rPr>
          <w:spacing w:val="22"/>
          <w:vertAlign w:val="baseline"/>
        </w:rPr>
        <w:t> </w:t>
      </w:r>
      <w:r>
        <w:rPr>
          <w:vertAlign w:val="baseline"/>
        </w:rPr>
        <w:t>appraisal</w:t>
      </w:r>
    </w:p>
    <w:p>
      <w:pPr>
        <w:pStyle w:val="BodyText"/>
        <w:rPr>
          <w:sz w:val="20"/>
        </w:rPr>
      </w:pPr>
    </w:p>
    <w:p>
      <w:pPr>
        <w:pStyle w:val="BodyText"/>
        <w:spacing w:before="1"/>
        <w:rPr>
          <w:sz w:val="14"/>
        </w:rPr>
      </w:pPr>
      <w:r>
        <w:rPr/>
        <w:pict>
          <v:shape style="position:absolute;margin-left:162pt;margin-top:11.058725pt;width:143.9pt;height:.1pt;mso-position-horizontal-relative:page;mso-position-vertical-relative:paragraph;z-index:-251606016;mso-wrap-distance-left:0;mso-wrap-distance-right:0" coordorigin="3240,221" coordsize="2878,0" path="m3240,221l6118,221e" filled="false" stroked="true" strokeweight=".84pt" strokecolor="#000000">
            <v:path arrowok="t"/>
            <v:stroke dashstyle="solid"/>
            <w10:wrap type="topAndBottom"/>
          </v:shape>
        </w:pict>
      </w:r>
    </w:p>
    <w:p>
      <w:pPr>
        <w:pStyle w:val="ListParagraph"/>
        <w:numPr>
          <w:ilvl w:val="0"/>
          <w:numId w:val="10"/>
        </w:numPr>
        <w:tabs>
          <w:tab w:pos="1421" w:val="left" w:leader="none"/>
        </w:tabs>
        <w:spacing w:line="240" w:lineRule="exact" w:before="140" w:after="0"/>
        <w:ind w:left="1421" w:right="0" w:hanging="261"/>
        <w:jc w:val="left"/>
        <w:rPr>
          <w:sz w:val="18"/>
        </w:rPr>
      </w:pPr>
      <w:r>
        <w:rPr>
          <w:sz w:val="18"/>
          <w:u w:val="single"/>
        </w:rPr>
        <w:t>Gronik v. Balthasar</w:t>
      </w:r>
      <w:r>
        <w:rPr>
          <w:sz w:val="18"/>
        </w:rPr>
        <w:t>, 2013 WL 5376025 (E.D. Wis.</w:t>
      </w:r>
      <w:r>
        <w:rPr>
          <w:spacing w:val="-1"/>
          <w:sz w:val="18"/>
        </w:rPr>
        <w:t> </w:t>
      </w:r>
      <w:r>
        <w:rPr>
          <w:sz w:val="18"/>
        </w:rPr>
        <w:t>2013).</w:t>
      </w:r>
    </w:p>
    <w:p>
      <w:pPr>
        <w:pStyle w:val="ListParagraph"/>
        <w:numPr>
          <w:ilvl w:val="0"/>
          <w:numId w:val="10"/>
        </w:numPr>
        <w:tabs>
          <w:tab w:pos="1418" w:val="left" w:leader="none"/>
        </w:tabs>
        <w:spacing w:line="240" w:lineRule="exact" w:before="0" w:after="0"/>
        <w:ind w:left="1418" w:right="0" w:hanging="258"/>
        <w:jc w:val="left"/>
        <w:rPr>
          <w:sz w:val="18"/>
        </w:rPr>
      </w:pPr>
      <w:r>
        <w:rPr>
          <w:sz w:val="18"/>
          <w:u w:val="single"/>
        </w:rPr>
        <w:t>Underwriters</w:t>
      </w:r>
      <w:r>
        <w:rPr>
          <w:spacing w:val="-4"/>
          <w:sz w:val="18"/>
          <w:u w:val="single"/>
        </w:rPr>
        <w:t> </w:t>
      </w:r>
      <w:r>
        <w:rPr>
          <w:sz w:val="18"/>
          <w:u w:val="single"/>
        </w:rPr>
        <w:t>at</w:t>
      </w:r>
      <w:r>
        <w:rPr>
          <w:spacing w:val="-4"/>
          <w:sz w:val="18"/>
          <w:u w:val="single"/>
        </w:rPr>
        <w:t> </w:t>
      </w:r>
      <w:r>
        <w:rPr>
          <w:sz w:val="18"/>
          <w:u w:val="single"/>
        </w:rPr>
        <w:t>Lloyd’s</w:t>
      </w:r>
      <w:r>
        <w:rPr>
          <w:spacing w:val="-5"/>
          <w:sz w:val="18"/>
          <w:u w:val="single"/>
        </w:rPr>
        <w:t> </w:t>
      </w:r>
      <w:r>
        <w:rPr>
          <w:sz w:val="18"/>
          <w:u w:val="single"/>
        </w:rPr>
        <w:t>of</w:t>
      </w:r>
      <w:r>
        <w:rPr>
          <w:spacing w:val="-7"/>
          <w:sz w:val="18"/>
          <w:u w:val="single"/>
        </w:rPr>
        <w:t> </w:t>
      </w:r>
      <w:r>
        <w:rPr>
          <w:sz w:val="18"/>
          <w:u w:val="single"/>
        </w:rPr>
        <w:t>London,</w:t>
      </w:r>
      <w:r>
        <w:rPr>
          <w:spacing w:val="-4"/>
          <w:sz w:val="18"/>
          <w:u w:val="single"/>
        </w:rPr>
        <w:t> </w:t>
      </w:r>
      <w:r>
        <w:rPr>
          <w:sz w:val="18"/>
          <w:u w:val="single"/>
        </w:rPr>
        <w:t>Syndicate</w:t>
      </w:r>
      <w:r>
        <w:rPr>
          <w:spacing w:val="-6"/>
          <w:sz w:val="18"/>
          <w:u w:val="single"/>
        </w:rPr>
        <w:t> </w:t>
      </w:r>
      <w:r>
        <w:rPr>
          <w:sz w:val="18"/>
          <w:u w:val="single"/>
        </w:rPr>
        <w:t>4242</w:t>
      </w:r>
      <w:r>
        <w:rPr>
          <w:spacing w:val="-5"/>
          <w:sz w:val="18"/>
          <w:u w:val="single"/>
        </w:rPr>
        <w:t> </w:t>
      </w:r>
      <w:r>
        <w:rPr>
          <w:sz w:val="18"/>
          <w:u w:val="single"/>
        </w:rPr>
        <w:t>v.</w:t>
      </w:r>
      <w:r>
        <w:rPr>
          <w:spacing w:val="-4"/>
          <w:sz w:val="18"/>
          <w:u w:val="single"/>
        </w:rPr>
        <w:t> </w:t>
      </w:r>
      <w:r>
        <w:rPr>
          <w:sz w:val="18"/>
          <w:u w:val="single"/>
        </w:rPr>
        <w:t>Tarantino</w:t>
      </w:r>
      <w:r>
        <w:rPr>
          <w:spacing w:val="-3"/>
          <w:sz w:val="18"/>
          <w:u w:val="single"/>
        </w:rPr>
        <w:t> </w:t>
      </w:r>
      <w:r>
        <w:rPr>
          <w:sz w:val="18"/>
          <w:u w:val="single"/>
        </w:rPr>
        <w:t>Properties,</w:t>
      </w:r>
      <w:r>
        <w:rPr>
          <w:spacing w:val="-5"/>
          <w:sz w:val="18"/>
          <w:u w:val="single"/>
        </w:rPr>
        <w:t> </w:t>
      </w:r>
      <w:r>
        <w:rPr>
          <w:sz w:val="18"/>
          <w:u w:val="single"/>
        </w:rPr>
        <w:t>Inc.</w:t>
      </w:r>
      <w:r>
        <w:rPr>
          <w:sz w:val="18"/>
        </w:rPr>
        <w:t>,</w:t>
      </w:r>
      <w:r>
        <w:rPr>
          <w:spacing w:val="-2"/>
          <w:sz w:val="18"/>
        </w:rPr>
        <w:t> </w:t>
      </w:r>
      <w:r>
        <w:rPr>
          <w:sz w:val="18"/>
        </w:rPr>
        <w:t>2012</w:t>
      </w:r>
    </w:p>
    <w:p>
      <w:pPr>
        <w:spacing w:line="182" w:lineRule="exact" w:before="4"/>
        <w:ind w:left="1160" w:right="0" w:firstLine="0"/>
        <w:jc w:val="left"/>
        <w:rPr>
          <w:rFonts w:ascii="Times New Roman"/>
          <w:sz w:val="18"/>
        </w:rPr>
      </w:pPr>
      <w:r>
        <w:rPr>
          <w:rFonts w:ascii="Times New Roman"/>
          <w:sz w:val="18"/>
        </w:rPr>
        <w:t>WL 3835385 (W.D. Mo., 2012).</w:t>
      </w:r>
    </w:p>
    <w:p>
      <w:pPr>
        <w:spacing w:line="235" w:lineRule="exact" w:before="0"/>
        <w:ind w:left="1160" w:right="0" w:firstLine="0"/>
        <w:jc w:val="left"/>
        <w:rPr>
          <w:rFonts w:ascii="Times New Roman"/>
          <w:sz w:val="18"/>
        </w:rPr>
      </w:pPr>
      <w:r>
        <w:rPr>
          <w:rFonts w:ascii="Times New Roman"/>
          <w:position w:val="9"/>
          <w:sz w:val="14"/>
        </w:rPr>
        <w:t>154 </w:t>
      </w:r>
      <w:r>
        <w:rPr>
          <w:rFonts w:ascii="Times New Roman"/>
          <w:sz w:val="18"/>
        </w:rPr>
        <w:t>160 Cal. App.3d 1060, 207 Cal. Rptr.104 (Ct. App. 1984).</w:t>
      </w:r>
    </w:p>
    <w:p>
      <w:pPr>
        <w:spacing w:after="0" w:line="235" w:lineRule="exact"/>
        <w:jc w:val="left"/>
        <w:rPr>
          <w:rFonts w:ascii="Times New Roman"/>
          <w:sz w:val="18"/>
        </w:rPr>
        <w:sectPr>
          <w:footerReference w:type="default" r:id="rId9"/>
          <w:pgSz w:w="12240" w:h="15840"/>
          <w:pgMar w:footer="2273" w:header="0" w:top="1500" w:bottom="2460" w:left="1720" w:right="1720"/>
          <w:pgNumType w:start="93"/>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9"/>
        <w:jc w:val="both"/>
      </w:pPr>
      <w:bookmarkStart w:name="Law and Procedure 118" w:id="29"/>
      <w:bookmarkEnd w:id="29"/>
      <w:r>
        <w:rPr/>
      </w:r>
      <w:r>
        <w:rPr/>
        <w:t>award</w:t>
      </w:r>
      <w:r>
        <w:rPr>
          <w:spacing w:val="-12"/>
        </w:rPr>
        <w:t> </w:t>
      </w:r>
      <w:r>
        <w:rPr/>
        <w:t>where</w:t>
      </w:r>
      <w:r>
        <w:rPr>
          <w:spacing w:val="-11"/>
        </w:rPr>
        <w:t> </w:t>
      </w:r>
      <w:r>
        <w:rPr/>
        <w:t>the</w:t>
      </w:r>
      <w:r>
        <w:rPr>
          <w:spacing w:val="-11"/>
        </w:rPr>
        <w:t> </w:t>
      </w:r>
      <w:r>
        <w:rPr/>
        <w:t>insured</w:t>
      </w:r>
      <w:r>
        <w:rPr>
          <w:spacing w:val="-9"/>
        </w:rPr>
        <w:t> </w:t>
      </w:r>
      <w:r>
        <w:rPr/>
        <w:t>had</w:t>
      </w:r>
      <w:r>
        <w:rPr>
          <w:spacing w:val="-7"/>
        </w:rPr>
        <w:t> </w:t>
      </w:r>
      <w:r>
        <w:rPr/>
        <w:t>claimed</w:t>
      </w:r>
      <w:r>
        <w:rPr>
          <w:spacing w:val="-10"/>
        </w:rPr>
        <w:t> </w:t>
      </w:r>
      <w:r>
        <w:rPr/>
        <w:t>theft</w:t>
      </w:r>
      <w:r>
        <w:rPr>
          <w:spacing w:val="-12"/>
        </w:rPr>
        <w:t> </w:t>
      </w:r>
      <w:r>
        <w:rPr>
          <w:spacing w:val="-6"/>
        </w:rPr>
        <w:t>of </w:t>
      </w:r>
      <w:r>
        <w:rPr/>
        <w:t>a matched set of 36 paintings. </w:t>
      </w:r>
      <w:r>
        <w:rPr>
          <w:spacing w:val="-3"/>
        </w:rPr>
        <w:t>The </w:t>
      </w:r>
      <w:r>
        <w:rPr/>
        <w:t>appraisal determined that the stolen paintings were</w:t>
      </w:r>
      <w:r>
        <w:rPr>
          <w:spacing w:val="-23"/>
        </w:rPr>
        <w:t> </w:t>
      </w:r>
      <w:r>
        <w:rPr/>
        <w:t>not a matched set and thus of lesser value. </w:t>
      </w:r>
      <w:r>
        <w:rPr>
          <w:spacing w:val="3"/>
        </w:rPr>
        <w:t>In </w:t>
      </w:r>
      <w:r>
        <w:rPr/>
        <w:t>rejecting the award, the court stated, “[I]n no authority</w:t>
      </w:r>
      <w:r>
        <w:rPr>
          <w:spacing w:val="-34"/>
        </w:rPr>
        <w:t> </w:t>
      </w:r>
      <w:r>
        <w:rPr/>
        <w:t>is</w:t>
      </w:r>
      <w:r>
        <w:rPr>
          <w:spacing w:val="-32"/>
        </w:rPr>
        <w:t> </w:t>
      </w:r>
      <w:r>
        <w:rPr/>
        <w:t>it</w:t>
      </w:r>
      <w:r>
        <w:rPr>
          <w:spacing w:val="-34"/>
        </w:rPr>
        <w:t> </w:t>
      </w:r>
      <w:r>
        <w:rPr/>
        <w:t>suggested</w:t>
      </w:r>
      <w:r>
        <w:rPr>
          <w:spacing w:val="-32"/>
        </w:rPr>
        <w:t> </w:t>
      </w:r>
      <w:r>
        <w:rPr/>
        <w:t>that</w:t>
      </w:r>
      <w:r>
        <w:rPr>
          <w:spacing w:val="-34"/>
        </w:rPr>
        <w:t> </w:t>
      </w:r>
      <w:r>
        <w:rPr/>
        <w:t>an</w:t>
      </w:r>
      <w:r>
        <w:rPr>
          <w:spacing w:val="-33"/>
        </w:rPr>
        <w:t> </w:t>
      </w:r>
      <w:r>
        <w:rPr/>
        <w:t>appraisal</w:t>
      </w:r>
      <w:r>
        <w:rPr>
          <w:spacing w:val="-30"/>
        </w:rPr>
        <w:t> </w:t>
      </w:r>
      <w:r>
        <w:rPr/>
        <w:t>panel is</w:t>
      </w:r>
      <w:r>
        <w:rPr>
          <w:spacing w:val="-33"/>
        </w:rPr>
        <w:t> </w:t>
      </w:r>
      <w:r>
        <w:rPr/>
        <w:t>empowered</w:t>
      </w:r>
      <w:r>
        <w:rPr>
          <w:spacing w:val="-33"/>
        </w:rPr>
        <w:t> </w:t>
      </w:r>
      <w:r>
        <w:rPr/>
        <w:t>to</w:t>
      </w:r>
      <w:r>
        <w:rPr>
          <w:spacing w:val="-33"/>
        </w:rPr>
        <w:t> </w:t>
      </w:r>
      <w:r>
        <w:rPr>
          <w:spacing w:val="-3"/>
        </w:rPr>
        <w:t>determine</w:t>
      </w:r>
      <w:r>
        <w:rPr>
          <w:spacing w:val="-35"/>
        </w:rPr>
        <w:t> </w:t>
      </w:r>
      <w:r>
        <w:rPr>
          <w:spacing w:val="-3"/>
        </w:rPr>
        <w:t>whether</w:t>
      </w:r>
      <w:r>
        <w:rPr>
          <w:spacing w:val="-35"/>
        </w:rPr>
        <w:t> </w:t>
      </w:r>
      <w:r>
        <w:rPr/>
        <w:t>an</w:t>
      </w:r>
      <w:r>
        <w:rPr>
          <w:spacing w:val="-31"/>
        </w:rPr>
        <w:t> </w:t>
      </w:r>
      <w:r>
        <w:rPr/>
        <w:t>insured lost</w:t>
      </w:r>
      <w:r>
        <w:rPr>
          <w:spacing w:val="-15"/>
        </w:rPr>
        <w:t> </w:t>
      </w:r>
      <w:r>
        <w:rPr/>
        <w:t>what</w:t>
      </w:r>
      <w:r>
        <w:rPr>
          <w:spacing w:val="-16"/>
        </w:rPr>
        <w:t> </w:t>
      </w:r>
      <w:r>
        <w:rPr/>
        <w:t>he</w:t>
      </w:r>
      <w:r>
        <w:rPr>
          <w:spacing w:val="-18"/>
        </w:rPr>
        <w:t> </w:t>
      </w:r>
      <w:r>
        <w:rPr/>
        <w:t>claimed</w:t>
      </w:r>
      <w:r>
        <w:rPr>
          <w:spacing w:val="-18"/>
        </w:rPr>
        <w:t> </w:t>
      </w:r>
      <w:r>
        <w:rPr/>
        <w:t>to</w:t>
      </w:r>
      <w:r>
        <w:rPr>
          <w:spacing w:val="-17"/>
        </w:rPr>
        <w:t> </w:t>
      </w:r>
      <w:r>
        <w:rPr/>
        <w:t>have</w:t>
      </w:r>
      <w:r>
        <w:rPr>
          <w:spacing w:val="-15"/>
        </w:rPr>
        <w:t> </w:t>
      </w:r>
      <w:r>
        <w:rPr/>
        <w:t>lost</w:t>
      </w:r>
      <w:r>
        <w:rPr>
          <w:spacing w:val="-15"/>
        </w:rPr>
        <w:t> </w:t>
      </w:r>
      <w:r>
        <w:rPr/>
        <w:t>or</w:t>
      </w:r>
      <w:r>
        <w:rPr>
          <w:spacing w:val="-15"/>
        </w:rPr>
        <w:t> </w:t>
      </w:r>
      <w:r>
        <w:rPr/>
        <w:t>something different.” Thus, though the issue of whether the</w:t>
      </w:r>
      <w:r>
        <w:rPr>
          <w:spacing w:val="-22"/>
        </w:rPr>
        <w:t> </w:t>
      </w:r>
      <w:r>
        <w:rPr/>
        <w:t>insured’s</w:t>
      </w:r>
      <w:r>
        <w:rPr>
          <w:spacing w:val="-23"/>
        </w:rPr>
        <w:t> </w:t>
      </w:r>
      <w:r>
        <w:rPr/>
        <w:t>property</w:t>
      </w:r>
      <w:r>
        <w:rPr>
          <w:spacing w:val="-26"/>
        </w:rPr>
        <w:t> </w:t>
      </w:r>
      <w:r>
        <w:rPr/>
        <w:t>was</w:t>
      </w:r>
      <w:r>
        <w:rPr>
          <w:spacing w:val="-23"/>
        </w:rPr>
        <w:t> </w:t>
      </w:r>
      <w:r>
        <w:rPr/>
        <w:t>what</w:t>
      </w:r>
      <w:r>
        <w:rPr>
          <w:spacing w:val="-23"/>
        </w:rPr>
        <w:t> </w:t>
      </w:r>
      <w:r>
        <w:rPr/>
        <w:t>is</w:t>
      </w:r>
      <w:r>
        <w:rPr>
          <w:spacing w:val="-21"/>
        </w:rPr>
        <w:t> </w:t>
      </w:r>
      <w:r>
        <w:rPr/>
        <w:t>was</w:t>
      </w:r>
      <w:r>
        <w:rPr>
          <w:spacing w:val="-20"/>
        </w:rPr>
        <w:t> </w:t>
      </w:r>
      <w:r>
        <w:rPr/>
        <w:t>claimed to be impacted on its value, it was held to be beyond the scope of the appraisal</w:t>
      </w:r>
      <w:r>
        <w:rPr>
          <w:spacing w:val="35"/>
        </w:rPr>
        <w:t> </w:t>
      </w:r>
      <w:r>
        <w:rPr/>
        <w:t>provision.</w:t>
      </w:r>
    </w:p>
    <w:p>
      <w:pPr>
        <w:pStyle w:val="BodyText"/>
        <w:spacing w:before="10"/>
        <w:rPr>
          <w:sz w:val="25"/>
        </w:rPr>
      </w:pPr>
    </w:p>
    <w:p>
      <w:pPr>
        <w:pStyle w:val="BodyText"/>
        <w:spacing w:line="242" w:lineRule="auto"/>
        <w:ind w:left="1520" w:right="1518" w:firstLine="720"/>
        <w:jc w:val="both"/>
      </w:pPr>
      <w:r>
        <w:rPr>
          <w:spacing w:val="2"/>
        </w:rPr>
        <w:t>An </w:t>
      </w:r>
      <w:r>
        <w:rPr/>
        <w:t>example of an appropriate </w:t>
      </w:r>
      <w:r>
        <w:rPr>
          <w:spacing w:val="-4"/>
        </w:rPr>
        <w:t>and </w:t>
      </w:r>
      <w:r>
        <w:rPr/>
        <w:t>efficient approach in </w:t>
      </w:r>
      <w:r>
        <w:rPr>
          <w:u w:val="single"/>
        </w:rPr>
        <w:t>Safeco</w:t>
      </w:r>
      <w:r>
        <w:rPr/>
        <w:t> would have</w:t>
      </w:r>
      <w:r>
        <w:rPr>
          <w:spacing w:val="-28"/>
        </w:rPr>
        <w:t> </w:t>
      </w:r>
      <w:r>
        <w:rPr>
          <w:spacing w:val="-4"/>
        </w:rPr>
        <w:t>had </w:t>
      </w:r>
      <w:r>
        <w:rPr/>
        <w:t>the appraisers render </w:t>
      </w:r>
      <w:r>
        <w:rPr>
          <w:spacing w:val="-3"/>
        </w:rPr>
        <w:t>two </w:t>
      </w:r>
      <w:r>
        <w:rPr/>
        <w:t>conclusions; the</w:t>
      </w:r>
      <w:r>
        <w:rPr>
          <w:spacing w:val="-28"/>
        </w:rPr>
        <w:t> </w:t>
      </w:r>
      <w:r>
        <w:rPr/>
        <w:t>first assuming</w:t>
      </w:r>
      <w:r>
        <w:rPr>
          <w:spacing w:val="-31"/>
        </w:rPr>
        <w:t> </w:t>
      </w:r>
      <w:r>
        <w:rPr/>
        <w:t>a</w:t>
      </w:r>
      <w:r>
        <w:rPr>
          <w:spacing w:val="-28"/>
        </w:rPr>
        <w:t> </w:t>
      </w:r>
      <w:r>
        <w:rPr/>
        <w:t>matched</w:t>
      </w:r>
      <w:r>
        <w:rPr>
          <w:spacing w:val="-28"/>
        </w:rPr>
        <w:t> </w:t>
      </w:r>
      <w:r>
        <w:rPr/>
        <w:t>set,</w:t>
      </w:r>
      <w:r>
        <w:rPr>
          <w:spacing w:val="-31"/>
        </w:rPr>
        <w:t> </w:t>
      </w:r>
      <w:r>
        <w:rPr/>
        <w:t>the</w:t>
      </w:r>
      <w:r>
        <w:rPr>
          <w:spacing w:val="-29"/>
        </w:rPr>
        <w:t> </w:t>
      </w:r>
      <w:r>
        <w:rPr/>
        <w:t>second</w:t>
      </w:r>
      <w:r>
        <w:rPr>
          <w:spacing w:val="-27"/>
        </w:rPr>
        <w:t> </w:t>
      </w:r>
      <w:r>
        <w:rPr/>
        <w:t>assuming a</w:t>
      </w:r>
      <w:r>
        <w:rPr>
          <w:spacing w:val="-20"/>
        </w:rPr>
        <w:t> </w:t>
      </w:r>
      <w:r>
        <w:rPr/>
        <w:t>non-matched</w:t>
      </w:r>
      <w:r>
        <w:rPr>
          <w:spacing w:val="-19"/>
        </w:rPr>
        <w:t> </w:t>
      </w:r>
      <w:r>
        <w:rPr/>
        <w:t>set,</w:t>
      </w:r>
      <w:r>
        <w:rPr>
          <w:spacing w:val="-24"/>
        </w:rPr>
        <w:t> </w:t>
      </w:r>
      <w:r>
        <w:rPr/>
        <w:t>leaving</w:t>
      </w:r>
      <w:r>
        <w:rPr>
          <w:spacing w:val="-21"/>
        </w:rPr>
        <w:t> </w:t>
      </w:r>
      <w:r>
        <w:rPr/>
        <w:t>it</w:t>
      </w:r>
      <w:r>
        <w:rPr>
          <w:spacing w:val="-23"/>
        </w:rPr>
        <w:t> </w:t>
      </w:r>
      <w:r>
        <w:rPr/>
        <w:t>for</w:t>
      </w:r>
      <w:r>
        <w:rPr>
          <w:spacing w:val="-22"/>
        </w:rPr>
        <w:t> </w:t>
      </w:r>
      <w:r>
        <w:rPr/>
        <w:t>a</w:t>
      </w:r>
      <w:r>
        <w:rPr>
          <w:spacing w:val="-21"/>
        </w:rPr>
        <w:t> </w:t>
      </w:r>
      <w:r>
        <w:rPr/>
        <w:t>subsequent court to enforce the appropriate</w:t>
      </w:r>
      <w:r>
        <w:rPr>
          <w:spacing w:val="-13"/>
        </w:rPr>
        <w:t> </w:t>
      </w:r>
      <w:r>
        <w:rPr/>
        <w:t>award.</w:t>
      </w:r>
    </w:p>
    <w:p>
      <w:pPr>
        <w:pStyle w:val="BodyText"/>
        <w:spacing w:before="1"/>
      </w:pPr>
    </w:p>
    <w:p>
      <w:pPr>
        <w:pStyle w:val="BodyText"/>
        <w:spacing w:line="242" w:lineRule="auto"/>
        <w:ind w:left="1520" w:right="1518" w:firstLine="720"/>
        <w:jc w:val="both"/>
      </w:pPr>
      <w:r>
        <w:rPr>
          <w:spacing w:val="3"/>
        </w:rPr>
        <w:t>In </w:t>
      </w:r>
      <w:r>
        <w:rPr/>
        <w:t>an appraisal involving a </w:t>
      </w:r>
      <w:r>
        <w:rPr>
          <w:spacing w:val="-4"/>
        </w:rPr>
        <w:t>hotel </w:t>
      </w:r>
      <w:r>
        <w:rPr/>
        <w:t>destroyed</w:t>
      </w:r>
      <w:r>
        <w:rPr>
          <w:spacing w:val="-20"/>
        </w:rPr>
        <w:t> </w:t>
      </w:r>
      <w:r>
        <w:rPr/>
        <w:t>by</w:t>
      </w:r>
      <w:r>
        <w:rPr>
          <w:spacing w:val="-20"/>
        </w:rPr>
        <w:t> </w:t>
      </w:r>
      <w:r>
        <w:rPr/>
        <w:t>fire</w:t>
      </w:r>
      <w:r>
        <w:rPr>
          <w:spacing w:val="-19"/>
        </w:rPr>
        <w:t> </w:t>
      </w:r>
      <w:r>
        <w:rPr/>
        <w:t>while</w:t>
      </w:r>
      <w:r>
        <w:rPr>
          <w:spacing w:val="-18"/>
        </w:rPr>
        <w:t> </w:t>
      </w:r>
      <w:r>
        <w:rPr/>
        <w:t>under</w:t>
      </w:r>
      <w:r>
        <w:rPr>
          <w:spacing w:val="-19"/>
        </w:rPr>
        <w:t> </w:t>
      </w:r>
      <w:r>
        <w:rPr/>
        <w:t>construction</w:t>
      </w:r>
      <w:r>
        <w:rPr>
          <w:spacing w:val="-18"/>
        </w:rPr>
        <w:t> </w:t>
      </w:r>
      <w:r>
        <w:rPr/>
        <w:t>and insured under a builder’s risk policy the cost</w:t>
      </w:r>
      <w:r>
        <w:rPr>
          <w:spacing w:val="-16"/>
        </w:rPr>
        <w:t> </w:t>
      </w:r>
      <w:r>
        <w:rPr/>
        <w:t>of reconstruction and coinsurance were the prime issues. During appraisal, issues arose concerning</w:t>
      </w:r>
      <w:r>
        <w:rPr>
          <w:spacing w:val="-34"/>
        </w:rPr>
        <w:t> </w:t>
      </w:r>
      <w:r>
        <w:rPr>
          <w:spacing w:val="-3"/>
        </w:rPr>
        <w:t>what</w:t>
      </w:r>
      <w:r>
        <w:rPr>
          <w:spacing w:val="-38"/>
        </w:rPr>
        <w:t> </w:t>
      </w:r>
      <w:r>
        <w:rPr>
          <w:spacing w:val="-3"/>
        </w:rPr>
        <w:t>constituted</w:t>
      </w:r>
      <w:r>
        <w:rPr>
          <w:spacing w:val="-37"/>
        </w:rPr>
        <w:t> </w:t>
      </w:r>
      <w:r>
        <w:rPr>
          <w:spacing w:val="-3"/>
        </w:rPr>
        <w:t>covered</w:t>
      </w:r>
      <w:r>
        <w:rPr>
          <w:spacing w:val="-36"/>
        </w:rPr>
        <w:t> </w:t>
      </w:r>
      <w:r>
        <w:rPr/>
        <w:t>property for purposes of calculating the amount of insurance required for coinsurance purposes. For example, questions of whether the cost of parking lots, personal property, site work and other</w:t>
      </w:r>
      <w:r>
        <w:rPr>
          <w:spacing w:val="-30"/>
        </w:rPr>
        <w:t> </w:t>
      </w:r>
      <w:r>
        <w:rPr/>
        <w:t>items</w:t>
      </w:r>
      <w:r>
        <w:rPr>
          <w:spacing w:val="-30"/>
        </w:rPr>
        <w:t> </w:t>
      </w:r>
      <w:r>
        <w:rPr/>
        <w:t>should</w:t>
      </w:r>
      <w:r>
        <w:rPr>
          <w:spacing w:val="-24"/>
        </w:rPr>
        <w:t> </w:t>
      </w:r>
      <w:r>
        <w:rPr/>
        <w:t>be</w:t>
      </w:r>
      <w:r>
        <w:rPr>
          <w:spacing w:val="-27"/>
        </w:rPr>
        <w:t> </w:t>
      </w:r>
      <w:r>
        <w:rPr/>
        <w:t>included</w:t>
      </w:r>
      <w:r>
        <w:rPr>
          <w:spacing w:val="-27"/>
        </w:rPr>
        <w:t> </w:t>
      </w:r>
      <w:r>
        <w:rPr/>
        <w:t>for</w:t>
      </w:r>
      <w:r>
        <w:rPr>
          <w:spacing w:val="-29"/>
        </w:rPr>
        <w:t> </w:t>
      </w:r>
      <w:r>
        <w:rPr/>
        <w:t>coinsurance purposes.</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1520" w:right="1517" w:firstLine="720"/>
        <w:jc w:val="both"/>
      </w:pPr>
      <w:bookmarkStart w:name="Law and Procedure 119" w:id="30"/>
      <w:bookmarkEnd w:id="30"/>
      <w:r>
        <w:rPr/>
      </w:r>
      <w:r>
        <w:rPr/>
        <w:t>The</w:t>
      </w:r>
      <w:r>
        <w:rPr>
          <w:spacing w:val="-22"/>
        </w:rPr>
        <w:t> </w:t>
      </w:r>
      <w:r>
        <w:rPr/>
        <w:t>appraisal</w:t>
      </w:r>
      <w:r>
        <w:rPr>
          <w:spacing w:val="-21"/>
        </w:rPr>
        <w:t> </w:t>
      </w:r>
      <w:r>
        <w:rPr/>
        <w:t>team</w:t>
      </w:r>
      <w:r>
        <w:rPr>
          <w:spacing w:val="-22"/>
        </w:rPr>
        <w:t> </w:t>
      </w:r>
      <w:r>
        <w:rPr/>
        <w:t>elected</w:t>
      </w:r>
      <w:r>
        <w:rPr>
          <w:spacing w:val="-19"/>
        </w:rPr>
        <w:t> </w:t>
      </w:r>
      <w:r>
        <w:rPr/>
        <w:t>to</w:t>
      </w:r>
      <w:r>
        <w:rPr>
          <w:spacing w:val="-21"/>
        </w:rPr>
        <w:t> </w:t>
      </w:r>
      <w:r>
        <w:rPr/>
        <w:t>create</w:t>
      </w:r>
      <w:r>
        <w:rPr>
          <w:spacing w:val="-23"/>
        </w:rPr>
        <w:t> </w:t>
      </w:r>
      <w:r>
        <w:rPr/>
        <w:t>an award format that valued all items in dispute and calculated </w:t>
      </w:r>
      <w:r>
        <w:rPr>
          <w:spacing w:val="-3"/>
        </w:rPr>
        <w:t>two </w:t>
      </w:r>
      <w:r>
        <w:rPr/>
        <w:t>awards; one which included all disputed items and the other which excluded values of the disputed items giving</w:t>
      </w:r>
      <w:r>
        <w:rPr>
          <w:spacing w:val="-24"/>
        </w:rPr>
        <w:t> </w:t>
      </w:r>
      <w:r>
        <w:rPr/>
        <w:t>the</w:t>
      </w:r>
      <w:r>
        <w:rPr>
          <w:spacing w:val="-24"/>
        </w:rPr>
        <w:t> </w:t>
      </w:r>
      <w:r>
        <w:rPr/>
        <w:t>parties</w:t>
      </w:r>
      <w:r>
        <w:rPr>
          <w:spacing w:val="-24"/>
        </w:rPr>
        <w:t> </w:t>
      </w:r>
      <w:r>
        <w:rPr/>
        <w:t>the</w:t>
      </w:r>
      <w:r>
        <w:rPr>
          <w:spacing w:val="-24"/>
        </w:rPr>
        <w:t> </w:t>
      </w:r>
      <w:r>
        <w:rPr/>
        <w:t>opportunity</w:t>
      </w:r>
      <w:r>
        <w:rPr>
          <w:spacing w:val="-29"/>
        </w:rPr>
        <w:t> </w:t>
      </w:r>
      <w:r>
        <w:rPr/>
        <w:t>to</w:t>
      </w:r>
      <w:r>
        <w:rPr>
          <w:spacing w:val="-23"/>
        </w:rPr>
        <w:t> </w:t>
      </w:r>
      <w:r>
        <w:rPr/>
        <w:t>litigate</w:t>
      </w:r>
      <w:r>
        <w:rPr>
          <w:spacing w:val="-25"/>
        </w:rPr>
        <w:t> </w:t>
      </w:r>
      <w:r>
        <w:rPr/>
        <w:t>the definition</w:t>
      </w:r>
      <w:r>
        <w:rPr>
          <w:spacing w:val="-30"/>
        </w:rPr>
        <w:t> </w:t>
      </w:r>
      <w:r>
        <w:rPr/>
        <w:t>of</w:t>
      </w:r>
      <w:r>
        <w:rPr>
          <w:spacing w:val="-30"/>
        </w:rPr>
        <w:t> </w:t>
      </w:r>
      <w:r>
        <w:rPr/>
        <w:t>covered</w:t>
      </w:r>
      <w:r>
        <w:rPr>
          <w:spacing w:val="-31"/>
        </w:rPr>
        <w:t> </w:t>
      </w:r>
      <w:r>
        <w:rPr/>
        <w:t>property</w:t>
      </w:r>
      <w:r>
        <w:rPr>
          <w:spacing w:val="-30"/>
        </w:rPr>
        <w:t> </w:t>
      </w:r>
      <w:r>
        <w:rPr/>
        <w:t>while</w:t>
      </w:r>
      <w:r>
        <w:rPr>
          <w:spacing w:val="-30"/>
        </w:rPr>
        <w:t> </w:t>
      </w:r>
      <w:r>
        <w:rPr/>
        <w:t>having</w:t>
      </w:r>
      <w:r>
        <w:rPr>
          <w:spacing w:val="-30"/>
        </w:rPr>
        <w:t> </w:t>
      </w:r>
      <w:r>
        <w:rPr/>
        <w:t>the undisputed portion of the award paid immediately. </w:t>
      </w:r>
      <w:r>
        <w:rPr>
          <w:spacing w:val="2"/>
        </w:rPr>
        <w:t>If </w:t>
      </w:r>
      <w:r>
        <w:rPr/>
        <w:t>the insured prevailed in litigation it would be easy for the court to determine the amount of the additional award.</w:t>
      </w:r>
      <w:r>
        <w:rPr>
          <w:vertAlign w:val="superscript"/>
        </w:rPr>
        <w:t>155</w:t>
      </w:r>
    </w:p>
    <w:p>
      <w:pPr>
        <w:pStyle w:val="BodyText"/>
        <w:spacing w:before="11"/>
        <w:rPr>
          <w:sz w:val="25"/>
        </w:rPr>
      </w:pPr>
    </w:p>
    <w:p>
      <w:pPr>
        <w:pStyle w:val="BodyText"/>
        <w:spacing w:line="242" w:lineRule="auto"/>
        <w:ind w:left="1520" w:right="1520" w:firstLine="720"/>
        <w:jc w:val="both"/>
      </w:pPr>
      <w:r>
        <w:rPr>
          <w:spacing w:val="4"/>
        </w:rPr>
        <w:t>An appropriate </w:t>
      </w:r>
      <w:r>
        <w:rPr>
          <w:spacing w:val="2"/>
        </w:rPr>
        <w:t>and </w:t>
      </w:r>
      <w:r>
        <w:rPr>
          <w:spacing w:val="4"/>
        </w:rPr>
        <w:t>reasonable </w:t>
      </w:r>
      <w:r>
        <w:rPr/>
        <w:t>approach to issues of this nature would be for the appraisal team to render conclusions of loss</w:t>
      </w:r>
      <w:r>
        <w:rPr>
          <w:spacing w:val="-17"/>
        </w:rPr>
        <w:t> </w:t>
      </w:r>
      <w:r>
        <w:rPr/>
        <w:t>and</w:t>
      </w:r>
      <w:r>
        <w:rPr>
          <w:spacing w:val="-17"/>
        </w:rPr>
        <w:t> </w:t>
      </w:r>
      <w:r>
        <w:rPr/>
        <w:t>value</w:t>
      </w:r>
      <w:r>
        <w:rPr>
          <w:spacing w:val="-16"/>
        </w:rPr>
        <w:t> </w:t>
      </w:r>
      <w:r>
        <w:rPr/>
        <w:t>based</w:t>
      </w:r>
      <w:r>
        <w:rPr>
          <w:spacing w:val="-15"/>
        </w:rPr>
        <w:t> </w:t>
      </w:r>
      <w:r>
        <w:rPr/>
        <w:t>upon</w:t>
      </w:r>
      <w:r>
        <w:rPr>
          <w:spacing w:val="-14"/>
        </w:rPr>
        <w:t> </w:t>
      </w:r>
      <w:r>
        <w:rPr/>
        <w:t>each</w:t>
      </w:r>
      <w:r>
        <w:rPr>
          <w:spacing w:val="-16"/>
        </w:rPr>
        <w:t> </w:t>
      </w:r>
      <w:r>
        <w:rPr/>
        <w:t>of</w:t>
      </w:r>
      <w:r>
        <w:rPr>
          <w:spacing w:val="-15"/>
        </w:rPr>
        <w:t> </w:t>
      </w:r>
      <w:r>
        <w:rPr/>
        <w:t>the</w:t>
      </w:r>
      <w:r>
        <w:rPr>
          <w:spacing w:val="-16"/>
        </w:rPr>
        <w:t> </w:t>
      </w:r>
      <w:r>
        <w:rPr/>
        <w:t>party’s submissions and leave it for a court to make coverage determinations and confirm these parts of the award as</w:t>
      </w:r>
      <w:r>
        <w:rPr>
          <w:spacing w:val="-9"/>
        </w:rPr>
        <w:t> </w:t>
      </w:r>
      <w:r>
        <w:rPr/>
        <w:t>appropriate.</w:t>
      </w:r>
    </w:p>
    <w:p>
      <w:pPr>
        <w:pStyle w:val="BodyText"/>
      </w:pPr>
    </w:p>
    <w:p>
      <w:pPr>
        <w:pStyle w:val="BodyText"/>
        <w:spacing w:line="242" w:lineRule="auto"/>
        <w:ind w:left="1520" w:right="1519" w:firstLine="720"/>
        <w:jc w:val="both"/>
      </w:pPr>
      <w:r>
        <w:rPr/>
        <w:t>For</w:t>
      </w:r>
      <w:r>
        <w:rPr>
          <w:spacing w:val="-30"/>
        </w:rPr>
        <w:t> </w:t>
      </w:r>
      <w:r>
        <w:rPr/>
        <w:t>example,</w:t>
      </w:r>
      <w:r>
        <w:rPr>
          <w:spacing w:val="-30"/>
        </w:rPr>
        <w:t> </w:t>
      </w:r>
      <w:r>
        <w:rPr/>
        <w:t>the</w:t>
      </w:r>
      <w:r>
        <w:rPr>
          <w:spacing w:val="-27"/>
        </w:rPr>
        <w:t> </w:t>
      </w:r>
      <w:r>
        <w:rPr/>
        <w:t>issue</w:t>
      </w:r>
      <w:r>
        <w:rPr>
          <w:spacing w:val="-26"/>
        </w:rPr>
        <w:t> </w:t>
      </w:r>
      <w:r>
        <w:rPr/>
        <w:t>of</w:t>
      </w:r>
      <w:r>
        <w:rPr>
          <w:spacing w:val="-26"/>
        </w:rPr>
        <w:t> </w:t>
      </w:r>
      <w:r>
        <w:rPr/>
        <w:t>what</w:t>
      </w:r>
      <w:r>
        <w:rPr>
          <w:spacing w:val="-28"/>
        </w:rPr>
        <w:t> </w:t>
      </w:r>
      <w:r>
        <w:rPr/>
        <w:t>items</w:t>
      </w:r>
      <w:r>
        <w:rPr>
          <w:spacing w:val="-30"/>
        </w:rPr>
        <w:t> </w:t>
      </w:r>
      <w:r>
        <w:rPr>
          <w:spacing w:val="-3"/>
        </w:rPr>
        <w:t>were </w:t>
      </w:r>
      <w:r>
        <w:rPr>
          <w:spacing w:val="2"/>
        </w:rPr>
        <w:t>in </w:t>
      </w:r>
      <w:r>
        <w:rPr/>
        <w:t>the home was appraisable, subject to judicial review after the</w:t>
      </w:r>
      <w:r>
        <w:rPr>
          <w:spacing w:val="-12"/>
        </w:rPr>
        <w:t> </w:t>
      </w:r>
      <w:r>
        <w:rPr/>
        <w:t>award.</w:t>
      </w:r>
      <w:r>
        <w:rPr>
          <w:vertAlign w:val="superscript"/>
        </w:rPr>
        <w:t>156</w:t>
      </w:r>
    </w:p>
    <w:p>
      <w:pPr>
        <w:pStyle w:val="BodyText"/>
        <w:spacing w:before="2"/>
      </w:pPr>
    </w:p>
    <w:p>
      <w:pPr>
        <w:pStyle w:val="BodyText"/>
        <w:spacing w:line="242" w:lineRule="auto"/>
        <w:ind w:left="1520" w:right="1515" w:firstLine="904"/>
        <w:jc w:val="both"/>
      </w:pPr>
      <w:r>
        <w:rPr/>
        <w:t>In Texas it has been held that an appraisal should go forward as a preliminary matter because “allowing litigation about the</w:t>
      </w:r>
    </w:p>
    <w:p>
      <w:pPr>
        <w:pStyle w:val="BodyText"/>
        <w:rPr>
          <w:sz w:val="20"/>
        </w:rPr>
      </w:pPr>
    </w:p>
    <w:p>
      <w:pPr>
        <w:pStyle w:val="BodyText"/>
        <w:spacing w:before="6"/>
        <w:rPr>
          <w:sz w:val="19"/>
        </w:rPr>
      </w:pPr>
      <w:r>
        <w:rPr/>
        <w:pict>
          <v:shape style="position:absolute;margin-left:162pt;margin-top:14.38357pt;width:143.9pt;height:.1pt;mso-position-horizontal-relative:page;mso-position-vertical-relative:paragraph;z-index:-251604992;mso-wrap-distance-left:0;mso-wrap-distance-right:0" coordorigin="3240,288" coordsize="2878,0" path="m3240,288l6118,288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1"/>
        </w:numPr>
        <w:tabs>
          <w:tab w:pos="1435" w:val="left" w:leader="none"/>
        </w:tabs>
        <w:spacing w:line="240" w:lineRule="auto" w:before="71" w:after="0"/>
        <w:ind w:left="1434" w:right="0" w:hanging="275"/>
        <w:jc w:val="left"/>
        <w:rPr>
          <w:sz w:val="18"/>
        </w:rPr>
      </w:pPr>
      <w:r>
        <w:rPr>
          <w:sz w:val="18"/>
        </w:rPr>
        <w:t>See Appraisal Award Form, Section IX, Form 5, page 698 for this award</w:t>
      </w:r>
      <w:r>
        <w:rPr>
          <w:spacing w:val="-6"/>
          <w:sz w:val="18"/>
        </w:rPr>
        <w:t> </w:t>
      </w:r>
      <w:r>
        <w:rPr>
          <w:sz w:val="18"/>
        </w:rPr>
        <w:t>form.</w:t>
      </w:r>
    </w:p>
    <w:p>
      <w:pPr>
        <w:pStyle w:val="ListParagraph"/>
        <w:numPr>
          <w:ilvl w:val="0"/>
          <w:numId w:val="11"/>
        </w:numPr>
        <w:tabs>
          <w:tab w:pos="1453" w:val="left" w:leader="none"/>
        </w:tabs>
        <w:spacing w:line="261" w:lineRule="auto" w:before="14" w:after="0"/>
        <w:ind w:left="1160" w:right="1165" w:firstLine="0"/>
        <w:jc w:val="left"/>
        <w:rPr>
          <w:sz w:val="18"/>
        </w:rPr>
      </w:pPr>
      <w:r>
        <w:rPr>
          <w:sz w:val="18"/>
          <w:u w:val="single"/>
        </w:rPr>
        <w:t>Dorpfield V. Preferred Mut. Ins. Co</w:t>
      </w:r>
      <w:r>
        <w:rPr>
          <w:sz w:val="18"/>
        </w:rPr>
        <w:t>., Index # 11-386682 (Sup. Ct. Orleans Co. NY, 2011).</w:t>
      </w:r>
    </w:p>
    <w:p>
      <w:pPr>
        <w:spacing w:after="0" w:line="261"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120" w:id="31"/>
      <w:bookmarkEnd w:id="31"/>
      <w:r>
        <w:rPr/>
      </w:r>
      <w:r>
        <w:rPr/>
        <w:t>scope of appraisal before the appraisal </w:t>
      </w:r>
      <w:r>
        <w:rPr>
          <w:spacing w:val="-3"/>
        </w:rPr>
        <w:t>takes </w:t>
      </w:r>
      <w:r>
        <w:rPr/>
        <w:t>place</w:t>
      </w:r>
      <w:r>
        <w:rPr>
          <w:spacing w:val="-22"/>
        </w:rPr>
        <w:t> </w:t>
      </w:r>
      <w:r>
        <w:rPr/>
        <w:t>would</w:t>
      </w:r>
      <w:r>
        <w:rPr>
          <w:spacing w:val="-19"/>
        </w:rPr>
        <w:t> </w:t>
      </w:r>
      <w:r>
        <w:rPr/>
        <w:t>mark</w:t>
      </w:r>
      <w:r>
        <w:rPr>
          <w:spacing w:val="-22"/>
        </w:rPr>
        <w:t> </w:t>
      </w:r>
      <w:r>
        <w:rPr/>
        <w:t>a</w:t>
      </w:r>
      <w:r>
        <w:rPr>
          <w:spacing w:val="-21"/>
        </w:rPr>
        <w:t> </w:t>
      </w:r>
      <w:r>
        <w:rPr/>
        <w:t>dramatic</w:t>
      </w:r>
      <w:r>
        <w:rPr>
          <w:spacing w:val="-21"/>
        </w:rPr>
        <w:t> </w:t>
      </w:r>
      <w:r>
        <w:rPr/>
        <w:t>change</w:t>
      </w:r>
      <w:r>
        <w:rPr>
          <w:spacing w:val="-19"/>
        </w:rPr>
        <w:t> </w:t>
      </w:r>
      <w:r>
        <w:rPr/>
        <w:t>in</w:t>
      </w:r>
      <w:r>
        <w:rPr>
          <w:spacing w:val="-21"/>
        </w:rPr>
        <w:t> </w:t>
      </w:r>
      <w:r>
        <w:rPr/>
        <w:t>Texas insurance practices and surely encourage much more of the</w:t>
      </w:r>
      <w:r>
        <w:rPr>
          <w:spacing w:val="-5"/>
        </w:rPr>
        <w:t> </w:t>
      </w:r>
      <w:r>
        <w:rPr/>
        <w:t>same.”</w:t>
      </w:r>
      <w:r>
        <w:rPr>
          <w:vertAlign w:val="superscript"/>
        </w:rPr>
        <w:t>157</w:t>
      </w:r>
    </w:p>
    <w:p>
      <w:pPr>
        <w:pStyle w:val="BodyText"/>
        <w:spacing w:before="1"/>
      </w:pPr>
    </w:p>
    <w:p>
      <w:pPr>
        <w:pStyle w:val="BodyText"/>
        <w:spacing w:line="242" w:lineRule="auto"/>
        <w:ind w:left="1520" w:right="1517" w:firstLine="720"/>
        <w:jc w:val="both"/>
      </w:pPr>
      <w:r>
        <w:rPr/>
        <w:t>A</w:t>
      </w:r>
      <w:r>
        <w:rPr>
          <w:spacing w:val="-13"/>
        </w:rPr>
        <w:t> </w:t>
      </w:r>
      <w:r>
        <w:rPr/>
        <w:t>Washington</w:t>
      </w:r>
      <w:r>
        <w:rPr>
          <w:spacing w:val="-16"/>
        </w:rPr>
        <w:t> </w:t>
      </w:r>
      <w:r>
        <w:rPr/>
        <w:t>insured</w:t>
      </w:r>
      <w:r>
        <w:rPr>
          <w:spacing w:val="-20"/>
        </w:rPr>
        <w:t> </w:t>
      </w:r>
      <w:r>
        <w:rPr/>
        <w:t>was</w:t>
      </w:r>
      <w:r>
        <w:rPr>
          <w:spacing w:val="-18"/>
        </w:rPr>
        <w:t> </w:t>
      </w:r>
      <w:r>
        <w:rPr/>
        <w:t>entitled</w:t>
      </w:r>
      <w:r>
        <w:rPr>
          <w:spacing w:val="-18"/>
        </w:rPr>
        <w:t> </w:t>
      </w:r>
      <w:r>
        <w:rPr/>
        <w:t>to</w:t>
      </w:r>
      <w:r>
        <w:rPr>
          <w:spacing w:val="-17"/>
        </w:rPr>
        <w:t> </w:t>
      </w:r>
      <w:r>
        <w:rPr/>
        <w:t>the amount</w:t>
      </w:r>
      <w:r>
        <w:rPr>
          <w:spacing w:val="-23"/>
        </w:rPr>
        <w:t> </w:t>
      </w:r>
      <w:r>
        <w:rPr/>
        <w:t>awarded</w:t>
      </w:r>
      <w:r>
        <w:rPr>
          <w:spacing w:val="-22"/>
        </w:rPr>
        <w:t> </w:t>
      </w:r>
      <w:r>
        <w:rPr/>
        <w:t>by</w:t>
      </w:r>
      <w:r>
        <w:rPr>
          <w:spacing w:val="-21"/>
        </w:rPr>
        <w:t> </w:t>
      </w:r>
      <w:r>
        <w:rPr/>
        <w:t>appraisal</w:t>
      </w:r>
      <w:r>
        <w:rPr>
          <w:spacing w:val="-18"/>
        </w:rPr>
        <w:t> </w:t>
      </w:r>
      <w:r>
        <w:rPr/>
        <w:t>for</w:t>
      </w:r>
      <w:r>
        <w:rPr>
          <w:spacing w:val="-23"/>
        </w:rPr>
        <w:t> </w:t>
      </w:r>
      <w:r>
        <w:rPr/>
        <w:t>loss</w:t>
      </w:r>
      <w:r>
        <w:rPr>
          <w:spacing w:val="-20"/>
        </w:rPr>
        <w:t> </w:t>
      </w:r>
      <w:r>
        <w:rPr/>
        <w:t>of</w:t>
      </w:r>
      <w:r>
        <w:rPr>
          <w:spacing w:val="-21"/>
        </w:rPr>
        <w:t> </w:t>
      </w:r>
      <w:r>
        <w:rPr/>
        <w:t>use</w:t>
      </w:r>
      <w:r>
        <w:rPr>
          <w:spacing w:val="-21"/>
        </w:rPr>
        <w:t> </w:t>
      </w:r>
      <w:r>
        <w:rPr/>
        <w:t>of his</w:t>
      </w:r>
      <w:r>
        <w:rPr>
          <w:spacing w:val="-10"/>
        </w:rPr>
        <w:t> </w:t>
      </w:r>
      <w:r>
        <w:rPr/>
        <w:t>property</w:t>
      </w:r>
      <w:r>
        <w:rPr>
          <w:spacing w:val="-12"/>
        </w:rPr>
        <w:t> </w:t>
      </w:r>
      <w:r>
        <w:rPr/>
        <w:t>where</w:t>
      </w:r>
      <w:r>
        <w:rPr>
          <w:spacing w:val="-11"/>
        </w:rPr>
        <w:t> </w:t>
      </w:r>
      <w:r>
        <w:rPr/>
        <w:t>his</w:t>
      </w:r>
      <w:r>
        <w:rPr>
          <w:spacing w:val="-9"/>
        </w:rPr>
        <w:t> </w:t>
      </w:r>
      <w:r>
        <w:rPr/>
        <w:t>policy</w:t>
      </w:r>
      <w:r>
        <w:rPr>
          <w:spacing w:val="-9"/>
        </w:rPr>
        <w:t> </w:t>
      </w:r>
      <w:r>
        <w:rPr/>
        <w:t>provided</w:t>
      </w:r>
      <w:r>
        <w:rPr>
          <w:spacing w:val="-9"/>
        </w:rPr>
        <w:t> </w:t>
      </w:r>
      <w:r>
        <w:rPr/>
        <w:t>for</w:t>
      </w:r>
      <w:r>
        <w:rPr>
          <w:spacing w:val="-11"/>
        </w:rPr>
        <w:t> </w:t>
      </w:r>
      <w:r>
        <w:rPr/>
        <w:t>such coverage. There, the insurer contested the amount established by appraisal, on the </w:t>
      </w:r>
      <w:r>
        <w:rPr>
          <w:spacing w:val="3"/>
        </w:rPr>
        <w:t>grounds that </w:t>
      </w:r>
      <w:r>
        <w:rPr>
          <w:spacing w:val="4"/>
        </w:rPr>
        <w:t>the </w:t>
      </w:r>
      <w:r>
        <w:rPr>
          <w:spacing w:val="5"/>
        </w:rPr>
        <w:t>amount </w:t>
      </w:r>
      <w:r>
        <w:rPr>
          <w:spacing w:val="2"/>
        </w:rPr>
        <w:t>owed </w:t>
      </w:r>
      <w:r>
        <w:rPr/>
        <w:t>was dependent on a future determination of the scope</w:t>
      </w:r>
      <w:r>
        <w:rPr>
          <w:spacing w:val="-25"/>
        </w:rPr>
        <w:t> </w:t>
      </w:r>
      <w:r>
        <w:rPr/>
        <w:t>of</w:t>
      </w:r>
      <w:r>
        <w:rPr>
          <w:spacing w:val="-24"/>
        </w:rPr>
        <w:t> </w:t>
      </w:r>
      <w:r>
        <w:rPr/>
        <w:t>applicable</w:t>
      </w:r>
      <w:r>
        <w:rPr>
          <w:spacing w:val="-22"/>
        </w:rPr>
        <w:t> </w:t>
      </w:r>
      <w:r>
        <w:rPr/>
        <w:t>coverage.</w:t>
      </w:r>
      <w:r>
        <w:rPr>
          <w:spacing w:val="-24"/>
        </w:rPr>
        <w:t> </w:t>
      </w:r>
      <w:r>
        <w:rPr>
          <w:spacing w:val="3"/>
        </w:rPr>
        <w:t>It</w:t>
      </w:r>
      <w:r>
        <w:rPr>
          <w:spacing w:val="-27"/>
        </w:rPr>
        <w:t> </w:t>
      </w:r>
      <w:r>
        <w:rPr/>
        <w:t>asserted</w:t>
      </w:r>
      <w:r>
        <w:rPr>
          <w:spacing w:val="-26"/>
        </w:rPr>
        <w:t> </w:t>
      </w:r>
      <w:r>
        <w:rPr/>
        <w:t>that the award’s own language reflected </w:t>
      </w:r>
      <w:r>
        <w:rPr>
          <w:spacing w:val="-5"/>
        </w:rPr>
        <w:t>the </w:t>
      </w:r>
      <w:r>
        <w:rPr/>
        <w:t>inability to resolve coverage issues and believed the insured sought to “equate the appraisal award to the existence of</w:t>
      </w:r>
      <w:r>
        <w:rPr>
          <w:spacing w:val="-27"/>
        </w:rPr>
        <w:t> </w:t>
      </w:r>
      <w:r>
        <w:rPr/>
        <w:t>insurance coverage.” The Court found that the insurer had presented no basis for challenging </w:t>
      </w:r>
      <w:r>
        <w:rPr>
          <w:spacing w:val="-5"/>
        </w:rPr>
        <w:t>the </w:t>
      </w:r>
      <w:r>
        <w:rPr>
          <w:spacing w:val="5"/>
        </w:rPr>
        <w:t>award’s fairness, </w:t>
      </w:r>
      <w:r>
        <w:rPr>
          <w:spacing w:val="6"/>
        </w:rPr>
        <w:t>deeming </w:t>
      </w:r>
      <w:r>
        <w:rPr>
          <w:spacing w:val="4"/>
        </w:rPr>
        <w:t>the award </w:t>
      </w:r>
      <w:r>
        <w:rPr/>
        <w:t>conclusive.</w:t>
      </w:r>
      <w:r>
        <w:rPr>
          <w:vertAlign w:val="superscript"/>
        </w:rPr>
        <w:t>158</w:t>
      </w:r>
    </w:p>
    <w:p>
      <w:pPr>
        <w:pStyle w:val="BodyText"/>
        <w:spacing w:before="9"/>
        <w:rPr>
          <w:sz w:val="25"/>
        </w:rPr>
      </w:pPr>
    </w:p>
    <w:p>
      <w:pPr>
        <w:pStyle w:val="BodyText"/>
        <w:spacing w:line="242" w:lineRule="auto"/>
        <w:ind w:left="1520" w:right="1518" w:firstLine="720"/>
        <w:jc w:val="both"/>
      </w:pPr>
      <w:r>
        <w:rPr/>
        <w:t>A</w:t>
      </w:r>
      <w:r>
        <w:rPr>
          <w:spacing w:val="-18"/>
        </w:rPr>
        <w:t> </w:t>
      </w:r>
      <w:r>
        <w:rPr/>
        <w:t>California</w:t>
      </w:r>
      <w:r>
        <w:rPr>
          <w:spacing w:val="-23"/>
        </w:rPr>
        <w:t> </w:t>
      </w:r>
      <w:r>
        <w:rPr/>
        <w:t>superior</w:t>
      </w:r>
      <w:r>
        <w:rPr>
          <w:spacing w:val="-24"/>
        </w:rPr>
        <w:t> </w:t>
      </w:r>
      <w:r>
        <w:rPr/>
        <w:t>court</w:t>
      </w:r>
      <w:r>
        <w:rPr>
          <w:spacing w:val="-24"/>
        </w:rPr>
        <w:t> </w:t>
      </w:r>
      <w:r>
        <w:rPr/>
        <w:t>has</w:t>
      </w:r>
      <w:r>
        <w:rPr>
          <w:spacing w:val="-22"/>
        </w:rPr>
        <w:t> </w:t>
      </w:r>
      <w:r>
        <w:rPr/>
        <w:t>deemed</w:t>
      </w:r>
      <w:r>
        <w:rPr>
          <w:spacing w:val="-25"/>
        </w:rPr>
        <w:t> </w:t>
      </w:r>
      <w:r>
        <w:rPr/>
        <w:t>it an error to compel appraisers to assign loss values</w:t>
      </w:r>
      <w:r>
        <w:rPr>
          <w:spacing w:val="-15"/>
        </w:rPr>
        <w:t> </w:t>
      </w:r>
      <w:r>
        <w:rPr/>
        <w:t>to</w:t>
      </w:r>
      <w:r>
        <w:rPr>
          <w:spacing w:val="-13"/>
        </w:rPr>
        <w:t> </w:t>
      </w:r>
      <w:r>
        <w:rPr/>
        <w:t>items</w:t>
      </w:r>
      <w:r>
        <w:rPr>
          <w:spacing w:val="-16"/>
        </w:rPr>
        <w:t> </w:t>
      </w:r>
      <w:r>
        <w:rPr/>
        <w:t>without</w:t>
      </w:r>
      <w:r>
        <w:rPr>
          <w:spacing w:val="-16"/>
        </w:rPr>
        <w:t> </w:t>
      </w:r>
      <w:r>
        <w:rPr/>
        <w:t>regard</w:t>
      </w:r>
      <w:r>
        <w:rPr>
          <w:spacing w:val="-15"/>
        </w:rPr>
        <w:t> </w:t>
      </w:r>
      <w:r>
        <w:rPr/>
        <w:t>to</w:t>
      </w:r>
      <w:r>
        <w:rPr>
          <w:spacing w:val="-15"/>
        </w:rPr>
        <w:t> </w:t>
      </w:r>
      <w:r>
        <w:rPr/>
        <w:t>whether</w:t>
      </w:r>
      <w:r>
        <w:rPr>
          <w:spacing w:val="-16"/>
        </w:rPr>
        <w:t> </w:t>
      </w:r>
      <w:r>
        <w:rPr/>
        <w:t>they had actually sustained damage. </w:t>
      </w:r>
      <w:r>
        <w:rPr>
          <w:spacing w:val="3"/>
        </w:rPr>
        <w:t>It </w:t>
      </w:r>
      <w:r>
        <w:rPr/>
        <w:t>clarified that while compelling appraisal in light of a dispute</w:t>
      </w:r>
      <w:r>
        <w:rPr>
          <w:spacing w:val="-16"/>
        </w:rPr>
        <w:t> </w:t>
      </w:r>
      <w:r>
        <w:rPr/>
        <w:t>over</w:t>
      </w:r>
      <w:r>
        <w:rPr>
          <w:spacing w:val="-18"/>
        </w:rPr>
        <w:t> </w:t>
      </w:r>
      <w:r>
        <w:rPr/>
        <w:t>scope</w:t>
      </w:r>
      <w:r>
        <w:rPr>
          <w:spacing w:val="-15"/>
        </w:rPr>
        <w:t> </w:t>
      </w:r>
      <w:r>
        <w:rPr/>
        <w:t>of</w:t>
      </w:r>
      <w:r>
        <w:rPr>
          <w:spacing w:val="-16"/>
        </w:rPr>
        <w:t> </w:t>
      </w:r>
      <w:r>
        <w:rPr/>
        <w:t>loss</w:t>
      </w:r>
      <w:r>
        <w:rPr>
          <w:spacing w:val="-15"/>
        </w:rPr>
        <w:t> </w:t>
      </w:r>
      <w:r>
        <w:rPr/>
        <w:t>in</w:t>
      </w:r>
      <w:r>
        <w:rPr>
          <w:spacing w:val="-17"/>
        </w:rPr>
        <w:t> </w:t>
      </w:r>
      <w:r>
        <w:rPr/>
        <w:t>itself</w:t>
      </w:r>
      <w:r>
        <w:rPr>
          <w:spacing w:val="-14"/>
        </w:rPr>
        <w:t> </w:t>
      </w:r>
      <w:r>
        <w:rPr/>
        <w:t>would</w:t>
      </w:r>
      <w:r>
        <w:rPr>
          <w:spacing w:val="-12"/>
        </w:rPr>
        <w:t> </w:t>
      </w:r>
      <w:r>
        <w:rPr/>
        <w:t>not</w:t>
      </w:r>
      <w:r>
        <w:rPr>
          <w:spacing w:val="-15"/>
        </w:rPr>
        <w:t> </w:t>
      </w:r>
      <w:r>
        <w:rPr/>
        <w:t>be</w:t>
      </w:r>
    </w:p>
    <w:p>
      <w:pPr>
        <w:pStyle w:val="BodyText"/>
        <w:spacing w:before="3"/>
        <w:rPr>
          <w:sz w:val="22"/>
        </w:rPr>
      </w:pPr>
      <w:r>
        <w:rPr/>
        <w:pict>
          <v:shape style="position:absolute;margin-left:162pt;margin-top:16.047041pt;width:143.9pt;height:.1pt;mso-position-horizontal-relative:page;mso-position-vertical-relative:paragraph;z-index:-251603968;mso-wrap-distance-left:0;mso-wrap-distance-right:0" coordorigin="3240,321" coordsize="2878,0" path="m3240,321l6118,321e" filled="false" stroked="true" strokeweight=".84pt" strokecolor="#000000">
            <v:path arrowok="t"/>
            <v:stroke dashstyle="solid"/>
            <w10:wrap type="topAndBottom"/>
          </v:shape>
        </w:pict>
      </w:r>
    </w:p>
    <w:p>
      <w:pPr>
        <w:pStyle w:val="ListParagraph"/>
        <w:numPr>
          <w:ilvl w:val="0"/>
          <w:numId w:val="11"/>
        </w:numPr>
        <w:tabs>
          <w:tab w:pos="1376" w:val="left" w:leader="none"/>
        </w:tabs>
        <w:spacing w:line="269" w:lineRule="exact" w:before="140" w:after="0"/>
        <w:ind w:left="1376" w:right="0" w:hanging="216"/>
        <w:jc w:val="left"/>
        <w:rPr>
          <w:sz w:val="18"/>
        </w:rPr>
      </w:pPr>
      <w:r>
        <w:rPr>
          <w:sz w:val="18"/>
          <w:u w:val="single"/>
        </w:rPr>
        <w:t> State Farm Lloyds v. Johnson</w:t>
      </w:r>
      <w:r>
        <w:rPr>
          <w:sz w:val="18"/>
        </w:rPr>
        <w:t>, 290 S.W.3d 886 at 894 (Tex. 2009).</w:t>
      </w:r>
    </w:p>
    <w:p>
      <w:pPr>
        <w:pStyle w:val="ListParagraph"/>
        <w:numPr>
          <w:ilvl w:val="0"/>
          <w:numId w:val="11"/>
        </w:numPr>
        <w:tabs>
          <w:tab w:pos="1438" w:val="left" w:leader="none"/>
        </w:tabs>
        <w:spacing w:line="261" w:lineRule="auto" w:before="0" w:after="0"/>
        <w:ind w:left="1160" w:right="1164" w:firstLine="0"/>
        <w:jc w:val="left"/>
        <w:rPr>
          <w:sz w:val="18"/>
        </w:rPr>
      </w:pPr>
      <w:r>
        <w:rPr>
          <w:sz w:val="18"/>
          <w:u w:val="single"/>
        </w:rPr>
        <w:t>Kochendorfer v. Metropolitan Prop. &amp; Cas. Ins. Co.</w:t>
      </w:r>
      <w:r>
        <w:rPr>
          <w:sz w:val="18"/>
        </w:rPr>
        <w:t>, 2012 WL 1204714 (W.D.Wash. 2012).</w:t>
      </w:r>
    </w:p>
    <w:p>
      <w:pPr>
        <w:spacing w:after="0" w:line="261"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121" w:id="32"/>
      <w:bookmarkEnd w:id="32"/>
      <w:r>
        <w:rPr/>
      </w:r>
      <w:r>
        <w:rPr/>
        <w:t>precluded, the fact that a lower court </w:t>
      </w:r>
      <w:r>
        <w:rPr>
          <w:spacing w:val="-4"/>
        </w:rPr>
        <w:t>had </w:t>
      </w:r>
      <w:r>
        <w:rPr/>
        <w:t>compelled</w:t>
      </w:r>
      <w:r>
        <w:rPr>
          <w:spacing w:val="-13"/>
        </w:rPr>
        <w:t> </w:t>
      </w:r>
      <w:r>
        <w:rPr/>
        <w:t>appraisers</w:t>
      </w:r>
      <w:r>
        <w:rPr>
          <w:spacing w:val="-14"/>
        </w:rPr>
        <w:t> </w:t>
      </w:r>
      <w:r>
        <w:rPr/>
        <w:t>to</w:t>
      </w:r>
      <w:r>
        <w:rPr>
          <w:spacing w:val="-14"/>
        </w:rPr>
        <w:t> </w:t>
      </w:r>
      <w:r>
        <w:rPr/>
        <w:t>assign</w:t>
      </w:r>
      <w:r>
        <w:rPr>
          <w:spacing w:val="-14"/>
        </w:rPr>
        <w:t> </w:t>
      </w:r>
      <w:r>
        <w:rPr/>
        <w:t>values</w:t>
      </w:r>
      <w:r>
        <w:rPr>
          <w:spacing w:val="-12"/>
        </w:rPr>
        <w:t> </w:t>
      </w:r>
      <w:r>
        <w:rPr/>
        <w:t>to</w:t>
      </w:r>
      <w:r>
        <w:rPr>
          <w:spacing w:val="-14"/>
        </w:rPr>
        <w:t> </w:t>
      </w:r>
      <w:r>
        <w:rPr>
          <w:spacing w:val="-3"/>
        </w:rPr>
        <w:t>items </w:t>
      </w:r>
      <w:r>
        <w:rPr/>
        <w:t>that may not have been damaged or </w:t>
      </w:r>
      <w:r>
        <w:rPr>
          <w:spacing w:val="-4"/>
        </w:rPr>
        <w:t>ever </w:t>
      </w:r>
      <w:r>
        <w:rPr/>
        <w:t>existed, simply because the insured claimed </w:t>
      </w:r>
      <w:r>
        <w:rPr>
          <w:spacing w:val="4"/>
        </w:rPr>
        <w:t>they </w:t>
      </w:r>
      <w:r>
        <w:rPr>
          <w:spacing w:val="2"/>
        </w:rPr>
        <w:t>were </w:t>
      </w:r>
      <w:r>
        <w:rPr>
          <w:spacing w:val="3"/>
        </w:rPr>
        <w:t>damaged, </w:t>
      </w:r>
      <w:r>
        <w:rPr>
          <w:spacing w:val="4"/>
        </w:rPr>
        <w:t>prevented </w:t>
      </w:r>
      <w:r>
        <w:rPr>
          <w:spacing w:val="5"/>
        </w:rPr>
        <w:t>their </w:t>
      </w:r>
      <w:r>
        <w:rPr/>
        <w:t>compliance with Insurance Code § 2071 requiring appraisal of an insured’s actual loss. The lower court decision had misconstrued precedent to suggest that an appraisal</w:t>
      </w:r>
      <w:r>
        <w:rPr>
          <w:spacing w:val="-20"/>
        </w:rPr>
        <w:t> </w:t>
      </w:r>
      <w:r>
        <w:rPr/>
        <w:t>panel is compelled to assign a loss value to</w:t>
      </w:r>
      <w:r>
        <w:rPr>
          <w:spacing w:val="-52"/>
        </w:rPr>
        <w:t> </w:t>
      </w:r>
      <w:r>
        <w:rPr/>
        <w:t>anything that is submitted to it for consideration by an insured regardless of an item’s state of damage or existence. </w:t>
      </w:r>
      <w:r>
        <w:rPr>
          <w:spacing w:val="-3"/>
        </w:rPr>
        <w:t>The </w:t>
      </w:r>
      <w:r>
        <w:rPr/>
        <w:t>determinations of whether an item exists or is damaged are “fundamental” to valuation of a</w:t>
      </w:r>
      <w:r>
        <w:rPr>
          <w:spacing w:val="-9"/>
        </w:rPr>
        <w:t> </w:t>
      </w:r>
      <w:r>
        <w:rPr/>
        <w:t>loss.</w:t>
      </w:r>
    </w:p>
    <w:p>
      <w:pPr>
        <w:pStyle w:val="BodyText"/>
        <w:spacing w:before="9"/>
        <w:rPr>
          <w:sz w:val="25"/>
        </w:rPr>
      </w:pPr>
    </w:p>
    <w:p>
      <w:pPr>
        <w:pStyle w:val="BodyText"/>
        <w:spacing w:line="242" w:lineRule="auto"/>
        <w:ind w:left="1520" w:right="1518" w:firstLine="720"/>
        <w:jc w:val="both"/>
      </w:pPr>
      <w:r>
        <w:rPr/>
        <w:t>However, the court asserted that “a trial court does not necessarily err in compelling appraisal of disputed items when the disputes turn on issues such as coverage, causation, </w:t>
      </w:r>
      <w:r>
        <w:rPr>
          <w:spacing w:val="-6"/>
        </w:rPr>
        <w:t>or </w:t>
      </w:r>
      <w:r>
        <w:rPr/>
        <w:t>policy</w:t>
      </w:r>
      <w:r>
        <w:rPr>
          <w:spacing w:val="-16"/>
        </w:rPr>
        <w:t> </w:t>
      </w:r>
      <w:r>
        <w:rPr/>
        <w:t>interpretation.</w:t>
      </w:r>
      <w:r>
        <w:rPr>
          <w:spacing w:val="-14"/>
        </w:rPr>
        <w:t> </w:t>
      </w:r>
      <w:r>
        <w:rPr/>
        <w:t>Those</w:t>
      </w:r>
      <w:r>
        <w:rPr>
          <w:spacing w:val="-15"/>
        </w:rPr>
        <w:t> </w:t>
      </w:r>
      <w:r>
        <w:rPr/>
        <w:t>legal</w:t>
      </w:r>
      <w:r>
        <w:rPr>
          <w:spacing w:val="-13"/>
        </w:rPr>
        <w:t> </w:t>
      </w:r>
      <w:r>
        <w:rPr/>
        <w:t>issues</w:t>
      </w:r>
      <w:r>
        <w:rPr>
          <w:spacing w:val="-14"/>
        </w:rPr>
        <w:t> </w:t>
      </w:r>
      <w:r>
        <w:rPr/>
        <w:t>can</w:t>
      </w:r>
      <w:r>
        <w:rPr>
          <w:spacing w:val="-14"/>
        </w:rPr>
        <w:t> </w:t>
      </w:r>
      <w:r>
        <w:rPr/>
        <w:t>be resolved in subsequent litigation, although it may</w:t>
      </w:r>
      <w:r>
        <w:rPr>
          <w:spacing w:val="-24"/>
        </w:rPr>
        <w:t> </w:t>
      </w:r>
      <w:r>
        <w:rPr/>
        <w:t>be</w:t>
      </w:r>
      <w:r>
        <w:rPr>
          <w:spacing w:val="-21"/>
        </w:rPr>
        <w:t> </w:t>
      </w:r>
      <w:r>
        <w:rPr/>
        <w:t>appropriate</w:t>
      </w:r>
      <w:r>
        <w:rPr>
          <w:spacing w:val="-22"/>
        </w:rPr>
        <w:t> </w:t>
      </w:r>
      <w:r>
        <w:rPr/>
        <w:t>in</w:t>
      </w:r>
      <w:r>
        <w:rPr>
          <w:spacing w:val="-21"/>
        </w:rPr>
        <w:t> </w:t>
      </w:r>
      <w:r>
        <w:rPr/>
        <w:t>certain</w:t>
      </w:r>
      <w:r>
        <w:rPr>
          <w:spacing w:val="-23"/>
        </w:rPr>
        <w:t> </w:t>
      </w:r>
      <w:r>
        <w:rPr/>
        <w:t>cases</w:t>
      </w:r>
      <w:r>
        <w:rPr>
          <w:spacing w:val="-22"/>
        </w:rPr>
        <w:t> </w:t>
      </w:r>
      <w:r>
        <w:rPr/>
        <w:t>to</w:t>
      </w:r>
      <w:r>
        <w:rPr>
          <w:spacing w:val="-21"/>
        </w:rPr>
        <w:t> </w:t>
      </w:r>
      <w:r>
        <w:rPr/>
        <w:t>stay</w:t>
      </w:r>
      <w:r>
        <w:rPr>
          <w:spacing w:val="-23"/>
        </w:rPr>
        <w:t> </w:t>
      </w:r>
      <w:r>
        <w:rPr/>
        <w:t>an appraisal pending resolution of the disputed issues.</w:t>
      </w:r>
      <w:r>
        <w:rPr>
          <w:spacing w:val="-11"/>
        </w:rPr>
        <w:t> </w:t>
      </w:r>
      <w:r>
        <w:rPr/>
        <w:t>However,</w:t>
      </w:r>
      <w:r>
        <w:rPr>
          <w:spacing w:val="-12"/>
        </w:rPr>
        <w:t> </w:t>
      </w:r>
      <w:r>
        <w:rPr/>
        <w:t>when</w:t>
      </w:r>
      <w:r>
        <w:rPr>
          <w:spacing w:val="-12"/>
        </w:rPr>
        <w:t> </w:t>
      </w:r>
      <w:r>
        <w:rPr/>
        <w:t>the</w:t>
      </w:r>
      <w:r>
        <w:rPr>
          <w:spacing w:val="-12"/>
        </w:rPr>
        <w:t> </w:t>
      </w:r>
      <w:r>
        <w:rPr/>
        <w:t>disputes</w:t>
      </w:r>
      <w:r>
        <w:rPr>
          <w:spacing w:val="-11"/>
        </w:rPr>
        <w:t> </w:t>
      </w:r>
      <w:r>
        <w:rPr/>
        <w:t>turn</w:t>
      </w:r>
      <w:r>
        <w:rPr>
          <w:spacing w:val="-9"/>
        </w:rPr>
        <w:t> </w:t>
      </w:r>
      <w:r>
        <w:rPr/>
        <w:t>on</w:t>
      </w:r>
      <w:r>
        <w:rPr>
          <w:spacing w:val="-9"/>
        </w:rPr>
        <w:t> </w:t>
      </w:r>
      <w:r>
        <w:rPr/>
        <w:t>the condition or quality of damaged or</w:t>
      </w:r>
      <w:r>
        <w:rPr>
          <w:spacing w:val="-42"/>
        </w:rPr>
        <w:t> </w:t>
      </w:r>
      <w:r>
        <w:rPr/>
        <w:t>destroyed items-and it is possible for the panel to assess an item’s condition or quality without simply having</w:t>
      </w:r>
      <w:r>
        <w:rPr>
          <w:spacing w:val="-23"/>
        </w:rPr>
        <w:t> </w:t>
      </w:r>
      <w:r>
        <w:rPr/>
        <w:t>to</w:t>
      </w:r>
      <w:r>
        <w:rPr>
          <w:spacing w:val="-22"/>
        </w:rPr>
        <w:t> </w:t>
      </w:r>
      <w:r>
        <w:rPr/>
        <w:t>rely</w:t>
      </w:r>
      <w:r>
        <w:rPr>
          <w:spacing w:val="-24"/>
        </w:rPr>
        <w:t> </w:t>
      </w:r>
      <w:r>
        <w:rPr/>
        <w:t>on</w:t>
      </w:r>
      <w:r>
        <w:rPr>
          <w:spacing w:val="-22"/>
        </w:rPr>
        <w:t> </w:t>
      </w:r>
      <w:r>
        <w:rPr/>
        <w:t>the</w:t>
      </w:r>
      <w:r>
        <w:rPr>
          <w:spacing w:val="-23"/>
        </w:rPr>
        <w:t> </w:t>
      </w:r>
      <w:r>
        <w:rPr/>
        <w:t>insured’s</w:t>
      </w:r>
      <w:r>
        <w:rPr>
          <w:spacing w:val="-23"/>
        </w:rPr>
        <w:t> </w:t>
      </w:r>
      <w:r>
        <w:rPr/>
        <w:t>representation-it is</w:t>
      </w:r>
      <w:r>
        <w:rPr>
          <w:spacing w:val="-19"/>
        </w:rPr>
        <w:t> </w:t>
      </w:r>
      <w:r>
        <w:rPr/>
        <w:t>error</w:t>
      </w:r>
      <w:r>
        <w:rPr>
          <w:spacing w:val="-17"/>
        </w:rPr>
        <w:t> </w:t>
      </w:r>
      <w:r>
        <w:rPr/>
        <w:t>to</w:t>
      </w:r>
      <w:r>
        <w:rPr>
          <w:spacing w:val="-16"/>
        </w:rPr>
        <w:t> </w:t>
      </w:r>
      <w:r>
        <w:rPr/>
        <w:t>compel</w:t>
      </w:r>
      <w:r>
        <w:rPr>
          <w:spacing w:val="-15"/>
        </w:rPr>
        <w:t> </w:t>
      </w:r>
      <w:r>
        <w:rPr/>
        <w:t>the</w:t>
      </w:r>
      <w:r>
        <w:rPr>
          <w:spacing w:val="-17"/>
        </w:rPr>
        <w:t> </w:t>
      </w:r>
      <w:r>
        <w:rPr/>
        <w:t>appraisal</w:t>
      </w:r>
      <w:r>
        <w:rPr>
          <w:spacing w:val="-15"/>
        </w:rPr>
        <w:t> </w:t>
      </w:r>
      <w:r>
        <w:rPr/>
        <w:t>panel</w:t>
      </w:r>
      <w:r>
        <w:rPr>
          <w:spacing w:val="-17"/>
        </w:rPr>
        <w:t> </w:t>
      </w:r>
      <w:r>
        <w:rPr/>
        <w:t>to</w:t>
      </w:r>
      <w:r>
        <w:rPr>
          <w:spacing w:val="-19"/>
        </w:rPr>
        <w:t> </w:t>
      </w:r>
      <w:r>
        <w:rPr/>
        <w:t>assign values</w:t>
      </w:r>
      <w:r>
        <w:rPr>
          <w:spacing w:val="-31"/>
        </w:rPr>
        <w:t> </w:t>
      </w:r>
      <w:r>
        <w:rPr/>
        <w:t>to</w:t>
      </w:r>
      <w:r>
        <w:rPr>
          <w:spacing w:val="-30"/>
        </w:rPr>
        <w:t> </w:t>
      </w:r>
      <w:r>
        <w:rPr/>
        <w:t>items</w:t>
      </w:r>
      <w:r>
        <w:rPr>
          <w:spacing w:val="-32"/>
        </w:rPr>
        <w:t> </w:t>
      </w:r>
      <w:r>
        <w:rPr/>
        <w:t>that</w:t>
      </w:r>
      <w:r>
        <w:rPr>
          <w:spacing w:val="-31"/>
        </w:rPr>
        <w:t> </w:t>
      </w:r>
      <w:r>
        <w:rPr/>
        <w:t>inspection</w:t>
      </w:r>
      <w:r>
        <w:rPr>
          <w:spacing w:val="-30"/>
        </w:rPr>
        <w:t> </w:t>
      </w:r>
      <w:r>
        <w:rPr/>
        <w:t>reveals</w:t>
      </w:r>
      <w:r>
        <w:rPr>
          <w:spacing w:val="-30"/>
        </w:rPr>
        <w:t> </w:t>
      </w:r>
      <w:r>
        <w:rPr/>
        <w:t>were</w:t>
      </w:r>
      <w:r>
        <w:rPr>
          <w:spacing w:val="-31"/>
        </w:rPr>
        <w:t> </w:t>
      </w:r>
      <w:r>
        <w:rPr/>
        <w:t>not damaged</w:t>
      </w:r>
      <w:r>
        <w:rPr>
          <w:spacing w:val="-19"/>
        </w:rPr>
        <w:t> </w:t>
      </w:r>
      <w:r>
        <w:rPr/>
        <w:t>or</w:t>
      </w:r>
      <w:r>
        <w:rPr>
          <w:spacing w:val="-19"/>
        </w:rPr>
        <w:t> </w:t>
      </w:r>
      <w:r>
        <w:rPr/>
        <w:t>did</w:t>
      </w:r>
      <w:r>
        <w:rPr>
          <w:spacing w:val="-19"/>
        </w:rPr>
        <w:t> </w:t>
      </w:r>
      <w:r>
        <w:rPr/>
        <w:t>not</w:t>
      </w:r>
      <w:r>
        <w:rPr>
          <w:spacing w:val="-21"/>
        </w:rPr>
        <w:t> </w:t>
      </w:r>
      <w:r>
        <w:rPr/>
        <w:t>ever</w:t>
      </w:r>
      <w:r>
        <w:rPr>
          <w:spacing w:val="-21"/>
        </w:rPr>
        <w:t> </w:t>
      </w:r>
      <w:r>
        <w:rPr/>
        <w:t>exist.”</w:t>
      </w:r>
      <w:r>
        <w:rPr>
          <w:spacing w:val="-20"/>
        </w:rPr>
        <w:t> </w:t>
      </w:r>
      <w:r>
        <w:rPr>
          <w:spacing w:val="3"/>
        </w:rPr>
        <w:t>It</w:t>
      </w:r>
      <w:r>
        <w:rPr>
          <w:spacing w:val="-21"/>
        </w:rPr>
        <w:t> </w:t>
      </w:r>
      <w:r>
        <w:rPr/>
        <w:t>also</w:t>
      </w:r>
      <w:r>
        <w:rPr>
          <w:spacing w:val="-17"/>
        </w:rPr>
        <w:t> </w:t>
      </w:r>
      <w:r>
        <w:rPr/>
        <w:t>clarified</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1520" w:right="1516"/>
        <w:jc w:val="both"/>
      </w:pPr>
      <w:bookmarkStart w:name="Law and Procedure 122" w:id="33"/>
      <w:bookmarkEnd w:id="33"/>
      <w:r>
        <w:rPr/>
      </w:r>
      <w:r>
        <w:rPr/>
        <w:t>that</w:t>
      </w:r>
      <w:r>
        <w:rPr>
          <w:spacing w:val="-34"/>
        </w:rPr>
        <w:t> </w:t>
      </w:r>
      <w:r>
        <w:rPr/>
        <w:t>an</w:t>
      </w:r>
      <w:r>
        <w:rPr>
          <w:spacing w:val="-31"/>
        </w:rPr>
        <w:t> </w:t>
      </w:r>
      <w:r>
        <w:rPr/>
        <w:t>appraiser’s</w:t>
      </w:r>
      <w:r>
        <w:rPr>
          <w:spacing w:val="-32"/>
        </w:rPr>
        <w:t> </w:t>
      </w:r>
      <w:r>
        <w:rPr/>
        <w:t>authority</w:t>
      </w:r>
      <w:r>
        <w:rPr>
          <w:spacing w:val="-38"/>
        </w:rPr>
        <w:t> </w:t>
      </w:r>
      <w:r>
        <w:rPr/>
        <w:t>is</w:t>
      </w:r>
      <w:r>
        <w:rPr>
          <w:spacing w:val="-32"/>
        </w:rPr>
        <w:t> </w:t>
      </w:r>
      <w:r>
        <w:rPr/>
        <w:t>exceeded</w:t>
      </w:r>
      <w:r>
        <w:rPr>
          <w:spacing w:val="-33"/>
        </w:rPr>
        <w:t> </w:t>
      </w:r>
      <w:r>
        <w:rPr/>
        <w:t>when nothing</w:t>
      </w:r>
      <w:r>
        <w:rPr>
          <w:spacing w:val="-10"/>
        </w:rPr>
        <w:t> </w:t>
      </w:r>
      <w:r>
        <w:rPr/>
        <w:t>is</w:t>
      </w:r>
      <w:r>
        <w:rPr>
          <w:spacing w:val="-11"/>
        </w:rPr>
        <w:t> </w:t>
      </w:r>
      <w:r>
        <w:rPr/>
        <w:t>awarded</w:t>
      </w:r>
      <w:r>
        <w:rPr>
          <w:spacing w:val="-11"/>
        </w:rPr>
        <w:t> </w:t>
      </w:r>
      <w:r>
        <w:rPr/>
        <w:t>for</w:t>
      </w:r>
      <w:r>
        <w:rPr>
          <w:spacing w:val="-8"/>
        </w:rPr>
        <w:t> </w:t>
      </w:r>
      <w:r>
        <w:rPr/>
        <w:t>damaged</w:t>
      </w:r>
      <w:r>
        <w:rPr>
          <w:spacing w:val="-7"/>
        </w:rPr>
        <w:t> </w:t>
      </w:r>
      <w:r>
        <w:rPr/>
        <w:t>items</w:t>
      </w:r>
      <w:r>
        <w:rPr>
          <w:spacing w:val="-9"/>
        </w:rPr>
        <w:t> </w:t>
      </w:r>
      <w:r>
        <w:rPr/>
        <w:t>based on</w:t>
      </w:r>
      <w:r>
        <w:rPr>
          <w:spacing w:val="-17"/>
        </w:rPr>
        <w:t> </w:t>
      </w:r>
      <w:r>
        <w:rPr/>
        <w:t>coverage</w:t>
      </w:r>
      <w:r>
        <w:rPr>
          <w:spacing w:val="-16"/>
        </w:rPr>
        <w:t> </w:t>
      </w:r>
      <w:r>
        <w:rPr/>
        <w:t>determinations;</w:t>
      </w:r>
      <w:r>
        <w:rPr>
          <w:spacing w:val="-20"/>
        </w:rPr>
        <w:t> </w:t>
      </w:r>
      <w:r>
        <w:rPr/>
        <w:t>however,</w:t>
      </w:r>
      <w:r>
        <w:rPr>
          <w:spacing w:val="-19"/>
        </w:rPr>
        <w:t> </w:t>
      </w:r>
      <w:r>
        <w:rPr/>
        <w:t>it</w:t>
      </w:r>
      <w:r>
        <w:rPr>
          <w:spacing w:val="-18"/>
        </w:rPr>
        <w:t> </w:t>
      </w:r>
      <w:r>
        <w:rPr/>
        <w:t>is</w:t>
      </w:r>
      <w:r>
        <w:rPr>
          <w:spacing w:val="-16"/>
        </w:rPr>
        <w:t> </w:t>
      </w:r>
      <w:r>
        <w:rPr/>
        <w:t>not exceeded when nothing is awarded </w:t>
      </w:r>
      <w:r>
        <w:rPr>
          <w:spacing w:val="-3"/>
        </w:rPr>
        <w:t>for undamaged</w:t>
      </w:r>
      <w:r>
        <w:rPr>
          <w:spacing w:val="-36"/>
        </w:rPr>
        <w:t> </w:t>
      </w:r>
      <w:r>
        <w:rPr/>
        <w:t>or</w:t>
      </w:r>
      <w:r>
        <w:rPr>
          <w:spacing w:val="-37"/>
        </w:rPr>
        <w:t> </w:t>
      </w:r>
      <w:r>
        <w:rPr/>
        <w:t>nonexistent</w:t>
      </w:r>
      <w:r>
        <w:rPr>
          <w:spacing w:val="-35"/>
        </w:rPr>
        <w:t> </w:t>
      </w:r>
      <w:r>
        <w:rPr/>
        <w:t>items</w:t>
      </w:r>
      <w:r>
        <w:rPr>
          <w:spacing w:val="-34"/>
        </w:rPr>
        <w:t> </w:t>
      </w:r>
      <w:r>
        <w:rPr/>
        <w:t>whose</w:t>
      </w:r>
      <w:r>
        <w:rPr>
          <w:spacing w:val="-33"/>
        </w:rPr>
        <w:t> </w:t>
      </w:r>
      <w:r>
        <w:rPr>
          <w:spacing w:val="-2"/>
        </w:rPr>
        <w:t>nature </w:t>
      </w:r>
      <w:r>
        <w:rPr/>
        <w:t>and existence is readily ascertainable, nor is authority exceeded by determining and labeling different amounts of loss where the amounts differ due to stated assumptions about the property’s condition before the loss.</w:t>
      </w:r>
      <w:r>
        <w:rPr>
          <w:vertAlign w:val="superscript"/>
        </w:rPr>
        <w:t>159</w:t>
      </w:r>
    </w:p>
    <w:p>
      <w:pPr>
        <w:pStyle w:val="BodyText"/>
        <w:spacing w:before="11"/>
        <w:rPr>
          <w:sz w:val="25"/>
        </w:rPr>
      </w:pPr>
    </w:p>
    <w:p>
      <w:pPr>
        <w:pStyle w:val="BodyText"/>
        <w:spacing w:line="242" w:lineRule="auto"/>
        <w:ind w:left="1520" w:right="1517" w:firstLine="720"/>
        <w:jc w:val="both"/>
      </w:pPr>
      <w:r>
        <w:rPr/>
        <w:t>However, a court determined that appraisers did not exceed their scope of authority in carrying out their duties to value</w:t>
      </w:r>
      <w:r>
        <w:rPr>
          <w:spacing w:val="-30"/>
        </w:rPr>
        <w:t> </w:t>
      </w:r>
      <w:r>
        <w:rPr/>
        <w:t>a loss, despite the insurer’s assertion that the panel</w:t>
      </w:r>
      <w:r>
        <w:rPr>
          <w:spacing w:val="-30"/>
        </w:rPr>
        <w:t> </w:t>
      </w:r>
      <w:r>
        <w:rPr/>
        <w:t>had</w:t>
      </w:r>
      <w:r>
        <w:rPr>
          <w:spacing w:val="-30"/>
        </w:rPr>
        <w:t> </w:t>
      </w:r>
      <w:r>
        <w:rPr/>
        <w:t>assigned</w:t>
      </w:r>
      <w:r>
        <w:rPr>
          <w:spacing w:val="-31"/>
        </w:rPr>
        <w:t> </w:t>
      </w:r>
      <w:r>
        <w:rPr/>
        <w:t>values</w:t>
      </w:r>
      <w:r>
        <w:rPr>
          <w:spacing w:val="-29"/>
        </w:rPr>
        <w:t> </w:t>
      </w:r>
      <w:r>
        <w:rPr/>
        <w:t>to</w:t>
      </w:r>
      <w:r>
        <w:rPr>
          <w:spacing w:val="-28"/>
        </w:rPr>
        <w:t> </w:t>
      </w:r>
      <w:r>
        <w:rPr/>
        <w:t>items</w:t>
      </w:r>
      <w:r>
        <w:rPr>
          <w:spacing w:val="-30"/>
        </w:rPr>
        <w:t> </w:t>
      </w:r>
      <w:r>
        <w:rPr/>
        <w:t>that</w:t>
      </w:r>
      <w:r>
        <w:rPr>
          <w:spacing w:val="-29"/>
        </w:rPr>
        <w:t> </w:t>
      </w:r>
      <w:r>
        <w:rPr/>
        <w:t>did</w:t>
      </w:r>
      <w:r>
        <w:rPr>
          <w:spacing w:val="-29"/>
        </w:rPr>
        <w:t> </w:t>
      </w:r>
      <w:r>
        <w:rPr/>
        <w:t>not exist or were not damaged because </w:t>
      </w:r>
      <w:r>
        <w:rPr>
          <w:spacing w:val="-5"/>
        </w:rPr>
        <w:t>the </w:t>
      </w:r>
      <w:r>
        <w:rPr/>
        <w:t>insured’s representative included them within the scope of loss presented to the panel. A review of the record indicated that the panel had not simply “rubber stamp[ed] the estimate”</w:t>
      </w:r>
      <w:r>
        <w:rPr>
          <w:spacing w:val="-31"/>
        </w:rPr>
        <w:t> </w:t>
      </w:r>
      <w:r>
        <w:rPr/>
        <w:t>as</w:t>
      </w:r>
      <w:r>
        <w:rPr>
          <w:spacing w:val="-29"/>
        </w:rPr>
        <w:t> </w:t>
      </w:r>
      <w:r>
        <w:rPr/>
        <w:t>claimed</w:t>
      </w:r>
      <w:r>
        <w:rPr>
          <w:spacing w:val="-31"/>
        </w:rPr>
        <w:t> </w:t>
      </w:r>
      <w:r>
        <w:rPr/>
        <w:t>by</w:t>
      </w:r>
      <w:r>
        <w:rPr>
          <w:spacing w:val="-31"/>
        </w:rPr>
        <w:t> </w:t>
      </w:r>
      <w:r>
        <w:rPr/>
        <w:t>the</w:t>
      </w:r>
      <w:r>
        <w:rPr>
          <w:spacing w:val="-31"/>
        </w:rPr>
        <w:t> </w:t>
      </w:r>
      <w:r>
        <w:rPr/>
        <w:t>insurer.</w:t>
      </w:r>
      <w:r>
        <w:rPr>
          <w:spacing w:val="5"/>
        </w:rPr>
        <w:t> </w:t>
      </w:r>
      <w:r>
        <w:rPr/>
        <w:t>The</w:t>
      </w:r>
      <w:r>
        <w:rPr>
          <w:spacing w:val="-33"/>
        </w:rPr>
        <w:t> </w:t>
      </w:r>
      <w:r>
        <w:rPr/>
        <w:t>court’s review of the award did not support the determination that the panel had failed to make factual determinations necessary to value the loss, and decided that if the insurer believed coverage did not extend to certain items</w:t>
      </w:r>
      <w:r>
        <w:rPr>
          <w:spacing w:val="46"/>
        </w:rPr>
        <w:t> </w:t>
      </w:r>
      <w:r>
        <w:rPr/>
        <w:t>included</w:t>
      </w:r>
      <w:r>
        <w:rPr>
          <w:spacing w:val="47"/>
        </w:rPr>
        <w:t> </w:t>
      </w:r>
      <w:r>
        <w:rPr/>
        <w:t>in</w:t>
      </w:r>
      <w:r>
        <w:rPr>
          <w:spacing w:val="47"/>
        </w:rPr>
        <w:t> </w:t>
      </w:r>
      <w:r>
        <w:rPr/>
        <w:t>the</w:t>
      </w:r>
      <w:r>
        <w:rPr>
          <w:spacing w:val="47"/>
        </w:rPr>
        <w:t> </w:t>
      </w:r>
      <w:r>
        <w:rPr/>
        <w:t>scope</w:t>
      </w:r>
      <w:r>
        <w:rPr>
          <w:spacing w:val="49"/>
        </w:rPr>
        <w:t> </w:t>
      </w:r>
      <w:r>
        <w:rPr/>
        <w:t>of</w:t>
      </w:r>
      <w:r>
        <w:rPr>
          <w:spacing w:val="46"/>
        </w:rPr>
        <w:t> </w:t>
      </w:r>
      <w:r>
        <w:rPr/>
        <w:t>loss,</w:t>
      </w:r>
      <w:r>
        <w:rPr>
          <w:spacing w:val="46"/>
        </w:rPr>
        <w:t> </w:t>
      </w:r>
      <w:r>
        <w:rPr/>
        <w:t>it</w:t>
      </w:r>
      <w:r>
        <w:rPr>
          <w:spacing w:val="46"/>
        </w:rPr>
        <w:t> </w:t>
      </w:r>
      <w:r>
        <w:rPr/>
        <w:t>could</w:t>
      </w:r>
    </w:p>
    <w:p>
      <w:pPr>
        <w:pStyle w:val="BodyText"/>
        <w:rPr>
          <w:sz w:val="20"/>
        </w:rPr>
      </w:pPr>
    </w:p>
    <w:p>
      <w:pPr>
        <w:pStyle w:val="BodyText"/>
        <w:rPr>
          <w:sz w:val="16"/>
        </w:rPr>
      </w:pPr>
      <w:r>
        <w:rPr/>
        <w:pict>
          <v:shape style="position:absolute;margin-left:162pt;margin-top:12.226436pt;width:143.9pt;height:.1pt;mso-position-horizontal-relative:page;mso-position-vertical-relative:paragraph;z-index:-251602944;mso-wrap-distance-left:0;mso-wrap-distance-right:0" coordorigin="3240,245" coordsize="2878,0" path="m3240,245l6118,245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1"/>
        </w:numPr>
        <w:tabs>
          <w:tab w:pos="1452" w:val="left" w:leader="none"/>
        </w:tabs>
        <w:spacing w:line="261" w:lineRule="auto" w:before="71" w:after="0"/>
        <w:ind w:left="1160" w:right="1165" w:firstLine="0"/>
        <w:jc w:val="left"/>
        <w:rPr>
          <w:sz w:val="18"/>
        </w:rPr>
      </w:pPr>
      <w:r>
        <w:rPr>
          <w:sz w:val="18"/>
          <w:u w:val="single"/>
        </w:rPr>
        <w:t>Lee v. California Cap. Ins, Co.</w:t>
      </w:r>
      <w:r>
        <w:rPr>
          <w:sz w:val="18"/>
        </w:rPr>
        <w:t>, Alameda County Superior Court No. RG11571734 (2015).</w:t>
      </w:r>
    </w:p>
    <w:p>
      <w:pPr>
        <w:spacing w:after="0" w:line="261"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5"/>
      </w:pPr>
      <w:bookmarkStart w:name="Law and Procedure 123" w:id="34"/>
      <w:bookmarkEnd w:id="34"/>
      <w:r>
        <w:rPr/>
      </w:r>
      <w:r>
        <w:rPr/>
        <w:t>pursue legal options available to it outside of appraisal.</w:t>
      </w:r>
      <w:r>
        <w:rPr>
          <w:vertAlign w:val="superscript"/>
        </w:rPr>
        <w:t>160</w:t>
      </w:r>
    </w:p>
    <w:p>
      <w:pPr>
        <w:pStyle w:val="BodyText"/>
        <w:spacing w:before="9"/>
        <w:rPr>
          <w:sz w:val="22"/>
        </w:rPr>
      </w:pPr>
    </w:p>
    <w:p>
      <w:pPr>
        <w:pStyle w:val="BodyText"/>
        <w:spacing w:line="242" w:lineRule="auto" w:before="42"/>
        <w:ind w:left="1520" w:right="1517" w:firstLine="720"/>
        <w:jc w:val="both"/>
      </w:pPr>
      <w:r>
        <w:rPr/>
        <w:t>Citing</w:t>
      </w:r>
      <w:r>
        <w:rPr>
          <w:spacing w:val="-12"/>
        </w:rPr>
        <w:t> </w:t>
      </w:r>
      <w:r>
        <w:rPr>
          <w:u w:val="single"/>
        </w:rPr>
        <w:t>Safeco</w:t>
      </w:r>
      <w:r>
        <w:rPr>
          <w:spacing w:val="-12"/>
          <w:u w:val="single"/>
        </w:rPr>
        <w:t> </w:t>
      </w:r>
      <w:r>
        <w:rPr>
          <w:u w:val="single"/>
        </w:rPr>
        <w:t>Ins.</w:t>
      </w:r>
      <w:r>
        <w:rPr>
          <w:spacing w:val="-17"/>
          <w:u w:val="single"/>
        </w:rPr>
        <w:t> </w:t>
      </w:r>
      <w:r>
        <w:rPr>
          <w:u w:val="single"/>
        </w:rPr>
        <w:t>Co.</w:t>
      </w:r>
      <w:r>
        <w:rPr>
          <w:spacing w:val="-17"/>
          <w:u w:val="single"/>
        </w:rPr>
        <w:t> </w:t>
      </w:r>
      <w:r>
        <w:rPr>
          <w:u w:val="single"/>
        </w:rPr>
        <w:t>v.</w:t>
      </w:r>
      <w:r>
        <w:rPr>
          <w:spacing w:val="-17"/>
          <w:u w:val="single"/>
        </w:rPr>
        <w:t> </w:t>
      </w:r>
      <w:r>
        <w:rPr>
          <w:u w:val="single"/>
        </w:rPr>
        <w:t>Sharma</w:t>
      </w:r>
      <w:r>
        <w:rPr/>
        <w:t>,</w:t>
      </w:r>
      <w:r>
        <w:rPr>
          <w:spacing w:val="-16"/>
        </w:rPr>
        <w:t> </w:t>
      </w:r>
      <w:r>
        <w:rPr>
          <w:i/>
        </w:rPr>
        <w:t>supra</w:t>
      </w:r>
      <w:r>
        <w:rPr/>
        <w:t>,</w:t>
      </w:r>
      <w:r>
        <w:rPr>
          <w:spacing w:val="-15"/>
        </w:rPr>
        <w:t> </w:t>
      </w:r>
      <w:r>
        <w:rPr/>
        <w:t>it was held that asking the appraisal panel to determine the length of time for which plaintiff’s business was interrupted would be akin</w:t>
      </w:r>
      <w:r>
        <w:rPr>
          <w:spacing w:val="-32"/>
        </w:rPr>
        <w:t> </w:t>
      </w:r>
      <w:r>
        <w:rPr/>
        <w:t>to</w:t>
      </w:r>
      <w:r>
        <w:rPr>
          <w:spacing w:val="-31"/>
        </w:rPr>
        <w:t> </w:t>
      </w:r>
      <w:r>
        <w:rPr/>
        <w:t>asking</w:t>
      </w:r>
      <w:r>
        <w:rPr>
          <w:spacing w:val="-30"/>
        </w:rPr>
        <w:t> </w:t>
      </w:r>
      <w:r>
        <w:rPr/>
        <w:t>the</w:t>
      </w:r>
      <w:r>
        <w:rPr>
          <w:spacing w:val="-31"/>
        </w:rPr>
        <w:t> </w:t>
      </w:r>
      <w:r>
        <w:rPr/>
        <w:t>panel</w:t>
      </w:r>
      <w:r>
        <w:rPr>
          <w:spacing w:val="-26"/>
        </w:rPr>
        <w:t> </w:t>
      </w:r>
      <w:r>
        <w:rPr/>
        <w:t>“to</w:t>
      </w:r>
      <w:r>
        <w:rPr>
          <w:spacing w:val="-28"/>
        </w:rPr>
        <w:t> </w:t>
      </w:r>
      <w:r>
        <w:rPr/>
        <w:t>determine</w:t>
      </w:r>
      <w:r>
        <w:rPr>
          <w:spacing w:val="-31"/>
        </w:rPr>
        <w:t> </w:t>
      </w:r>
      <w:r>
        <w:rPr/>
        <w:t>whether an</w:t>
      </w:r>
      <w:r>
        <w:rPr>
          <w:spacing w:val="-11"/>
        </w:rPr>
        <w:t> </w:t>
      </w:r>
      <w:r>
        <w:rPr/>
        <w:t>insured</w:t>
      </w:r>
      <w:r>
        <w:rPr>
          <w:spacing w:val="-13"/>
        </w:rPr>
        <w:t> </w:t>
      </w:r>
      <w:r>
        <w:rPr/>
        <w:t>lost</w:t>
      </w:r>
      <w:r>
        <w:rPr>
          <w:spacing w:val="-15"/>
        </w:rPr>
        <w:t> </w:t>
      </w:r>
      <w:r>
        <w:rPr/>
        <w:t>what</w:t>
      </w:r>
      <w:r>
        <w:rPr>
          <w:spacing w:val="-15"/>
        </w:rPr>
        <w:t> </w:t>
      </w:r>
      <w:r>
        <w:rPr/>
        <w:t>he</w:t>
      </w:r>
      <w:r>
        <w:rPr>
          <w:spacing w:val="-12"/>
        </w:rPr>
        <w:t> </w:t>
      </w:r>
      <w:r>
        <w:rPr/>
        <w:t>claimed</w:t>
      </w:r>
      <w:r>
        <w:rPr>
          <w:spacing w:val="-13"/>
        </w:rPr>
        <w:t> </w:t>
      </w:r>
      <w:r>
        <w:rPr/>
        <w:t>to</w:t>
      </w:r>
      <w:r>
        <w:rPr>
          <w:spacing w:val="-11"/>
        </w:rPr>
        <w:t> </w:t>
      </w:r>
      <w:r>
        <w:rPr/>
        <w:t>have</w:t>
      </w:r>
      <w:r>
        <w:rPr>
          <w:spacing w:val="-13"/>
        </w:rPr>
        <w:t> </w:t>
      </w:r>
      <w:r>
        <w:rPr/>
        <w:t>lost</w:t>
      </w:r>
      <w:r>
        <w:rPr>
          <w:spacing w:val="-12"/>
        </w:rPr>
        <w:t> </w:t>
      </w:r>
      <w:r>
        <w:rPr/>
        <w:t>or something</w:t>
      </w:r>
      <w:r>
        <w:rPr>
          <w:spacing w:val="-1"/>
        </w:rPr>
        <w:t> </w:t>
      </w:r>
      <w:r>
        <w:rPr/>
        <w:t>different.</w:t>
      </w:r>
      <w:r>
        <w:rPr>
          <w:vertAlign w:val="superscript"/>
        </w:rPr>
        <w:t>161</w:t>
      </w:r>
    </w:p>
    <w:p>
      <w:pPr>
        <w:pStyle w:val="BodyText"/>
      </w:pPr>
    </w:p>
    <w:p>
      <w:pPr>
        <w:pStyle w:val="BodyText"/>
        <w:spacing w:line="242" w:lineRule="auto"/>
        <w:ind w:left="1520" w:right="1519" w:firstLine="720"/>
        <w:jc w:val="both"/>
      </w:pPr>
      <w:r>
        <w:rPr/>
        <w:t>A</w:t>
      </w:r>
      <w:r>
        <w:rPr>
          <w:spacing w:val="-25"/>
        </w:rPr>
        <w:t> </w:t>
      </w:r>
      <w:r>
        <w:rPr/>
        <w:t>similar</w:t>
      </w:r>
      <w:r>
        <w:rPr>
          <w:spacing w:val="-29"/>
        </w:rPr>
        <w:t> </w:t>
      </w:r>
      <w:r>
        <w:rPr/>
        <w:t>result</w:t>
      </w:r>
      <w:r>
        <w:rPr>
          <w:spacing w:val="-31"/>
        </w:rPr>
        <w:t> </w:t>
      </w:r>
      <w:r>
        <w:rPr/>
        <w:t>was</w:t>
      </w:r>
      <w:r>
        <w:rPr>
          <w:spacing w:val="-28"/>
        </w:rPr>
        <w:t> </w:t>
      </w:r>
      <w:r>
        <w:rPr/>
        <w:t>reached</w:t>
      </w:r>
      <w:r>
        <w:rPr>
          <w:spacing w:val="-30"/>
        </w:rPr>
        <w:t> </w:t>
      </w:r>
      <w:r>
        <w:rPr/>
        <w:t>in</w:t>
      </w:r>
      <w:r>
        <w:rPr>
          <w:spacing w:val="-29"/>
        </w:rPr>
        <w:t> </w:t>
      </w:r>
      <w:r>
        <w:rPr/>
        <w:t>the</w:t>
      </w:r>
      <w:r>
        <w:rPr>
          <w:spacing w:val="-29"/>
        </w:rPr>
        <w:t> </w:t>
      </w:r>
      <w:r>
        <w:rPr/>
        <w:t>case</w:t>
      </w:r>
      <w:r>
        <w:rPr>
          <w:spacing w:val="-28"/>
        </w:rPr>
        <w:t> </w:t>
      </w:r>
      <w:r>
        <w:rPr/>
        <w:t>of </w:t>
      </w:r>
      <w:r>
        <w:rPr>
          <w:u w:val="single"/>
        </w:rPr>
        <w:t>Edison</w:t>
      </w:r>
      <w:r>
        <w:rPr>
          <w:spacing w:val="-21"/>
          <w:u w:val="single"/>
        </w:rPr>
        <w:t> </w:t>
      </w:r>
      <w:r>
        <w:rPr>
          <w:u w:val="single"/>
        </w:rPr>
        <w:t>Textiles,</w:t>
      </w:r>
      <w:r>
        <w:rPr>
          <w:spacing w:val="-22"/>
          <w:u w:val="single"/>
        </w:rPr>
        <w:t> </w:t>
      </w:r>
      <w:r>
        <w:rPr>
          <w:u w:val="single"/>
        </w:rPr>
        <w:t>Inc.</w:t>
      </w:r>
      <w:r>
        <w:rPr>
          <w:spacing w:val="-24"/>
          <w:u w:val="single"/>
        </w:rPr>
        <w:t> </w:t>
      </w:r>
      <w:r>
        <w:rPr>
          <w:u w:val="single"/>
        </w:rPr>
        <w:t>v.</w:t>
      </w:r>
      <w:r>
        <w:rPr>
          <w:spacing w:val="-23"/>
          <w:u w:val="single"/>
        </w:rPr>
        <w:t> </w:t>
      </w:r>
      <w:r>
        <w:rPr>
          <w:u w:val="single"/>
        </w:rPr>
        <w:t>Topa</w:t>
      </w:r>
      <w:r>
        <w:rPr>
          <w:spacing w:val="-20"/>
          <w:u w:val="single"/>
        </w:rPr>
        <w:t> </w:t>
      </w:r>
      <w:r>
        <w:rPr>
          <w:u w:val="single"/>
        </w:rPr>
        <w:t>Ins.</w:t>
      </w:r>
      <w:r>
        <w:rPr>
          <w:spacing w:val="-24"/>
          <w:u w:val="single"/>
        </w:rPr>
        <w:t> </w:t>
      </w:r>
      <w:r>
        <w:rPr>
          <w:u w:val="single"/>
        </w:rPr>
        <w:t>Co.</w:t>
      </w:r>
      <w:r>
        <w:rPr>
          <w:vertAlign w:val="superscript"/>
        </w:rPr>
        <w:t>162</w:t>
      </w:r>
      <w:r>
        <w:rPr>
          <w:spacing w:val="-24"/>
          <w:vertAlign w:val="baseline"/>
        </w:rPr>
        <w:t> </w:t>
      </w:r>
      <w:r>
        <w:rPr>
          <w:vertAlign w:val="baseline"/>
        </w:rPr>
        <w:t>where</w:t>
      </w:r>
      <w:r>
        <w:rPr>
          <w:spacing w:val="-19"/>
          <w:vertAlign w:val="baseline"/>
        </w:rPr>
        <w:t> </w:t>
      </w:r>
      <w:r>
        <w:rPr>
          <w:spacing w:val="-12"/>
          <w:vertAlign w:val="baseline"/>
        </w:rPr>
        <w:t>the </w:t>
      </w:r>
      <w:r>
        <w:rPr>
          <w:vertAlign w:val="baseline"/>
        </w:rPr>
        <w:t>court recognized the distinction between deciding the value of an item which is the thrust of the appraisal process and deciding the type of item taken. This court was </w:t>
      </w:r>
      <w:r>
        <w:rPr>
          <w:spacing w:val="6"/>
          <w:vertAlign w:val="baseline"/>
        </w:rPr>
        <w:t>additionally</w:t>
      </w:r>
      <w:r>
        <w:rPr>
          <w:spacing w:val="83"/>
          <w:vertAlign w:val="baseline"/>
        </w:rPr>
        <w:t> </w:t>
      </w:r>
      <w:r>
        <w:rPr>
          <w:spacing w:val="6"/>
          <w:vertAlign w:val="baseline"/>
        </w:rPr>
        <w:t>troubled </w:t>
      </w:r>
      <w:r>
        <w:rPr>
          <w:spacing w:val="4"/>
          <w:vertAlign w:val="baseline"/>
        </w:rPr>
        <w:t>by the </w:t>
      </w:r>
      <w:r>
        <w:rPr>
          <w:spacing w:val="5"/>
          <w:vertAlign w:val="baseline"/>
        </w:rPr>
        <w:t>umpire’s </w:t>
      </w:r>
      <w:r>
        <w:rPr>
          <w:vertAlign w:val="baseline"/>
        </w:rPr>
        <w:t>determination of issues of credibility and the burden of proof regarding the extent of the insured’s claimed</w:t>
      </w:r>
      <w:r>
        <w:rPr>
          <w:spacing w:val="-3"/>
          <w:vertAlign w:val="baseline"/>
        </w:rPr>
        <w:t> </w:t>
      </w:r>
      <w:r>
        <w:rPr>
          <w:vertAlign w:val="baseline"/>
        </w:rPr>
        <w:t>loss.</w:t>
      </w:r>
    </w:p>
    <w:p>
      <w:pPr>
        <w:pStyle w:val="BodyText"/>
        <w:spacing w:before="11"/>
        <w:rPr>
          <w:sz w:val="25"/>
        </w:rPr>
      </w:pPr>
    </w:p>
    <w:p>
      <w:pPr>
        <w:pStyle w:val="BodyText"/>
        <w:spacing w:line="242" w:lineRule="auto"/>
        <w:ind w:left="1520" w:right="1518" w:firstLine="720"/>
        <w:jc w:val="both"/>
      </w:pPr>
      <w:r>
        <w:rPr/>
        <w:t>Similarly, it has been held that where,</w:t>
      </w:r>
      <w:r>
        <w:rPr>
          <w:spacing w:val="-36"/>
        </w:rPr>
        <w:t> </w:t>
      </w:r>
      <w:r>
        <w:rPr/>
        <w:t>for example,</w:t>
      </w:r>
      <w:r>
        <w:rPr>
          <w:spacing w:val="-34"/>
        </w:rPr>
        <w:t> </w:t>
      </w:r>
      <w:r>
        <w:rPr/>
        <w:t>the</w:t>
      </w:r>
      <w:r>
        <w:rPr>
          <w:spacing w:val="-32"/>
        </w:rPr>
        <w:t> </w:t>
      </w:r>
      <w:r>
        <w:rPr/>
        <w:t>parties</w:t>
      </w:r>
      <w:r>
        <w:rPr>
          <w:spacing w:val="-33"/>
        </w:rPr>
        <w:t> </w:t>
      </w:r>
      <w:r>
        <w:rPr/>
        <w:t>disagreed</w:t>
      </w:r>
      <w:r>
        <w:rPr>
          <w:spacing w:val="-33"/>
        </w:rPr>
        <w:t> </w:t>
      </w:r>
      <w:r>
        <w:rPr/>
        <w:t>as</w:t>
      </w:r>
      <w:r>
        <w:rPr>
          <w:spacing w:val="-34"/>
        </w:rPr>
        <w:t> </w:t>
      </w:r>
      <w:r>
        <w:rPr/>
        <w:t>to</w:t>
      </w:r>
      <w:r>
        <w:rPr>
          <w:spacing w:val="-33"/>
        </w:rPr>
        <w:t> </w:t>
      </w:r>
      <w:r>
        <w:rPr/>
        <w:t>the</w:t>
      </w:r>
      <w:r>
        <w:rPr>
          <w:spacing w:val="-32"/>
        </w:rPr>
        <w:t> </w:t>
      </w:r>
      <w:r>
        <w:rPr/>
        <w:t>length of time for which the policy covered business interruption, or whether or not a particular employee</w:t>
      </w:r>
      <w:r>
        <w:rPr>
          <w:spacing w:val="42"/>
        </w:rPr>
        <w:t> </w:t>
      </w:r>
      <w:r>
        <w:rPr/>
        <w:t>was</w:t>
      </w:r>
      <w:r>
        <w:rPr>
          <w:spacing w:val="44"/>
        </w:rPr>
        <w:t> </w:t>
      </w:r>
      <w:r>
        <w:rPr/>
        <w:t>an</w:t>
      </w:r>
      <w:r>
        <w:rPr>
          <w:spacing w:val="44"/>
        </w:rPr>
        <w:t> </w:t>
      </w:r>
      <w:r>
        <w:rPr/>
        <w:t>“important</w:t>
      </w:r>
      <w:r>
        <w:rPr>
          <w:spacing w:val="43"/>
        </w:rPr>
        <w:t> </w:t>
      </w:r>
      <w:r>
        <w:rPr/>
        <w:t>employee”</w:t>
      </w:r>
      <w:r>
        <w:rPr>
          <w:spacing w:val="42"/>
        </w:rPr>
        <w:t> </w:t>
      </w:r>
      <w:r>
        <w:rPr>
          <w:spacing w:val="-6"/>
        </w:rPr>
        <w:t>as</w:t>
      </w:r>
    </w:p>
    <w:p>
      <w:pPr>
        <w:pStyle w:val="BodyText"/>
        <w:rPr>
          <w:sz w:val="20"/>
        </w:rPr>
      </w:pPr>
    </w:p>
    <w:p>
      <w:pPr>
        <w:pStyle w:val="BodyText"/>
        <w:spacing w:before="3"/>
        <w:rPr>
          <w:sz w:val="11"/>
        </w:rPr>
      </w:pPr>
      <w:r>
        <w:rPr/>
        <w:pict>
          <v:shape style="position:absolute;margin-left:162pt;margin-top:9.336191pt;width:143.9pt;height:.1pt;mso-position-horizontal-relative:page;mso-position-vertical-relative:paragraph;z-index:-251601920;mso-wrap-distance-left:0;mso-wrap-distance-right:0" coordorigin="3240,187" coordsize="2878,0" path="m3240,187l6118,187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1"/>
        </w:numPr>
        <w:tabs>
          <w:tab w:pos="1481" w:val="left" w:leader="none"/>
        </w:tabs>
        <w:spacing w:line="261" w:lineRule="auto" w:before="71" w:after="0"/>
        <w:ind w:left="1160" w:right="1168" w:firstLine="0"/>
        <w:jc w:val="left"/>
        <w:rPr>
          <w:sz w:val="18"/>
        </w:rPr>
      </w:pPr>
      <w:r>
        <w:rPr>
          <w:sz w:val="18"/>
          <w:u w:val="single"/>
        </w:rPr>
        <w:t>Fidelity Nat. Ins. Co. v. Yolanda Owens</w:t>
      </w:r>
      <w:r>
        <w:rPr>
          <w:sz w:val="18"/>
        </w:rPr>
        <w:t>, Alameda County Superior Court No. RG11589323)(6/18/15).</w:t>
      </w:r>
    </w:p>
    <w:p>
      <w:pPr>
        <w:pStyle w:val="ListParagraph"/>
        <w:numPr>
          <w:ilvl w:val="0"/>
          <w:numId w:val="11"/>
        </w:numPr>
        <w:tabs>
          <w:tab w:pos="1457" w:val="left" w:leader="none"/>
        </w:tabs>
        <w:spacing w:line="226" w:lineRule="exact" w:before="31" w:after="0"/>
        <w:ind w:left="1160" w:right="1163" w:firstLine="0"/>
        <w:jc w:val="left"/>
        <w:rPr>
          <w:sz w:val="18"/>
        </w:rPr>
      </w:pPr>
      <w:r>
        <w:rPr>
          <w:sz w:val="18"/>
          <w:u w:val="single"/>
        </w:rPr>
        <w:t>Turnstone Consulting Corp. v. United States Fidelity and Guaranty Co.</w:t>
      </w:r>
      <w:r>
        <w:rPr>
          <w:sz w:val="18"/>
        </w:rPr>
        <w:t>, 2007 WL 1430037 (N.D. Cal.</w:t>
      </w:r>
      <w:r>
        <w:rPr>
          <w:spacing w:val="1"/>
          <w:sz w:val="18"/>
        </w:rPr>
        <w:t> </w:t>
      </w:r>
      <w:r>
        <w:rPr>
          <w:sz w:val="18"/>
        </w:rPr>
        <w:t>2007).</w:t>
      </w:r>
    </w:p>
    <w:p>
      <w:pPr>
        <w:spacing w:line="203" w:lineRule="exact" w:before="0"/>
        <w:ind w:left="1160" w:right="0" w:firstLine="0"/>
        <w:jc w:val="left"/>
        <w:rPr>
          <w:rFonts w:ascii="Times New Roman"/>
          <w:sz w:val="18"/>
        </w:rPr>
      </w:pPr>
      <w:r>
        <w:rPr>
          <w:rFonts w:ascii="Times New Roman"/>
          <w:position w:val="9"/>
          <w:sz w:val="14"/>
        </w:rPr>
        <w:t>162 </w:t>
      </w:r>
      <w:r>
        <w:rPr>
          <w:rFonts w:ascii="Times New Roman"/>
          <w:sz w:val="18"/>
        </w:rPr>
        <w:t>2004 WL 1203072 (Cal. App. 2</w:t>
      </w:r>
      <w:r>
        <w:rPr>
          <w:rFonts w:ascii="Times New Roman"/>
          <w:position w:val="7"/>
          <w:sz w:val="10"/>
        </w:rPr>
        <w:t>nd </w:t>
      </w:r>
      <w:r>
        <w:rPr>
          <w:rFonts w:ascii="Times New Roman"/>
          <w:sz w:val="18"/>
        </w:rPr>
        <w:t>Dist. 2004).</w:t>
      </w:r>
    </w:p>
    <w:p>
      <w:pPr>
        <w:spacing w:after="0" w:line="203" w:lineRule="exact"/>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124" w:id="35"/>
      <w:bookmarkEnd w:id="35"/>
      <w:r>
        <w:rPr/>
      </w:r>
      <w:r>
        <w:rPr/>
        <w:t>defined</w:t>
      </w:r>
      <w:r>
        <w:rPr>
          <w:spacing w:val="-8"/>
        </w:rPr>
        <w:t> </w:t>
      </w:r>
      <w:r>
        <w:rPr/>
        <w:t>in</w:t>
      </w:r>
      <w:r>
        <w:rPr>
          <w:spacing w:val="-8"/>
        </w:rPr>
        <w:t> </w:t>
      </w:r>
      <w:r>
        <w:rPr/>
        <w:t>the</w:t>
      </w:r>
      <w:r>
        <w:rPr>
          <w:spacing w:val="-7"/>
        </w:rPr>
        <w:t> </w:t>
      </w:r>
      <w:r>
        <w:rPr/>
        <w:t>policy,</w:t>
      </w:r>
      <w:r>
        <w:rPr>
          <w:spacing w:val="-9"/>
        </w:rPr>
        <w:t> </w:t>
      </w:r>
      <w:r>
        <w:rPr/>
        <w:t>or</w:t>
      </w:r>
      <w:r>
        <w:rPr>
          <w:spacing w:val="-10"/>
        </w:rPr>
        <w:t> </w:t>
      </w:r>
      <w:r>
        <w:rPr/>
        <w:t>where</w:t>
      </w:r>
      <w:r>
        <w:rPr>
          <w:spacing w:val="-8"/>
        </w:rPr>
        <w:t> </w:t>
      </w:r>
      <w:r>
        <w:rPr/>
        <w:t>the</w:t>
      </w:r>
      <w:r>
        <w:rPr>
          <w:spacing w:val="-8"/>
        </w:rPr>
        <w:t> </w:t>
      </w:r>
      <w:r>
        <w:rPr/>
        <w:t>differences as</w:t>
      </w:r>
      <w:r>
        <w:rPr>
          <w:spacing w:val="-11"/>
        </w:rPr>
        <w:t> </w:t>
      </w:r>
      <w:r>
        <w:rPr/>
        <w:t>to</w:t>
      </w:r>
      <w:r>
        <w:rPr>
          <w:spacing w:val="-10"/>
        </w:rPr>
        <w:t> </w:t>
      </w:r>
      <w:r>
        <w:rPr/>
        <w:t>the</w:t>
      </w:r>
      <w:r>
        <w:rPr>
          <w:spacing w:val="-11"/>
        </w:rPr>
        <w:t> </w:t>
      </w:r>
      <w:r>
        <w:rPr/>
        <w:t>amount</w:t>
      </w:r>
      <w:r>
        <w:rPr>
          <w:spacing w:val="-11"/>
        </w:rPr>
        <w:t> </w:t>
      </w:r>
      <w:r>
        <w:rPr/>
        <w:t>of</w:t>
      </w:r>
      <w:r>
        <w:rPr>
          <w:spacing w:val="-11"/>
        </w:rPr>
        <w:t> </w:t>
      </w:r>
      <w:r>
        <w:rPr/>
        <w:t>loss</w:t>
      </w:r>
      <w:r>
        <w:rPr>
          <w:spacing w:val="-9"/>
        </w:rPr>
        <w:t> </w:t>
      </w:r>
      <w:r>
        <w:rPr/>
        <w:t>were</w:t>
      </w:r>
      <w:r>
        <w:rPr>
          <w:spacing w:val="-10"/>
        </w:rPr>
        <w:t> </w:t>
      </w:r>
      <w:r>
        <w:rPr/>
        <w:t>all</w:t>
      </w:r>
      <w:r>
        <w:rPr>
          <w:spacing w:val="-6"/>
        </w:rPr>
        <w:t> </w:t>
      </w:r>
      <w:r>
        <w:rPr/>
        <w:t>“incidental</w:t>
      </w:r>
      <w:r>
        <w:rPr>
          <w:spacing w:val="-7"/>
        </w:rPr>
        <w:t> </w:t>
      </w:r>
      <w:r>
        <w:rPr/>
        <w:t>to the actual underlying legal controversy between the parties as to the meaning of the insurance contract and its application to the facts”, appraisal was</w:t>
      </w:r>
      <w:r>
        <w:rPr>
          <w:spacing w:val="-6"/>
        </w:rPr>
        <w:t> </w:t>
      </w:r>
      <w:r>
        <w:rPr/>
        <w:t>inappropriate.</w:t>
      </w:r>
      <w:r>
        <w:rPr>
          <w:vertAlign w:val="superscript"/>
        </w:rPr>
        <w:t>163</w:t>
      </w:r>
    </w:p>
    <w:p>
      <w:pPr>
        <w:pStyle w:val="BodyText"/>
      </w:pPr>
    </w:p>
    <w:p>
      <w:pPr>
        <w:pStyle w:val="BodyText"/>
        <w:spacing w:line="242" w:lineRule="auto"/>
        <w:ind w:left="1520" w:right="1517" w:firstLine="720"/>
        <w:jc w:val="both"/>
      </w:pPr>
      <w:r>
        <w:rPr/>
        <w:t>This</w:t>
      </w:r>
      <w:r>
        <w:rPr>
          <w:spacing w:val="-8"/>
        </w:rPr>
        <w:t> </w:t>
      </w:r>
      <w:r>
        <w:rPr/>
        <w:t>approach</w:t>
      </w:r>
      <w:r>
        <w:rPr>
          <w:spacing w:val="-6"/>
        </w:rPr>
        <w:t> </w:t>
      </w:r>
      <w:r>
        <w:rPr/>
        <w:t>was</w:t>
      </w:r>
      <w:r>
        <w:rPr>
          <w:spacing w:val="-8"/>
        </w:rPr>
        <w:t> </w:t>
      </w:r>
      <w:r>
        <w:rPr/>
        <w:t>refined</w:t>
      </w:r>
      <w:r>
        <w:rPr>
          <w:spacing w:val="-8"/>
        </w:rPr>
        <w:t> </w:t>
      </w:r>
      <w:r>
        <w:rPr/>
        <w:t>in</w:t>
      </w:r>
      <w:r>
        <w:rPr>
          <w:spacing w:val="-8"/>
        </w:rPr>
        <w:t> </w:t>
      </w:r>
      <w:r>
        <w:rPr/>
        <w:t>the</w:t>
      </w:r>
      <w:r>
        <w:rPr>
          <w:spacing w:val="-7"/>
        </w:rPr>
        <w:t> </w:t>
      </w:r>
      <w:r>
        <w:rPr/>
        <w:t>case</w:t>
      </w:r>
      <w:r>
        <w:rPr>
          <w:spacing w:val="-10"/>
        </w:rPr>
        <w:t> </w:t>
      </w:r>
      <w:r>
        <w:rPr/>
        <w:t>of </w:t>
      </w:r>
      <w:r>
        <w:rPr>
          <w:u w:val="single"/>
        </w:rPr>
        <w:t>Duane Reade, Inc. v. St. Paul Fire and Marine</w:t>
      </w:r>
      <w:r>
        <w:rPr/>
        <w:t> </w:t>
      </w:r>
      <w:r>
        <w:rPr>
          <w:u w:val="single"/>
        </w:rPr>
        <w:t>Ins. Co.</w:t>
      </w:r>
      <w:r>
        <w:rPr/>
        <w:t>,</w:t>
      </w:r>
      <w:r>
        <w:rPr>
          <w:vertAlign w:val="superscript"/>
        </w:rPr>
        <w:t>164</w:t>
      </w:r>
      <w:r>
        <w:rPr>
          <w:vertAlign w:val="baseline"/>
        </w:rPr>
        <w:t> where prior to September 11, </w:t>
      </w:r>
      <w:r>
        <w:rPr>
          <w:spacing w:val="-7"/>
          <w:vertAlign w:val="baseline"/>
        </w:rPr>
        <w:t>2001, </w:t>
      </w:r>
      <w:r>
        <w:rPr>
          <w:vertAlign w:val="baseline"/>
        </w:rPr>
        <w:t>the</w:t>
      </w:r>
      <w:r>
        <w:rPr>
          <w:spacing w:val="-14"/>
          <w:vertAlign w:val="baseline"/>
        </w:rPr>
        <w:t> </w:t>
      </w:r>
      <w:r>
        <w:rPr>
          <w:vertAlign w:val="baseline"/>
        </w:rPr>
        <w:t>plaintiff</w:t>
      </w:r>
      <w:r>
        <w:rPr>
          <w:spacing w:val="-11"/>
          <w:vertAlign w:val="baseline"/>
        </w:rPr>
        <w:t> </w:t>
      </w:r>
      <w:r>
        <w:rPr>
          <w:vertAlign w:val="baseline"/>
        </w:rPr>
        <w:t>operated</w:t>
      </w:r>
      <w:r>
        <w:rPr>
          <w:spacing w:val="-12"/>
          <w:vertAlign w:val="baseline"/>
        </w:rPr>
        <w:t> </w:t>
      </w:r>
      <w:r>
        <w:rPr>
          <w:vertAlign w:val="baseline"/>
        </w:rPr>
        <w:t>a</w:t>
      </w:r>
      <w:r>
        <w:rPr>
          <w:spacing w:val="-11"/>
          <w:vertAlign w:val="baseline"/>
        </w:rPr>
        <w:t> </w:t>
      </w:r>
      <w:r>
        <w:rPr>
          <w:vertAlign w:val="baseline"/>
        </w:rPr>
        <w:t>drug</w:t>
      </w:r>
      <w:r>
        <w:rPr>
          <w:spacing w:val="-12"/>
          <w:vertAlign w:val="baseline"/>
        </w:rPr>
        <w:t> </w:t>
      </w:r>
      <w:r>
        <w:rPr>
          <w:vertAlign w:val="baseline"/>
        </w:rPr>
        <w:t>store</w:t>
      </w:r>
      <w:r>
        <w:rPr>
          <w:spacing w:val="-15"/>
          <w:vertAlign w:val="baseline"/>
        </w:rPr>
        <w:t> </w:t>
      </w:r>
      <w:r>
        <w:rPr>
          <w:vertAlign w:val="baseline"/>
        </w:rPr>
        <w:t>in</w:t>
      </w:r>
      <w:r>
        <w:rPr>
          <w:spacing w:val="-14"/>
          <w:vertAlign w:val="baseline"/>
        </w:rPr>
        <w:t> </w:t>
      </w:r>
      <w:r>
        <w:rPr>
          <w:vertAlign w:val="baseline"/>
        </w:rPr>
        <w:t>the</w:t>
      </w:r>
      <w:r>
        <w:rPr>
          <w:spacing w:val="-13"/>
          <w:vertAlign w:val="baseline"/>
        </w:rPr>
        <w:t> </w:t>
      </w:r>
      <w:r>
        <w:rPr>
          <w:vertAlign w:val="baseline"/>
        </w:rPr>
        <w:t>World Trade Center in downtown Manhattan. </w:t>
      </w:r>
      <w:r>
        <w:rPr>
          <w:spacing w:val="-3"/>
          <w:vertAlign w:val="baseline"/>
        </w:rPr>
        <w:t>When </w:t>
      </w:r>
      <w:r>
        <w:rPr>
          <w:vertAlign w:val="baseline"/>
        </w:rPr>
        <w:t>the towers and store were destroyed, plaintiff sought coverage for “business interruption losses” under an insurance policy issued </w:t>
      </w:r>
      <w:r>
        <w:rPr>
          <w:spacing w:val="-7"/>
          <w:vertAlign w:val="baseline"/>
        </w:rPr>
        <w:t>by </w:t>
      </w:r>
      <w:r>
        <w:rPr>
          <w:vertAlign w:val="baseline"/>
        </w:rPr>
        <w:t>defendant. The prime dispute between the parties was whether the plaintiff had a right </w:t>
      </w:r>
      <w:r>
        <w:rPr>
          <w:spacing w:val="2"/>
          <w:vertAlign w:val="baseline"/>
        </w:rPr>
        <w:t>under the </w:t>
      </w:r>
      <w:r>
        <w:rPr>
          <w:spacing w:val="4"/>
          <w:vertAlign w:val="baseline"/>
        </w:rPr>
        <w:t>policy </w:t>
      </w:r>
      <w:r>
        <w:rPr>
          <w:vertAlign w:val="baseline"/>
        </w:rPr>
        <w:t>to </w:t>
      </w:r>
      <w:r>
        <w:rPr>
          <w:spacing w:val="3"/>
          <w:vertAlign w:val="baseline"/>
        </w:rPr>
        <w:t>recover </w:t>
      </w:r>
      <w:r>
        <w:rPr>
          <w:spacing w:val="4"/>
          <w:vertAlign w:val="baseline"/>
        </w:rPr>
        <w:t>business </w:t>
      </w:r>
      <w:r>
        <w:rPr>
          <w:vertAlign w:val="baseline"/>
        </w:rPr>
        <w:t>interruption</w:t>
      </w:r>
      <w:r>
        <w:rPr>
          <w:spacing w:val="-13"/>
          <w:vertAlign w:val="baseline"/>
        </w:rPr>
        <w:t> </w:t>
      </w:r>
      <w:r>
        <w:rPr>
          <w:vertAlign w:val="baseline"/>
        </w:rPr>
        <w:t>losses</w:t>
      </w:r>
      <w:r>
        <w:rPr>
          <w:spacing w:val="-11"/>
          <w:vertAlign w:val="baseline"/>
        </w:rPr>
        <w:t> </w:t>
      </w:r>
      <w:r>
        <w:rPr>
          <w:vertAlign w:val="baseline"/>
        </w:rPr>
        <w:t>for</w:t>
      </w:r>
      <w:r>
        <w:rPr>
          <w:spacing w:val="-13"/>
          <w:vertAlign w:val="baseline"/>
        </w:rPr>
        <w:t> </w:t>
      </w:r>
      <w:r>
        <w:rPr>
          <w:vertAlign w:val="baseline"/>
        </w:rPr>
        <w:t>the</w:t>
      </w:r>
      <w:r>
        <w:rPr>
          <w:spacing w:val="-15"/>
          <w:vertAlign w:val="baseline"/>
        </w:rPr>
        <w:t> </w:t>
      </w:r>
      <w:r>
        <w:rPr>
          <w:vertAlign w:val="baseline"/>
        </w:rPr>
        <w:t>entire</w:t>
      </w:r>
      <w:r>
        <w:rPr>
          <w:spacing w:val="-14"/>
          <w:vertAlign w:val="baseline"/>
        </w:rPr>
        <w:t> </w:t>
      </w:r>
      <w:r>
        <w:rPr>
          <w:vertAlign w:val="baseline"/>
        </w:rPr>
        <w:t>period</w:t>
      </w:r>
      <w:r>
        <w:rPr>
          <w:spacing w:val="-12"/>
          <w:vertAlign w:val="baseline"/>
        </w:rPr>
        <w:t> </w:t>
      </w:r>
      <w:r>
        <w:rPr>
          <w:vertAlign w:val="baseline"/>
        </w:rPr>
        <w:t>until</w:t>
      </w:r>
      <w:r>
        <w:rPr>
          <w:spacing w:val="-13"/>
          <w:vertAlign w:val="baseline"/>
        </w:rPr>
        <w:t> </w:t>
      </w:r>
      <w:r>
        <w:rPr>
          <w:vertAlign w:val="baseline"/>
        </w:rPr>
        <w:t>the World Trade Center was rebuilt or whether plaintiff’s</w:t>
      </w:r>
      <w:r>
        <w:rPr>
          <w:spacing w:val="-34"/>
          <w:vertAlign w:val="baseline"/>
        </w:rPr>
        <w:t> </w:t>
      </w:r>
      <w:r>
        <w:rPr>
          <w:vertAlign w:val="baseline"/>
        </w:rPr>
        <w:t>recovery</w:t>
      </w:r>
      <w:r>
        <w:rPr>
          <w:spacing w:val="-36"/>
          <w:vertAlign w:val="baseline"/>
        </w:rPr>
        <w:t> </w:t>
      </w:r>
      <w:r>
        <w:rPr>
          <w:vertAlign w:val="baseline"/>
        </w:rPr>
        <w:t>was</w:t>
      </w:r>
      <w:r>
        <w:rPr>
          <w:spacing w:val="-33"/>
          <w:vertAlign w:val="baseline"/>
        </w:rPr>
        <w:t> </w:t>
      </w:r>
      <w:r>
        <w:rPr>
          <w:vertAlign w:val="baseline"/>
        </w:rPr>
        <w:t>limited</w:t>
      </w:r>
      <w:r>
        <w:rPr>
          <w:spacing w:val="-35"/>
          <w:vertAlign w:val="baseline"/>
        </w:rPr>
        <w:t> </w:t>
      </w:r>
      <w:r>
        <w:rPr>
          <w:vertAlign w:val="baseline"/>
        </w:rPr>
        <w:t>to</w:t>
      </w:r>
      <w:r>
        <w:rPr>
          <w:spacing w:val="-34"/>
          <w:vertAlign w:val="baseline"/>
        </w:rPr>
        <w:t> </w:t>
      </w:r>
      <w:r>
        <w:rPr>
          <w:vertAlign w:val="baseline"/>
        </w:rPr>
        <w:t>those</w:t>
      </w:r>
      <w:r>
        <w:rPr>
          <w:spacing w:val="-35"/>
          <w:vertAlign w:val="baseline"/>
        </w:rPr>
        <w:t> </w:t>
      </w:r>
      <w:r>
        <w:rPr>
          <w:vertAlign w:val="baseline"/>
        </w:rPr>
        <w:t>suffered within</w:t>
      </w:r>
      <w:r>
        <w:rPr>
          <w:spacing w:val="-12"/>
          <w:vertAlign w:val="baseline"/>
        </w:rPr>
        <w:t> </w:t>
      </w:r>
      <w:r>
        <w:rPr>
          <w:vertAlign w:val="baseline"/>
        </w:rPr>
        <w:t>21</w:t>
      </w:r>
      <w:r>
        <w:rPr>
          <w:spacing w:val="-8"/>
          <w:vertAlign w:val="baseline"/>
        </w:rPr>
        <w:t> </w:t>
      </w:r>
      <w:r>
        <w:rPr>
          <w:vertAlign w:val="baseline"/>
        </w:rPr>
        <w:t>months</w:t>
      </w:r>
      <w:r>
        <w:rPr>
          <w:spacing w:val="-10"/>
          <w:vertAlign w:val="baseline"/>
        </w:rPr>
        <w:t> </w:t>
      </w:r>
      <w:r>
        <w:rPr>
          <w:vertAlign w:val="baseline"/>
        </w:rPr>
        <w:t>following</w:t>
      </w:r>
      <w:r>
        <w:rPr>
          <w:spacing w:val="-8"/>
          <w:vertAlign w:val="baseline"/>
        </w:rPr>
        <w:t> </w:t>
      </w:r>
      <w:r>
        <w:rPr>
          <w:vertAlign w:val="baseline"/>
        </w:rPr>
        <w:t>the</w:t>
      </w:r>
      <w:r>
        <w:rPr>
          <w:spacing w:val="-13"/>
          <w:vertAlign w:val="baseline"/>
        </w:rPr>
        <w:t> </w:t>
      </w:r>
      <w:r>
        <w:rPr>
          <w:vertAlign w:val="baseline"/>
        </w:rPr>
        <w:t>terrorist</w:t>
      </w:r>
      <w:r>
        <w:rPr>
          <w:spacing w:val="-14"/>
          <w:vertAlign w:val="baseline"/>
        </w:rPr>
        <w:t> </w:t>
      </w:r>
      <w:r>
        <w:rPr>
          <w:vertAlign w:val="baseline"/>
        </w:rPr>
        <w:t>attacks. The District Court determined that appraisal would be premature where there </w:t>
      </w:r>
      <w:r>
        <w:rPr>
          <w:spacing w:val="-3"/>
          <w:vertAlign w:val="baseline"/>
        </w:rPr>
        <w:t>were </w:t>
      </w:r>
      <w:r>
        <w:rPr>
          <w:vertAlign w:val="baseline"/>
        </w:rPr>
        <w:t>unresolved claims for declaratory judgment regarding the</w:t>
      </w:r>
      <w:r>
        <w:rPr>
          <w:spacing w:val="-54"/>
          <w:vertAlign w:val="baseline"/>
        </w:rPr>
        <w:t> </w:t>
      </w:r>
      <w:r>
        <w:rPr>
          <w:vertAlign w:val="baseline"/>
        </w:rPr>
        <w:t>scope of coverage and related issues.</w:t>
      </w:r>
    </w:p>
    <w:p>
      <w:pPr>
        <w:pStyle w:val="BodyText"/>
        <w:rPr>
          <w:sz w:val="20"/>
        </w:rPr>
      </w:pPr>
    </w:p>
    <w:p>
      <w:pPr>
        <w:pStyle w:val="BodyText"/>
        <w:rPr>
          <w:sz w:val="20"/>
        </w:rPr>
      </w:pPr>
    </w:p>
    <w:p>
      <w:pPr>
        <w:pStyle w:val="BodyText"/>
        <w:rPr>
          <w:sz w:val="20"/>
        </w:rPr>
      </w:pPr>
    </w:p>
    <w:p>
      <w:pPr>
        <w:pStyle w:val="BodyText"/>
        <w:spacing w:before="2"/>
        <w:rPr>
          <w:sz w:val="11"/>
        </w:rPr>
      </w:pPr>
      <w:r>
        <w:rPr/>
        <w:pict>
          <v:shape style="position:absolute;margin-left:162pt;margin-top:9.250742pt;width:143.9pt;height:.1pt;mso-position-horizontal-relative:page;mso-position-vertical-relative:paragraph;z-index:-251600896;mso-wrap-distance-left:0;mso-wrap-distance-right:0" coordorigin="3240,185" coordsize="2878,0" path="m3240,185l6118,185e" filled="false" stroked="true" strokeweight=".84pt" strokecolor="#000000">
            <v:path arrowok="t"/>
            <v:stroke dashstyle="solid"/>
            <w10:wrap type="topAndBottom"/>
          </v:shape>
        </w:pict>
      </w:r>
    </w:p>
    <w:p>
      <w:pPr>
        <w:spacing w:line="244" w:lineRule="auto" w:before="140"/>
        <w:ind w:left="1160" w:right="1110" w:firstLine="0"/>
        <w:jc w:val="left"/>
        <w:rPr>
          <w:rFonts w:ascii="Times New Roman" w:hAnsi="Times New Roman"/>
          <w:sz w:val="18"/>
        </w:rPr>
      </w:pPr>
      <w:r>
        <w:rPr>
          <w:rFonts w:ascii="Times New Roman" w:hAnsi="Times New Roman"/>
          <w:position w:val="10"/>
          <w:sz w:val="14"/>
        </w:rPr>
        <w:t>163</w:t>
      </w:r>
      <w:r>
        <w:rPr>
          <w:rFonts w:ascii="Times New Roman" w:hAnsi="Times New Roman"/>
          <w:sz w:val="14"/>
        </w:rPr>
        <w:t> </w:t>
      </w:r>
      <w:r>
        <w:rPr>
          <w:rFonts w:ascii="Times New Roman" w:hAnsi="Times New Roman"/>
          <w:sz w:val="18"/>
          <w:u w:val="single"/>
        </w:rPr>
        <w:t>Hawkinson Thread Tire Service Co. v. Indiana Lumbermen’s Mut. Ins. Co.</w:t>
      </w:r>
      <w:r>
        <w:rPr>
          <w:rFonts w:ascii="Times New Roman" w:hAnsi="Times New Roman"/>
          <w:sz w:val="18"/>
        </w:rPr>
        <w:t>, 362 Mo. 823, 830, 245 S.W.2d 24, 28 (1951).</w:t>
      </w:r>
    </w:p>
    <w:p>
      <w:pPr>
        <w:spacing w:line="265" w:lineRule="exact" w:before="0"/>
        <w:ind w:left="1160" w:right="0" w:firstLine="0"/>
        <w:jc w:val="left"/>
        <w:rPr>
          <w:rFonts w:ascii="Times New Roman"/>
          <w:sz w:val="18"/>
        </w:rPr>
      </w:pPr>
      <w:r>
        <w:rPr>
          <w:rFonts w:ascii="Times New Roman"/>
          <w:position w:val="10"/>
          <w:sz w:val="14"/>
        </w:rPr>
        <w:t>164 </w:t>
      </w:r>
      <w:r>
        <w:rPr>
          <w:rFonts w:ascii="Times New Roman"/>
          <w:sz w:val="18"/>
        </w:rPr>
        <w:t>261 F.Supp.2d 293 (S.D.N.Y. 2003).</w:t>
      </w:r>
    </w:p>
    <w:p>
      <w:pPr>
        <w:spacing w:after="0" w:line="265" w:lineRule="exact"/>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20" w:firstLine="720"/>
        <w:jc w:val="both"/>
      </w:pPr>
      <w:bookmarkStart w:name="Law and Procedure 125" w:id="36"/>
      <w:bookmarkEnd w:id="36"/>
      <w:r>
        <w:rPr/>
      </w:r>
      <w:r>
        <w:rPr/>
        <w:t>This view was taken to an extreme</w:t>
      </w:r>
      <w:r>
        <w:rPr>
          <w:spacing w:val="-36"/>
        </w:rPr>
        <w:t> </w:t>
      </w:r>
      <w:r>
        <w:rPr/>
        <w:t>when a</w:t>
      </w:r>
      <w:r>
        <w:rPr>
          <w:spacing w:val="-29"/>
        </w:rPr>
        <w:t> </w:t>
      </w:r>
      <w:r>
        <w:rPr/>
        <w:t>trial</w:t>
      </w:r>
      <w:r>
        <w:rPr>
          <w:spacing w:val="-27"/>
        </w:rPr>
        <w:t> </w:t>
      </w:r>
      <w:r>
        <w:rPr/>
        <w:t>court</w:t>
      </w:r>
      <w:r>
        <w:rPr>
          <w:spacing w:val="-31"/>
        </w:rPr>
        <w:t> </w:t>
      </w:r>
      <w:r>
        <w:rPr/>
        <w:t>asserted</w:t>
      </w:r>
      <w:r>
        <w:rPr>
          <w:spacing w:val="-30"/>
        </w:rPr>
        <w:t> </w:t>
      </w:r>
      <w:r>
        <w:rPr/>
        <w:t>authority</w:t>
      </w:r>
      <w:r>
        <w:rPr>
          <w:spacing w:val="-31"/>
        </w:rPr>
        <w:t> </w:t>
      </w:r>
      <w:r>
        <w:rPr/>
        <w:t>to</w:t>
      </w:r>
      <w:r>
        <w:rPr>
          <w:spacing w:val="-26"/>
        </w:rPr>
        <w:t> </w:t>
      </w:r>
      <w:r>
        <w:rPr/>
        <w:t>determine</w:t>
      </w:r>
      <w:r>
        <w:rPr>
          <w:spacing w:val="-26"/>
        </w:rPr>
        <w:t> </w:t>
      </w:r>
      <w:r>
        <w:rPr/>
        <w:t>the period of restoration, applying this period to the appraiser’s determination of monthly</w:t>
      </w:r>
      <w:r>
        <w:rPr>
          <w:spacing w:val="-18"/>
        </w:rPr>
        <w:t> </w:t>
      </w:r>
      <w:r>
        <w:rPr/>
        <w:t>loss.</w:t>
      </w:r>
    </w:p>
    <w:p>
      <w:pPr>
        <w:pStyle w:val="BodyText"/>
        <w:spacing w:before="1"/>
      </w:pPr>
    </w:p>
    <w:p>
      <w:pPr>
        <w:pStyle w:val="BodyText"/>
        <w:spacing w:line="242" w:lineRule="auto"/>
        <w:ind w:left="1520" w:right="1519" w:firstLine="720"/>
        <w:jc w:val="both"/>
      </w:pPr>
      <w:r>
        <w:rPr/>
        <w:t>Typically, the court should help to</w:t>
      </w:r>
      <w:r>
        <w:rPr>
          <w:spacing w:val="-54"/>
        </w:rPr>
        <w:t> </w:t>
      </w:r>
      <w:r>
        <w:rPr>
          <w:spacing w:val="-3"/>
        </w:rPr>
        <w:t>define </w:t>
      </w:r>
      <w:r>
        <w:rPr/>
        <w:t>ambiguous policy terms and determine issues of policy interpretation and leave it for the appraisers to quantify the loss.</w:t>
      </w:r>
      <w:r>
        <w:rPr>
          <w:vertAlign w:val="superscript"/>
        </w:rPr>
        <w:t>165</w:t>
      </w:r>
    </w:p>
    <w:p>
      <w:pPr>
        <w:pStyle w:val="BodyText"/>
        <w:spacing w:before="1"/>
      </w:pPr>
    </w:p>
    <w:p>
      <w:pPr>
        <w:pStyle w:val="BodyText"/>
        <w:spacing w:line="242" w:lineRule="auto"/>
        <w:ind w:left="1520" w:right="1521" w:firstLine="720"/>
        <w:jc w:val="both"/>
      </w:pPr>
      <w:r>
        <w:rPr>
          <w:spacing w:val="3"/>
        </w:rPr>
        <w:t>In</w:t>
      </w:r>
      <w:r>
        <w:rPr>
          <w:spacing w:val="-26"/>
        </w:rPr>
        <w:t> </w:t>
      </w:r>
      <w:r>
        <w:rPr/>
        <w:t>a</w:t>
      </w:r>
      <w:r>
        <w:rPr>
          <w:spacing w:val="-24"/>
        </w:rPr>
        <w:t> </w:t>
      </w:r>
      <w:r>
        <w:rPr/>
        <w:t>case</w:t>
      </w:r>
      <w:r>
        <w:rPr>
          <w:spacing w:val="-23"/>
        </w:rPr>
        <w:t> </w:t>
      </w:r>
      <w:r>
        <w:rPr/>
        <w:t>in</w:t>
      </w:r>
      <w:r>
        <w:rPr>
          <w:spacing w:val="-24"/>
        </w:rPr>
        <w:t> </w:t>
      </w:r>
      <w:r>
        <w:rPr/>
        <w:t>which</w:t>
      </w:r>
      <w:r>
        <w:rPr>
          <w:spacing w:val="-23"/>
        </w:rPr>
        <w:t> </w:t>
      </w:r>
      <w:r>
        <w:rPr/>
        <w:t>there</w:t>
      </w:r>
      <w:r>
        <w:rPr>
          <w:spacing w:val="-25"/>
        </w:rPr>
        <w:t> </w:t>
      </w:r>
      <w:r>
        <w:rPr/>
        <w:t>are</w:t>
      </w:r>
      <w:r>
        <w:rPr>
          <w:spacing w:val="-25"/>
        </w:rPr>
        <w:t> </w:t>
      </w:r>
      <w:r>
        <w:rPr/>
        <w:t>issues</w:t>
      </w:r>
      <w:r>
        <w:rPr>
          <w:spacing w:val="-23"/>
        </w:rPr>
        <w:t> </w:t>
      </w:r>
      <w:r>
        <w:rPr/>
        <w:t>of</w:t>
      </w:r>
      <w:r>
        <w:rPr>
          <w:spacing w:val="-24"/>
        </w:rPr>
        <w:t> </w:t>
      </w:r>
      <w:r>
        <w:rPr/>
        <w:t>both coverage</w:t>
      </w:r>
      <w:r>
        <w:rPr>
          <w:spacing w:val="-25"/>
        </w:rPr>
        <w:t> </w:t>
      </w:r>
      <w:r>
        <w:rPr/>
        <w:t>and</w:t>
      </w:r>
      <w:r>
        <w:rPr>
          <w:spacing w:val="-26"/>
        </w:rPr>
        <w:t> </w:t>
      </w:r>
      <w:r>
        <w:rPr/>
        <w:t>of</w:t>
      </w:r>
      <w:r>
        <w:rPr>
          <w:spacing w:val="-24"/>
        </w:rPr>
        <w:t> </w:t>
      </w:r>
      <w:r>
        <w:rPr/>
        <w:t>loss</w:t>
      </w:r>
      <w:r>
        <w:rPr>
          <w:spacing w:val="-26"/>
        </w:rPr>
        <w:t> </w:t>
      </w:r>
      <w:r>
        <w:rPr/>
        <w:t>valuation,</w:t>
      </w:r>
      <w:r>
        <w:rPr>
          <w:spacing w:val="-30"/>
        </w:rPr>
        <w:t> </w:t>
      </w:r>
      <w:r>
        <w:rPr/>
        <w:t>most</w:t>
      </w:r>
      <w:r>
        <w:rPr>
          <w:spacing w:val="-28"/>
        </w:rPr>
        <w:t> </w:t>
      </w:r>
      <w:r>
        <w:rPr/>
        <w:t>courts</w:t>
      </w:r>
      <w:r>
        <w:rPr>
          <w:spacing w:val="-27"/>
        </w:rPr>
        <w:t> </w:t>
      </w:r>
      <w:r>
        <w:rPr/>
        <w:t>will stay that part of the litigation that involves</w:t>
      </w:r>
      <w:r>
        <w:rPr>
          <w:spacing w:val="-33"/>
        </w:rPr>
        <w:t> </w:t>
      </w:r>
      <w:r>
        <w:rPr/>
        <w:t>loss valuation. However, that part of the litigation that involves coverage issues should continue pending the</w:t>
      </w:r>
      <w:r>
        <w:rPr>
          <w:spacing w:val="-2"/>
        </w:rPr>
        <w:t> </w:t>
      </w:r>
      <w:r>
        <w:rPr/>
        <w:t>appraisal.</w:t>
      </w:r>
      <w:r>
        <w:rPr>
          <w:vertAlign w:val="superscript"/>
        </w:rPr>
        <w:t>166</w:t>
      </w:r>
    </w:p>
    <w:p>
      <w:pPr>
        <w:pStyle w:val="BodyText"/>
        <w:spacing w:before="1"/>
      </w:pPr>
    </w:p>
    <w:p>
      <w:pPr>
        <w:pStyle w:val="BodyText"/>
        <w:spacing w:line="242" w:lineRule="auto"/>
        <w:ind w:left="1520" w:right="1518" w:firstLine="720"/>
        <w:jc w:val="both"/>
      </w:pPr>
      <w:r>
        <w:rPr/>
        <w:t>A simplified statement of the rule is that issues of coverage are to be decided by </w:t>
      </w:r>
      <w:r>
        <w:rPr>
          <w:spacing w:val="-5"/>
        </w:rPr>
        <w:t>the </w:t>
      </w:r>
      <w:r>
        <w:rPr/>
        <w:t>courts, the dollar value of the loss being resolved</w:t>
      </w:r>
      <w:r>
        <w:rPr>
          <w:spacing w:val="-34"/>
        </w:rPr>
        <w:t> </w:t>
      </w:r>
      <w:r>
        <w:rPr/>
        <w:t>by</w:t>
      </w:r>
      <w:r>
        <w:rPr>
          <w:spacing w:val="-35"/>
        </w:rPr>
        <w:t> </w:t>
      </w:r>
      <w:r>
        <w:rPr/>
        <w:t>appraisal,</w:t>
      </w:r>
      <w:r>
        <w:rPr>
          <w:spacing w:val="-33"/>
        </w:rPr>
        <w:t> </w:t>
      </w:r>
      <w:r>
        <w:rPr/>
        <w:t>with</w:t>
      </w:r>
      <w:r>
        <w:rPr>
          <w:spacing w:val="-33"/>
        </w:rPr>
        <w:t> </w:t>
      </w:r>
      <w:r>
        <w:rPr/>
        <w:t>the</w:t>
      </w:r>
      <w:r>
        <w:rPr>
          <w:spacing w:val="-33"/>
        </w:rPr>
        <w:t> </w:t>
      </w:r>
      <w:r>
        <w:rPr/>
        <w:t>result</w:t>
      </w:r>
      <w:r>
        <w:rPr>
          <w:spacing w:val="-33"/>
        </w:rPr>
        <w:t> </w:t>
      </w:r>
      <w:r>
        <w:rPr/>
        <w:t>binding</w:t>
      </w:r>
      <w:r>
        <w:rPr>
          <w:spacing w:val="-32"/>
        </w:rPr>
        <w:t> </w:t>
      </w:r>
      <w:r>
        <w:rPr/>
        <w:t>on the parties. </w:t>
      </w:r>
      <w:r>
        <w:rPr>
          <w:spacing w:val="3"/>
        </w:rPr>
        <w:t>In </w:t>
      </w:r>
      <w:r>
        <w:rPr>
          <w:u w:val="single"/>
        </w:rPr>
        <w:t>State Farm Fire &amp; Cas. Co. v.</w:t>
      </w:r>
      <w:r>
        <w:rPr/>
        <w:t> </w:t>
      </w:r>
      <w:r>
        <w:rPr>
          <w:u w:val="single"/>
        </w:rPr>
        <w:t>Licea</w:t>
      </w:r>
      <w:r>
        <w:rPr/>
        <w:t>,</w:t>
      </w:r>
      <w:r>
        <w:rPr>
          <w:vertAlign w:val="superscript"/>
        </w:rPr>
        <w:t>167</w:t>
      </w:r>
      <w:r>
        <w:rPr>
          <w:vertAlign w:val="baseline"/>
        </w:rPr>
        <w:t> the Florida Supreme Court stated </w:t>
      </w:r>
      <w:r>
        <w:rPr>
          <w:spacing w:val="-16"/>
          <w:vertAlign w:val="baseline"/>
        </w:rPr>
        <w:t>as </w:t>
      </w:r>
      <w:r>
        <w:rPr>
          <w:vertAlign w:val="baseline"/>
        </w:rPr>
        <w:t>follows:</w:t>
      </w:r>
    </w:p>
    <w:p>
      <w:pPr>
        <w:pStyle w:val="BodyText"/>
        <w:rPr>
          <w:sz w:val="20"/>
        </w:rPr>
      </w:pPr>
    </w:p>
    <w:p>
      <w:pPr>
        <w:pStyle w:val="BodyText"/>
        <w:rPr>
          <w:sz w:val="20"/>
        </w:rPr>
      </w:pPr>
    </w:p>
    <w:p>
      <w:pPr>
        <w:pStyle w:val="BodyText"/>
        <w:rPr>
          <w:sz w:val="20"/>
        </w:rPr>
      </w:pPr>
    </w:p>
    <w:p>
      <w:pPr>
        <w:pStyle w:val="BodyText"/>
        <w:spacing w:before="11"/>
        <w:rPr>
          <w:sz w:val="20"/>
        </w:rPr>
      </w:pPr>
      <w:r>
        <w:rPr/>
        <w:pict>
          <v:shape style="position:absolute;margin-left:162pt;margin-top:15.234585pt;width:143.9pt;height:.1pt;mso-position-horizontal-relative:page;mso-position-vertical-relative:paragraph;z-index:-251599872;mso-wrap-distance-left:0;mso-wrap-distance-right:0" coordorigin="3240,305" coordsize="2878,0" path="m3240,305l6118,305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2"/>
        </w:numPr>
        <w:tabs>
          <w:tab w:pos="1445" w:val="left" w:leader="none"/>
        </w:tabs>
        <w:spacing w:line="264" w:lineRule="auto" w:before="71" w:after="0"/>
        <w:ind w:left="1160" w:right="1168" w:firstLine="0"/>
        <w:jc w:val="left"/>
        <w:rPr>
          <w:sz w:val="24"/>
        </w:rPr>
      </w:pPr>
      <w:r>
        <w:rPr>
          <w:sz w:val="18"/>
          <w:u w:val="single"/>
        </w:rPr>
        <w:t>Meridian Ins. Co. v. Cha Cha, Inc.</w:t>
      </w:r>
      <w:r>
        <w:rPr>
          <w:sz w:val="18"/>
        </w:rPr>
        <w:t>, 868 N.E.2d 922, 2007 WL 1747968 (Ind. App. 2007)</w:t>
      </w:r>
      <w:r>
        <w:rPr>
          <w:sz w:val="24"/>
        </w:rPr>
        <w:t>.</w:t>
      </w:r>
    </w:p>
    <w:p>
      <w:pPr>
        <w:pStyle w:val="ListParagraph"/>
        <w:numPr>
          <w:ilvl w:val="0"/>
          <w:numId w:val="12"/>
        </w:numPr>
        <w:tabs>
          <w:tab w:pos="1457" w:val="left" w:leader="none"/>
        </w:tabs>
        <w:spacing w:line="241" w:lineRule="exact" w:before="0" w:after="0"/>
        <w:ind w:left="1456" w:right="0" w:hanging="297"/>
        <w:jc w:val="left"/>
        <w:rPr>
          <w:sz w:val="18"/>
        </w:rPr>
      </w:pPr>
      <w:r>
        <w:rPr>
          <w:i/>
          <w:sz w:val="18"/>
        </w:rPr>
        <w:t>See</w:t>
      </w:r>
      <w:r>
        <w:rPr>
          <w:i/>
          <w:spacing w:val="18"/>
          <w:sz w:val="18"/>
        </w:rPr>
        <w:t> </w:t>
      </w:r>
      <w:r>
        <w:rPr>
          <w:sz w:val="18"/>
          <w:u w:val="single"/>
        </w:rPr>
        <w:t>Glenbrook</w:t>
      </w:r>
      <w:r>
        <w:rPr>
          <w:spacing w:val="19"/>
          <w:sz w:val="18"/>
          <w:u w:val="single"/>
        </w:rPr>
        <w:t> </w:t>
      </w:r>
      <w:r>
        <w:rPr>
          <w:sz w:val="18"/>
          <w:u w:val="single"/>
        </w:rPr>
        <w:t>Patiohome</w:t>
      </w:r>
      <w:r>
        <w:rPr>
          <w:spacing w:val="21"/>
          <w:sz w:val="18"/>
          <w:u w:val="single"/>
        </w:rPr>
        <w:t> </w:t>
      </w:r>
      <w:r>
        <w:rPr>
          <w:sz w:val="18"/>
          <w:u w:val="single"/>
        </w:rPr>
        <w:t>Owners</w:t>
      </w:r>
      <w:r>
        <w:rPr>
          <w:spacing w:val="21"/>
          <w:sz w:val="18"/>
          <w:u w:val="single"/>
        </w:rPr>
        <w:t> </w:t>
      </w:r>
      <w:r>
        <w:rPr>
          <w:sz w:val="18"/>
          <w:u w:val="single"/>
        </w:rPr>
        <w:t>Ass’n.</w:t>
      </w:r>
      <w:r>
        <w:rPr>
          <w:spacing w:val="21"/>
          <w:sz w:val="18"/>
          <w:u w:val="single"/>
        </w:rPr>
        <w:t> </w:t>
      </w:r>
      <w:r>
        <w:rPr>
          <w:sz w:val="18"/>
          <w:u w:val="single"/>
        </w:rPr>
        <w:t>v.</w:t>
      </w:r>
      <w:r>
        <w:rPr>
          <w:spacing w:val="22"/>
          <w:sz w:val="18"/>
          <w:u w:val="single"/>
        </w:rPr>
        <w:t> </w:t>
      </w:r>
      <w:r>
        <w:rPr>
          <w:sz w:val="18"/>
          <w:u w:val="single"/>
        </w:rPr>
        <w:t>Lexington</w:t>
      </w:r>
      <w:r>
        <w:rPr>
          <w:spacing w:val="22"/>
          <w:sz w:val="18"/>
          <w:u w:val="single"/>
        </w:rPr>
        <w:t> </w:t>
      </w:r>
      <w:r>
        <w:rPr>
          <w:sz w:val="18"/>
          <w:u w:val="single"/>
        </w:rPr>
        <w:t>Ins.</w:t>
      </w:r>
      <w:r>
        <w:rPr>
          <w:spacing w:val="22"/>
          <w:sz w:val="18"/>
          <w:u w:val="single"/>
        </w:rPr>
        <w:t> </w:t>
      </w:r>
      <w:r>
        <w:rPr>
          <w:sz w:val="18"/>
          <w:u w:val="single"/>
        </w:rPr>
        <w:t>Co.</w:t>
      </w:r>
      <w:r>
        <w:rPr>
          <w:sz w:val="18"/>
        </w:rPr>
        <w:t>,</w:t>
      </w:r>
      <w:r>
        <w:rPr>
          <w:spacing w:val="23"/>
          <w:sz w:val="18"/>
        </w:rPr>
        <w:t> </w:t>
      </w:r>
      <w:r>
        <w:rPr>
          <w:sz w:val="18"/>
        </w:rPr>
        <w:t>2011</w:t>
      </w:r>
      <w:r>
        <w:rPr>
          <w:spacing w:val="23"/>
          <w:sz w:val="18"/>
        </w:rPr>
        <w:t> </w:t>
      </w:r>
      <w:r>
        <w:rPr>
          <w:sz w:val="18"/>
        </w:rPr>
        <w:t>WL</w:t>
      </w:r>
      <w:r>
        <w:rPr>
          <w:spacing w:val="20"/>
          <w:sz w:val="18"/>
        </w:rPr>
        <w:t> </w:t>
      </w:r>
      <w:r>
        <w:rPr>
          <w:sz w:val="18"/>
        </w:rPr>
        <w:t>666517</w:t>
      </w:r>
    </w:p>
    <w:p>
      <w:pPr>
        <w:spacing w:line="247" w:lineRule="exact" w:before="22"/>
        <w:ind w:left="1160" w:right="0" w:firstLine="0"/>
        <w:jc w:val="left"/>
        <w:rPr>
          <w:rFonts w:ascii="Times New Roman"/>
          <w:sz w:val="24"/>
        </w:rPr>
      </w:pPr>
      <w:r>
        <w:rPr>
          <w:rFonts w:ascii="Times New Roman"/>
          <w:sz w:val="18"/>
        </w:rPr>
        <w:t>(S.D.Tex. 2011)</w:t>
      </w:r>
      <w:r>
        <w:rPr>
          <w:rFonts w:ascii="Times New Roman"/>
          <w:sz w:val="24"/>
        </w:rPr>
        <w:t>.</w:t>
      </w:r>
    </w:p>
    <w:p>
      <w:pPr>
        <w:pStyle w:val="ListParagraph"/>
        <w:numPr>
          <w:ilvl w:val="0"/>
          <w:numId w:val="12"/>
        </w:numPr>
        <w:tabs>
          <w:tab w:pos="1428" w:val="left" w:leader="none"/>
        </w:tabs>
        <w:spacing w:line="241" w:lineRule="exact" w:before="0" w:after="0"/>
        <w:ind w:left="1427" w:right="0" w:hanging="268"/>
        <w:jc w:val="left"/>
        <w:rPr>
          <w:sz w:val="18"/>
        </w:rPr>
      </w:pPr>
      <w:r>
        <w:rPr>
          <w:sz w:val="18"/>
        </w:rPr>
        <w:t>685</w:t>
      </w:r>
      <w:r>
        <w:rPr>
          <w:spacing w:val="7"/>
          <w:sz w:val="18"/>
        </w:rPr>
        <w:t> </w:t>
      </w:r>
      <w:r>
        <w:rPr>
          <w:sz w:val="18"/>
        </w:rPr>
        <w:t>So.2d</w:t>
      </w:r>
      <w:r>
        <w:rPr>
          <w:spacing w:val="10"/>
          <w:sz w:val="18"/>
        </w:rPr>
        <w:t> </w:t>
      </w:r>
      <w:r>
        <w:rPr>
          <w:sz w:val="18"/>
        </w:rPr>
        <w:t>1285</w:t>
      </w:r>
      <w:r>
        <w:rPr>
          <w:spacing w:val="9"/>
          <w:sz w:val="18"/>
        </w:rPr>
        <w:t> </w:t>
      </w:r>
      <w:r>
        <w:rPr>
          <w:sz w:val="18"/>
        </w:rPr>
        <w:t>(Fla.,</w:t>
      </w:r>
      <w:r>
        <w:rPr>
          <w:spacing w:val="10"/>
          <w:sz w:val="18"/>
        </w:rPr>
        <w:t> </w:t>
      </w:r>
      <w:r>
        <w:rPr>
          <w:sz w:val="18"/>
        </w:rPr>
        <w:t>1996);</w:t>
      </w:r>
      <w:r>
        <w:rPr>
          <w:spacing w:val="8"/>
          <w:sz w:val="18"/>
        </w:rPr>
        <w:t> </w:t>
      </w:r>
      <w:r>
        <w:rPr>
          <w:i/>
          <w:sz w:val="18"/>
        </w:rPr>
        <w:t>See</w:t>
      </w:r>
      <w:r>
        <w:rPr>
          <w:i/>
          <w:spacing w:val="7"/>
          <w:sz w:val="18"/>
        </w:rPr>
        <w:t> </w:t>
      </w:r>
      <w:r>
        <w:rPr>
          <w:i/>
          <w:sz w:val="18"/>
        </w:rPr>
        <w:t>also,</w:t>
      </w:r>
      <w:r>
        <w:rPr>
          <w:i/>
          <w:spacing w:val="7"/>
          <w:sz w:val="18"/>
        </w:rPr>
        <w:t> </w:t>
      </w:r>
      <w:r>
        <w:rPr>
          <w:sz w:val="18"/>
          <w:u w:val="single"/>
        </w:rPr>
        <w:t>Harco</w:t>
      </w:r>
      <w:r>
        <w:rPr>
          <w:spacing w:val="7"/>
          <w:sz w:val="18"/>
          <w:u w:val="single"/>
        </w:rPr>
        <w:t> </w:t>
      </w:r>
      <w:r>
        <w:rPr>
          <w:sz w:val="18"/>
          <w:u w:val="single"/>
        </w:rPr>
        <w:t>National</w:t>
      </w:r>
      <w:r>
        <w:rPr>
          <w:spacing w:val="8"/>
          <w:sz w:val="18"/>
          <w:u w:val="single"/>
        </w:rPr>
        <w:t> </w:t>
      </w:r>
      <w:r>
        <w:rPr>
          <w:sz w:val="18"/>
          <w:u w:val="single"/>
        </w:rPr>
        <w:t>Ins.</w:t>
      </w:r>
      <w:r>
        <w:rPr>
          <w:spacing w:val="7"/>
          <w:sz w:val="18"/>
          <w:u w:val="single"/>
        </w:rPr>
        <w:t> </w:t>
      </w:r>
      <w:r>
        <w:rPr>
          <w:sz w:val="18"/>
          <w:u w:val="single"/>
        </w:rPr>
        <w:t>Co.</w:t>
      </w:r>
      <w:r>
        <w:rPr>
          <w:spacing w:val="9"/>
          <w:sz w:val="18"/>
          <w:u w:val="single"/>
        </w:rPr>
        <w:t> </w:t>
      </w:r>
      <w:r>
        <w:rPr>
          <w:sz w:val="18"/>
          <w:u w:val="single"/>
        </w:rPr>
        <w:t>v.</w:t>
      </w:r>
      <w:r>
        <w:rPr>
          <w:spacing w:val="8"/>
          <w:sz w:val="18"/>
          <w:u w:val="single"/>
        </w:rPr>
        <w:t> </w:t>
      </w:r>
      <w:r>
        <w:rPr>
          <w:sz w:val="18"/>
          <w:u w:val="single"/>
        </w:rPr>
        <w:t>Robles</w:t>
      </w:r>
      <w:r>
        <w:rPr>
          <w:sz w:val="18"/>
        </w:rPr>
        <w:t>,</w:t>
      </w:r>
      <w:r>
        <w:rPr>
          <w:spacing w:val="8"/>
          <w:sz w:val="18"/>
        </w:rPr>
        <w:t> </w:t>
      </w:r>
      <w:r>
        <w:rPr>
          <w:sz w:val="18"/>
        </w:rPr>
        <w:t>685</w:t>
      </w:r>
      <w:r>
        <w:rPr>
          <w:spacing w:val="9"/>
          <w:sz w:val="18"/>
        </w:rPr>
        <w:t> </w:t>
      </w:r>
      <w:r>
        <w:rPr>
          <w:sz w:val="18"/>
        </w:rPr>
        <w:t>So.2d</w:t>
      </w:r>
    </w:p>
    <w:p>
      <w:pPr>
        <w:spacing w:before="4"/>
        <w:ind w:left="1160" w:right="0" w:firstLine="0"/>
        <w:jc w:val="left"/>
        <w:rPr>
          <w:rFonts w:ascii="Times New Roman"/>
          <w:sz w:val="18"/>
        </w:rPr>
      </w:pPr>
      <w:r>
        <w:rPr>
          <w:rFonts w:ascii="Times New Roman"/>
          <w:sz w:val="18"/>
        </w:rPr>
        <w:t>1288 (Fla. 1996).</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2240" w:right="2236"/>
        <w:jc w:val="both"/>
      </w:pPr>
      <w:bookmarkStart w:name="Law and Procedure 126" w:id="37"/>
      <w:bookmarkEnd w:id="37"/>
      <w:r>
        <w:rPr/>
      </w:r>
      <w:r>
        <w:rPr/>
        <w:t>Thus, where there is a demand for an appraisal under the policy, the only</w:t>
      </w:r>
      <w:r>
        <w:rPr>
          <w:spacing w:val="-17"/>
        </w:rPr>
        <w:t> </w:t>
      </w:r>
      <w:r>
        <w:rPr/>
        <w:t>defenses</w:t>
      </w:r>
      <w:r>
        <w:rPr>
          <w:spacing w:val="-16"/>
        </w:rPr>
        <w:t> </w:t>
      </w:r>
      <w:r>
        <w:rPr/>
        <w:t>which</w:t>
      </w:r>
      <w:r>
        <w:rPr>
          <w:spacing w:val="-12"/>
        </w:rPr>
        <w:t> </w:t>
      </w:r>
      <w:r>
        <w:rPr/>
        <w:t>remain</w:t>
      </w:r>
      <w:r>
        <w:rPr>
          <w:spacing w:val="-14"/>
        </w:rPr>
        <w:t> </w:t>
      </w:r>
      <w:r>
        <w:rPr/>
        <w:t>for</w:t>
      </w:r>
      <w:r>
        <w:rPr>
          <w:spacing w:val="-13"/>
        </w:rPr>
        <w:t> </w:t>
      </w:r>
      <w:r>
        <w:rPr/>
        <w:t>the insurer to assert are that there is</w:t>
      </w:r>
      <w:r>
        <w:rPr>
          <w:spacing w:val="-43"/>
        </w:rPr>
        <w:t> </w:t>
      </w:r>
      <w:r>
        <w:rPr/>
        <w:t>no coverage under the policy for the loss as a whole or that there has been</w:t>
      </w:r>
      <w:r>
        <w:rPr>
          <w:spacing w:val="-18"/>
        </w:rPr>
        <w:t> </w:t>
      </w:r>
      <w:r>
        <w:rPr/>
        <w:t>a</w:t>
      </w:r>
      <w:r>
        <w:rPr>
          <w:spacing w:val="-19"/>
        </w:rPr>
        <w:t> </w:t>
      </w:r>
      <w:r>
        <w:rPr/>
        <w:t>violation</w:t>
      </w:r>
      <w:r>
        <w:rPr>
          <w:spacing w:val="-17"/>
        </w:rPr>
        <w:t> </w:t>
      </w:r>
      <w:r>
        <w:rPr/>
        <w:t>of</w:t>
      </w:r>
      <w:r>
        <w:rPr>
          <w:spacing w:val="-19"/>
        </w:rPr>
        <w:t> </w:t>
      </w:r>
      <w:r>
        <w:rPr/>
        <w:t>the</w:t>
      </w:r>
      <w:r>
        <w:rPr>
          <w:spacing w:val="-21"/>
        </w:rPr>
        <w:t> </w:t>
      </w:r>
      <w:r>
        <w:rPr/>
        <w:t>usual</w:t>
      </w:r>
      <w:r>
        <w:rPr>
          <w:spacing w:val="-15"/>
        </w:rPr>
        <w:t> </w:t>
      </w:r>
      <w:r>
        <w:rPr/>
        <w:t>policy conditions such as fraud, lack of notice, and failure to </w:t>
      </w:r>
      <w:r>
        <w:rPr>
          <w:spacing w:val="-3"/>
        </w:rPr>
        <w:t>cooperate. </w:t>
      </w:r>
      <w:r>
        <w:rPr>
          <w:spacing w:val="-5"/>
        </w:rPr>
        <w:t>We </w:t>
      </w:r>
      <w:r>
        <w:rPr/>
        <w:t>interpret the appraisal clause to require an assessment of </w:t>
      </w:r>
      <w:r>
        <w:rPr>
          <w:spacing w:val="-4"/>
        </w:rPr>
        <w:t>the </w:t>
      </w:r>
      <w:r>
        <w:rPr/>
        <w:t>amount of the loss. This necessarily includes determinations as to the cost of repair or replacement and whether or not the requirement</w:t>
      </w:r>
      <w:r>
        <w:rPr>
          <w:spacing w:val="-36"/>
        </w:rPr>
        <w:t> </w:t>
      </w:r>
      <w:r>
        <w:rPr/>
        <w:t>for repair or replacement was</w:t>
      </w:r>
      <w:r>
        <w:rPr>
          <w:spacing w:val="-52"/>
        </w:rPr>
        <w:t> </w:t>
      </w:r>
      <w:r>
        <w:rPr/>
        <w:t>caused by a covered peril or a cause not covered such as normal wear</w:t>
      </w:r>
      <w:r>
        <w:rPr>
          <w:spacing w:val="-25"/>
        </w:rPr>
        <w:t> </w:t>
      </w:r>
      <w:r>
        <w:rPr/>
        <w:t>and tear, dry rot, or various </w:t>
      </w:r>
      <w:r>
        <w:rPr>
          <w:spacing w:val="-4"/>
        </w:rPr>
        <w:t>other </w:t>
      </w:r>
      <w:r>
        <w:rPr/>
        <w:t>designated, excluded causes. </w:t>
      </w:r>
      <w:r>
        <w:rPr>
          <w:spacing w:val="-4"/>
        </w:rPr>
        <w:t>For </w:t>
      </w:r>
      <w:r>
        <w:rPr/>
        <w:t>the</w:t>
      </w:r>
      <w:r>
        <w:rPr>
          <w:spacing w:val="-29"/>
        </w:rPr>
        <w:t> </w:t>
      </w:r>
      <w:r>
        <w:rPr/>
        <w:t>reasons</w:t>
      </w:r>
      <w:r>
        <w:rPr>
          <w:spacing w:val="-25"/>
        </w:rPr>
        <w:t> </w:t>
      </w:r>
      <w:r>
        <w:rPr/>
        <w:t>discussed,</w:t>
      </w:r>
      <w:r>
        <w:rPr>
          <w:spacing w:val="-30"/>
        </w:rPr>
        <w:t> </w:t>
      </w:r>
      <w:r>
        <w:rPr>
          <w:spacing w:val="-3"/>
        </w:rPr>
        <w:t>we</w:t>
      </w:r>
      <w:r>
        <w:rPr>
          <w:spacing w:val="-29"/>
        </w:rPr>
        <w:t> </w:t>
      </w:r>
      <w:r>
        <w:rPr/>
        <w:t>hold</w:t>
      </w:r>
      <w:r>
        <w:rPr>
          <w:spacing w:val="-26"/>
        </w:rPr>
        <w:t> </w:t>
      </w:r>
      <w:r>
        <w:rPr>
          <w:spacing w:val="-4"/>
        </w:rPr>
        <w:t>that </w:t>
      </w:r>
      <w:r>
        <w:rPr/>
        <w:t>the appraisal clause at issue is </w:t>
      </w:r>
      <w:r>
        <w:rPr>
          <w:spacing w:val="-4"/>
        </w:rPr>
        <w:t>not </w:t>
      </w:r>
      <w:r>
        <w:rPr/>
        <w:t>void for lack of mutuality of obligation simply because of a retained rights clause [the right of the carrier was reserved to deny the claim after the appraisal], where </w:t>
      </w:r>
      <w:r>
        <w:rPr>
          <w:spacing w:val="-3"/>
        </w:rPr>
        <w:t>we </w:t>
      </w:r>
      <w:r>
        <w:rPr/>
        <w:t>interpret the clause as retaining only the right to dispute the issue of coverage as to the whole loss, or whether the</w:t>
      </w:r>
      <w:r>
        <w:rPr>
          <w:spacing w:val="13"/>
        </w:rPr>
        <w:t> </w:t>
      </w:r>
      <w:r>
        <w:rPr/>
        <w:t>policy</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2240" w:right="1515"/>
      </w:pPr>
      <w:bookmarkStart w:name="Law and Procedure 127" w:id="38"/>
      <w:bookmarkEnd w:id="38"/>
      <w:r>
        <w:rPr/>
      </w:r>
      <w:r>
        <w:rPr/>
        <w:t>conditions have been violated as specified above.</w:t>
      </w:r>
      <w:r>
        <w:rPr>
          <w:vertAlign w:val="superscript"/>
        </w:rPr>
        <w:t>168</w:t>
      </w:r>
    </w:p>
    <w:p>
      <w:pPr>
        <w:pStyle w:val="BodyText"/>
        <w:spacing w:before="2"/>
      </w:pPr>
    </w:p>
    <w:p>
      <w:pPr>
        <w:pStyle w:val="BodyText"/>
        <w:spacing w:line="242" w:lineRule="auto"/>
        <w:ind w:left="1520" w:right="1518" w:firstLine="720"/>
        <w:jc w:val="both"/>
      </w:pPr>
      <w:r>
        <w:rPr/>
        <w:t>The scope of appraisal in Florida</w:t>
      </w:r>
      <w:r>
        <w:rPr>
          <w:spacing w:val="53"/>
        </w:rPr>
        <w:t> </w:t>
      </w:r>
      <w:r>
        <w:rPr/>
        <w:t>was further</w:t>
      </w:r>
      <w:r>
        <w:rPr>
          <w:spacing w:val="-17"/>
        </w:rPr>
        <w:t> </w:t>
      </w:r>
      <w:r>
        <w:rPr/>
        <w:t>examined</w:t>
      </w:r>
      <w:r>
        <w:rPr>
          <w:spacing w:val="-15"/>
        </w:rPr>
        <w:t> </w:t>
      </w:r>
      <w:r>
        <w:rPr/>
        <w:t>in</w:t>
      </w:r>
      <w:r>
        <w:rPr>
          <w:spacing w:val="-14"/>
        </w:rPr>
        <w:t> </w:t>
      </w:r>
      <w:r>
        <w:rPr/>
        <w:t>a</w:t>
      </w:r>
      <w:r>
        <w:rPr>
          <w:spacing w:val="-15"/>
        </w:rPr>
        <w:t> </w:t>
      </w:r>
      <w:r>
        <w:rPr/>
        <w:t>recent</w:t>
      </w:r>
      <w:r>
        <w:rPr>
          <w:spacing w:val="-16"/>
        </w:rPr>
        <w:t> </w:t>
      </w:r>
      <w:r>
        <w:rPr/>
        <w:t>matter</w:t>
      </w:r>
      <w:r>
        <w:rPr>
          <w:spacing w:val="-16"/>
        </w:rPr>
        <w:t> </w:t>
      </w:r>
      <w:r>
        <w:rPr/>
        <w:t>in</w:t>
      </w:r>
      <w:r>
        <w:rPr>
          <w:spacing w:val="-12"/>
        </w:rPr>
        <w:t> </w:t>
      </w:r>
      <w:r>
        <w:rPr/>
        <w:t>which</w:t>
      </w:r>
      <w:r>
        <w:rPr>
          <w:spacing w:val="-12"/>
        </w:rPr>
        <w:t> </w:t>
      </w:r>
      <w:r>
        <w:rPr/>
        <w:t>a condominium</w:t>
      </w:r>
      <w:r>
        <w:rPr>
          <w:spacing w:val="-30"/>
        </w:rPr>
        <w:t> </w:t>
      </w:r>
      <w:r>
        <w:rPr/>
        <w:t>association</w:t>
      </w:r>
      <w:r>
        <w:rPr>
          <w:spacing w:val="-27"/>
        </w:rPr>
        <w:t> </w:t>
      </w:r>
      <w:r>
        <w:rPr/>
        <w:t>sought</w:t>
      </w:r>
      <w:r>
        <w:rPr>
          <w:spacing w:val="-28"/>
        </w:rPr>
        <w:t> </w:t>
      </w:r>
      <w:r>
        <w:rPr/>
        <w:t>confirmation of an appraisal award in the face of </w:t>
      </w:r>
      <w:r>
        <w:rPr>
          <w:spacing w:val="-7"/>
        </w:rPr>
        <w:t>an </w:t>
      </w:r>
      <w:r>
        <w:rPr/>
        <w:t>insurer’s argument that damages were </w:t>
      </w:r>
      <w:r>
        <w:rPr>
          <w:spacing w:val="-3"/>
        </w:rPr>
        <w:t>improperly</w:t>
      </w:r>
      <w:r>
        <w:rPr>
          <w:spacing w:val="-34"/>
        </w:rPr>
        <w:t> </w:t>
      </w:r>
      <w:r>
        <w:rPr/>
        <w:t>awarded</w:t>
      </w:r>
      <w:r>
        <w:rPr>
          <w:spacing w:val="-33"/>
        </w:rPr>
        <w:t> </w:t>
      </w:r>
      <w:r>
        <w:rPr/>
        <w:t>for</w:t>
      </w:r>
      <w:r>
        <w:rPr>
          <w:spacing w:val="-37"/>
        </w:rPr>
        <w:t> </w:t>
      </w:r>
      <w:r>
        <w:rPr>
          <w:spacing w:val="-3"/>
        </w:rPr>
        <w:t>excluded</w:t>
      </w:r>
      <w:r>
        <w:rPr>
          <w:spacing w:val="-35"/>
        </w:rPr>
        <w:t> </w:t>
      </w:r>
      <w:r>
        <w:rPr>
          <w:spacing w:val="-3"/>
        </w:rPr>
        <w:t>property</w:t>
      </w:r>
      <w:r>
        <w:rPr>
          <w:spacing w:val="-37"/>
        </w:rPr>
        <w:t> </w:t>
      </w:r>
      <w:r>
        <w:rPr/>
        <w:t>and that certain amounts should have been </w:t>
      </w:r>
      <w:r>
        <w:rPr>
          <w:spacing w:val="-3"/>
        </w:rPr>
        <w:t>deducted</w:t>
      </w:r>
      <w:r>
        <w:rPr>
          <w:spacing w:val="-34"/>
        </w:rPr>
        <w:t> </w:t>
      </w:r>
      <w:r>
        <w:rPr/>
        <w:t>upon</w:t>
      </w:r>
      <w:r>
        <w:rPr>
          <w:spacing w:val="-29"/>
        </w:rPr>
        <w:t> </w:t>
      </w:r>
      <w:r>
        <w:rPr>
          <w:spacing w:val="-3"/>
        </w:rPr>
        <w:t>consideration</w:t>
      </w:r>
      <w:r>
        <w:rPr>
          <w:spacing w:val="-30"/>
        </w:rPr>
        <w:t> </w:t>
      </w:r>
      <w:r>
        <w:rPr/>
        <w:t>of</w:t>
      </w:r>
      <w:r>
        <w:rPr>
          <w:spacing w:val="-32"/>
        </w:rPr>
        <w:t> </w:t>
      </w:r>
      <w:r>
        <w:rPr/>
        <w:t>its</w:t>
      </w:r>
      <w:r>
        <w:rPr>
          <w:spacing w:val="-28"/>
        </w:rPr>
        <w:t> </w:t>
      </w:r>
      <w:r>
        <w:rPr>
          <w:spacing w:val="-4"/>
        </w:rPr>
        <w:t>defenses.</w:t>
      </w:r>
      <w:r>
        <w:rPr>
          <w:spacing w:val="-4"/>
          <w:vertAlign w:val="superscript"/>
        </w:rPr>
        <w:t>169</w:t>
      </w:r>
    </w:p>
    <w:p>
      <w:pPr>
        <w:pStyle w:val="BodyText"/>
      </w:pPr>
    </w:p>
    <w:p>
      <w:pPr>
        <w:pStyle w:val="BodyText"/>
        <w:spacing w:line="242" w:lineRule="auto"/>
        <w:ind w:left="1520" w:right="1496" w:firstLine="720"/>
        <w:jc w:val="both"/>
      </w:pPr>
      <w:r>
        <w:rPr/>
        <w:t>The</w:t>
      </w:r>
      <w:r>
        <w:rPr>
          <w:spacing w:val="-24"/>
        </w:rPr>
        <w:t> </w:t>
      </w:r>
      <w:r>
        <w:rPr/>
        <w:t>court</w:t>
      </w:r>
      <w:r>
        <w:rPr>
          <w:spacing w:val="-26"/>
        </w:rPr>
        <w:t> </w:t>
      </w:r>
      <w:r>
        <w:rPr/>
        <w:t>discussed</w:t>
      </w:r>
      <w:r>
        <w:rPr>
          <w:spacing w:val="-23"/>
        </w:rPr>
        <w:t> </w:t>
      </w:r>
      <w:r>
        <w:rPr/>
        <w:t>the</w:t>
      </w:r>
      <w:r>
        <w:rPr>
          <w:spacing w:val="-23"/>
        </w:rPr>
        <w:t> </w:t>
      </w:r>
      <w:r>
        <w:rPr/>
        <w:t>differences</w:t>
      </w:r>
      <w:r>
        <w:rPr>
          <w:spacing w:val="-27"/>
        </w:rPr>
        <w:t> </w:t>
      </w:r>
      <w:r>
        <w:rPr/>
        <w:t>in</w:t>
      </w:r>
      <w:r>
        <w:rPr>
          <w:spacing w:val="-5"/>
        </w:rPr>
        <w:t> the </w:t>
      </w:r>
      <w:r>
        <w:rPr/>
        <w:t>roles of an appraiser and court involved in</w:t>
      </w:r>
      <w:r>
        <w:rPr>
          <w:spacing w:val="-44"/>
        </w:rPr>
        <w:t> </w:t>
      </w:r>
      <w:r>
        <w:rPr/>
        <w:t>the appraisal process and clearly outlined the duties of each. </w:t>
      </w:r>
      <w:r>
        <w:rPr>
          <w:spacing w:val="3"/>
        </w:rPr>
        <w:t>It </w:t>
      </w:r>
      <w:r>
        <w:rPr/>
        <w:t>stated that “appraisers determine the amount of loss, which includes calculating the cost of repair or replacement of property damaged, and ascertaining how much of the damage was caused by a covered peril as opposed to things such as “‘normal</w:t>
      </w:r>
      <w:r>
        <w:rPr>
          <w:spacing w:val="-33"/>
        </w:rPr>
        <w:t> </w:t>
      </w:r>
      <w:r>
        <w:rPr/>
        <w:t>wear</w:t>
      </w:r>
      <w:r>
        <w:rPr>
          <w:spacing w:val="-33"/>
        </w:rPr>
        <w:t> </w:t>
      </w:r>
      <w:r>
        <w:rPr/>
        <w:t>and</w:t>
      </w:r>
      <w:r>
        <w:rPr>
          <w:spacing w:val="-33"/>
        </w:rPr>
        <w:t> </w:t>
      </w:r>
      <w:r>
        <w:rPr/>
        <w:t>tear,</w:t>
      </w:r>
      <w:r>
        <w:rPr>
          <w:spacing w:val="-33"/>
        </w:rPr>
        <w:t> </w:t>
      </w:r>
      <w:r>
        <w:rPr/>
        <w:t>dry</w:t>
      </w:r>
      <w:r>
        <w:rPr>
          <w:spacing w:val="-35"/>
        </w:rPr>
        <w:t> </w:t>
      </w:r>
      <w:r>
        <w:rPr/>
        <w:t>rot,</w:t>
      </w:r>
      <w:r>
        <w:rPr>
          <w:spacing w:val="-33"/>
        </w:rPr>
        <w:t> </w:t>
      </w:r>
      <w:r>
        <w:rPr/>
        <w:t>or</w:t>
      </w:r>
      <w:r>
        <w:rPr>
          <w:spacing w:val="-34"/>
        </w:rPr>
        <w:t> </w:t>
      </w:r>
      <w:r>
        <w:rPr/>
        <w:t>various</w:t>
      </w:r>
      <w:r>
        <w:rPr>
          <w:spacing w:val="-33"/>
        </w:rPr>
        <w:t> </w:t>
      </w:r>
      <w:r>
        <w:rPr/>
        <w:t>other designated, excluded causes.”. </w:t>
      </w:r>
      <w:r>
        <w:rPr>
          <w:vertAlign w:val="superscript"/>
        </w:rPr>
        <w:t>170</w:t>
      </w:r>
      <w:r>
        <w:rPr>
          <w:vertAlign w:val="baseline"/>
        </w:rPr>
        <w:t> Further, </w:t>
      </w:r>
      <w:r>
        <w:rPr>
          <w:spacing w:val="-8"/>
          <w:vertAlign w:val="baseline"/>
        </w:rPr>
        <w:t>it </w:t>
      </w:r>
      <w:r>
        <w:rPr>
          <w:vertAlign w:val="baseline"/>
        </w:rPr>
        <w:t>clarified that “the court decides whether the policy provides coverage for the peril which inflicted</w:t>
      </w:r>
      <w:r>
        <w:rPr>
          <w:spacing w:val="40"/>
          <w:vertAlign w:val="baseline"/>
        </w:rPr>
        <w:t> </w:t>
      </w:r>
      <w:r>
        <w:rPr>
          <w:vertAlign w:val="baseline"/>
        </w:rPr>
        <w:t>the</w:t>
      </w:r>
      <w:r>
        <w:rPr>
          <w:spacing w:val="41"/>
          <w:vertAlign w:val="baseline"/>
        </w:rPr>
        <w:t> </w:t>
      </w:r>
      <w:r>
        <w:rPr>
          <w:vertAlign w:val="baseline"/>
        </w:rPr>
        <w:t>damage,</w:t>
      </w:r>
      <w:r>
        <w:rPr>
          <w:spacing w:val="39"/>
          <w:vertAlign w:val="baseline"/>
        </w:rPr>
        <w:t> </w:t>
      </w:r>
      <w:r>
        <w:rPr>
          <w:vertAlign w:val="baseline"/>
        </w:rPr>
        <w:t>and</w:t>
      </w:r>
      <w:r>
        <w:rPr>
          <w:spacing w:val="40"/>
          <w:vertAlign w:val="baseline"/>
        </w:rPr>
        <w:t> </w:t>
      </w:r>
      <w:r>
        <w:rPr>
          <w:vertAlign w:val="baseline"/>
        </w:rPr>
        <w:t>for</w:t>
      </w:r>
      <w:r>
        <w:rPr>
          <w:spacing w:val="39"/>
          <w:vertAlign w:val="baseline"/>
        </w:rPr>
        <w:t> </w:t>
      </w:r>
      <w:r>
        <w:rPr>
          <w:vertAlign w:val="baseline"/>
        </w:rPr>
        <w:t>the</w:t>
      </w:r>
      <w:r>
        <w:rPr>
          <w:spacing w:val="39"/>
          <w:vertAlign w:val="baseline"/>
        </w:rPr>
        <w:t> </w:t>
      </w:r>
      <w:r>
        <w:rPr>
          <w:vertAlign w:val="baseline"/>
        </w:rPr>
        <w:t>particular</w:t>
      </w:r>
    </w:p>
    <w:p>
      <w:pPr>
        <w:pStyle w:val="BodyText"/>
        <w:rPr>
          <w:sz w:val="20"/>
        </w:rPr>
      </w:pPr>
    </w:p>
    <w:p>
      <w:pPr>
        <w:pStyle w:val="BodyText"/>
        <w:spacing w:before="3"/>
        <w:rPr>
          <w:sz w:val="28"/>
        </w:rPr>
      </w:pPr>
      <w:r>
        <w:rPr/>
        <w:pict>
          <v:shape style="position:absolute;margin-left:162pt;margin-top:19.717852pt;width:143.9pt;height:.1pt;mso-position-horizontal-relative:page;mso-position-vertical-relative:paragraph;z-index:-251598848;mso-wrap-distance-left:0;mso-wrap-distance-right:0" coordorigin="3240,394" coordsize="2878,0" path="m3240,394l6118,394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2"/>
        </w:numPr>
        <w:tabs>
          <w:tab w:pos="1480" w:val="left" w:leader="none"/>
        </w:tabs>
        <w:spacing w:line="240" w:lineRule="auto" w:before="71" w:after="0"/>
        <w:ind w:left="1479" w:right="0" w:hanging="320"/>
        <w:jc w:val="left"/>
        <w:rPr>
          <w:sz w:val="18"/>
        </w:rPr>
      </w:pPr>
      <w:r>
        <w:rPr>
          <w:sz w:val="18"/>
          <w:u w:val="single"/>
        </w:rPr>
        <w:t>Licea,</w:t>
      </w:r>
      <w:r>
        <w:rPr>
          <w:spacing w:val="-1"/>
          <w:sz w:val="18"/>
          <w:u w:val="single"/>
        </w:rPr>
        <w:t> </w:t>
      </w:r>
      <w:r>
        <w:rPr>
          <w:sz w:val="18"/>
          <w:u w:val="single"/>
        </w:rPr>
        <w:t>Id</w:t>
      </w:r>
      <w:r>
        <w:rPr>
          <w:sz w:val="18"/>
        </w:rPr>
        <w:t>.</w:t>
      </w:r>
    </w:p>
    <w:p>
      <w:pPr>
        <w:pStyle w:val="ListParagraph"/>
        <w:numPr>
          <w:ilvl w:val="0"/>
          <w:numId w:val="12"/>
        </w:numPr>
        <w:tabs>
          <w:tab w:pos="1440" w:val="left" w:leader="none"/>
        </w:tabs>
        <w:spacing w:line="256" w:lineRule="auto" w:before="66" w:after="0"/>
        <w:ind w:left="1160" w:right="1164" w:firstLine="0"/>
        <w:jc w:val="left"/>
        <w:rPr>
          <w:sz w:val="18"/>
        </w:rPr>
      </w:pPr>
      <w:r>
        <w:rPr>
          <w:sz w:val="18"/>
          <w:u w:val="single"/>
        </w:rPr>
        <w:t>Citizens</w:t>
      </w:r>
      <w:r>
        <w:rPr>
          <w:spacing w:val="-8"/>
          <w:sz w:val="18"/>
          <w:u w:val="single"/>
        </w:rPr>
        <w:t> </w:t>
      </w:r>
      <w:r>
        <w:rPr>
          <w:sz w:val="18"/>
          <w:u w:val="single"/>
        </w:rPr>
        <w:t>Prop.</w:t>
      </w:r>
      <w:r>
        <w:rPr>
          <w:spacing w:val="-5"/>
          <w:sz w:val="18"/>
          <w:u w:val="single"/>
        </w:rPr>
        <w:t> </w:t>
      </w:r>
      <w:r>
        <w:rPr>
          <w:sz w:val="18"/>
          <w:u w:val="single"/>
        </w:rPr>
        <w:t>Ins</w:t>
      </w:r>
      <w:r>
        <w:rPr>
          <w:spacing w:val="-8"/>
          <w:sz w:val="18"/>
          <w:u w:val="single"/>
        </w:rPr>
        <w:t> </w:t>
      </w:r>
      <w:r>
        <w:rPr>
          <w:sz w:val="18"/>
          <w:u w:val="single"/>
        </w:rPr>
        <w:t>Corp.</w:t>
      </w:r>
      <w:r>
        <w:rPr>
          <w:spacing w:val="-5"/>
          <w:sz w:val="18"/>
          <w:u w:val="single"/>
        </w:rPr>
        <w:t> </w:t>
      </w:r>
      <w:r>
        <w:rPr>
          <w:sz w:val="18"/>
          <w:u w:val="single"/>
        </w:rPr>
        <w:t>v.</w:t>
      </w:r>
      <w:r>
        <w:rPr>
          <w:spacing w:val="-5"/>
          <w:sz w:val="18"/>
          <w:u w:val="single"/>
        </w:rPr>
        <w:t> </w:t>
      </w:r>
      <w:r>
        <w:rPr>
          <w:sz w:val="18"/>
          <w:u w:val="single"/>
        </w:rPr>
        <w:t>River</w:t>
      </w:r>
      <w:r>
        <w:rPr>
          <w:spacing w:val="-8"/>
          <w:sz w:val="18"/>
          <w:u w:val="single"/>
        </w:rPr>
        <w:t> </w:t>
      </w:r>
      <w:r>
        <w:rPr>
          <w:sz w:val="18"/>
          <w:u w:val="single"/>
        </w:rPr>
        <w:t>Manor</w:t>
      </w:r>
      <w:r>
        <w:rPr>
          <w:spacing w:val="-6"/>
          <w:sz w:val="18"/>
          <w:u w:val="single"/>
        </w:rPr>
        <w:t> </w:t>
      </w:r>
      <w:r>
        <w:rPr>
          <w:sz w:val="18"/>
          <w:u w:val="single"/>
        </w:rPr>
        <w:t>Condominium</w:t>
      </w:r>
      <w:r>
        <w:rPr>
          <w:spacing w:val="-13"/>
          <w:sz w:val="18"/>
          <w:u w:val="single"/>
        </w:rPr>
        <w:t> </w:t>
      </w:r>
      <w:r>
        <w:rPr>
          <w:sz w:val="18"/>
          <w:u w:val="single"/>
        </w:rPr>
        <w:t>Ass’n,</w:t>
      </w:r>
      <w:r>
        <w:rPr>
          <w:spacing w:val="-8"/>
          <w:sz w:val="18"/>
          <w:u w:val="single"/>
        </w:rPr>
        <w:t> </w:t>
      </w:r>
      <w:r>
        <w:rPr>
          <w:sz w:val="18"/>
          <w:u w:val="single"/>
        </w:rPr>
        <w:t>Inc.</w:t>
      </w:r>
      <w:r>
        <w:rPr>
          <w:sz w:val="18"/>
        </w:rPr>
        <w:t>,</w:t>
      </w:r>
      <w:r>
        <w:rPr>
          <w:spacing w:val="-9"/>
          <w:sz w:val="18"/>
        </w:rPr>
        <w:t> </w:t>
      </w:r>
      <w:r>
        <w:rPr>
          <w:sz w:val="18"/>
        </w:rPr>
        <w:t>125</w:t>
      </w:r>
      <w:r>
        <w:rPr>
          <w:spacing w:val="-8"/>
          <w:sz w:val="18"/>
        </w:rPr>
        <w:t> </w:t>
      </w:r>
      <w:r>
        <w:rPr>
          <w:sz w:val="18"/>
        </w:rPr>
        <w:t>So.3d</w:t>
      </w:r>
      <w:r>
        <w:rPr>
          <w:spacing w:val="-5"/>
          <w:sz w:val="18"/>
        </w:rPr>
        <w:t> </w:t>
      </w:r>
      <w:r>
        <w:rPr>
          <w:sz w:val="18"/>
        </w:rPr>
        <w:t>846</w:t>
      </w:r>
      <w:r>
        <w:rPr>
          <w:spacing w:val="-6"/>
          <w:sz w:val="18"/>
        </w:rPr>
        <w:t> </w:t>
      </w:r>
      <w:r>
        <w:rPr>
          <w:sz w:val="18"/>
        </w:rPr>
        <w:t>(Fla 4</w:t>
      </w:r>
      <w:r>
        <w:rPr>
          <w:position w:val="7"/>
          <w:sz w:val="10"/>
        </w:rPr>
        <w:t>th </w:t>
      </w:r>
      <w:r>
        <w:rPr>
          <w:sz w:val="18"/>
        </w:rPr>
        <w:t>DCA</w:t>
      </w:r>
      <w:r>
        <w:rPr>
          <w:spacing w:val="-5"/>
          <w:sz w:val="18"/>
        </w:rPr>
        <w:t> </w:t>
      </w:r>
      <w:r>
        <w:rPr>
          <w:sz w:val="18"/>
        </w:rPr>
        <w:t>2013).</w:t>
      </w:r>
    </w:p>
    <w:p>
      <w:pPr>
        <w:pStyle w:val="ListParagraph"/>
        <w:numPr>
          <w:ilvl w:val="0"/>
          <w:numId w:val="12"/>
        </w:numPr>
        <w:tabs>
          <w:tab w:pos="1421" w:val="left" w:leader="none"/>
        </w:tabs>
        <w:spacing w:line="255" w:lineRule="exact" w:before="0" w:after="0"/>
        <w:ind w:left="1420" w:right="0" w:hanging="261"/>
        <w:jc w:val="left"/>
        <w:rPr>
          <w:sz w:val="18"/>
        </w:rPr>
      </w:pPr>
      <w:r>
        <w:rPr>
          <w:i/>
          <w:sz w:val="18"/>
        </w:rPr>
        <w:t>citing</w:t>
      </w:r>
      <w:r>
        <w:rPr>
          <w:i/>
          <w:spacing w:val="-13"/>
          <w:sz w:val="18"/>
        </w:rPr>
        <w:t> </w:t>
      </w:r>
      <w:r>
        <w:rPr>
          <w:sz w:val="18"/>
          <w:u w:val="single"/>
        </w:rPr>
        <w:t>Johnson</w:t>
      </w:r>
      <w:r>
        <w:rPr>
          <w:spacing w:val="-11"/>
          <w:sz w:val="18"/>
          <w:u w:val="single"/>
        </w:rPr>
        <w:t> </w:t>
      </w:r>
      <w:r>
        <w:rPr>
          <w:sz w:val="18"/>
          <w:u w:val="single"/>
        </w:rPr>
        <w:t>v.</w:t>
      </w:r>
      <w:r>
        <w:rPr>
          <w:spacing w:val="-11"/>
          <w:sz w:val="18"/>
          <w:u w:val="single"/>
        </w:rPr>
        <w:t> </w:t>
      </w:r>
      <w:r>
        <w:rPr>
          <w:sz w:val="18"/>
          <w:u w:val="single"/>
        </w:rPr>
        <w:t>Nationwide</w:t>
      </w:r>
      <w:r>
        <w:rPr>
          <w:spacing w:val="-13"/>
          <w:sz w:val="18"/>
          <w:u w:val="single"/>
        </w:rPr>
        <w:t> </w:t>
      </w:r>
      <w:r>
        <w:rPr>
          <w:sz w:val="18"/>
          <w:u w:val="single"/>
        </w:rPr>
        <w:t>Mut.</w:t>
      </w:r>
      <w:r>
        <w:rPr>
          <w:spacing w:val="-11"/>
          <w:sz w:val="18"/>
          <w:u w:val="single"/>
        </w:rPr>
        <w:t> </w:t>
      </w:r>
      <w:r>
        <w:rPr>
          <w:sz w:val="18"/>
          <w:u w:val="single"/>
        </w:rPr>
        <w:t>Ins.</w:t>
      </w:r>
      <w:r>
        <w:rPr>
          <w:spacing w:val="-12"/>
          <w:sz w:val="18"/>
          <w:u w:val="single"/>
        </w:rPr>
        <w:t> </w:t>
      </w:r>
      <w:r>
        <w:rPr>
          <w:sz w:val="18"/>
          <w:u w:val="single"/>
        </w:rPr>
        <w:t>Co.</w:t>
      </w:r>
      <w:r>
        <w:rPr>
          <w:sz w:val="18"/>
        </w:rPr>
        <w:t>,</w:t>
      </w:r>
      <w:r>
        <w:rPr>
          <w:spacing w:val="-10"/>
          <w:sz w:val="18"/>
        </w:rPr>
        <w:t> </w:t>
      </w:r>
      <w:r>
        <w:rPr>
          <w:sz w:val="18"/>
        </w:rPr>
        <w:t>828</w:t>
      </w:r>
      <w:r>
        <w:rPr>
          <w:spacing w:val="-11"/>
          <w:sz w:val="18"/>
        </w:rPr>
        <w:t> </w:t>
      </w:r>
      <w:r>
        <w:rPr>
          <w:sz w:val="18"/>
        </w:rPr>
        <w:t>So.2d</w:t>
      </w:r>
      <w:r>
        <w:rPr>
          <w:spacing w:val="-12"/>
          <w:sz w:val="18"/>
        </w:rPr>
        <w:t> </w:t>
      </w:r>
      <w:r>
        <w:rPr>
          <w:sz w:val="18"/>
        </w:rPr>
        <w:t>1021,</w:t>
      </w:r>
      <w:r>
        <w:rPr>
          <w:spacing w:val="-10"/>
          <w:sz w:val="18"/>
        </w:rPr>
        <w:t> </w:t>
      </w:r>
      <w:r>
        <w:rPr>
          <w:sz w:val="18"/>
        </w:rPr>
        <w:t>1025</w:t>
      </w:r>
      <w:r>
        <w:rPr>
          <w:spacing w:val="-12"/>
          <w:sz w:val="18"/>
        </w:rPr>
        <w:t> </w:t>
      </w:r>
      <w:r>
        <w:rPr>
          <w:sz w:val="18"/>
        </w:rPr>
        <w:t>(Fla.</w:t>
      </w:r>
      <w:r>
        <w:rPr>
          <w:spacing w:val="-11"/>
          <w:sz w:val="18"/>
        </w:rPr>
        <w:t> </w:t>
      </w:r>
      <w:r>
        <w:rPr>
          <w:sz w:val="18"/>
        </w:rPr>
        <w:t>2002)</w:t>
      </w:r>
      <w:r>
        <w:rPr>
          <w:spacing w:val="-12"/>
          <w:sz w:val="18"/>
        </w:rPr>
        <w:t> </w:t>
      </w:r>
      <w:r>
        <w:rPr>
          <w:spacing w:val="3"/>
          <w:sz w:val="18"/>
        </w:rPr>
        <w:t>and</w:t>
      </w:r>
      <w:r>
        <w:rPr>
          <w:spacing w:val="-20"/>
          <w:sz w:val="18"/>
          <w:u w:val="single"/>
        </w:rPr>
        <w:t> </w:t>
      </w:r>
      <w:r>
        <w:rPr>
          <w:sz w:val="18"/>
          <w:u w:val="single"/>
        </w:rPr>
        <w:t>State</w:t>
      </w:r>
    </w:p>
    <w:p>
      <w:pPr>
        <w:spacing w:before="18"/>
        <w:ind w:left="1160" w:right="0" w:firstLine="0"/>
        <w:jc w:val="left"/>
        <w:rPr>
          <w:rFonts w:ascii="Times New Roman"/>
          <w:sz w:val="18"/>
        </w:rPr>
      </w:pPr>
      <w:r>
        <w:rPr>
          <w:rFonts w:ascii="Times New Roman"/>
          <w:sz w:val="18"/>
          <w:u w:val="single"/>
        </w:rPr>
        <w:t>Farm Fire and Cas. Co. v. Licea</w:t>
      </w:r>
      <w:r>
        <w:rPr>
          <w:rFonts w:ascii="Times New Roman"/>
          <w:sz w:val="18"/>
        </w:rPr>
        <w:t>, 685 So.2d 1285, 1288 (Fla., 1996).</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5"/>
      </w:pPr>
      <w:bookmarkStart w:name="Law and Procedure 128" w:id="39"/>
      <w:bookmarkEnd w:id="39"/>
      <w:r>
        <w:rPr/>
      </w:r>
      <w:r>
        <w:rPr/>
        <w:t>property at issue; in other words, all coverage matters.”</w:t>
      </w:r>
    </w:p>
    <w:p>
      <w:pPr>
        <w:pStyle w:val="BodyText"/>
        <w:spacing w:before="11"/>
        <w:rPr>
          <w:sz w:val="25"/>
        </w:rPr>
      </w:pPr>
    </w:p>
    <w:p>
      <w:pPr>
        <w:pStyle w:val="BodyText"/>
        <w:spacing w:line="242" w:lineRule="auto" w:before="1"/>
        <w:ind w:left="1520" w:right="1517" w:firstLine="720"/>
        <w:jc w:val="both"/>
      </w:pPr>
      <w:r>
        <w:rPr/>
        <w:t>More recently the Eleventh Circuit</w:t>
      </w:r>
      <w:r>
        <w:rPr>
          <w:spacing w:val="-18"/>
        </w:rPr>
        <w:t> </w:t>
      </w:r>
      <w:r>
        <w:rPr/>
        <w:t>Court of Appeals stated that Florida law is clear</w:t>
      </w:r>
      <w:r>
        <w:rPr>
          <w:spacing w:val="-29"/>
        </w:rPr>
        <w:t> </w:t>
      </w:r>
      <w:r>
        <w:rPr/>
        <w:t>that “if an insurer and an insured go to appraisal, the insurer can only dispute ‘coverage for the loss as a whole.” Causation is a coverage question for the court when the insurer wholly denies</w:t>
      </w:r>
      <w:r>
        <w:rPr>
          <w:spacing w:val="-17"/>
        </w:rPr>
        <w:t> </w:t>
      </w:r>
      <w:r>
        <w:rPr/>
        <w:t>that</w:t>
      </w:r>
      <w:r>
        <w:rPr>
          <w:spacing w:val="-17"/>
        </w:rPr>
        <w:t> </w:t>
      </w:r>
      <w:r>
        <w:rPr/>
        <w:t>there</w:t>
      </w:r>
      <w:r>
        <w:rPr>
          <w:spacing w:val="-16"/>
        </w:rPr>
        <w:t> </w:t>
      </w:r>
      <w:r>
        <w:rPr/>
        <w:t>is</w:t>
      </w:r>
      <w:r>
        <w:rPr>
          <w:spacing w:val="-16"/>
        </w:rPr>
        <w:t> </w:t>
      </w:r>
      <w:r>
        <w:rPr/>
        <w:t>a</w:t>
      </w:r>
      <w:r>
        <w:rPr>
          <w:spacing w:val="-15"/>
        </w:rPr>
        <w:t> </w:t>
      </w:r>
      <w:r>
        <w:rPr/>
        <w:t>covered</w:t>
      </w:r>
      <w:r>
        <w:rPr>
          <w:spacing w:val="-16"/>
        </w:rPr>
        <w:t> </w:t>
      </w:r>
      <w:r>
        <w:rPr/>
        <w:t>loss.</w:t>
      </w:r>
      <w:r>
        <w:rPr>
          <w:spacing w:val="41"/>
        </w:rPr>
        <w:t> </w:t>
      </w:r>
      <w:r>
        <w:rPr/>
        <w:t>However,</w:t>
      </w:r>
      <w:r>
        <w:rPr>
          <w:spacing w:val="-16"/>
        </w:rPr>
        <w:t> </w:t>
      </w:r>
      <w:r>
        <w:rPr/>
        <w:t>it is</w:t>
      </w:r>
      <w:r>
        <w:rPr>
          <w:spacing w:val="-9"/>
        </w:rPr>
        <w:t> </w:t>
      </w:r>
      <w:r>
        <w:rPr/>
        <w:t>more</w:t>
      </w:r>
      <w:r>
        <w:rPr>
          <w:spacing w:val="-10"/>
        </w:rPr>
        <w:t> </w:t>
      </w:r>
      <w:r>
        <w:rPr/>
        <w:t>likely</w:t>
      </w:r>
      <w:r>
        <w:rPr>
          <w:spacing w:val="-11"/>
        </w:rPr>
        <w:t> </w:t>
      </w:r>
      <w:r>
        <w:rPr/>
        <w:t>to</w:t>
      </w:r>
      <w:r>
        <w:rPr>
          <w:spacing w:val="-8"/>
        </w:rPr>
        <w:t> </w:t>
      </w:r>
      <w:r>
        <w:rPr/>
        <w:t>be</w:t>
      </w:r>
      <w:r>
        <w:rPr>
          <w:spacing w:val="-8"/>
        </w:rPr>
        <w:t> </w:t>
      </w:r>
      <w:r>
        <w:rPr/>
        <w:t>an</w:t>
      </w:r>
      <w:r>
        <w:rPr>
          <w:spacing w:val="-8"/>
        </w:rPr>
        <w:t> </w:t>
      </w:r>
      <w:r>
        <w:rPr/>
        <w:t>appraisable</w:t>
      </w:r>
      <w:r>
        <w:rPr>
          <w:spacing w:val="-7"/>
        </w:rPr>
        <w:t> </w:t>
      </w:r>
      <w:r>
        <w:rPr/>
        <w:t>“amount</w:t>
      </w:r>
      <w:r>
        <w:rPr>
          <w:spacing w:val="-9"/>
        </w:rPr>
        <w:t> </w:t>
      </w:r>
      <w:r>
        <w:rPr/>
        <w:t>of loss”</w:t>
      </w:r>
      <w:r>
        <w:rPr>
          <w:spacing w:val="-20"/>
        </w:rPr>
        <w:t> </w:t>
      </w:r>
      <w:r>
        <w:rPr/>
        <w:t>question</w:t>
      </w:r>
      <w:r>
        <w:rPr>
          <w:spacing w:val="-19"/>
        </w:rPr>
        <w:t> </w:t>
      </w:r>
      <w:r>
        <w:rPr/>
        <w:t>for</w:t>
      </w:r>
      <w:r>
        <w:rPr>
          <w:spacing w:val="-22"/>
        </w:rPr>
        <w:t> </w:t>
      </w:r>
      <w:r>
        <w:rPr/>
        <w:t>the</w:t>
      </w:r>
      <w:r>
        <w:rPr>
          <w:spacing w:val="-23"/>
        </w:rPr>
        <w:t> </w:t>
      </w:r>
      <w:r>
        <w:rPr/>
        <w:t>appraisal</w:t>
      </w:r>
      <w:r>
        <w:rPr>
          <w:spacing w:val="-22"/>
        </w:rPr>
        <w:t> </w:t>
      </w:r>
      <w:r>
        <w:rPr/>
        <w:t>panel</w:t>
      </w:r>
      <w:r>
        <w:rPr>
          <w:spacing w:val="-21"/>
        </w:rPr>
        <w:t> </w:t>
      </w:r>
      <w:r>
        <w:rPr/>
        <w:t>when</w:t>
      </w:r>
      <w:r>
        <w:rPr>
          <w:spacing w:val="-21"/>
        </w:rPr>
        <w:t> </w:t>
      </w:r>
      <w:r>
        <w:rPr/>
        <w:t>the insurer admits that there is a covered loss, the amount of which is</w:t>
      </w:r>
      <w:r>
        <w:rPr>
          <w:spacing w:val="-4"/>
        </w:rPr>
        <w:t> </w:t>
      </w:r>
      <w:r>
        <w:rPr/>
        <w:t>disputed.</w:t>
      </w:r>
      <w:r>
        <w:rPr>
          <w:vertAlign w:val="superscript"/>
        </w:rPr>
        <w:t>171</w:t>
      </w:r>
    </w:p>
    <w:p>
      <w:pPr>
        <w:pStyle w:val="BodyText"/>
        <w:spacing w:before="10"/>
        <w:rPr>
          <w:sz w:val="25"/>
        </w:rPr>
      </w:pPr>
    </w:p>
    <w:p>
      <w:pPr>
        <w:pStyle w:val="BodyText"/>
        <w:spacing w:line="242" w:lineRule="auto" w:before="1"/>
        <w:ind w:left="1520" w:right="1518" w:firstLine="720"/>
        <w:jc w:val="both"/>
      </w:pPr>
      <w:r>
        <w:rPr>
          <w:spacing w:val="3"/>
        </w:rPr>
        <w:t>In</w:t>
      </w:r>
      <w:r>
        <w:rPr>
          <w:spacing w:val="-31"/>
        </w:rPr>
        <w:t> </w:t>
      </w:r>
      <w:r>
        <w:rPr/>
        <w:t>Pennsylvania,</w:t>
      </w:r>
      <w:r>
        <w:rPr>
          <w:spacing w:val="-35"/>
        </w:rPr>
        <w:t> </w:t>
      </w:r>
      <w:r>
        <w:rPr/>
        <w:t>the</w:t>
      </w:r>
      <w:r>
        <w:rPr>
          <w:spacing w:val="-32"/>
        </w:rPr>
        <w:t> </w:t>
      </w:r>
      <w:r>
        <w:rPr/>
        <w:t>Federal</w:t>
      </w:r>
      <w:r>
        <w:rPr>
          <w:spacing w:val="-29"/>
        </w:rPr>
        <w:t> </w:t>
      </w:r>
      <w:r>
        <w:rPr/>
        <w:t>District</w:t>
      </w:r>
      <w:r>
        <w:rPr>
          <w:spacing w:val="-32"/>
        </w:rPr>
        <w:t> </w:t>
      </w:r>
      <w:r>
        <w:rPr/>
        <w:t>Court has stated that disputes as to “scope of loss” and</w:t>
      </w:r>
      <w:r>
        <w:rPr>
          <w:spacing w:val="-27"/>
        </w:rPr>
        <w:t> </w:t>
      </w:r>
      <w:r>
        <w:rPr/>
        <w:t>“extent</w:t>
      </w:r>
      <w:r>
        <w:rPr>
          <w:spacing w:val="-29"/>
        </w:rPr>
        <w:t> </w:t>
      </w:r>
      <w:r>
        <w:rPr/>
        <w:t>of</w:t>
      </w:r>
      <w:r>
        <w:rPr>
          <w:spacing w:val="-27"/>
        </w:rPr>
        <w:t> </w:t>
      </w:r>
      <w:r>
        <w:rPr/>
        <w:t>loss”</w:t>
      </w:r>
      <w:r>
        <w:rPr>
          <w:spacing w:val="-26"/>
        </w:rPr>
        <w:t> </w:t>
      </w:r>
      <w:r>
        <w:rPr/>
        <w:t>are</w:t>
      </w:r>
      <w:r>
        <w:rPr>
          <w:spacing w:val="-28"/>
        </w:rPr>
        <w:t> </w:t>
      </w:r>
      <w:r>
        <w:rPr/>
        <w:t>appraisable.</w:t>
      </w:r>
      <w:r>
        <w:rPr>
          <w:spacing w:val="13"/>
        </w:rPr>
        <w:t> </w:t>
      </w:r>
      <w:r>
        <w:rPr/>
        <w:t>The</w:t>
      </w:r>
      <w:r>
        <w:rPr>
          <w:spacing w:val="-30"/>
        </w:rPr>
        <w:t> </w:t>
      </w:r>
      <w:r>
        <w:rPr/>
        <w:t>Court confirmed that those are defined as “an estimation of the dollar value of the loss and</w:t>
      </w:r>
      <w:r>
        <w:rPr>
          <w:spacing w:val="-52"/>
        </w:rPr>
        <w:t> </w:t>
      </w:r>
      <w:r>
        <w:rPr>
          <w:spacing w:val="-14"/>
        </w:rPr>
        <w:t>a </w:t>
      </w:r>
      <w:r>
        <w:rPr/>
        <w:t>judgment of what repairs are necessary to recoup from the</w:t>
      </w:r>
      <w:r>
        <w:rPr>
          <w:spacing w:val="-4"/>
        </w:rPr>
        <w:t> </w:t>
      </w:r>
      <w:r>
        <w:rPr/>
        <w:t>loss.”</w:t>
      </w:r>
      <w:r>
        <w:rPr>
          <w:vertAlign w:val="superscript"/>
        </w:rPr>
        <w:t>172</w:t>
      </w:r>
    </w:p>
    <w:p>
      <w:pPr>
        <w:pStyle w:val="BodyText"/>
        <w:spacing w:before="9"/>
      </w:pPr>
    </w:p>
    <w:p>
      <w:pPr>
        <w:pStyle w:val="BodyText"/>
        <w:spacing w:line="242" w:lineRule="auto"/>
        <w:ind w:left="1520" w:right="1519" w:firstLine="720"/>
        <w:jc w:val="both"/>
      </w:pPr>
      <w:r>
        <w:rPr/>
        <w:t>In keeping with the Eleventh Circuit, the Supreme Court of Rhode Island has held that unless the insurer denies coverage for the</w:t>
      </w:r>
    </w:p>
    <w:p>
      <w:pPr>
        <w:pStyle w:val="BodyText"/>
        <w:spacing w:before="8"/>
        <w:rPr>
          <w:sz w:val="16"/>
        </w:rPr>
      </w:pPr>
      <w:r>
        <w:rPr/>
        <w:pict>
          <v:shape style="position:absolute;margin-left:162pt;margin-top:12.636177pt;width:143.9pt;height:.1pt;mso-position-horizontal-relative:page;mso-position-vertical-relative:paragraph;z-index:-251597824;mso-wrap-distance-left:0;mso-wrap-distance-right:0" coordorigin="3240,253" coordsize="2878,0" path="m3240,253l6118,253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2"/>
        </w:numPr>
        <w:tabs>
          <w:tab w:pos="1430" w:val="left" w:leader="none"/>
        </w:tabs>
        <w:spacing w:line="252" w:lineRule="auto" w:before="71" w:after="0"/>
        <w:ind w:left="1160" w:right="1167" w:firstLine="0"/>
        <w:jc w:val="both"/>
        <w:rPr>
          <w:sz w:val="24"/>
        </w:rPr>
      </w:pPr>
      <w:r>
        <w:rPr>
          <w:sz w:val="18"/>
          <w:u w:val="single"/>
        </w:rPr>
        <w:t>Three</w:t>
      </w:r>
      <w:r>
        <w:rPr>
          <w:spacing w:val="-6"/>
          <w:sz w:val="18"/>
          <w:u w:val="single"/>
        </w:rPr>
        <w:t> </w:t>
      </w:r>
      <w:r>
        <w:rPr>
          <w:sz w:val="18"/>
          <w:u w:val="single"/>
        </w:rPr>
        <w:t>Palms</w:t>
      </w:r>
      <w:r>
        <w:rPr>
          <w:spacing w:val="-5"/>
          <w:sz w:val="18"/>
          <w:u w:val="single"/>
        </w:rPr>
        <w:t> </w:t>
      </w:r>
      <w:r>
        <w:rPr>
          <w:sz w:val="18"/>
          <w:u w:val="single"/>
        </w:rPr>
        <w:t>Pointe,</w:t>
      </w:r>
      <w:r>
        <w:rPr>
          <w:spacing w:val="-4"/>
          <w:sz w:val="18"/>
          <w:u w:val="single"/>
        </w:rPr>
        <w:t> </w:t>
      </w:r>
      <w:r>
        <w:rPr>
          <w:sz w:val="18"/>
          <w:u w:val="single"/>
        </w:rPr>
        <w:t>Inc.</w:t>
      </w:r>
      <w:r>
        <w:rPr>
          <w:spacing w:val="-4"/>
          <w:sz w:val="18"/>
          <w:u w:val="single"/>
        </w:rPr>
        <w:t> </w:t>
      </w:r>
      <w:r>
        <w:rPr>
          <w:sz w:val="18"/>
          <w:u w:val="single"/>
        </w:rPr>
        <w:t>v.</w:t>
      </w:r>
      <w:r>
        <w:rPr>
          <w:spacing w:val="-4"/>
          <w:sz w:val="18"/>
          <w:u w:val="single"/>
        </w:rPr>
        <w:t> </w:t>
      </w:r>
      <w:r>
        <w:rPr>
          <w:sz w:val="18"/>
          <w:u w:val="single"/>
        </w:rPr>
        <w:t>State</w:t>
      </w:r>
      <w:r>
        <w:rPr>
          <w:spacing w:val="-4"/>
          <w:sz w:val="18"/>
          <w:u w:val="single"/>
        </w:rPr>
        <w:t> </w:t>
      </w:r>
      <w:r>
        <w:rPr>
          <w:sz w:val="18"/>
          <w:u w:val="single"/>
        </w:rPr>
        <w:t>Farm</w:t>
      </w:r>
      <w:r>
        <w:rPr>
          <w:spacing w:val="-9"/>
          <w:sz w:val="18"/>
          <w:u w:val="single"/>
        </w:rPr>
        <w:t> </w:t>
      </w:r>
      <w:r>
        <w:rPr>
          <w:sz w:val="18"/>
          <w:u w:val="single"/>
        </w:rPr>
        <w:t>Fire</w:t>
      </w:r>
      <w:r>
        <w:rPr>
          <w:spacing w:val="-7"/>
          <w:sz w:val="18"/>
          <w:u w:val="single"/>
        </w:rPr>
        <w:t> </w:t>
      </w:r>
      <w:r>
        <w:rPr>
          <w:sz w:val="18"/>
          <w:u w:val="single"/>
        </w:rPr>
        <w:t>&amp;</w:t>
      </w:r>
      <w:r>
        <w:rPr>
          <w:spacing w:val="-9"/>
          <w:sz w:val="18"/>
          <w:u w:val="single"/>
        </w:rPr>
        <w:t> </w:t>
      </w:r>
      <w:r>
        <w:rPr>
          <w:sz w:val="18"/>
          <w:u w:val="single"/>
        </w:rPr>
        <w:t>Cas.</w:t>
      </w:r>
      <w:r>
        <w:rPr>
          <w:spacing w:val="-7"/>
          <w:sz w:val="18"/>
          <w:u w:val="single"/>
        </w:rPr>
        <w:t> </w:t>
      </w:r>
      <w:r>
        <w:rPr>
          <w:sz w:val="18"/>
          <w:u w:val="single"/>
        </w:rPr>
        <w:t>Co.</w:t>
      </w:r>
      <w:r>
        <w:rPr>
          <w:sz w:val="18"/>
        </w:rPr>
        <w:t>,</w:t>
      </w:r>
      <w:r>
        <w:rPr>
          <w:spacing w:val="-6"/>
          <w:sz w:val="18"/>
        </w:rPr>
        <w:t> </w:t>
      </w:r>
      <w:r>
        <w:rPr>
          <w:sz w:val="18"/>
        </w:rPr>
        <w:t>250</w:t>
      </w:r>
      <w:r>
        <w:rPr>
          <w:spacing w:val="-2"/>
          <w:sz w:val="18"/>
        </w:rPr>
        <w:t> </w:t>
      </w:r>
      <w:r>
        <w:rPr>
          <w:sz w:val="18"/>
        </w:rPr>
        <w:t>F.Supp.2d</w:t>
      </w:r>
      <w:r>
        <w:rPr>
          <w:spacing w:val="-2"/>
          <w:sz w:val="18"/>
        </w:rPr>
        <w:t> </w:t>
      </w:r>
      <w:r>
        <w:rPr>
          <w:sz w:val="18"/>
        </w:rPr>
        <w:t>1357,</w:t>
      </w:r>
      <w:r>
        <w:rPr>
          <w:spacing w:val="-4"/>
          <w:sz w:val="18"/>
        </w:rPr>
        <w:t> </w:t>
      </w:r>
      <w:r>
        <w:rPr>
          <w:sz w:val="18"/>
        </w:rPr>
        <w:t>16</w:t>
      </w:r>
      <w:r>
        <w:rPr>
          <w:spacing w:val="-4"/>
          <w:sz w:val="18"/>
        </w:rPr>
        <w:t> </w:t>
      </w:r>
      <w:r>
        <w:rPr>
          <w:sz w:val="18"/>
        </w:rPr>
        <w:t>Fla.L. Weekly Fed.D. 231 (M.D. Fla. 2003), </w:t>
      </w:r>
      <w:r>
        <w:rPr>
          <w:i/>
          <w:sz w:val="18"/>
        </w:rPr>
        <w:t>aff’d</w:t>
      </w:r>
      <w:r>
        <w:rPr>
          <w:sz w:val="18"/>
        </w:rPr>
        <w:t>, 362 F.3d 1317, 17 Fla. L. Weekly Fed C.</w:t>
      </w:r>
      <w:r>
        <w:rPr>
          <w:spacing w:val="-25"/>
          <w:sz w:val="18"/>
        </w:rPr>
        <w:t> </w:t>
      </w:r>
      <w:r>
        <w:rPr>
          <w:sz w:val="18"/>
        </w:rPr>
        <w:t>315 (11</w:t>
      </w:r>
      <w:r>
        <w:rPr>
          <w:position w:val="7"/>
          <w:sz w:val="10"/>
        </w:rPr>
        <w:t>th </w:t>
      </w:r>
      <w:r>
        <w:rPr>
          <w:sz w:val="18"/>
        </w:rPr>
        <w:t>Cir Fla. 2004); </w:t>
      </w:r>
      <w:r>
        <w:rPr>
          <w:sz w:val="18"/>
          <w:u w:val="single"/>
        </w:rPr>
        <w:t>Muckenfuss v. The Hanover Ins. Co.</w:t>
      </w:r>
      <w:r>
        <w:rPr>
          <w:sz w:val="18"/>
        </w:rPr>
        <w:t>, 2007 WL 1174098 (M.D. Fla. 2007)</w:t>
      </w:r>
      <w:r>
        <w:rPr>
          <w:sz w:val="24"/>
        </w:rPr>
        <w:t>.</w:t>
      </w:r>
    </w:p>
    <w:p>
      <w:pPr>
        <w:pStyle w:val="ListParagraph"/>
        <w:numPr>
          <w:ilvl w:val="0"/>
          <w:numId w:val="12"/>
        </w:numPr>
        <w:tabs>
          <w:tab w:pos="1376" w:val="left" w:leader="none"/>
        </w:tabs>
        <w:spacing w:line="196" w:lineRule="exact" w:before="0" w:after="0"/>
        <w:ind w:left="1376" w:right="0" w:hanging="216"/>
        <w:jc w:val="both"/>
        <w:rPr>
          <w:sz w:val="18"/>
        </w:rPr>
      </w:pPr>
      <w:r>
        <w:rPr>
          <w:spacing w:val="-13"/>
          <w:sz w:val="18"/>
          <w:u w:val="single"/>
        </w:rPr>
        <w:t> </w:t>
      </w:r>
      <w:r>
        <w:rPr>
          <w:sz w:val="18"/>
          <w:u w:val="single"/>
        </w:rPr>
        <w:t>Correnti</w:t>
      </w:r>
      <w:r>
        <w:rPr>
          <w:spacing w:val="-11"/>
          <w:sz w:val="18"/>
          <w:u w:val="single"/>
        </w:rPr>
        <w:t> </w:t>
      </w:r>
      <w:r>
        <w:rPr>
          <w:sz w:val="18"/>
          <w:u w:val="single"/>
        </w:rPr>
        <w:t>v.</w:t>
      </w:r>
      <w:r>
        <w:rPr>
          <w:spacing w:val="-14"/>
          <w:sz w:val="18"/>
          <w:u w:val="single"/>
        </w:rPr>
        <w:t> </w:t>
      </w:r>
      <w:r>
        <w:rPr>
          <w:sz w:val="18"/>
          <w:u w:val="single"/>
        </w:rPr>
        <w:t>Merchants</w:t>
      </w:r>
      <w:r>
        <w:rPr>
          <w:spacing w:val="-14"/>
          <w:sz w:val="18"/>
          <w:u w:val="single"/>
        </w:rPr>
        <w:t> </w:t>
      </w:r>
      <w:r>
        <w:rPr>
          <w:sz w:val="18"/>
          <w:u w:val="single"/>
        </w:rPr>
        <w:t>Preferred</w:t>
      </w:r>
      <w:r>
        <w:rPr>
          <w:spacing w:val="-14"/>
          <w:sz w:val="18"/>
          <w:u w:val="single"/>
        </w:rPr>
        <w:t> </w:t>
      </w:r>
      <w:r>
        <w:rPr>
          <w:sz w:val="18"/>
          <w:u w:val="single"/>
        </w:rPr>
        <w:t>Ins.</w:t>
      </w:r>
      <w:r>
        <w:rPr>
          <w:spacing w:val="-14"/>
          <w:sz w:val="18"/>
          <w:u w:val="single"/>
        </w:rPr>
        <w:t> </w:t>
      </w:r>
      <w:r>
        <w:rPr>
          <w:sz w:val="18"/>
          <w:u w:val="single"/>
        </w:rPr>
        <w:t>Co.</w:t>
      </w:r>
      <w:r>
        <w:rPr>
          <w:sz w:val="18"/>
        </w:rPr>
        <w:t>,</w:t>
      </w:r>
      <w:r>
        <w:rPr>
          <w:spacing w:val="-13"/>
          <w:sz w:val="18"/>
        </w:rPr>
        <w:t> </w:t>
      </w:r>
      <w:r>
        <w:rPr>
          <w:sz w:val="18"/>
        </w:rPr>
        <w:t>2013</w:t>
      </w:r>
      <w:r>
        <w:rPr>
          <w:spacing w:val="-13"/>
          <w:sz w:val="18"/>
        </w:rPr>
        <w:t> </w:t>
      </w:r>
      <w:r>
        <w:rPr>
          <w:sz w:val="18"/>
        </w:rPr>
        <w:t>WL</w:t>
      </w:r>
      <w:r>
        <w:rPr>
          <w:spacing w:val="-16"/>
          <w:sz w:val="18"/>
        </w:rPr>
        <w:t> </w:t>
      </w:r>
      <w:r>
        <w:rPr>
          <w:sz w:val="18"/>
        </w:rPr>
        <w:t>373273</w:t>
      </w:r>
      <w:r>
        <w:rPr>
          <w:spacing w:val="-14"/>
          <w:sz w:val="18"/>
        </w:rPr>
        <w:t> </w:t>
      </w:r>
      <w:r>
        <w:rPr>
          <w:sz w:val="18"/>
        </w:rPr>
        <w:t>(E.D.</w:t>
      </w:r>
      <w:r>
        <w:rPr>
          <w:spacing w:val="-13"/>
          <w:sz w:val="18"/>
        </w:rPr>
        <w:t> </w:t>
      </w:r>
      <w:r>
        <w:rPr>
          <w:sz w:val="18"/>
        </w:rPr>
        <w:t>Pa.);</w:t>
      </w:r>
      <w:r>
        <w:rPr>
          <w:spacing w:val="-14"/>
          <w:sz w:val="18"/>
        </w:rPr>
        <w:t> </w:t>
      </w:r>
      <w:r>
        <w:rPr>
          <w:sz w:val="18"/>
          <w:u w:val="single"/>
        </w:rPr>
        <w:t>Sydney</w:t>
      </w:r>
      <w:r>
        <w:rPr>
          <w:spacing w:val="-19"/>
          <w:sz w:val="18"/>
          <w:u w:val="single"/>
        </w:rPr>
        <w:t> </w:t>
      </w:r>
      <w:r>
        <w:rPr>
          <w:sz w:val="18"/>
          <w:u w:val="single"/>
        </w:rPr>
        <w:t>v.</w:t>
      </w:r>
      <w:r>
        <w:rPr>
          <w:spacing w:val="-14"/>
          <w:sz w:val="18"/>
          <w:u w:val="single"/>
        </w:rPr>
        <w:t> </w:t>
      </w:r>
      <w:r>
        <w:rPr>
          <w:sz w:val="18"/>
          <w:u w:val="single"/>
        </w:rPr>
        <w:t>Pacific</w:t>
      </w:r>
    </w:p>
    <w:p>
      <w:pPr>
        <w:spacing w:line="247" w:lineRule="auto" w:before="4"/>
        <w:ind w:left="1160" w:right="1165" w:firstLine="0"/>
        <w:jc w:val="both"/>
        <w:rPr>
          <w:rFonts w:ascii="Times New Roman"/>
          <w:sz w:val="24"/>
        </w:rPr>
      </w:pPr>
      <w:r>
        <w:rPr>
          <w:rFonts w:ascii="Times New Roman"/>
          <w:sz w:val="18"/>
          <w:u w:val="single"/>
        </w:rPr>
        <w:t>Indem Co.</w:t>
      </w:r>
      <w:r>
        <w:rPr>
          <w:rFonts w:ascii="Times New Roman"/>
          <w:sz w:val="18"/>
        </w:rPr>
        <w:t>, 2012 WL 3135529 (E.D. Pa. 2012); </w:t>
      </w:r>
      <w:r>
        <w:rPr>
          <w:rFonts w:ascii="Times New Roman"/>
          <w:sz w:val="18"/>
          <w:u w:val="single"/>
        </w:rPr>
        <w:t>Williamson v. Chubb Ind. Ins. Co.</w:t>
      </w:r>
      <w:r>
        <w:rPr>
          <w:rFonts w:ascii="Times New Roman"/>
          <w:sz w:val="18"/>
        </w:rPr>
        <w:t>, 2012 WL 760838 (E.D. Pa. 2012)</w:t>
      </w:r>
      <w:r>
        <w:rPr>
          <w:rFonts w:ascii="Times New Roman"/>
          <w:sz w:val="24"/>
        </w:rPr>
        <w:t>.</w:t>
      </w:r>
    </w:p>
    <w:p>
      <w:pPr>
        <w:spacing w:after="0" w:line="247" w:lineRule="auto"/>
        <w:jc w:val="both"/>
        <w:rPr>
          <w:rFonts w:ascii="Times New Roman"/>
          <w:sz w:val="24"/>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129" w:id="40"/>
      <w:bookmarkEnd w:id="40"/>
      <w:r>
        <w:rPr/>
      </w:r>
      <w:r>
        <w:rPr/>
        <w:t>claimed loss, and as long as the dispute is limited to the amount or extent of the loss,</w:t>
      </w:r>
      <w:r>
        <w:rPr>
          <w:spacing w:val="-30"/>
        </w:rPr>
        <w:t> </w:t>
      </w:r>
      <w:r>
        <w:rPr/>
        <w:t>the parties are required to submit to the statutory appraisal process. </w:t>
      </w:r>
      <w:r>
        <w:rPr>
          <w:spacing w:val="3"/>
        </w:rPr>
        <w:t>In </w:t>
      </w:r>
      <w:r>
        <w:rPr>
          <w:u w:val="single"/>
        </w:rPr>
        <w:t>Hahn v. Allstate Ins. Co.</w:t>
      </w:r>
      <w:r>
        <w:rPr/>
        <w:t>, the insured brought suit seeking an injunction to</w:t>
      </w:r>
      <w:r>
        <w:rPr>
          <w:spacing w:val="-16"/>
        </w:rPr>
        <w:t> </w:t>
      </w:r>
      <w:r>
        <w:rPr/>
        <w:t>compel</w:t>
      </w:r>
      <w:r>
        <w:rPr>
          <w:spacing w:val="-15"/>
        </w:rPr>
        <w:t> </w:t>
      </w:r>
      <w:r>
        <w:rPr/>
        <w:t>the</w:t>
      </w:r>
      <w:r>
        <w:rPr>
          <w:spacing w:val="-16"/>
        </w:rPr>
        <w:t> </w:t>
      </w:r>
      <w:r>
        <w:rPr/>
        <w:t>insurer</w:t>
      </w:r>
      <w:r>
        <w:rPr>
          <w:spacing w:val="-19"/>
        </w:rPr>
        <w:t> </w:t>
      </w:r>
      <w:r>
        <w:rPr/>
        <w:t>to</w:t>
      </w:r>
      <w:r>
        <w:rPr>
          <w:spacing w:val="-16"/>
        </w:rPr>
        <w:t> </w:t>
      </w:r>
      <w:r>
        <w:rPr/>
        <w:t>submit</w:t>
      </w:r>
      <w:r>
        <w:rPr>
          <w:spacing w:val="-20"/>
        </w:rPr>
        <w:t> </w:t>
      </w:r>
      <w:r>
        <w:rPr/>
        <w:t>to</w:t>
      </w:r>
      <w:r>
        <w:rPr>
          <w:spacing w:val="-16"/>
        </w:rPr>
        <w:t> </w:t>
      </w:r>
      <w:r>
        <w:rPr/>
        <w:t>appraisal.</w:t>
      </w:r>
      <w:r>
        <w:rPr>
          <w:spacing w:val="38"/>
        </w:rPr>
        <w:t> </w:t>
      </w:r>
      <w:r>
        <w:rPr>
          <w:spacing w:val="3"/>
        </w:rPr>
        <w:t>In </w:t>
      </w:r>
      <w:r>
        <w:rPr/>
        <w:t>affirming the trial court’s issuance of the injunction, the supreme court held that although the insurer argued that scope-of- coverage issues existed which were not appropriate for appraisal, the insurer’s vague allegations of pre-existing damage </w:t>
      </w:r>
      <w:r>
        <w:rPr>
          <w:spacing w:val="-3"/>
        </w:rPr>
        <w:t>were </w:t>
      </w:r>
      <w:r>
        <w:rPr/>
        <w:t>insufficient to put the insured on notice and were not a genuine attempt to litigate such issues.</w:t>
      </w:r>
      <w:r>
        <w:rPr>
          <w:vertAlign w:val="superscript"/>
        </w:rPr>
        <w:t>173</w:t>
      </w:r>
      <w:r>
        <w:rPr>
          <w:spacing w:val="36"/>
          <w:vertAlign w:val="baseline"/>
        </w:rPr>
        <w:t> </w:t>
      </w:r>
      <w:r>
        <w:rPr>
          <w:vertAlign w:val="baseline"/>
        </w:rPr>
        <w:t>The</w:t>
      </w:r>
      <w:r>
        <w:rPr>
          <w:spacing w:val="-15"/>
          <w:vertAlign w:val="baseline"/>
        </w:rPr>
        <w:t> </w:t>
      </w:r>
      <w:r>
        <w:rPr>
          <w:vertAlign w:val="baseline"/>
        </w:rPr>
        <w:t>insured</w:t>
      </w:r>
      <w:r>
        <w:rPr>
          <w:spacing w:val="-15"/>
          <w:vertAlign w:val="baseline"/>
        </w:rPr>
        <w:t> </w:t>
      </w:r>
      <w:r>
        <w:rPr>
          <w:vertAlign w:val="baseline"/>
        </w:rPr>
        <w:t>was</w:t>
      </w:r>
      <w:r>
        <w:rPr>
          <w:spacing w:val="-16"/>
          <w:vertAlign w:val="baseline"/>
        </w:rPr>
        <w:t> </w:t>
      </w:r>
      <w:r>
        <w:rPr>
          <w:vertAlign w:val="baseline"/>
        </w:rPr>
        <w:t>entitled</w:t>
      </w:r>
      <w:r>
        <w:rPr>
          <w:spacing w:val="-15"/>
          <w:vertAlign w:val="baseline"/>
        </w:rPr>
        <w:t> </w:t>
      </w:r>
      <w:r>
        <w:rPr>
          <w:vertAlign w:val="baseline"/>
        </w:rPr>
        <w:t>to</w:t>
      </w:r>
      <w:r>
        <w:rPr>
          <w:spacing w:val="-16"/>
          <w:vertAlign w:val="baseline"/>
        </w:rPr>
        <w:t> </w:t>
      </w:r>
      <w:r>
        <w:rPr>
          <w:vertAlign w:val="baseline"/>
        </w:rPr>
        <w:t>timely</w:t>
      </w:r>
      <w:r>
        <w:rPr>
          <w:spacing w:val="-18"/>
          <w:vertAlign w:val="baseline"/>
        </w:rPr>
        <w:t> </w:t>
      </w:r>
      <w:r>
        <w:rPr>
          <w:spacing w:val="-12"/>
          <w:vertAlign w:val="baseline"/>
        </w:rPr>
        <w:t>and </w:t>
      </w:r>
      <w:r>
        <w:rPr>
          <w:vertAlign w:val="baseline"/>
        </w:rPr>
        <w:t>adequate</w:t>
      </w:r>
      <w:r>
        <w:rPr>
          <w:spacing w:val="-29"/>
          <w:vertAlign w:val="baseline"/>
        </w:rPr>
        <w:t> </w:t>
      </w:r>
      <w:r>
        <w:rPr>
          <w:vertAlign w:val="baseline"/>
        </w:rPr>
        <w:t>notice</w:t>
      </w:r>
      <w:r>
        <w:rPr>
          <w:spacing w:val="-26"/>
          <w:vertAlign w:val="baseline"/>
        </w:rPr>
        <w:t> </w:t>
      </w:r>
      <w:r>
        <w:rPr>
          <w:vertAlign w:val="baseline"/>
        </w:rPr>
        <w:t>of</w:t>
      </w:r>
      <w:r>
        <w:rPr>
          <w:spacing w:val="-25"/>
          <w:vertAlign w:val="baseline"/>
        </w:rPr>
        <w:t> </w:t>
      </w:r>
      <w:r>
        <w:rPr>
          <w:vertAlign w:val="baseline"/>
        </w:rPr>
        <w:t>the</w:t>
      </w:r>
      <w:r>
        <w:rPr>
          <w:spacing w:val="-27"/>
          <w:vertAlign w:val="baseline"/>
        </w:rPr>
        <w:t> </w:t>
      </w:r>
      <w:r>
        <w:rPr>
          <w:vertAlign w:val="baseline"/>
        </w:rPr>
        <w:t>specifics</w:t>
      </w:r>
      <w:r>
        <w:rPr>
          <w:spacing w:val="-25"/>
          <w:vertAlign w:val="baseline"/>
        </w:rPr>
        <w:t> </w:t>
      </w:r>
      <w:r>
        <w:rPr>
          <w:vertAlign w:val="baseline"/>
        </w:rPr>
        <w:t>of</w:t>
      </w:r>
      <w:r>
        <w:rPr>
          <w:spacing w:val="-25"/>
          <w:vertAlign w:val="baseline"/>
        </w:rPr>
        <w:t> </w:t>
      </w:r>
      <w:r>
        <w:rPr>
          <w:vertAlign w:val="baseline"/>
        </w:rPr>
        <w:t>the</w:t>
      </w:r>
      <w:r>
        <w:rPr>
          <w:spacing w:val="-27"/>
          <w:vertAlign w:val="baseline"/>
        </w:rPr>
        <w:t> </w:t>
      </w:r>
      <w:r>
        <w:rPr>
          <w:vertAlign w:val="baseline"/>
        </w:rPr>
        <w:t>dispute in order to contest the insurer’s denial of coverage.</w:t>
      </w:r>
    </w:p>
    <w:p>
      <w:pPr>
        <w:pStyle w:val="BodyText"/>
        <w:spacing w:before="5"/>
        <w:rPr>
          <w:sz w:val="25"/>
        </w:rPr>
      </w:pPr>
    </w:p>
    <w:p>
      <w:pPr>
        <w:pStyle w:val="BodyText"/>
        <w:spacing w:line="242" w:lineRule="auto" w:before="1"/>
        <w:ind w:left="1520" w:right="1518" w:firstLine="720"/>
        <w:jc w:val="both"/>
      </w:pPr>
      <w:r>
        <w:rPr/>
        <w:t>The word “loss” in a property insurance policy clause means “the injury or damage caused by the accident for which the insurer may, under the provisions of the policy, be liable.</w:t>
      </w:r>
      <w:r>
        <w:rPr>
          <w:vertAlign w:val="superscript"/>
        </w:rPr>
        <w:t>174</w:t>
      </w:r>
    </w:p>
    <w:p>
      <w:pPr>
        <w:pStyle w:val="BodyText"/>
      </w:pPr>
    </w:p>
    <w:p>
      <w:pPr>
        <w:pStyle w:val="BodyText"/>
        <w:spacing w:line="242" w:lineRule="auto" w:before="1"/>
        <w:ind w:left="1520" w:right="1519" w:firstLine="720"/>
        <w:jc w:val="both"/>
      </w:pPr>
      <w:r>
        <w:rPr/>
        <w:t>In New York, an insured’s motion for the appointment of an umpire to conclude an appraisal of both loss and damage to an insured’s property was granted where the</w:t>
      </w:r>
    </w:p>
    <w:p>
      <w:pPr>
        <w:pStyle w:val="BodyText"/>
        <w:spacing w:before="2"/>
        <w:rPr>
          <w:sz w:val="25"/>
        </w:rPr>
      </w:pPr>
      <w:r>
        <w:rPr/>
        <w:pict>
          <v:shape style="position:absolute;margin-left:162pt;margin-top:17.858686pt;width:143.9pt;height:.1pt;mso-position-horizontal-relative:page;mso-position-vertical-relative:paragraph;z-index:-251596800;mso-wrap-distance-left:0;mso-wrap-distance-right:0" coordorigin="3240,357" coordsize="2878,0" path="m3240,357l6118,357e" filled="false" stroked="true" strokeweight=".84pt" strokecolor="#000000">
            <v:path arrowok="t"/>
            <v:stroke dashstyle="solid"/>
            <w10:wrap type="topAndBottom"/>
          </v:shape>
        </w:pict>
      </w:r>
    </w:p>
    <w:p>
      <w:pPr>
        <w:pStyle w:val="ListParagraph"/>
        <w:numPr>
          <w:ilvl w:val="0"/>
          <w:numId w:val="12"/>
        </w:numPr>
        <w:tabs>
          <w:tab w:pos="1421" w:val="left" w:leader="none"/>
        </w:tabs>
        <w:spacing w:line="240" w:lineRule="exact" w:before="140" w:after="0"/>
        <w:ind w:left="1420" w:right="0" w:hanging="261"/>
        <w:jc w:val="left"/>
        <w:rPr>
          <w:sz w:val="18"/>
        </w:rPr>
      </w:pPr>
      <w:r>
        <w:rPr>
          <w:i/>
          <w:sz w:val="18"/>
        </w:rPr>
        <w:t>See </w:t>
      </w:r>
      <w:r>
        <w:rPr>
          <w:sz w:val="18"/>
          <w:u w:val="single"/>
        </w:rPr>
        <w:t>Hahn v. Allstate Ins. Co.</w:t>
      </w:r>
      <w:r>
        <w:rPr>
          <w:sz w:val="18"/>
        </w:rPr>
        <w:t>, 15 A.3d 1026 (R.I.</w:t>
      </w:r>
      <w:r>
        <w:rPr>
          <w:spacing w:val="3"/>
          <w:sz w:val="18"/>
        </w:rPr>
        <w:t> </w:t>
      </w:r>
      <w:r>
        <w:rPr>
          <w:sz w:val="18"/>
        </w:rPr>
        <w:t>2011).</w:t>
      </w:r>
    </w:p>
    <w:p>
      <w:pPr>
        <w:pStyle w:val="ListParagraph"/>
        <w:numPr>
          <w:ilvl w:val="0"/>
          <w:numId w:val="12"/>
        </w:numPr>
        <w:tabs>
          <w:tab w:pos="1406" w:val="left" w:leader="none"/>
        </w:tabs>
        <w:spacing w:line="240" w:lineRule="exact" w:before="0" w:after="0"/>
        <w:ind w:left="1406" w:right="0" w:hanging="246"/>
        <w:jc w:val="left"/>
        <w:rPr>
          <w:sz w:val="18"/>
        </w:rPr>
      </w:pPr>
      <w:r>
        <w:rPr>
          <w:sz w:val="18"/>
        </w:rPr>
        <w:t>44</w:t>
      </w:r>
      <w:r>
        <w:rPr>
          <w:spacing w:val="-13"/>
          <w:sz w:val="18"/>
        </w:rPr>
        <w:t> </w:t>
      </w:r>
      <w:r>
        <w:rPr>
          <w:spacing w:val="-3"/>
          <w:sz w:val="18"/>
        </w:rPr>
        <w:t>Am.</w:t>
      </w:r>
      <w:r>
        <w:rPr>
          <w:spacing w:val="-16"/>
          <w:sz w:val="18"/>
        </w:rPr>
        <w:t> </w:t>
      </w:r>
      <w:r>
        <w:rPr>
          <w:sz w:val="18"/>
        </w:rPr>
        <w:t>Jur.2d</w:t>
      </w:r>
      <w:r>
        <w:rPr>
          <w:spacing w:val="-15"/>
          <w:sz w:val="18"/>
        </w:rPr>
        <w:t> </w:t>
      </w:r>
      <w:r>
        <w:rPr>
          <w:sz w:val="18"/>
          <w:u w:val="single"/>
        </w:rPr>
        <w:t>Insurance</w:t>
      </w:r>
      <w:r>
        <w:rPr>
          <w:spacing w:val="-17"/>
          <w:sz w:val="18"/>
        </w:rPr>
        <w:t> </w:t>
      </w:r>
      <w:r>
        <w:rPr>
          <w:sz w:val="18"/>
        </w:rPr>
        <w:t>§1327</w:t>
      </w:r>
      <w:r>
        <w:rPr>
          <w:spacing w:val="-15"/>
          <w:sz w:val="18"/>
        </w:rPr>
        <w:t> </w:t>
      </w:r>
      <w:r>
        <w:rPr>
          <w:sz w:val="18"/>
        </w:rPr>
        <w:t>(2002);</w:t>
      </w:r>
      <w:r>
        <w:rPr>
          <w:spacing w:val="-15"/>
          <w:sz w:val="18"/>
        </w:rPr>
        <w:t> </w:t>
      </w:r>
      <w:r>
        <w:rPr>
          <w:sz w:val="18"/>
          <w:u w:val="single"/>
        </w:rPr>
        <w:t>Miller</w:t>
      </w:r>
      <w:r>
        <w:rPr>
          <w:spacing w:val="-15"/>
          <w:sz w:val="18"/>
          <w:u w:val="single"/>
        </w:rPr>
        <w:t> </w:t>
      </w:r>
      <w:r>
        <w:rPr>
          <w:sz w:val="18"/>
          <w:u w:val="single"/>
        </w:rPr>
        <w:t>v.</w:t>
      </w:r>
      <w:r>
        <w:rPr>
          <w:spacing w:val="-16"/>
          <w:sz w:val="18"/>
          <w:u w:val="single"/>
        </w:rPr>
        <w:t> </w:t>
      </w:r>
      <w:r>
        <w:rPr>
          <w:sz w:val="18"/>
          <w:u w:val="single"/>
        </w:rPr>
        <w:t>USAA</w:t>
      </w:r>
      <w:r>
        <w:rPr>
          <w:spacing w:val="-19"/>
          <w:sz w:val="18"/>
          <w:u w:val="single"/>
        </w:rPr>
        <w:t> </w:t>
      </w:r>
      <w:r>
        <w:rPr>
          <w:sz w:val="18"/>
          <w:u w:val="single"/>
        </w:rPr>
        <w:t>Cas.</w:t>
      </w:r>
      <w:r>
        <w:rPr>
          <w:spacing w:val="-14"/>
          <w:sz w:val="18"/>
          <w:u w:val="single"/>
        </w:rPr>
        <w:t> </w:t>
      </w:r>
      <w:r>
        <w:rPr>
          <w:sz w:val="18"/>
          <w:u w:val="single"/>
        </w:rPr>
        <w:t>Ins.</w:t>
      </w:r>
      <w:r>
        <w:rPr>
          <w:spacing w:val="-14"/>
          <w:sz w:val="18"/>
          <w:u w:val="single"/>
        </w:rPr>
        <w:t> </w:t>
      </w:r>
      <w:r>
        <w:rPr>
          <w:sz w:val="18"/>
          <w:u w:val="single"/>
        </w:rPr>
        <w:t>Co.</w:t>
      </w:r>
      <w:r>
        <w:rPr>
          <w:sz w:val="18"/>
        </w:rPr>
        <w:t>,</w:t>
      </w:r>
      <w:r>
        <w:rPr>
          <w:spacing w:val="-12"/>
          <w:sz w:val="18"/>
        </w:rPr>
        <w:t> </w:t>
      </w:r>
      <w:r>
        <w:rPr>
          <w:sz w:val="18"/>
        </w:rPr>
        <w:t>44</w:t>
      </w:r>
      <w:r>
        <w:rPr>
          <w:spacing w:val="-14"/>
          <w:sz w:val="18"/>
        </w:rPr>
        <w:t> </w:t>
      </w:r>
      <w:r>
        <w:rPr>
          <w:sz w:val="18"/>
        </w:rPr>
        <w:t>P.3d</w:t>
      </w:r>
      <w:r>
        <w:rPr>
          <w:spacing w:val="-13"/>
          <w:sz w:val="18"/>
        </w:rPr>
        <w:t> </w:t>
      </w:r>
      <w:r>
        <w:rPr>
          <w:sz w:val="18"/>
        </w:rPr>
        <w:t>663</w:t>
      </w:r>
      <w:r>
        <w:rPr>
          <w:spacing w:val="-13"/>
          <w:sz w:val="18"/>
        </w:rPr>
        <w:t> </w:t>
      </w:r>
      <w:r>
        <w:rPr>
          <w:sz w:val="18"/>
        </w:rPr>
        <w:t>(Utah</w:t>
      </w:r>
    </w:p>
    <w:p>
      <w:pPr>
        <w:spacing w:before="4"/>
        <w:ind w:left="1160" w:right="0" w:firstLine="0"/>
        <w:jc w:val="left"/>
        <w:rPr>
          <w:rFonts w:ascii="Times New Roman"/>
          <w:sz w:val="18"/>
        </w:rPr>
      </w:pPr>
      <w:r>
        <w:rPr>
          <w:rFonts w:ascii="Times New Roman"/>
          <w:sz w:val="18"/>
        </w:rPr>
        <w:t>2002).</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4"/>
        <w:jc w:val="both"/>
      </w:pPr>
      <w:bookmarkStart w:name="Law and Procedure 130" w:id="41"/>
      <w:bookmarkEnd w:id="41"/>
      <w:r>
        <w:rPr/>
      </w:r>
      <w:r>
        <w:rPr>
          <w:spacing w:val="4"/>
        </w:rPr>
        <w:t>parties’ “Agreement </w:t>
      </w:r>
      <w:r>
        <w:rPr>
          <w:spacing w:val="3"/>
        </w:rPr>
        <w:t>for </w:t>
      </w:r>
      <w:r>
        <w:rPr>
          <w:spacing w:val="4"/>
        </w:rPr>
        <w:t>Submission </w:t>
      </w:r>
      <w:r>
        <w:rPr/>
        <w:t>to Appraisers” used both terms. There, the court found that use of the terms “loss” and “damage” served to represent “patently </w:t>
      </w:r>
      <w:r>
        <w:rPr>
          <w:spacing w:val="-3"/>
        </w:rPr>
        <w:t>two </w:t>
      </w:r>
      <w:r>
        <w:rPr/>
        <w:t>separate matters”, evidenced particularly by language in the first paragraph stating “the parties hereto have disagreed on the</w:t>
      </w:r>
      <w:r>
        <w:rPr>
          <w:spacing w:val="-25"/>
        </w:rPr>
        <w:t> </w:t>
      </w:r>
      <w:r>
        <w:rPr/>
        <w:t>amount of the loss of or damage to the following properties…” The Court found the agreement was reasonably read and even expected to provide for one person to address both issues. The Court reasoned that “[i]n a sense, the</w:t>
      </w:r>
      <w:r>
        <w:rPr>
          <w:spacing w:val="-41"/>
        </w:rPr>
        <w:t> </w:t>
      </w:r>
      <w:r>
        <w:rPr>
          <w:spacing w:val="-3"/>
        </w:rPr>
        <w:t>two </w:t>
      </w:r>
      <w:r>
        <w:rPr/>
        <w:t>different issues are necessarily conjoined, and an</w:t>
      </w:r>
      <w:r>
        <w:rPr>
          <w:spacing w:val="-16"/>
        </w:rPr>
        <w:t> </w:t>
      </w:r>
      <w:r>
        <w:rPr/>
        <w:t>appraisal</w:t>
      </w:r>
      <w:r>
        <w:rPr>
          <w:spacing w:val="-14"/>
        </w:rPr>
        <w:t> </w:t>
      </w:r>
      <w:r>
        <w:rPr/>
        <w:t>which</w:t>
      </w:r>
      <w:r>
        <w:rPr>
          <w:spacing w:val="-16"/>
        </w:rPr>
        <w:t> </w:t>
      </w:r>
      <w:r>
        <w:rPr/>
        <w:t>determines</w:t>
      </w:r>
      <w:r>
        <w:rPr>
          <w:spacing w:val="-15"/>
        </w:rPr>
        <w:t> </w:t>
      </w:r>
      <w:r>
        <w:rPr/>
        <w:t>first,</w:t>
      </w:r>
      <w:r>
        <w:rPr>
          <w:spacing w:val="-15"/>
        </w:rPr>
        <w:t> </w:t>
      </w:r>
      <w:r>
        <w:rPr/>
        <w:t>how</w:t>
      </w:r>
      <w:r>
        <w:rPr>
          <w:spacing w:val="-16"/>
        </w:rPr>
        <w:t> </w:t>
      </w:r>
      <w:r>
        <w:rPr/>
        <w:t>badly the building was damaged and, second,</w:t>
      </w:r>
      <w:r>
        <w:rPr>
          <w:spacing w:val="-32"/>
        </w:rPr>
        <w:t> </w:t>
      </w:r>
      <w:r>
        <w:rPr>
          <w:spacing w:val="-5"/>
        </w:rPr>
        <w:t>how </w:t>
      </w:r>
      <w:r>
        <w:rPr/>
        <w:t>much that damage will cost to fix, reasoning, “how</w:t>
      </w:r>
      <w:r>
        <w:rPr>
          <w:spacing w:val="-17"/>
        </w:rPr>
        <w:t> </w:t>
      </w:r>
      <w:r>
        <w:rPr/>
        <w:t>is</w:t>
      </w:r>
      <w:r>
        <w:rPr>
          <w:spacing w:val="-12"/>
        </w:rPr>
        <w:t> </w:t>
      </w:r>
      <w:r>
        <w:rPr/>
        <w:t>the</w:t>
      </w:r>
      <w:r>
        <w:rPr>
          <w:spacing w:val="-14"/>
        </w:rPr>
        <w:t> </w:t>
      </w:r>
      <w:r>
        <w:rPr/>
        <w:t>money</w:t>
      </w:r>
      <w:r>
        <w:rPr>
          <w:spacing w:val="-14"/>
        </w:rPr>
        <w:t> </w:t>
      </w:r>
      <w:r>
        <w:rPr/>
        <w:t>value</w:t>
      </w:r>
      <w:r>
        <w:rPr>
          <w:spacing w:val="-11"/>
        </w:rPr>
        <w:t> </w:t>
      </w:r>
      <w:r>
        <w:rPr/>
        <w:t>of</w:t>
      </w:r>
      <w:r>
        <w:rPr>
          <w:spacing w:val="-11"/>
        </w:rPr>
        <w:t> </w:t>
      </w:r>
      <w:r>
        <w:rPr/>
        <w:t>the</w:t>
      </w:r>
      <w:r>
        <w:rPr>
          <w:spacing w:val="-13"/>
        </w:rPr>
        <w:t> </w:t>
      </w:r>
      <w:r>
        <w:rPr/>
        <w:t>damage</w:t>
      </w:r>
      <w:r>
        <w:rPr>
          <w:spacing w:val="-11"/>
        </w:rPr>
        <w:t> </w:t>
      </w:r>
      <w:r>
        <w:rPr/>
        <w:t>to</w:t>
      </w:r>
      <w:r>
        <w:rPr>
          <w:spacing w:val="-12"/>
        </w:rPr>
        <w:t> </w:t>
      </w:r>
      <w:r>
        <w:rPr/>
        <w:t>be determined until and unless the extent of the damage is</w:t>
      </w:r>
      <w:r>
        <w:rPr>
          <w:spacing w:val="-2"/>
        </w:rPr>
        <w:t> </w:t>
      </w:r>
      <w:r>
        <w:rPr/>
        <w:t>determined?”</w:t>
      </w:r>
      <w:r>
        <w:rPr>
          <w:vertAlign w:val="superscript"/>
        </w:rPr>
        <w:t>175</w:t>
      </w:r>
    </w:p>
    <w:p>
      <w:pPr>
        <w:pStyle w:val="BodyText"/>
        <w:spacing w:before="7"/>
        <w:rPr>
          <w:sz w:val="25"/>
        </w:rPr>
      </w:pPr>
    </w:p>
    <w:p>
      <w:pPr>
        <w:pStyle w:val="BodyText"/>
        <w:spacing w:line="242" w:lineRule="auto" w:before="1"/>
        <w:ind w:left="1520" w:right="1515" w:firstLine="720"/>
        <w:jc w:val="both"/>
      </w:pPr>
      <w:r>
        <w:rPr>
          <w:spacing w:val="3"/>
        </w:rPr>
        <w:t>In </w:t>
      </w:r>
      <w:r>
        <w:rPr/>
        <w:t>one Virginia matter which examined the</w:t>
      </w:r>
      <w:r>
        <w:rPr>
          <w:spacing w:val="-32"/>
        </w:rPr>
        <w:t> </w:t>
      </w:r>
      <w:r>
        <w:rPr/>
        <w:t>term</w:t>
      </w:r>
      <w:r>
        <w:rPr>
          <w:spacing w:val="-32"/>
        </w:rPr>
        <w:t> </w:t>
      </w:r>
      <w:r>
        <w:rPr/>
        <w:t>“amount</w:t>
      </w:r>
      <w:r>
        <w:rPr>
          <w:spacing w:val="-34"/>
        </w:rPr>
        <w:t> </w:t>
      </w:r>
      <w:r>
        <w:rPr/>
        <w:t>of</w:t>
      </w:r>
      <w:r>
        <w:rPr>
          <w:spacing w:val="-30"/>
        </w:rPr>
        <w:t> </w:t>
      </w:r>
      <w:r>
        <w:rPr/>
        <w:t>loss”</w:t>
      </w:r>
      <w:r>
        <w:rPr>
          <w:spacing w:val="-28"/>
        </w:rPr>
        <w:t> </w:t>
      </w:r>
      <w:r>
        <w:rPr/>
        <w:t>where</w:t>
      </w:r>
      <w:r>
        <w:rPr>
          <w:spacing w:val="-30"/>
        </w:rPr>
        <w:t> </w:t>
      </w:r>
      <w:r>
        <w:rPr/>
        <w:t>causation</w:t>
      </w:r>
      <w:r>
        <w:rPr>
          <w:spacing w:val="-30"/>
        </w:rPr>
        <w:t> </w:t>
      </w:r>
      <w:r>
        <w:rPr/>
        <w:t>was undisputed but controversy surrounded the extent of replacement and type of repairs required,</w:t>
      </w:r>
      <w:r>
        <w:rPr>
          <w:spacing w:val="-29"/>
        </w:rPr>
        <w:t> </w:t>
      </w:r>
      <w:r>
        <w:rPr/>
        <w:t>the</w:t>
      </w:r>
      <w:r>
        <w:rPr>
          <w:spacing w:val="-26"/>
        </w:rPr>
        <w:t> </w:t>
      </w:r>
      <w:r>
        <w:rPr/>
        <w:t>Court</w:t>
      </w:r>
      <w:r>
        <w:rPr>
          <w:spacing w:val="-27"/>
        </w:rPr>
        <w:t> </w:t>
      </w:r>
      <w:r>
        <w:rPr/>
        <w:t>deemed</w:t>
      </w:r>
      <w:r>
        <w:rPr>
          <w:spacing w:val="-31"/>
        </w:rPr>
        <w:t> </w:t>
      </w:r>
      <w:r>
        <w:rPr/>
        <w:t>the</w:t>
      </w:r>
      <w:r>
        <w:rPr>
          <w:spacing w:val="-28"/>
        </w:rPr>
        <w:t> </w:t>
      </w:r>
      <w:r>
        <w:rPr/>
        <w:t>disagreement to pertain to extent or amount of loss. </w:t>
      </w:r>
      <w:r>
        <w:rPr>
          <w:spacing w:val="3"/>
        </w:rPr>
        <w:t>It </w:t>
      </w:r>
      <w:r>
        <w:rPr/>
        <w:t>found that appraisal was an appropriate means of resolution, as “the question of what must be replaced in order to adequately repair</w:t>
      </w:r>
      <w:r>
        <w:rPr>
          <w:spacing w:val="12"/>
        </w:rPr>
        <w:t> </w:t>
      </w:r>
      <w:r>
        <w:rPr/>
        <w:t>the</w:t>
      </w:r>
    </w:p>
    <w:p>
      <w:pPr>
        <w:pStyle w:val="BodyText"/>
        <w:spacing w:before="4"/>
        <w:rPr>
          <w:sz w:val="28"/>
        </w:rPr>
      </w:pPr>
      <w:r>
        <w:rPr/>
        <w:pict>
          <v:shape style="position:absolute;margin-left:162pt;margin-top:19.809298pt;width:143.9pt;height:.1pt;mso-position-horizontal-relative:page;mso-position-vertical-relative:paragraph;z-index:-251595776;mso-wrap-distance-left:0;mso-wrap-distance-right:0" coordorigin="3240,396" coordsize="2878,0" path="m3240,396l6118,396e" filled="false" stroked="true" strokeweight=".84pt" strokecolor="#000000">
            <v:path arrowok="t"/>
            <v:stroke dashstyle="solid"/>
            <w10:wrap type="topAndBottom"/>
          </v:shape>
        </w:pict>
      </w:r>
    </w:p>
    <w:p>
      <w:pPr>
        <w:pStyle w:val="BodyText"/>
        <w:spacing w:before="11"/>
        <w:rPr>
          <w:sz w:val="11"/>
        </w:rPr>
      </w:pPr>
    </w:p>
    <w:p>
      <w:pPr>
        <w:pStyle w:val="ListParagraph"/>
        <w:numPr>
          <w:ilvl w:val="0"/>
          <w:numId w:val="12"/>
        </w:numPr>
        <w:tabs>
          <w:tab w:pos="1404" w:val="left" w:leader="none"/>
        </w:tabs>
        <w:spacing w:line="240" w:lineRule="auto" w:before="59" w:after="0"/>
        <w:ind w:left="1403" w:right="1" w:hanging="1404"/>
        <w:jc w:val="left"/>
        <w:rPr>
          <w:sz w:val="26"/>
        </w:rPr>
      </w:pPr>
      <w:r>
        <w:rPr>
          <w:sz w:val="18"/>
          <w:u w:val="single"/>
        </w:rPr>
        <w:t>Kirkpatrick</w:t>
      </w:r>
      <w:r>
        <w:rPr>
          <w:spacing w:val="-15"/>
          <w:sz w:val="18"/>
          <w:u w:val="single"/>
        </w:rPr>
        <w:t> </w:t>
      </w:r>
      <w:r>
        <w:rPr>
          <w:sz w:val="18"/>
          <w:u w:val="single"/>
        </w:rPr>
        <w:t>v.</w:t>
      </w:r>
      <w:r>
        <w:rPr>
          <w:spacing w:val="-14"/>
          <w:sz w:val="18"/>
          <w:u w:val="single"/>
        </w:rPr>
        <w:t> </w:t>
      </w:r>
      <w:r>
        <w:rPr>
          <w:sz w:val="18"/>
          <w:u w:val="single"/>
        </w:rPr>
        <w:t>Harleysville</w:t>
      </w:r>
      <w:r>
        <w:rPr>
          <w:spacing w:val="-14"/>
          <w:sz w:val="18"/>
          <w:u w:val="single"/>
        </w:rPr>
        <w:t> </w:t>
      </w:r>
      <w:r>
        <w:rPr>
          <w:sz w:val="18"/>
          <w:u w:val="single"/>
        </w:rPr>
        <w:t>N.Y.</w:t>
      </w:r>
      <w:r>
        <w:rPr>
          <w:spacing w:val="-14"/>
          <w:sz w:val="18"/>
          <w:u w:val="single"/>
        </w:rPr>
        <w:t> </w:t>
      </w:r>
      <w:r>
        <w:rPr>
          <w:sz w:val="18"/>
          <w:u w:val="single"/>
        </w:rPr>
        <w:t>Cas.</w:t>
      </w:r>
      <w:r>
        <w:rPr>
          <w:spacing w:val="-15"/>
          <w:sz w:val="18"/>
          <w:u w:val="single"/>
        </w:rPr>
        <w:t> </w:t>
      </w:r>
      <w:r>
        <w:rPr>
          <w:sz w:val="18"/>
          <w:u w:val="single"/>
        </w:rPr>
        <w:t>Co.</w:t>
      </w:r>
      <w:r>
        <w:rPr>
          <w:sz w:val="18"/>
        </w:rPr>
        <w:t>,</w:t>
      </w:r>
      <w:r>
        <w:rPr>
          <w:spacing w:val="-13"/>
          <w:sz w:val="18"/>
        </w:rPr>
        <w:t> </w:t>
      </w:r>
      <w:r>
        <w:rPr>
          <w:sz w:val="18"/>
        </w:rPr>
        <w:t>RJI</w:t>
      </w:r>
      <w:r>
        <w:rPr>
          <w:spacing w:val="-15"/>
          <w:sz w:val="18"/>
        </w:rPr>
        <w:t> </w:t>
      </w:r>
      <w:r>
        <w:rPr>
          <w:sz w:val="18"/>
        </w:rPr>
        <w:t>32-01-0317</w:t>
      </w:r>
      <w:r>
        <w:rPr>
          <w:spacing w:val="-15"/>
          <w:sz w:val="18"/>
        </w:rPr>
        <w:t> </w:t>
      </w:r>
      <w:r>
        <w:rPr>
          <w:sz w:val="18"/>
        </w:rPr>
        <w:t>(2008)(unreported</w:t>
      </w:r>
      <w:r>
        <w:rPr>
          <w:spacing w:val="-16"/>
          <w:sz w:val="18"/>
        </w:rPr>
        <w:t> </w:t>
      </w:r>
      <w:r>
        <w:rPr>
          <w:sz w:val="18"/>
        </w:rPr>
        <w:t>decision)</w:t>
      </w:r>
      <w:r>
        <w:rPr>
          <w:sz w:val="26"/>
        </w:rPr>
        <w:t>.</w:t>
      </w:r>
    </w:p>
    <w:p>
      <w:pPr>
        <w:spacing w:after="0" w:line="240" w:lineRule="auto"/>
        <w:jc w:val="left"/>
        <w:rPr>
          <w:sz w:val="26"/>
        </w:rPr>
        <w:sectPr>
          <w:footerReference w:type="default" r:id="rId10"/>
          <w:pgSz w:w="12240" w:h="15840"/>
          <w:pgMar w:footer="2273" w:header="0" w:top="1500" w:bottom="2460" w:left="1720" w:right="1720"/>
          <w:pgNumType w:start="106"/>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131" w:id="42"/>
      <w:bookmarkEnd w:id="42"/>
      <w:r>
        <w:rPr/>
      </w:r>
      <w:r>
        <w:rPr/>
        <w:t>damage caused by the admittedly </w:t>
      </w:r>
      <w:r>
        <w:rPr>
          <w:spacing w:val="-3"/>
        </w:rPr>
        <w:t>covered </w:t>
      </w:r>
      <w:r>
        <w:rPr/>
        <w:t>event…is not a question of coverage.” Because the term “amount of loss” was </w:t>
      </w:r>
      <w:r>
        <w:rPr>
          <w:spacing w:val="-4"/>
        </w:rPr>
        <w:t>not</w:t>
      </w:r>
      <w:r>
        <w:rPr>
          <w:spacing w:val="63"/>
        </w:rPr>
        <w:t> </w:t>
      </w:r>
      <w:r>
        <w:rPr/>
        <w:t>defined by the subject policy nor the Virginia Code</w:t>
      </w:r>
      <w:r>
        <w:rPr>
          <w:spacing w:val="-24"/>
        </w:rPr>
        <w:t> </w:t>
      </w:r>
      <w:r>
        <w:rPr/>
        <w:t>or</w:t>
      </w:r>
      <w:r>
        <w:rPr>
          <w:spacing w:val="-25"/>
        </w:rPr>
        <w:t> </w:t>
      </w:r>
      <w:r>
        <w:rPr/>
        <w:t>any</w:t>
      </w:r>
      <w:r>
        <w:rPr>
          <w:spacing w:val="-25"/>
        </w:rPr>
        <w:t> </w:t>
      </w:r>
      <w:r>
        <w:rPr/>
        <w:t>Virginia</w:t>
      </w:r>
      <w:r>
        <w:rPr>
          <w:spacing w:val="-25"/>
        </w:rPr>
        <w:t> </w:t>
      </w:r>
      <w:r>
        <w:rPr/>
        <w:t>court,</w:t>
      </w:r>
      <w:r>
        <w:rPr>
          <w:spacing w:val="-26"/>
        </w:rPr>
        <w:t> </w:t>
      </w:r>
      <w:r>
        <w:rPr/>
        <w:t>the</w:t>
      </w:r>
      <w:r>
        <w:rPr>
          <w:spacing w:val="-24"/>
        </w:rPr>
        <w:t> </w:t>
      </w:r>
      <w:r>
        <w:rPr/>
        <w:t>Court</w:t>
      </w:r>
      <w:r>
        <w:rPr>
          <w:spacing w:val="-23"/>
        </w:rPr>
        <w:t> </w:t>
      </w:r>
      <w:r>
        <w:rPr/>
        <w:t>looked</w:t>
      </w:r>
      <w:r>
        <w:rPr>
          <w:spacing w:val="-21"/>
        </w:rPr>
        <w:t> </w:t>
      </w:r>
      <w:r>
        <w:rPr/>
        <w:t>to other jurisdictions having similar appraisal statutes for guidance as to how it should be construed.</w:t>
      </w:r>
      <w:r>
        <w:rPr>
          <w:spacing w:val="-26"/>
        </w:rPr>
        <w:t> </w:t>
      </w:r>
      <w:r>
        <w:rPr>
          <w:spacing w:val="-3"/>
        </w:rPr>
        <w:t>The</w:t>
      </w:r>
      <w:r>
        <w:rPr>
          <w:spacing w:val="-24"/>
        </w:rPr>
        <w:t> </w:t>
      </w:r>
      <w:r>
        <w:rPr/>
        <w:t>Court</w:t>
      </w:r>
      <w:r>
        <w:rPr>
          <w:spacing w:val="-25"/>
        </w:rPr>
        <w:t> </w:t>
      </w:r>
      <w:r>
        <w:rPr/>
        <w:t>relied</w:t>
      </w:r>
      <w:r>
        <w:rPr>
          <w:spacing w:val="-24"/>
        </w:rPr>
        <w:t> </w:t>
      </w:r>
      <w:r>
        <w:rPr/>
        <w:t>upon</w:t>
      </w:r>
      <w:r>
        <w:rPr>
          <w:spacing w:val="-21"/>
        </w:rPr>
        <w:t> </w:t>
      </w:r>
      <w:r>
        <w:rPr>
          <w:spacing w:val="-3"/>
        </w:rPr>
        <w:t>two</w:t>
      </w:r>
      <w:r>
        <w:rPr>
          <w:spacing w:val="-21"/>
        </w:rPr>
        <w:t> </w:t>
      </w:r>
      <w:r>
        <w:rPr/>
        <w:t>decisions in particular; first, a Texas Supreme Court decision</w:t>
      </w:r>
      <w:r>
        <w:rPr>
          <w:spacing w:val="-37"/>
        </w:rPr>
        <w:t> </w:t>
      </w:r>
      <w:r>
        <w:rPr/>
        <w:t>which</w:t>
      </w:r>
      <w:r>
        <w:rPr>
          <w:spacing w:val="-36"/>
        </w:rPr>
        <w:t> </w:t>
      </w:r>
      <w:r>
        <w:rPr/>
        <w:t>found</w:t>
      </w:r>
      <w:r>
        <w:rPr>
          <w:spacing w:val="-34"/>
        </w:rPr>
        <w:t> </w:t>
      </w:r>
      <w:r>
        <w:rPr/>
        <w:t>appraisal</w:t>
      </w:r>
      <w:r>
        <w:rPr>
          <w:spacing w:val="-36"/>
        </w:rPr>
        <w:t> </w:t>
      </w:r>
      <w:r>
        <w:rPr/>
        <w:t>appropriate</w:t>
      </w:r>
      <w:r>
        <w:rPr>
          <w:spacing w:val="-38"/>
        </w:rPr>
        <w:t> </w:t>
      </w:r>
      <w:r>
        <w:rPr/>
        <w:t>for resolving which portions of a roof </w:t>
      </w:r>
      <w:r>
        <w:rPr>
          <w:spacing w:val="-3"/>
        </w:rPr>
        <w:t>were </w:t>
      </w:r>
      <w:r>
        <w:rPr/>
        <w:t>damaged as well as whether undamaged portions also required replacement to fix the damage sustained. Second, it found a Florida decision instructive in which appraisal was appropriate where coverage was similarly found to be undisputed and the only outstanding issue was “the scope of the required repair or replacement and the amount of the</w:t>
      </w:r>
      <w:r>
        <w:rPr>
          <w:spacing w:val="-4"/>
        </w:rPr>
        <w:t> </w:t>
      </w:r>
      <w:r>
        <w:rPr/>
        <w:t>loss.”</w:t>
      </w:r>
      <w:r>
        <w:rPr>
          <w:vertAlign w:val="superscript"/>
        </w:rPr>
        <w:t>176</w:t>
      </w:r>
    </w:p>
    <w:p>
      <w:pPr>
        <w:pStyle w:val="BodyText"/>
        <w:spacing w:before="7"/>
        <w:rPr>
          <w:sz w:val="25"/>
        </w:rPr>
      </w:pPr>
    </w:p>
    <w:p>
      <w:pPr>
        <w:pStyle w:val="BodyText"/>
        <w:spacing w:line="242" w:lineRule="auto"/>
        <w:ind w:left="1520" w:right="1517" w:firstLine="720"/>
        <w:jc w:val="both"/>
      </w:pPr>
      <w:r>
        <w:rPr/>
        <w:t>A Florida court considered scope of loss </w:t>
      </w:r>
      <w:r>
        <w:rPr>
          <w:spacing w:val="2"/>
        </w:rPr>
        <w:t>in </w:t>
      </w:r>
      <w:r>
        <w:rPr/>
        <w:t>characterizing a dispute over necessary repairs to revolve around amount of loss as opposed to a dispute of coverage. </w:t>
      </w:r>
      <w:r>
        <w:rPr>
          <w:spacing w:val="3"/>
        </w:rPr>
        <w:t>It </w:t>
      </w:r>
      <w:r>
        <w:rPr>
          <w:spacing w:val="-3"/>
        </w:rPr>
        <w:t>stated, </w:t>
      </w:r>
      <w:r>
        <w:rPr/>
        <w:t>“[n]otably,</w:t>
      </w:r>
      <w:r>
        <w:rPr>
          <w:spacing w:val="-25"/>
        </w:rPr>
        <w:t> </w:t>
      </w:r>
      <w:r>
        <w:rPr/>
        <w:t>in</w:t>
      </w:r>
      <w:r>
        <w:rPr>
          <w:spacing w:val="-22"/>
        </w:rPr>
        <w:t> </w:t>
      </w:r>
      <w:r>
        <w:rPr/>
        <w:t>evaluating</w:t>
      </w:r>
      <w:r>
        <w:rPr>
          <w:spacing w:val="-22"/>
        </w:rPr>
        <w:t> </w:t>
      </w:r>
      <w:r>
        <w:rPr/>
        <w:t>the</w:t>
      </w:r>
      <w:r>
        <w:rPr>
          <w:spacing w:val="-24"/>
        </w:rPr>
        <w:t> </w:t>
      </w:r>
      <w:r>
        <w:rPr/>
        <w:t>amount</w:t>
      </w:r>
      <w:r>
        <w:rPr>
          <w:spacing w:val="-25"/>
        </w:rPr>
        <w:t> </w:t>
      </w:r>
      <w:r>
        <w:rPr/>
        <w:t>of</w:t>
      </w:r>
      <w:r>
        <w:rPr>
          <w:spacing w:val="-22"/>
        </w:rPr>
        <w:t> </w:t>
      </w:r>
      <w:r>
        <w:rPr/>
        <w:t>loss,</w:t>
      </w:r>
      <w:r>
        <w:rPr>
          <w:spacing w:val="-24"/>
        </w:rPr>
        <w:t> </w:t>
      </w:r>
      <w:r>
        <w:rPr/>
        <w:t>an </w:t>
      </w:r>
      <w:r>
        <w:rPr>
          <w:spacing w:val="-3"/>
        </w:rPr>
        <w:t>appraiser</w:t>
      </w:r>
      <w:r>
        <w:rPr>
          <w:spacing w:val="-38"/>
        </w:rPr>
        <w:t> </w:t>
      </w:r>
      <w:r>
        <w:rPr/>
        <w:t>is</w:t>
      </w:r>
      <w:r>
        <w:rPr>
          <w:spacing w:val="-34"/>
        </w:rPr>
        <w:t> </w:t>
      </w:r>
      <w:r>
        <w:rPr/>
        <w:t>necessarily</w:t>
      </w:r>
      <w:r>
        <w:rPr>
          <w:spacing w:val="-34"/>
        </w:rPr>
        <w:t> </w:t>
      </w:r>
      <w:r>
        <w:rPr/>
        <w:t>tasked</w:t>
      </w:r>
      <w:r>
        <w:rPr>
          <w:spacing w:val="-36"/>
        </w:rPr>
        <w:t> </w:t>
      </w:r>
      <w:r>
        <w:rPr/>
        <w:t>with</w:t>
      </w:r>
      <w:r>
        <w:rPr>
          <w:spacing w:val="-33"/>
        </w:rPr>
        <w:t> </w:t>
      </w:r>
      <w:r>
        <w:rPr/>
        <w:t>determining both the </w:t>
      </w:r>
      <w:r>
        <w:rPr>
          <w:i/>
        </w:rPr>
        <w:t>extent </w:t>
      </w:r>
      <w:r>
        <w:rPr/>
        <w:t>of covered damage and the </w:t>
      </w:r>
      <w:r>
        <w:rPr>
          <w:i/>
        </w:rPr>
        <w:t>amount</w:t>
      </w:r>
      <w:r>
        <w:rPr>
          <w:i/>
          <w:spacing w:val="-11"/>
        </w:rPr>
        <w:t> </w:t>
      </w:r>
      <w:r>
        <w:rPr/>
        <w:t>to</w:t>
      </w:r>
      <w:r>
        <w:rPr>
          <w:spacing w:val="-14"/>
        </w:rPr>
        <w:t> </w:t>
      </w:r>
      <w:r>
        <w:rPr/>
        <w:t>be</w:t>
      </w:r>
      <w:r>
        <w:rPr>
          <w:spacing w:val="-12"/>
        </w:rPr>
        <w:t> </w:t>
      </w:r>
      <w:r>
        <w:rPr/>
        <w:t>paid</w:t>
      </w:r>
      <w:r>
        <w:rPr>
          <w:spacing w:val="-12"/>
        </w:rPr>
        <w:t> </w:t>
      </w:r>
      <w:r>
        <w:rPr/>
        <w:t>for</w:t>
      </w:r>
      <w:r>
        <w:rPr>
          <w:spacing w:val="-12"/>
        </w:rPr>
        <w:t> </w:t>
      </w:r>
      <w:r>
        <w:rPr/>
        <w:t>repairs.</w:t>
      </w:r>
      <w:r>
        <w:rPr>
          <w:spacing w:val="-15"/>
        </w:rPr>
        <w:t> </w:t>
      </w:r>
      <w:r>
        <w:rPr/>
        <w:t>Thus,</w:t>
      </w:r>
      <w:r>
        <w:rPr>
          <w:spacing w:val="-14"/>
        </w:rPr>
        <w:t> </w:t>
      </w:r>
      <w:r>
        <w:rPr/>
        <w:t>a</w:t>
      </w:r>
      <w:r>
        <w:rPr>
          <w:spacing w:val="-12"/>
        </w:rPr>
        <w:t> </w:t>
      </w:r>
      <w:r>
        <w:rPr/>
        <w:t>question</w:t>
      </w:r>
    </w:p>
    <w:p>
      <w:pPr>
        <w:pStyle w:val="BodyText"/>
        <w:spacing w:before="1"/>
        <w:rPr>
          <w:sz w:val="19"/>
        </w:rPr>
      </w:pPr>
      <w:r>
        <w:rPr/>
        <w:pict>
          <v:shape style="position:absolute;margin-left:162pt;margin-top:14.099297pt;width:143.9pt;height:.1pt;mso-position-horizontal-relative:page;mso-position-vertical-relative:paragraph;z-index:-251594752;mso-wrap-distance-left:0;mso-wrap-distance-right:0" coordorigin="3240,282" coordsize="2878,0" path="m3240,282l6118,282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2"/>
        </w:numPr>
        <w:tabs>
          <w:tab w:pos="1423" w:val="left" w:leader="none"/>
        </w:tabs>
        <w:spacing w:line="252" w:lineRule="auto" w:before="71" w:after="0"/>
        <w:ind w:left="1160" w:right="1163" w:firstLine="0"/>
        <w:jc w:val="both"/>
        <w:rPr>
          <w:sz w:val="18"/>
        </w:rPr>
      </w:pPr>
      <w:r>
        <w:rPr>
          <w:sz w:val="18"/>
          <w:u w:val="single"/>
        </w:rPr>
        <w:t>Coates</w:t>
      </w:r>
      <w:r>
        <w:rPr>
          <w:spacing w:val="-13"/>
          <w:sz w:val="18"/>
          <w:u w:val="single"/>
        </w:rPr>
        <w:t> </w:t>
      </w:r>
      <w:r>
        <w:rPr>
          <w:sz w:val="18"/>
          <w:u w:val="single"/>
        </w:rPr>
        <w:t>v.</w:t>
      </w:r>
      <w:r>
        <w:rPr>
          <w:spacing w:val="-9"/>
          <w:sz w:val="18"/>
          <w:u w:val="single"/>
        </w:rPr>
        <w:t> </w:t>
      </w:r>
      <w:r>
        <w:rPr>
          <w:sz w:val="18"/>
          <w:u w:val="single"/>
        </w:rPr>
        <w:t>Erie</w:t>
      </w:r>
      <w:r>
        <w:rPr>
          <w:spacing w:val="-9"/>
          <w:sz w:val="18"/>
          <w:u w:val="single"/>
        </w:rPr>
        <w:t> </w:t>
      </w:r>
      <w:r>
        <w:rPr>
          <w:sz w:val="18"/>
          <w:u w:val="single"/>
        </w:rPr>
        <w:t>Ins.</w:t>
      </w:r>
      <w:r>
        <w:rPr>
          <w:spacing w:val="-11"/>
          <w:sz w:val="18"/>
          <w:u w:val="single"/>
        </w:rPr>
        <w:t> </w:t>
      </w:r>
      <w:r>
        <w:rPr>
          <w:sz w:val="18"/>
          <w:u w:val="single"/>
        </w:rPr>
        <w:t>Exchange</w:t>
      </w:r>
      <w:r>
        <w:rPr>
          <w:sz w:val="18"/>
        </w:rPr>
        <w:t>,</w:t>
      </w:r>
      <w:r>
        <w:rPr>
          <w:spacing w:val="-12"/>
          <w:sz w:val="18"/>
        </w:rPr>
        <w:t> </w:t>
      </w:r>
      <w:r>
        <w:rPr>
          <w:sz w:val="18"/>
        </w:rPr>
        <w:t>2009</w:t>
      </w:r>
      <w:r>
        <w:rPr>
          <w:spacing w:val="-11"/>
          <w:sz w:val="18"/>
        </w:rPr>
        <w:t> </w:t>
      </w:r>
      <w:r>
        <w:rPr>
          <w:sz w:val="18"/>
        </w:rPr>
        <w:t>WL</w:t>
      </w:r>
      <w:r>
        <w:rPr>
          <w:spacing w:val="-13"/>
          <w:sz w:val="18"/>
        </w:rPr>
        <w:t> </w:t>
      </w:r>
      <w:r>
        <w:rPr>
          <w:sz w:val="18"/>
        </w:rPr>
        <w:t>7416039</w:t>
      </w:r>
      <w:r>
        <w:rPr>
          <w:spacing w:val="-12"/>
          <w:sz w:val="18"/>
        </w:rPr>
        <w:t> </w:t>
      </w:r>
      <w:r>
        <w:rPr>
          <w:sz w:val="18"/>
        </w:rPr>
        <w:t>(Va.</w:t>
      </w:r>
      <w:r>
        <w:rPr>
          <w:spacing w:val="-12"/>
          <w:sz w:val="18"/>
        </w:rPr>
        <w:t> </w:t>
      </w:r>
      <w:r>
        <w:rPr>
          <w:sz w:val="18"/>
        </w:rPr>
        <w:t>Cir.</w:t>
      </w:r>
      <w:r>
        <w:rPr>
          <w:spacing w:val="-11"/>
          <w:sz w:val="18"/>
        </w:rPr>
        <w:t> </w:t>
      </w:r>
      <w:r>
        <w:rPr>
          <w:sz w:val="18"/>
        </w:rPr>
        <w:t>Ct.,</w:t>
      </w:r>
      <w:r>
        <w:rPr>
          <w:spacing w:val="-9"/>
          <w:sz w:val="18"/>
        </w:rPr>
        <w:t> </w:t>
      </w:r>
      <w:r>
        <w:rPr>
          <w:sz w:val="18"/>
        </w:rPr>
        <w:t>2009)</w:t>
      </w:r>
      <w:r>
        <w:rPr>
          <w:rFonts w:ascii="Century Gothic"/>
          <w:sz w:val="18"/>
        </w:rPr>
        <w:t>,</w:t>
      </w:r>
      <w:r>
        <w:rPr>
          <w:rFonts w:ascii="Century Gothic"/>
          <w:spacing w:val="25"/>
          <w:sz w:val="18"/>
        </w:rPr>
        <w:t> </w:t>
      </w:r>
      <w:r>
        <w:rPr>
          <w:sz w:val="18"/>
        </w:rPr>
        <w:t>citing</w:t>
      </w:r>
      <w:r>
        <w:rPr>
          <w:spacing w:val="-13"/>
          <w:sz w:val="18"/>
        </w:rPr>
        <w:t> </w:t>
      </w:r>
      <w:r>
        <w:rPr>
          <w:sz w:val="18"/>
          <w:u w:val="single"/>
        </w:rPr>
        <w:t>State</w:t>
      </w:r>
      <w:r>
        <w:rPr>
          <w:spacing w:val="-11"/>
          <w:sz w:val="18"/>
          <w:u w:val="single"/>
        </w:rPr>
        <w:t> </w:t>
      </w:r>
      <w:r>
        <w:rPr>
          <w:sz w:val="18"/>
          <w:u w:val="single"/>
        </w:rPr>
        <w:t>Farm Lloyds v. Johnson</w:t>
      </w:r>
      <w:r>
        <w:rPr>
          <w:sz w:val="18"/>
        </w:rPr>
        <w:t>, 290 S.W.3d 886 (Tex.2009) and </w:t>
      </w:r>
      <w:r>
        <w:rPr>
          <w:sz w:val="18"/>
          <w:u w:val="single"/>
        </w:rPr>
        <w:t>Florida Farm Bureau Cas. Ins. Co. v. Sheaffer</w:t>
      </w:r>
      <w:r>
        <w:rPr>
          <w:sz w:val="18"/>
        </w:rPr>
        <w:t>, 687 So.2d 1331 (Fla. </w:t>
      </w:r>
      <w:r>
        <w:rPr>
          <w:spacing w:val="2"/>
          <w:sz w:val="18"/>
        </w:rPr>
        <w:t>1</w:t>
      </w:r>
      <w:r>
        <w:rPr>
          <w:spacing w:val="2"/>
          <w:position w:val="7"/>
          <w:sz w:val="10"/>
        </w:rPr>
        <w:t>st </w:t>
      </w:r>
      <w:r>
        <w:rPr>
          <w:sz w:val="18"/>
        </w:rPr>
        <w:t>DCA</w:t>
      </w:r>
      <w:r>
        <w:rPr>
          <w:spacing w:val="-6"/>
          <w:sz w:val="18"/>
        </w:rPr>
        <w:t> </w:t>
      </w:r>
      <w:r>
        <w:rPr>
          <w:sz w:val="18"/>
        </w:rPr>
        <w:t>1997).</w:t>
      </w:r>
    </w:p>
    <w:p>
      <w:pPr>
        <w:spacing w:after="0" w:line="252" w:lineRule="auto"/>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9"/>
        <w:jc w:val="both"/>
      </w:pPr>
      <w:bookmarkStart w:name="Law and Procedure 132" w:id="43"/>
      <w:bookmarkEnd w:id="43"/>
      <w:r>
        <w:rPr/>
      </w:r>
      <w:r>
        <w:rPr/>
        <w:t>of what repairs are needed to restore a</w:t>
      </w:r>
      <w:r>
        <w:rPr>
          <w:spacing w:val="-26"/>
        </w:rPr>
        <w:t> </w:t>
      </w:r>
      <w:r>
        <w:rPr/>
        <w:t>piece of covered property is a question relating to the amount of “loss” and not</w:t>
      </w:r>
      <w:r>
        <w:rPr>
          <w:spacing w:val="-13"/>
        </w:rPr>
        <w:t> </w:t>
      </w:r>
      <w:r>
        <w:rPr/>
        <w:t>coverage.”</w:t>
      </w:r>
      <w:r>
        <w:rPr>
          <w:vertAlign w:val="superscript"/>
        </w:rPr>
        <w:t>177</w:t>
      </w:r>
    </w:p>
    <w:p>
      <w:pPr>
        <w:pStyle w:val="BodyText"/>
        <w:spacing w:before="11"/>
        <w:rPr>
          <w:sz w:val="24"/>
        </w:rPr>
      </w:pPr>
    </w:p>
    <w:p>
      <w:pPr>
        <w:pStyle w:val="BodyText"/>
        <w:spacing w:line="242" w:lineRule="auto"/>
        <w:ind w:left="1520" w:right="1521" w:firstLine="720"/>
        <w:jc w:val="both"/>
      </w:pPr>
      <w:r>
        <w:rPr>
          <w:spacing w:val="2"/>
        </w:rPr>
        <w:t>An </w:t>
      </w:r>
      <w:r>
        <w:rPr/>
        <w:t>Arizona court determined a dispute was</w:t>
      </w:r>
      <w:r>
        <w:rPr>
          <w:spacing w:val="-35"/>
        </w:rPr>
        <w:t> </w:t>
      </w:r>
      <w:r>
        <w:rPr>
          <w:spacing w:val="-3"/>
        </w:rPr>
        <w:t>properly</w:t>
      </w:r>
      <w:r>
        <w:rPr>
          <w:spacing w:val="-33"/>
        </w:rPr>
        <w:t> </w:t>
      </w:r>
      <w:r>
        <w:rPr/>
        <w:t>resolvable</w:t>
      </w:r>
      <w:r>
        <w:rPr>
          <w:spacing w:val="-30"/>
        </w:rPr>
        <w:t> </w:t>
      </w:r>
      <w:r>
        <w:rPr/>
        <w:t>by</w:t>
      </w:r>
      <w:r>
        <w:rPr>
          <w:spacing w:val="-34"/>
        </w:rPr>
        <w:t> </w:t>
      </w:r>
      <w:r>
        <w:rPr/>
        <w:t>Appraisal</w:t>
      </w:r>
      <w:r>
        <w:rPr>
          <w:spacing w:val="-32"/>
        </w:rPr>
        <w:t> </w:t>
      </w:r>
      <w:r>
        <w:rPr/>
        <w:t>where</w:t>
      </w:r>
      <w:r>
        <w:rPr>
          <w:spacing w:val="-33"/>
        </w:rPr>
        <w:t> </w:t>
      </w:r>
      <w:r>
        <w:rPr/>
        <w:t>the parties disagreed over the amount of loss</w:t>
      </w:r>
      <w:r>
        <w:rPr>
          <w:spacing w:val="-40"/>
        </w:rPr>
        <w:t> </w:t>
      </w:r>
      <w:r>
        <w:rPr/>
        <w:t>and the</w:t>
      </w:r>
      <w:r>
        <w:rPr>
          <w:spacing w:val="-25"/>
        </w:rPr>
        <w:t> </w:t>
      </w:r>
      <w:r>
        <w:rPr/>
        <w:t>extent</w:t>
      </w:r>
      <w:r>
        <w:rPr>
          <w:spacing w:val="-27"/>
        </w:rPr>
        <w:t> </w:t>
      </w:r>
      <w:r>
        <w:rPr/>
        <w:t>of</w:t>
      </w:r>
      <w:r>
        <w:rPr>
          <w:spacing w:val="-23"/>
        </w:rPr>
        <w:t> </w:t>
      </w:r>
      <w:r>
        <w:rPr/>
        <w:t>an</w:t>
      </w:r>
      <w:r>
        <w:rPr>
          <w:spacing w:val="-24"/>
        </w:rPr>
        <w:t> </w:t>
      </w:r>
      <w:r>
        <w:rPr/>
        <w:t>insurer’s</w:t>
      </w:r>
      <w:r>
        <w:rPr>
          <w:spacing w:val="-27"/>
        </w:rPr>
        <w:t> </w:t>
      </w:r>
      <w:r>
        <w:rPr/>
        <w:t>liability</w:t>
      </w:r>
      <w:r>
        <w:rPr>
          <w:spacing w:val="-29"/>
        </w:rPr>
        <w:t> </w:t>
      </w:r>
      <w:r>
        <w:rPr/>
        <w:t>rather</w:t>
      </w:r>
      <w:r>
        <w:rPr>
          <w:spacing w:val="-29"/>
        </w:rPr>
        <w:t> </w:t>
      </w:r>
      <w:r>
        <w:rPr/>
        <w:t>than</w:t>
      </w:r>
      <w:r>
        <w:rPr>
          <w:spacing w:val="-26"/>
        </w:rPr>
        <w:t> </w:t>
      </w:r>
      <w:r>
        <w:rPr/>
        <w:t>the meaning of the insurance policy</w:t>
      </w:r>
      <w:r>
        <w:rPr>
          <w:spacing w:val="-5"/>
        </w:rPr>
        <w:t> </w:t>
      </w:r>
      <w:r>
        <w:rPr/>
        <w:t>itself.</w:t>
      </w:r>
      <w:r>
        <w:rPr>
          <w:vertAlign w:val="superscript"/>
        </w:rPr>
        <w:t>178</w:t>
      </w:r>
    </w:p>
    <w:p>
      <w:pPr>
        <w:pStyle w:val="BodyText"/>
        <w:spacing w:before="11"/>
        <w:rPr>
          <w:sz w:val="24"/>
        </w:rPr>
      </w:pPr>
    </w:p>
    <w:p>
      <w:pPr>
        <w:pStyle w:val="ListParagraph"/>
        <w:numPr>
          <w:ilvl w:val="0"/>
          <w:numId w:val="8"/>
        </w:numPr>
        <w:tabs>
          <w:tab w:pos="1878" w:val="left" w:leader="none"/>
        </w:tabs>
        <w:spacing w:line="240" w:lineRule="auto" w:before="1" w:after="0"/>
        <w:ind w:left="1877" w:right="0" w:hanging="358"/>
        <w:jc w:val="left"/>
        <w:rPr>
          <w:rFonts w:ascii="Century Gothic"/>
          <w:sz w:val="26"/>
        </w:rPr>
      </w:pPr>
      <w:r>
        <w:rPr>
          <w:rFonts w:ascii="Century Gothic"/>
          <w:sz w:val="26"/>
        </w:rPr>
        <w:t>Issues of</w:t>
      </w:r>
      <w:r>
        <w:rPr>
          <w:rFonts w:ascii="Century Gothic"/>
          <w:spacing w:val="-2"/>
          <w:sz w:val="26"/>
        </w:rPr>
        <w:t> </w:t>
      </w:r>
      <w:r>
        <w:rPr>
          <w:rFonts w:ascii="Century Gothic"/>
          <w:sz w:val="26"/>
        </w:rPr>
        <w:t>Causation</w:t>
      </w:r>
    </w:p>
    <w:p>
      <w:pPr>
        <w:pStyle w:val="BodyText"/>
        <w:spacing w:before="5"/>
      </w:pPr>
    </w:p>
    <w:p>
      <w:pPr>
        <w:pStyle w:val="BodyText"/>
        <w:spacing w:line="242" w:lineRule="auto"/>
        <w:ind w:left="1520" w:right="1517" w:firstLine="720"/>
        <w:jc w:val="both"/>
      </w:pPr>
      <w:r>
        <w:rPr/>
        <w:t>Courts</w:t>
      </w:r>
      <w:r>
        <w:rPr>
          <w:spacing w:val="-22"/>
        </w:rPr>
        <w:t> </w:t>
      </w:r>
      <w:r>
        <w:rPr/>
        <w:t>have</w:t>
      </w:r>
      <w:r>
        <w:rPr>
          <w:spacing w:val="-19"/>
        </w:rPr>
        <w:t> </w:t>
      </w:r>
      <w:r>
        <w:rPr/>
        <w:t>disagreed</w:t>
      </w:r>
      <w:r>
        <w:rPr>
          <w:spacing w:val="-21"/>
        </w:rPr>
        <w:t> </w:t>
      </w:r>
      <w:r>
        <w:rPr/>
        <w:t>as</w:t>
      </w:r>
      <w:r>
        <w:rPr>
          <w:spacing w:val="-18"/>
        </w:rPr>
        <w:t> </w:t>
      </w:r>
      <w:r>
        <w:rPr/>
        <w:t>to</w:t>
      </w:r>
      <w:r>
        <w:rPr>
          <w:spacing w:val="-22"/>
        </w:rPr>
        <w:t> </w:t>
      </w:r>
      <w:r>
        <w:rPr/>
        <w:t>whether</w:t>
      </w:r>
      <w:r>
        <w:rPr>
          <w:spacing w:val="-24"/>
        </w:rPr>
        <w:t> </w:t>
      </w:r>
      <w:r>
        <w:rPr/>
        <w:t>the “amount of loss” includes a determination of the “cause of loss.” Some jurisdictions have regularly</w:t>
      </w:r>
      <w:r>
        <w:rPr>
          <w:spacing w:val="-30"/>
        </w:rPr>
        <w:t> </w:t>
      </w:r>
      <w:r>
        <w:rPr/>
        <w:t>held</w:t>
      </w:r>
      <w:r>
        <w:rPr>
          <w:spacing w:val="-27"/>
        </w:rPr>
        <w:t> </w:t>
      </w:r>
      <w:r>
        <w:rPr/>
        <w:t>that</w:t>
      </w:r>
      <w:r>
        <w:rPr>
          <w:spacing w:val="-27"/>
        </w:rPr>
        <w:t> </w:t>
      </w:r>
      <w:r>
        <w:rPr/>
        <w:t>appraisers</w:t>
      </w:r>
      <w:r>
        <w:rPr>
          <w:spacing w:val="-27"/>
        </w:rPr>
        <w:t> </w:t>
      </w:r>
      <w:r>
        <w:rPr/>
        <w:t>may</w:t>
      </w:r>
      <w:r>
        <w:rPr>
          <w:spacing w:val="-32"/>
        </w:rPr>
        <w:t> </w:t>
      </w:r>
      <w:r>
        <w:rPr/>
        <w:t>not</w:t>
      </w:r>
      <w:r>
        <w:rPr>
          <w:spacing w:val="-30"/>
        </w:rPr>
        <w:t> </w:t>
      </w:r>
      <w:r>
        <w:rPr/>
        <w:t>consider causation while most other jurisdictions have permitted it, and still other courts have been somewhat</w:t>
      </w:r>
      <w:r>
        <w:rPr>
          <w:spacing w:val="-1"/>
        </w:rPr>
        <w:t> </w:t>
      </w:r>
      <w:r>
        <w:rPr/>
        <w:t>ambiguous.</w:t>
      </w:r>
      <w:r>
        <w:rPr>
          <w:vertAlign w:val="superscript"/>
        </w:rPr>
        <w:t>179</w:t>
      </w:r>
    </w:p>
    <w:p>
      <w:pPr>
        <w:pStyle w:val="BodyText"/>
      </w:pPr>
    </w:p>
    <w:p>
      <w:pPr>
        <w:pStyle w:val="BodyText"/>
        <w:spacing w:line="242" w:lineRule="auto"/>
        <w:ind w:left="1520" w:right="1515" w:firstLine="720"/>
        <w:jc w:val="both"/>
      </w:pPr>
      <w:r>
        <w:rPr>
          <w:spacing w:val="3"/>
        </w:rPr>
        <w:t>In</w:t>
      </w:r>
      <w:r>
        <w:rPr>
          <w:spacing w:val="-31"/>
        </w:rPr>
        <w:t> </w:t>
      </w:r>
      <w:r>
        <w:rPr/>
        <w:t>Ohio,</w:t>
      </w:r>
      <w:r>
        <w:rPr>
          <w:spacing w:val="-33"/>
        </w:rPr>
        <w:t> </w:t>
      </w:r>
      <w:r>
        <w:rPr/>
        <w:t>courts</w:t>
      </w:r>
      <w:r>
        <w:rPr>
          <w:spacing w:val="-29"/>
        </w:rPr>
        <w:t> </w:t>
      </w:r>
      <w:r>
        <w:rPr/>
        <w:t>have</w:t>
      </w:r>
      <w:r>
        <w:rPr>
          <w:spacing w:val="-28"/>
        </w:rPr>
        <w:t> </w:t>
      </w:r>
      <w:r>
        <w:rPr/>
        <w:t>decided</w:t>
      </w:r>
      <w:r>
        <w:rPr>
          <w:spacing w:val="-28"/>
        </w:rPr>
        <w:t> </w:t>
      </w:r>
      <w:r>
        <w:rPr/>
        <w:t>the</w:t>
      </w:r>
      <w:r>
        <w:rPr>
          <w:spacing w:val="-29"/>
        </w:rPr>
        <w:t> </w:t>
      </w:r>
      <w:r>
        <w:rPr/>
        <w:t>issue</w:t>
      </w:r>
      <w:r>
        <w:rPr>
          <w:spacing w:val="-27"/>
        </w:rPr>
        <w:t> </w:t>
      </w:r>
      <w:r>
        <w:rPr/>
        <w:t>on a case by case basis as directed by the appraisal language in the policy. </w:t>
      </w:r>
      <w:r>
        <w:rPr>
          <w:spacing w:val="3"/>
        </w:rPr>
        <w:t>In </w:t>
      </w:r>
      <w:r>
        <w:rPr>
          <w:u w:val="single"/>
        </w:rPr>
        <w:t>Hull v.</w:t>
      </w:r>
      <w:r>
        <w:rPr/>
        <w:t> </w:t>
      </w:r>
      <w:r>
        <w:rPr>
          <w:u w:val="single"/>
        </w:rPr>
        <w:t>Motorists</w:t>
      </w:r>
      <w:r>
        <w:rPr>
          <w:spacing w:val="-20"/>
          <w:u w:val="single"/>
        </w:rPr>
        <w:t> </w:t>
      </w:r>
      <w:r>
        <w:rPr>
          <w:u w:val="single"/>
        </w:rPr>
        <w:t>Ins.</w:t>
      </w:r>
      <w:r>
        <w:rPr>
          <w:spacing w:val="-20"/>
          <w:u w:val="single"/>
        </w:rPr>
        <w:t> </w:t>
      </w:r>
      <w:r>
        <w:rPr>
          <w:u w:val="single"/>
        </w:rPr>
        <w:t>Group</w:t>
      </w:r>
      <w:r>
        <w:rPr/>
        <w:t>,</w:t>
      </w:r>
      <w:r>
        <w:rPr>
          <w:spacing w:val="-18"/>
        </w:rPr>
        <w:t> </w:t>
      </w:r>
      <w:r>
        <w:rPr/>
        <w:t>the</w:t>
      </w:r>
      <w:r>
        <w:rPr>
          <w:spacing w:val="-21"/>
        </w:rPr>
        <w:t> </w:t>
      </w:r>
      <w:r>
        <w:rPr/>
        <w:t>Ohio</w:t>
      </w:r>
      <w:r>
        <w:rPr>
          <w:spacing w:val="-21"/>
        </w:rPr>
        <w:t> </w:t>
      </w:r>
      <w:r>
        <w:rPr/>
        <w:t>Court</w:t>
      </w:r>
      <w:r>
        <w:rPr>
          <w:spacing w:val="-22"/>
        </w:rPr>
        <w:t> </w:t>
      </w:r>
      <w:r>
        <w:rPr/>
        <w:t>of</w:t>
      </w:r>
      <w:r>
        <w:rPr>
          <w:spacing w:val="-20"/>
        </w:rPr>
        <w:t> </w:t>
      </w:r>
      <w:r>
        <w:rPr/>
        <w:t>Appeals reversed a decision made by the trial court </w:t>
      </w:r>
      <w:r>
        <w:rPr>
          <w:spacing w:val="-3"/>
        </w:rPr>
        <w:t>which</w:t>
      </w:r>
      <w:r>
        <w:rPr>
          <w:spacing w:val="-37"/>
        </w:rPr>
        <w:t> </w:t>
      </w:r>
      <w:r>
        <w:rPr/>
        <w:t>ordered</w:t>
      </w:r>
      <w:r>
        <w:rPr>
          <w:spacing w:val="-33"/>
        </w:rPr>
        <w:t> </w:t>
      </w:r>
      <w:r>
        <w:rPr/>
        <w:t>the</w:t>
      </w:r>
      <w:r>
        <w:rPr>
          <w:spacing w:val="-33"/>
        </w:rPr>
        <w:t> </w:t>
      </w:r>
      <w:r>
        <w:rPr/>
        <w:t>appraisal</w:t>
      </w:r>
      <w:r>
        <w:rPr>
          <w:spacing w:val="-32"/>
        </w:rPr>
        <w:t> </w:t>
      </w:r>
      <w:r>
        <w:rPr/>
        <w:t>panel</w:t>
      </w:r>
      <w:r>
        <w:rPr>
          <w:spacing w:val="-31"/>
        </w:rPr>
        <w:t> </w:t>
      </w:r>
      <w:r>
        <w:rPr/>
        <w:t>not</w:t>
      </w:r>
      <w:r>
        <w:rPr>
          <w:spacing w:val="-33"/>
        </w:rPr>
        <w:t> </w:t>
      </w:r>
      <w:r>
        <w:rPr/>
        <w:t>to</w:t>
      </w:r>
      <w:r>
        <w:rPr>
          <w:spacing w:val="-33"/>
        </w:rPr>
        <w:t> </w:t>
      </w:r>
      <w:r>
        <w:rPr/>
        <w:t>make</w:t>
      </w:r>
    </w:p>
    <w:p>
      <w:pPr>
        <w:pStyle w:val="BodyText"/>
        <w:rPr>
          <w:sz w:val="20"/>
        </w:rPr>
      </w:pPr>
    </w:p>
    <w:p>
      <w:pPr>
        <w:pStyle w:val="BodyText"/>
        <w:spacing w:before="6"/>
        <w:rPr>
          <w:sz w:val="19"/>
        </w:rPr>
      </w:pPr>
      <w:r>
        <w:rPr/>
        <w:pict>
          <v:shape style="position:absolute;margin-left:162pt;margin-top:14.360288pt;width:143.9pt;height:.1pt;mso-position-horizontal-relative:page;mso-position-vertical-relative:paragraph;z-index:-251593728;mso-wrap-distance-left:0;mso-wrap-distance-right:0" coordorigin="3240,287" coordsize="2878,0" path="m3240,287l6118,287e" filled="false" stroked="true" strokeweight=".84pt" strokecolor="#000000">
            <v:path arrowok="t"/>
            <v:stroke dashstyle="solid"/>
            <w10:wrap type="topAndBottom"/>
          </v:shape>
        </w:pict>
      </w:r>
    </w:p>
    <w:p>
      <w:pPr>
        <w:pStyle w:val="ListParagraph"/>
        <w:numPr>
          <w:ilvl w:val="0"/>
          <w:numId w:val="12"/>
        </w:numPr>
        <w:tabs>
          <w:tab w:pos="1423" w:val="left" w:leader="none"/>
        </w:tabs>
        <w:spacing w:line="247" w:lineRule="auto" w:before="149" w:after="0"/>
        <w:ind w:left="1160" w:right="1162" w:firstLine="0"/>
        <w:jc w:val="left"/>
        <w:rPr>
          <w:sz w:val="18"/>
        </w:rPr>
      </w:pPr>
      <w:r>
        <w:rPr>
          <w:sz w:val="18"/>
          <w:u w:val="single"/>
        </w:rPr>
        <w:t>Cincinnati Ins. Co. v. Cannon Ranch Partners, Inc</w:t>
      </w:r>
      <w:r>
        <w:rPr>
          <w:sz w:val="18"/>
        </w:rPr>
        <w:t>., 2014 WL 7404045 (Fla. 2d DCA 2014).</w:t>
      </w:r>
    </w:p>
    <w:p>
      <w:pPr>
        <w:pStyle w:val="ListParagraph"/>
        <w:numPr>
          <w:ilvl w:val="0"/>
          <w:numId w:val="12"/>
        </w:numPr>
        <w:tabs>
          <w:tab w:pos="1454" w:val="left" w:leader="none"/>
        </w:tabs>
        <w:spacing w:line="256" w:lineRule="auto" w:before="44" w:after="0"/>
        <w:ind w:left="1160" w:right="1166" w:firstLine="0"/>
        <w:jc w:val="left"/>
        <w:rPr>
          <w:sz w:val="18"/>
        </w:rPr>
      </w:pPr>
      <w:r>
        <w:rPr>
          <w:sz w:val="18"/>
          <w:u w:val="single"/>
        </w:rPr>
        <w:t>Harvey Prop. Mgmt . Co. Inc. v. Travelers Indem. Co.</w:t>
      </w:r>
      <w:r>
        <w:rPr>
          <w:sz w:val="18"/>
        </w:rPr>
        <w:t>, 2012 WL 5488898 (D. Ariz. 2012).</w:t>
      </w:r>
    </w:p>
    <w:p>
      <w:pPr>
        <w:pStyle w:val="ListParagraph"/>
        <w:numPr>
          <w:ilvl w:val="0"/>
          <w:numId w:val="12"/>
        </w:numPr>
        <w:tabs>
          <w:tab w:pos="1438" w:val="left" w:leader="none"/>
        </w:tabs>
        <w:spacing w:line="226" w:lineRule="exact" w:before="35" w:after="0"/>
        <w:ind w:left="1160" w:right="1166" w:firstLine="0"/>
        <w:jc w:val="left"/>
        <w:rPr>
          <w:sz w:val="18"/>
        </w:rPr>
      </w:pPr>
      <w:r>
        <w:rPr>
          <w:sz w:val="18"/>
          <w:u w:val="single"/>
        </w:rPr>
        <w:t>Cigna Ins. Co. v. Didimoi Prop. Holding, N.V.</w:t>
      </w:r>
      <w:r>
        <w:rPr>
          <w:sz w:val="18"/>
        </w:rPr>
        <w:t>, 110 F. Supp.2d 259, 265-69 (D. Del. 2000).</w:t>
      </w:r>
    </w:p>
    <w:p>
      <w:pPr>
        <w:spacing w:after="0" w:line="226" w:lineRule="exact"/>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6"/>
        <w:jc w:val="both"/>
      </w:pPr>
      <w:bookmarkStart w:name="Law and Procedure 133" w:id="44"/>
      <w:bookmarkEnd w:id="44"/>
      <w:r>
        <w:rPr/>
      </w:r>
      <w:r>
        <w:rPr/>
        <w:t>any</w:t>
      </w:r>
      <w:r>
        <w:rPr>
          <w:spacing w:val="-22"/>
        </w:rPr>
        <w:t> </w:t>
      </w:r>
      <w:r>
        <w:rPr/>
        <w:t>determination</w:t>
      </w:r>
      <w:r>
        <w:rPr>
          <w:spacing w:val="-18"/>
        </w:rPr>
        <w:t> </w:t>
      </w:r>
      <w:r>
        <w:rPr/>
        <w:t>as</w:t>
      </w:r>
      <w:r>
        <w:rPr>
          <w:spacing w:val="-17"/>
        </w:rPr>
        <w:t> </w:t>
      </w:r>
      <w:r>
        <w:rPr/>
        <w:t>to</w:t>
      </w:r>
      <w:r>
        <w:rPr>
          <w:spacing w:val="-17"/>
        </w:rPr>
        <w:t> </w:t>
      </w:r>
      <w:r>
        <w:rPr/>
        <w:t>causation</w:t>
      </w:r>
      <w:r>
        <w:rPr>
          <w:spacing w:val="-21"/>
        </w:rPr>
        <w:t> </w:t>
      </w:r>
      <w:r>
        <w:rPr/>
        <w:t>issues</w:t>
      </w:r>
      <w:r>
        <w:rPr>
          <w:spacing w:val="-19"/>
        </w:rPr>
        <w:t> </w:t>
      </w:r>
      <w:r>
        <w:rPr/>
        <w:t>when deciding the amount of loss. The Court of Appeals found that under the policy, the parties</w:t>
      </w:r>
      <w:r>
        <w:rPr>
          <w:spacing w:val="-18"/>
        </w:rPr>
        <w:t> </w:t>
      </w:r>
      <w:r>
        <w:rPr/>
        <w:t>only</w:t>
      </w:r>
      <w:r>
        <w:rPr>
          <w:spacing w:val="-18"/>
        </w:rPr>
        <w:t> </w:t>
      </w:r>
      <w:r>
        <w:rPr/>
        <w:t>agreed</w:t>
      </w:r>
      <w:r>
        <w:rPr>
          <w:spacing w:val="-19"/>
        </w:rPr>
        <w:t> </w:t>
      </w:r>
      <w:r>
        <w:rPr/>
        <w:t>to</w:t>
      </w:r>
      <w:r>
        <w:rPr>
          <w:spacing w:val="-17"/>
        </w:rPr>
        <w:t> </w:t>
      </w:r>
      <w:r>
        <w:rPr/>
        <w:t>allow</w:t>
      </w:r>
      <w:r>
        <w:rPr>
          <w:spacing w:val="-19"/>
        </w:rPr>
        <w:t> </w:t>
      </w:r>
      <w:r>
        <w:rPr/>
        <w:t>the</w:t>
      </w:r>
      <w:r>
        <w:rPr>
          <w:spacing w:val="-18"/>
        </w:rPr>
        <w:t> </w:t>
      </w:r>
      <w:r>
        <w:rPr/>
        <w:t>court</w:t>
      </w:r>
      <w:r>
        <w:rPr>
          <w:spacing w:val="-19"/>
        </w:rPr>
        <w:t> </w:t>
      </w:r>
      <w:r>
        <w:rPr/>
        <w:t>to</w:t>
      </w:r>
      <w:r>
        <w:rPr>
          <w:spacing w:val="-17"/>
        </w:rPr>
        <w:t> </w:t>
      </w:r>
      <w:r>
        <w:rPr/>
        <w:t>select an</w:t>
      </w:r>
      <w:r>
        <w:rPr>
          <w:spacing w:val="-27"/>
        </w:rPr>
        <w:t> </w:t>
      </w:r>
      <w:r>
        <w:rPr/>
        <w:t>umpire,</w:t>
      </w:r>
      <w:r>
        <w:rPr>
          <w:spacing w:val="-29"/>
        </w:rPr>
        <w:t> </w:t>
      </w:r>
      <w:r>
        <w:rPr/>
        <w:t>but</w:t>
      </w:r>
      <w:r>
        <w:rPr>
          <w:spacing w:val="-26"/>
        </w:rPr>
        <w:t> </w:t>
      </w:r>
      <w:r>
        <w:rPr/>
        <w:t>they</w:t>
      </w:r>
      <w:r>
        <w:rPr>
          <w:spacing w:val="-30"/>
        </w:rPr>
        <w:t> </w:t>
      </w:r>
      <w:r>
        <w:rPr/>
        <w:t>did</w:t>
      </w:r>
      <w:r>
        <w:rPr>
          <w:spacing w:val="-28"/>
        </w:rPr>
        <w:t> </w:t>
      </w:r>
      <w:r>
        <w:rPr/>
        <w:t>not</w:t>
      </w:r>
      <w:r>
        <w:rPr>
          <w:spacing w:val="-27"/>
        </w:rPr>
        <w:t> </w:t>
      </w:r>
      <w:r>
        <w:rPr/>
        <w:t>agree</w:t>
      </w:r>
      <w:r>
        <w:rPr>
          <w:spacing w:val="-30"/>
        </w:rPr>
        <w:t> </w:t>
      </w:r>
      <w:r>
        <w:rPr/>
        <w:t>to</w:t>
      </w:r>
      <w:r>
        <w:rPr>
          <w:spacing w:val="-29"/>
        </w:rPr>
        <w:t> </w:t>
      </w:r>
      <w:r>
        <w:rPr/>
        <w:t>restrict</w:t>
      </w:r>
      <w:r>
        <w:rPr>
          <w:spacing w:val="-31"/>
        </w:rPr>
        <w:t> </w:t>
      </w:r>
      <w:r>
        <w:rPr/>
        <w:t>the means by which the appraisers and umpire would determine the value of the insured’s property or the amount of loss. Thus, the</w:t>
      </w:r>
      <w:r>
        <w:rPr>
          <w:spacing w:val="-36"/>
        </w:rPr>
        <w:t> </w:t>
      </w:r>
      <w:r>
        <w:rPr/>
        <w:t>Court of Appeals did not weigh in on whether </w:t>
      </w:r>
      <w:r>
        <w:rPr>
          <w:spacing w:val="4"/>
        </w:rPr>
        <w:t>appraisers and </w:t>
      </w:r>
      <w:r>
        <w:rPr>
          <w:spacing w:val="6"/>
        </w:rPr>
        <w:t>umpires  </w:t>
      </w:r>
      <w:r>
        <w:rPr>
          <w:spacing w:val="3"/>
        </w:rPr>
        <w:t>may </w:t>
      </w:r>
      <w:r>
        <w:rPr>
          <w:spacing w:val="4"/>
        </w:rPr>
        <w:t>consider </w:t>
      </w:r>
      <w:r>
        <w:rPr/>
        <w:t>causation when determining the amount of loss to a structure; it found only that the trial court’s causation instruction was “outside the scope of its authority under the parties’ contract.”</w:t>
      </w:r>
      <w:r>
        <w:rPr>
          <w:vertAlign w:val="superscript"/>
        </w:rPr>
        <w:t>180</w:t>
      </w:r>
    </w:p>
    <w:p>
      <w:pPr>
        <w:pStyle w:val="BodyText"/>
        <w:spacing w:before="9"/>
        <w:rPr>
          <w:sz w:val="25"/>
        </w:rPr>
      </w:pPr>
    </w:p>
    <w:p>
      <w:pPr>
        <w:pStyle w:val="BodyText"/>
        <w:spacing w:line="242" w:lineRule="auto"/>
        <w:ind w:left="1520" w:right="1520" w:firstLine="720"/>
        <w:jc w:val="both"/>
      </w:pPr>
      <w:r>
        <w:rPr>
          <w:spacing w:val="3"/>
        </w:rPr>
        <w:t>In</w:t>
      </w:r>
      <w:r>
        <w:rPr>
          <w:spacing w:val="-17"/>
        </w:rPr>
        <w:t> </w:t>
      </w:r>
      <w:r>
        <w:rPr/>
        <w:t>California</w:t>
      </w:r>
      <w:r>
        <w:rPr>
          <w:spacing w:val="-18"/>
        </w:rPr>
        <w:t> </w:t>
      </w:r>
      <w:r>
        <w:rPr/>
        <w:t>it</w:t>
      </w:r>
      <w:r>
        <w:rPr>
          <w:spacing w:val="-21"/>
        </w:rPr>
        <w:t> </w:t>
      </w:r>
      <w:r>
        <w:rPr/>
        <w:t>was</w:t>
      </w:r>
      <w:r>
        <w:rPr>
          <w:spacing w:val="-19"/>
        </w:rPr>
        <w:t> </w:t>
      </w:r>
      <w:r>
        <w:rPr/>
        <w:t>held</w:t>
      </w:r>
      <w:r>
        <w:rPr>
          <w:spacing w:val="-17"/>
        </w:rPr>
        <w:t> </w:t>
      </w:r>
      <w:r>
        <w:rPr/>
        <w:t>that</w:t>
      </w:r>
      <w:r>
        <w:rPr>
          <w:spacing w:val="-16"/>
        </w:rPr>
        <w:t> </w:t>
      </w:r>
      <w:r>
        <w:rPr/>
        <w:t>an</w:t>
      </w:r>
      <w:r>
        <w:rPr>
          <w:spacing w:val="-15"/>
        </w:rPr>
        <w:t> </w:t>
      </w:r>
      <w:r>
        <w:rPr/>
        <w:t>appraisal </w:t>
      </w:r>
      <w:r>
        <w:rPr>
          <w:spacing w:val="-3"/>
        </w:rPr>
        <w:t>panel’s</w:t>
      </w:r>
      <w:r>
        <w:rPr>
          <w:spacing w:val="-37"/>
        </w:rPr>
        <w:t> </w:t>
      </w:r>
      <w:r>
        <w:rPr/>
        <w:t>consideration</w:t>
      </w:r>
      <w:r>
        <w:rPr>
          <w:spacing w:val="-34"/>
        </w:rPr>
        <w:t> </w:t>
      </w:r>
      <w:r>
        <w:rPr/>
        <w:t>of</w:t>
      </w:r>
      <w:r>
        <w:rPr>
          <w:spacing w:val="-34"/>
        </w:rPr>
        <w:t> </w:t>
      </w:r>
      <w:r>
        <w:rPr/>
        <w:t>factors</w:t>
      </w:r>
      <w:r>
        <w:rPr>
          <w:spacing w:val="-35"/>
        </w:rPr>
        <w:t> </w:t>
      </w:r>
      <w:r>
        <w:rPr/>
        <w:t>of</w:t>
      </w:r>
      <w:r>
        <w:rPr>
          <w:spacing w:val="-34"/>
        </w:rPr>
        <w:t> </w:t>
      </w:r>
      <w:r>
        <w:rPr/>
        <w:t>causation</w:t>
      </w:r>
      <w:r>
        <w:rPr>
          <w:spacing w:val="-37"/>
        </w:rPr>
        <w:t> </w:t>
      </w:r>
      <w:r>
        <w:rPr/>
        <w:t>as evidenced by allowances for $0.00 </w:t>
      </w:r>
      <w:r>
        <w:rPr>
          <w:spacing w:val="-4"/>
        </w:rPr>
        <w:t>for </w:t>
      </w:r>
      <w:r>
        <w:rPr>
          <w:spacing w:val="21"/>
        </w:rPr>
        <w:t>obviously </w:t>
      </w:r>
      <w:r>
        <w:rPr>
          <w:spacing w:val="18"/>
        </w:rPr>
        <w:t>damaged </w:t>
      </w:r>
      <w:r>
        <w:rPr/>
        <w:t>i </w:t>
      </w:r>
      <w:r>
        <w:rPr>
          <w:spacing w:val="17"/>
        </w:rPr>
        <w:t>tems </w:t>
      </w:r>
      <w:r>
        <w:rPr>
          <w:spacing w:val="14"/>
        </w:rPr>
        <w:t>was </w:t>
      </w:r>
      <w:r>
        <w:rPr>
          <w:spacing w:val="12"/>
        </w:rPr>
        <w:t>an </w:t>
      </w:r>
      <w:r>
        <w:rPr>
          <w:spacing w:val="8"/>
        </w:rPr>
        <w:t>unacceptable </w:t>
      </w:r>
      <w:r>
        <w:rPr>
          <w:spacing w:val="7"/>
        </w:rPr>
        <w:t>coverage </w:t>
      </w:r>
      <w:r>
        <w:rPr>
          <w:spacing w:val="8"/>
        </w:rPr>
        <w:t>determination </w:t>
      </w:r>
      <w:r>
        <w:rPr/>
        <w:t>exceeding</w:t>
      </w:r>
      <w:r>
        <w:rPr>
          <w:spacing w:val="-23"/>
        </w:rPr>
        <w:t> </w:t>
      </w:r>
      <w:r>
        <w:rPr/>
        <w:t>the</w:t>
      </w:r>
      <w:r>
        <w:rPr>
          <w:spacing w:val="-24"/>
        </w:rPr>
        <w:t> </w:t>
      </w:r>
      <w:r>
        <w:rPr/>
        <w:t>authority</w:t>
      </w:r>
      <w:r>
        <w:rPr>
          <w:spacing w:val="-26"/>
        </w:rPr>
        <w:t> </w:t>
      </w:r>
      <w:r>
        <w:rPr/>
        <w:t>of</w:t>
      </w:r>
      <w:r>
        <w:rPr>
          <w:spacing w:val="-23"/>
        </w:rPr>
        <w:t> </w:t>
      </w:r>
      <w:r>
        <w:rPr/>
        <w:t>the</w:t>
      </w:r>
      <w:r>
        <w:rPr>
          <w:spacing w:val="-22"/>
        </w:rPr>
        <w:t> </w:t>
      </w:r>
      <w:r>
        <w:rPr/>
        <w:t>panel.</w:t>
      </w:r>
      <w:r>
        <w:rPr>
          <w:vertAlign w:val="superscript"/>
        </w:rPr>
        <w:t>181</w:t>
      </w:r>
      <w:r>
        <w:rPr>
          <w:spacing w:val="-24"/>
          <w:vertAlign w:val="baseline"/>
        </w:rPr>
        <w:t> </w:t>
      </w:r>
      <w:r>
        <w:rPr>
          <w:vertAlign w:val="baseline"/>
        </w:rPr>
        <w:t>Such</w:t>
      </w:r>
      <w:r>
        <w:rPr>
          <w:spacing w:val="-22"/>
          <w:vertAlign w:val="baseline"/>
        </w:rPr>
        <w:t> </w:t>
      </w:r>
      <w:r>
        <w:rPr>
          <w:spacing w:val="-36"/>
          <w:vertAlign w:val="baseline"/>
        </w:rPr>
        <w:t>a </w:t>
      </w:r>
      <w:r>
        <w:rPr>
          <w:vertAlign w:val="baseline"/>
        </w:rPr>
        <w:t>determination of issues of causation was held </w:t>
      </w:r>
      <w:r>
        <w:rPr>
          <w:spacing w:val="5"/>
          <w:vertAlign w:val="baseline"/>
        </w:rPr>
        <w:t>inappropriate </w:t>
      </w:r>
      <w:r>
        <w:rPr>
          <w:spacing w:val="4"/>
          <w:vertAlign w:val="baseline"/>
        </w:rPr>
        <w:t>despite </w:t>
      </w:r>
      <w:r>
        <w:rPr>
          <w:spacing w:val="2"/>
          <w:vertAlign w:val="baseline"/>
        </w:rPr>
        <w:t>the </w:t>
      </w:r>
      <w:r>
        <w:rPr>
          <w:spacing w:val="5"/>
          <w:vertAlign w:val="baseline"/>
        </w:rPr>
        <w:t>inclusion </w:t>
      </w:r>
      <w:r>
        <w:rPr>
          <w:vertAlign w:val="baseline"/>
        </w:rPr>
        <w:t>of language in an appraisal agreement </w:t>
      </w:r>
      <w:r>
        <w:rPr>
          <w:spacing w:val="-5"/>
          <w:vertAlign w:val="baseline"/>
        </w:rPr>
        <w:t>that </w:t>
      </w:r>
      <w:r>
        <w:rPr>
          <w:vertAlign w:val="baseline"/>
        </w:rPr>
        <w:t>read:</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1"/>
        </w:rPr>
      </w:pPr>
      <w:r>
        <w:rPr/>
        <w:pict>
          <v:shape style="position:absolute;margin-left:162pt;margin-top:9.651392pt;width:143.9pt;height:.1pt;mso-position-horizontal-relative:page;mso-position-vertical-relative:paragraph;z-index:-251592704;mso-wrap-distance-left:0;mso-wrap-distance-right:0" coordorigin="3240,193" coordsize="2878,0" path="m3240,193l6118,193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2"/>
        </w:numPr>
        <w:tabs>
          <w:tab w:pos="1435" w:val="left" w:leader="none"/>
        </w:tabs>
        <w:spacing w:line="240" w:lineRule="auto" w:before="71" w:after="0"/>
        <w:ind w:left="1434" w:right="0" w:hanging="275"/>
        <w:jc w:val="left"/>
        <w:rPr>
          <w:sz w:val="24"/>
        </w:rPr>
      </w:pPr>
      <w:r>
        <w:rPr>
          <w:sz w:val="18"/>
          <w:u w:val="single"/>
        </w:rPr>
        <w:t>Hull v. Motorists Ins. Group</w:t>
      </w:r>
      <w:r>
        <w:rPr>
          <w:sz w:val="18"/>
        </w:rPr>
        <w:t>, 2011 WL 2040958 (Ohio Ct. App.</w:t>
      </w:r>
      <w:r>
        <w:rPr>
          <w:spacing w:val="3"/>
          <w:sz w:val="18"/>
        </w:rPr>
        <w:t> </w:t>
      </w:r>
      <w:r>
        <w:rPr>
          <w:sz w:val="18"/>
        </w:rPr>
        <w:t>2011)</w:t>
      </w:r>
      <w:r>
        <w:rPr>
          <w:sz w:val="24"/>
        </w:rPr>
        <w:t>.</w:t>
      </w:r>
    </w:p>
    <w:p>
      <w:pPr>
        <w:pStyle w:val="ListParagraph"/>
        <w:numPr>
          <w:ilvl w:val="0"/>
          <w:numId w:val="12"/>
        </w:numPr>
        <w:tabs>
          <w:tab w:pos="1459" w:val="left" w:leader="none"/>
        </w:tabs>
        <w:spacing w:line="261" w:lineRule="auto" w:before="1" w:after="0"/>
        <w:ind w:left="1160" w:right="1165" w:firstLine="0"/>
        <w:jc w:val="left"/>
        <w:rPr>
          <w:sz w:val="18"/>
        </w:rPr>
      </w:pPr>
      <w:r>
        <w:rPr>
          <w:sz w:val="18"/>
          <w:u w:val="single"/>
        </w:rPr>
        <w:t>Kacha v. Allstate Ins. Co.</w:t>
      </w:r>
      <w:r>
        <w:rPr>
          <w:sz w:val="18"/>
        </w:rPr>
        <w:t>, 140 Cal. App.4th 1023, 45 Cal. Rptr.3d 92, 2006 WL 1515827</w:t>
      </w:r>
      <w:r>
        <w:rPr>
          <w:spacing w:val="1"/>
          <w:sz w:val="18"/>
        </w:rPr>
        <w:t> </w:t>
      </w:r>
      <w:r>
        <w:rPr>
          <w:sz w:val="18"/>
        </w:rPr>
        <w:t>(2006).</w:t>
      </w:r>
    </w:p>
    <w:p>
      <w:pPr>
        <w:spacing w:after="0" w:line="261"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2240" w:right="2235"/>
        <w:jc w:val="both"/>
      </w:pPr>
      <w:bookmarkStart w:name="Law and Procedure 134" w:id="45"/>
      <w:bookmarkEnd w:id="45"/>
      <w:r>
        <w:rPr/>
      </w:r>
      <w:r>
        <w:rPr>
          <w:spacing w:val="-3"/>
        </w:rPr>
        <w:t>“We, </w:t>
      </w:r>
      <w:r>
        <w:rPr/>
        <w:t>the undersigned, ... in accordance</w:t>
      </w:r>
      <w:r>
        <w:rPr>
          <w:spacing w:val="-36"/>
        </w:rPr>
        <w:t> </w:t>
      </w:r>
      <w:r>
        <w:rPr/>
        <w:t>with</w:t>
      </w:r>
      <w:r>
        <w:rPr>
          <w:spacing w:val="-34"/>
        </w:rPr>
        <w:t> </w:t>
      </w:r>
      <w:r>
        <w:rPr/>
        <w:t>our</w:t>
      </w:r>
      <w:r>
        <w:rPr>
          <w:spacing w:val="-34"/>
        </w:rPr>
        <w:t> </w:t>
      </w:r>
      <w:r>
        <w:rPr/>
        <w:t>appointment </w:t>
      </w:r>
      <w:r>
        <w:rPr>
          <w:spacing w:val="2"/>
        </w:rPr>
        <w:t>as </w:t>
      </w:r>
      <w:r>
        <w:rPr>
          <w:spacing w:val="5"/>
        </w:rPr>
        <w:t>appraisers </w:t>
      </w:r>
      <w:r>
        <w:rPr>
          <w:spacing w:val="3"/>
        </w:rPr>
        <w:t>and/or umpire </w:t>
      </w:r>
      <w:r>
        <w:rPr/>
        <w:t>without bias or personal</w:t>
      </w:r>
      <w:r>
        <w:rPr>
          <w:spacing w:val="63"/>
        </w:rPr>
        <w:t> </w:t>
      </w:r>
      <w:r>
        <w:rPr/>
        <w:t>interest, </w:t>
      </w:r>
      <w:r>
        <w:rPr>
          <w:spacing w:val="10"/>
        </w:rPr>
        <w:t>have </w:t>
      </w:r>
      <w:r>
        <w:rPr>
          <w:spacing w:val="9"/>
        </w:rPr>
        <w:t>observed </w:t>
      </w:r>
      <w:r>
        <w:rPr>
          <w:spacing w:val="7"/>
        </w:rPr>
        <w:t>the </w:t>
      </w:r>
      <w:r>
        <w:rPr>
          <w:spacing w:val="10"/>
        </w:rPr>
        <w:t>subject </w:t>
      </w:r>
      <w:r>
        <w:rPr/>
        <w:t>property and have examined the evidence submitted to us and, in a c c o r d a n c e w i t h o u r appointments, have made the </w:t>
      </w:r>
      <w:r>
        <w:rPr>
          <w:spacing w:val="-3"/>
        </w:rPr>
        <w:t>following</w:t>
      </w:r>
      <w:r>
        <w:rPr>
          <w:spacing w:val="-39"/>
        </w:rPr>
        <w:t> </w:t>
      </w:r>
      <w:r>
        <w:rPr/>
        <w:t>determination</w:t>
      </w:r>
      <w:r>
        <w:rPr>
          <w:spacing w:val="-37"/>
        </w:rPr>
        <w:t> </w:t>
      </w:r>
      <w:r>
        <w:rPr/>
        <w:t>and</w:t>
      </w:r>
      <w:r>
        <w:rPr>
          <w:spacing w:val="-39"/>
        </w:rPr>
        <w:t> </w:t>
      </w:r>
      <w:r>
        <w:rPr>
          <w:spacing w:val="-3"/>
        </w:rPr>
        <w:t>award </w:t>
      </w:r>
      <w:r>
        <w:rPr/>
        <w:t>of damage, </w:t>
      </w:r>
      <w:r>
        <w:rPr>
          <w:b/>
        </w:rPr>
        <w:t>if any</w:t>
      </w:r>
      <w:r>
        <w:rPr/>
        <w:t>, to the</w:t>
      </w:r>
      <w:r>
        <w:rPr>
          <w:spacing w:val="-12"/>
        </w:rPr>
        <w:t> </w:t>
      </w:r>
      <w:r>
        <w:rPr/>
        <w:t>insured’s </w:t>
      </w:r>
      <w:r>
        <w:rPr>
          <w:spacing w:val="-3"/>
        </w:rPr>
        <w:t>residence</w:t>
      </w:r>
      <w:r>
        <w:rPr>
          <w:spacing w:val="-39"/>
        </w:rPr>
        <w:t> </w:t>
      </w:r>
      <w:r>
        <w:rPr/>
        <w:t>attributable</w:t>
      </w:r>
      <w:r>
        <w:rPr>
          <w:spacing w:val="-34"/>
        </w:rPr>
        <w:t> </w:t>
      </w:r>
      <w:r>
        <w:rPr/>
        <w:t>to</w:t>
      </w:r>
      <w:r>
        <w:rPr>
          <w:spacing w:val="-36"/>
        </w:rPr>
        <w:t> </w:t>
      </w:r>
      <w:r>
        <w:rPr/>
        <w:t>the</w:t>
      </w:r>
      <w:r>
        <w:rPr>
          <w:spacing w:val="-36"/>
        </w:rPr>
        <w:t> </w:t>
      </w:r>
      <w:r>
        <w:rPr/>
        <w:t>fire...”.</w:t>
      </w:r>
    </w:p>
    <w:p>
      <w:pPr>
        <w:pStyle w:val="BodyText"/>
        <w:spacing w:before="10"/>
        <w:rPr>
          <w:sz w:val="25"/>
        </w:rPr>
      </w:pPr>
    </w:p>
    <w:p>
      <w:pPr>
        <w:pStyle w:val="BodyText"/>
        <w:spacing w:line="242" w:lineRule="auto"/>
        <w:ind w:left="1520" w:right="1519"/>
        <w:jc w:val="both"/>
      </w:pPr>
      <w:r>
        <w:rPr/>
        <w:t>The inclusion of the words “if any” was held to refer</w:t>
      </w:r>
      <w:r>
        <w:rPr>
          <w:spacing w:val="-10"/>
        </w:rPr>
        <w:t> </w:t>
      </w:r>
      <w:r>
        <w:rPr/>
        <w:t>to</w:t>
      </w:r>
      <w:r>
        <w:rPr>
          <w:spacing w:val="-8"/>
        </w:rPr>
        <w:t> </w:t>
      </w:r>
      <w:r>
        <w:rPr/>
        <w:t>the</w:t>
      </w:r>
      <w:r>
        <w:rPr>
          <w:spacing w:val="-7"/>
        </w:rPr>
        <w:t> </w:t>
      </w:r>
      <w:r>
        <w:rPr/>
        <w:t>degree</w:t>
      </w:r>
      <w:r>
        <w:rPr>
          <w:spacing w:val="-9"/>
        </w:rPr>
        <w:t> </w:t>
      </w:r>
      <w:r>
        <w:rPr/>
        <w:t>of</w:t>
      </w:r>
      <w:r>
        <w:rPr>
          <w:spacing w:val="-6"/>
        </w:rPr>
        <w:t> </w:t>
      </w:r>
      <w:r>
        <w:rPr/>
        <w:t>damage</w:t>
      </w:r>
      <w:r>
        <w:rPr>
          <w:spacing w:val="-7"/>
        </w:rPr>
        <w:t> </w:t>
      </w:r>
      <w:r>
        <w:rPr/>
        <w:t>if</w:t>
      </w:r>
      <w:r>
        <w:rPr>
          <w:spacing w:val="-8"/>
        </w:rPr>
        <w:t> </w:t>
      </w:r>
      <w:r>
        <w:rPr/>
        <w:t>any,</w:t>
      </w:r>
      <w:r>
        <w:rPr>
          <w:spacing w:val="-12"/>
        </w:rPr>
        <w:t> </w:t>
      </w:r>
      <w:r>
        <w:rPr/>
        <w:t>and</w:t>
      </w:r>
      <w:r>
        <w:rPr>
          <w:spacing w:val="-6"/>
        </w:rPr>
        <w:t> </w:t>
      </w:r>
      <w:r>
        <w:rPr/>
        <w:t>not to a covered cause, if any. By making a determination of a non-covered cause of loss to various items, the panel’s award was vacated.</w:t>
      </w:r>
    </w:p>
    <w:p>
      <w:pPr>
        <w:pStyle w:val="BodyText"/>
        <w:spacing w:before="1"/>
      </w:pPr>
    </w:p>
    <w:p>
      <w:pPr>
        <w:pStyle w:val="BodyText"/>
        <w:spacing w:line="242" w:lineRule="auto"/>
        <w:ind w:left="1520" w:right="1516" w:firstLine="720"/>
        <w:jc w:val="both"/>
      </w:pPr>
      <w:r>
        <w:rPr>
          <w:spacing w:val="3"/>
        </w:rPr>
        <w:t>In </w:t>
      </w:r>
      <w:r>
        <w:rPr/>
        <w:t>North Carolina, it was held that</w:t>
      </w:r>
      <w:r>
        <w:rPr>
          <w:spacing w:val="-31"/>
        </w:rPr>
        <w:t> </w:t>
      </w:r>
      <w:r>
        <w:rPr/>
        <w:t>where an appraisal award purported to determine that wind had caused a loss, factual issues existed as to the causes of damage </w:t>
      </w:r>
      <w:r>
        <w:rPr>
          <w:spacing w:val="-4"/>
        </w:rPr>
        <w:t>and </w:t>
      </w:r>
      <w:r>
        <w:rPr/>
        <w:t>coverage under the policy. </w:t>
      </w:r>
      <w:r>
        <w:rPr>
          <w:spacing w:val="3"/>
        </w:rPr>
        <w:t>It </w:t>
      </w:r>
      <w:r>
        <w:rPr/>
        <w:t>was held that “‘when, as here, the facts and circumstances surrounding a claim - especially causation - remain in dispute,’ the finder of fact must ‘determine whether the ultimate cause of the claimed</w:t>
      </w:r>
      <w:r>
        <w:rPr>
          <w:spacing w:val="-14"/>
        </w:rPr>
        <w:t> </w:t>
      </w:r>
      <w:r>
        <w:rPr/>
        <w:t>damages</w:t>
      </w:r>
      <w:r>
        <w:rPr>
          <w:spacing w:val="-11"/>
        </w:rPr>
        <w:t> </w:t>
      </w:r>
      <w:r>
        <w:rPr/>
        <w:t>falls</w:t>
      </w:r>
      <w:r>
        <w:rPr>
          <w:spacing w:val="-10"/>
        </w:rPr>
        <w:t> </w:t>
      </w:r>
      <w:r>
        <w:rPr/>
        <w:t>within</w:t>
      </w:r>
      <w:r>
        <w:rPr>
          <w:spacing w:val="-10"/>
        </w:rPr>
        <w:t> </w:t>
      </w:r>
      <w:r>
        <w:rPr/>
        <w:t>the</w:t>
      </w:r>
      <w:r>
        <w:rPr>
          <w:spacing w:val="-10"/>
        </w:rPr>
        <w:t> </w:t>
      </w:r>
      <w:r>
        <w:rPr/>
        <w:t>scope</w:t>
      </w:r>
      <w:r>
        <w:rPr>
          <w:spacing w:val="-9"/>
        </w:rPr>
        <w:t> </w:t>
      </w:r>
      <w:r>
        <w:rPr/>
        <w:t>of</w:t>
      </w:r>
      <w:r>
        <w:rPr>
          <w:spacing w:val="-9"/>
        </w:rPr>
        <w:t> </w:t>
      </w:r>
      <w:r>
        <w:rPr/>
        <w:t>the policy’s exclusionary provisions, as defined by the trial court.’” Under these</w:t>
      </w:r>
      <w:r>
        <w:rPr>
          <w:spacing w:val="17"/>
        </w:rPr>
        <w:t> </w:t>
      </w:r>
      <w:r>
        <w:rPr/>
        <w:t>circumstances,</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1520" w:right="1518"/>
        <w:jc w:val="both"/>
      </w:pPr>
      <w:bookmarkStart w:name="Law and Procedure 135" w:id="46"/>
      <w:bookmarkEnd w:id="46"/>
      <w:r>
        <w:rPr/>
      </w:r>
      <w:r>
        <w:rPr/>
        <w:t>factual disputes remained as to which damages were directly caused by wind and which of those related damages may </w:t>
      </w:r>
      <w:r>
        <w:rPr>
          <w:spacing w:val="-4"/>
        </w:rPr>
        <w:t>have </w:t>
      </w:r>
      <w:r>
        <w:rPr/>
        <w:t>stemmed from another direct cause, and to coverage under the policy. </w:t>
      </w:r>
      <w:r>
        <w:rPr>
          <w:spacing w:val="3"/>
        </w:rPr>
        <w:t>In </w:t>
      </w:r>
      <w:r>
        <w:rPr/>
        <w:t>North Carolina, appraisal “is limited to a determination of the amount of loss and is not intended to</w:t>
      </w:r>
      <w:r>
        <w:rPr>
          <w:spacing w:val="-50"/>
        </w:rPr>
        <w:t> </w:t>
      </w:r>
      <w:r>
        <w:rPr/>
        <w:t>interpret the</w:t>
      </w:r>
      <w:r>
        <w:rPr>
          <w:spacing w:val="-34"/>
        </w:rPr>
        <w:t> </w:t>
      </w:r>
      <w:r>
        <w:rPr/>
        <w:t>amount</w:t>
      </w:r>
      <w:r>
        <w:rPr>
          <w:spacing w:val="-34"/>
        </w:rPr>
        <w:t> </w:t>
      </w:r>
      <w:r>
        <w:rPr/>
        <w:t>of</w:t>
      </w:r>
      <w:r>
        <w:rPr>
          <w:spacing w:val="-32"/>
        </w:rPr>
        <w:t> </w:t>
      </w:r>
      <w:r>
        <w:rPr/>
        <w:t>coverage</w:t>
      </w:r>
      <w:r>
        <w:rPr>
          <w:spacing w:val="-32"/>
        </w:rPr>
        <w:t> </w:t>
      </w:r>
      <w:r>
        <w:rPr/>
        <w:t>or</w:t>
      </w:r>
      <w:r>
        <w:rPr>
          <w:spacing w:val="-31"/>
        </w:rPr>
        <w:t> </w:t>
      </w:r>
      <w:r>
        <w:rPr/>
        <w:t>resolve</w:t>
      </w:r>
      <w:r>
        <w:rPr>
          <w:spacing w:val="-32"/>
        </w:rPr>
        <w:t> </w:t>
      </w:r>
      <w:r>
        <w:rPr/>
        <w:t>a</w:t>
      </w:r>
      <w:r>
        <w:rPr>
          <w:spacing w:val="-33"/>
        </w:rPr>
        <w:t> </w:t>
      </w:r>
      <w:r>
        <w:rPr/>
        <w:t>coverage dispute” as an appraisal award may </w:t>
      </w:r>
      <w:r>
        <w:rPr>
          <w:spacing w:val="-6"/>
        </w:rPr>
        <w:t>be </w:t>
      </w:r>
      <w:r>
        <w:rPr/>
        <w:t>affected by policy</w:t>
      </w:r>
      <w:r>
        <w:rPr>
          <w:spacing w:val="-6"/>
        </w:rPr>
        <w:t> </w:t>
      </w:r>
      <w:r>
        <w:rPr/>
        <w:t>exclusions.</w:t>
      </w:r>
      <w:r>
        <w:rPr>
          <w:vertAlign w:val="superscript"/>
        </w:rPr>
        <w:t>182</w:t>
      </w:r>
    </w:p>
    <w:p>
      <w:pPr>
        <w:pStyle w:val="BodyText"/>
        <w:spacing w:before="11"/>
        <w:rPr>
          <w:sz w:val="25"/>
        </w:rPr>
      </w:pPr>
    </w:p>
    <w:p>
      <w:pPr>
        <w:pStyle w:val="BodyText"/>
        <w:spacing w:line="242" w:lineRule="auto" w:before="1"/>
        <w:ind w:left="1520" w:right="1516" w:firstLine="720"/>
        <w:jc w:val="both"/>
      </w:pPr>
      <w:r>
        <w:rPr>
          <w:spacing w:val="4"/>
        </w:rPr>
        <w:t>Another </w:t>
      </w:r>
      <w:r>
        <w:rPr>
          <w:spacing w:val="2"/>
        </w:rPr>
        <w:t>North </w:t>
      </w:r>
      <w:r>
        <w:rPr>
          <w:spacing w:val="3"/>
        </w:rPr>
        <w:t>Carolina </w:t>
      </w:r>
      <w:r>
        <w:rPr>
          <w:spacing w:val="4"/>
        </w:rPr>
        <w:t>decision </w:t>
      </w:r>
      <w:r>
        <w:rPr/>
        <w:t>concluded</w:t>
      </w:r>
      <w:r>
        <w:rPr>
          <w:spacing w:val="-35"/>
        </w:rPr>
        <w:t> </w:t>
      </w:r>
      <w:r>
        <w:rPr/>
        <w:t>that</w:t>
      </w:r>
      <w:r>
        <w:rPr>
          <w:spacing w:val="-36"/>
        </w:rPr>
        <w:t> </w:t>
      </w:r>
      <w:r>
        <w:rPr/>
        <w:t>an</w:t>
      </w:r>
      <w:r>
        <w:rPr>
          <w:spacing w:val="-34"/>
        </w:rPr>
        <w:t> </w:t>
      </w:r>
      <w:r>
        <w:rPr/>
        <w:t>appraisal</w:t>
      </w:r>
      <w:r>
        <w:rPr>
          <w:spacing w:val="-37"/>
        </w:rPr>
        <w:t> </w:t>
      </w:r>
      <w:r>
        <w:rPr>
          <w:spacing w:val="-3"/>
        </w:rPr>
        <w:t>award</w:t>
      </w:r>
      <w:r>
        <w:rPr>
          <w:spacing w:val="-38"/>
        </w:rPr>
        <w:t> </w:t>
      </w:r>
      <w:r>
        <w:rPr>
          <w:spacing w:val="-3"/>
        </w:rPr>
        <w:t>was</w:t>
      </w:r>
      <w:r>
        <w:rPr>
          <w:spacing w:val="-37"/>
        </w:rPr>
        <w:t> </w:t>
      </w:r>
      <w:r>
        <w:rPr/>
        <w:t>invalid </w:t>
      </w:r>
      <w:r>
        <w:rPr>
          <w:spacing w:val="6"/>
        </w:rPr>
        <w:t>where </w:t>
      </w:r>
      <w:r>
        <w:rPr>
          <w:spacing w:val="10"/>
        </w:rPr>
        <w:t>appraisers </w:t>
      </w:r>
      <w:r>
        <w:rPr>
          <w:spacing w:val="7"/>
        </w:rPr>
        <w:t>had </w:t>
      </w:r>
      <w:r>
        <w:rPr>
          <w:spacing w:val="9"/>
        </w:rPr>
        <w:t>inappropriately </w:t>
      </w:r>
      <w:r>
        <w:rPr/>
        <w:t>distinguished</w:t>
      </w:r>
      <w:r>
        <w:rPr>
          <w:spacing w:val="9"/>
        </w:rPr>
        <w:t> </w:t>
      </w:r>
      <w:r>
        <w:rPr/>
        <w:t>what</w:t>
      </w:r>
      <w:r>
        <w:rPr>
          <w:spacing w:val="-33"/>
        </w:rPr>
        <w:t> </w:t>
      </w:r>
      <w:r>
        <w:rPr/>
        <w:t>they</w:t>
      </w:r>
      <w:r>
        <w:rPr>
          <w:spacing w:val="-34"/>
        </w:rPr>
        <w:t> </w:t>
      </w:r>
      <w:r>
        <w:rPr/>
        <w:t>believed</w:t>
      </w:r>
      <w:r>
        <w:rPr>
          <w:spacing w:val="-34"/>
        </w:rPr>
        <w:t> </w:t>
      </w:r>
      <w:r>
        <w:rPr>
          <w:spacing w:val="-3"/>
        </w:rPr>
        <w:t>was</w:t>
      </w:r>
      <w:r>
        <w:rPr>
          <w:spacing w:val="-36"/>
        </w:rPr>
        <w:t> </w:t>
      </w:r>
      <w:r>
        <w:rPr>
          <w:spacing w:val="-3"/>
        </w:rPr>
        <w:t>damage </w:t>
      </w:r>
      <w:r>
        <w:rPr/>
        <w:t>caused</w:t>
      </w:r>
      <w:r>
        <w:rPr>
          <w:spacing w:val="-19"/>
        </w:rPr>
        <w:t> </w:t>
      </w:r>
      <w:r>
        <w:rPr/>
        <w:t>directly</w:t>
      </w:r>
      <w:r>
        <w:rPr>
          <w:spacing w:val="-21"/>
        </w:rPr>
        <w:t> </w:t>
      </w:r>
      <w:r>
        <w:rPr/>
        <w:t>by</w:t>
      </w:r>
      <w:r>
        <w:rPr>
          <w:spacing w:val="-24"/>
        </w:rPr>
        <w:t> </w:t>
      </w:r>
      <w:r>
        <w:rPr/>
        <w:t>fire</w:t>
      </w:r>
      <w:r>
        <w:rPr>
          <w:spacing w:val="-22"/>
        </w:rPr>
        <w:t> </w:t>
      </w:r>
      <w:r>
        <w:rPr/>
        <w:t>from</w:t>
      </w:r>
      <w:r>
        <w:rPr>
          <w:spacing w:val="-23"/>
        </w:rPr>
        <w:t> </w:t>
      </w:r>
      <w:r>
        <w:rPr/>
        <w:t>that</w:t>
      </w:r>
      <w:r>
        <w:rPr>
          <w:spacing w:val="-21"/>
        </w:rPr>
        <w:t> </w:t>
      </w:r>
      <w:r>
        <w:rPr/>
        <w:t>caused</w:t>
      </w:r>
      <w:r>
        <w:rPr>
          <w:spacing w:val="-19"/>
        </w:rPr>
        <w:t> </w:t>
      </w:r>
      <w:r>
        <w:rPr/>
        <w:t>by</w:t>
      </w:r>
      <w:r>
        <w:rPr>
          <w:spacing w:val="-23"/>
        </w:rPr>
        <w:t> </w:t>
      </w:r>
      <w:r>
        <w:rPr/>
        <w:t>the insured’s “post-fire neglect”. The Court observed that appraisers are authorized “to assign</w:t>
      </w:r>
      <w:r>
        <w:rPr>
          <w:spacing w:val="-22"/>
        </w:rPr>
        <w:t> </w:t>
      </w:r>
      <w:r>
        <w:rPr/>
        <w:t>a</w:t>
      </w:r>
      <w:r>
        <w:rPr>
          <w:spacing w:val="-23"/>
        </w:rPr>
        <w:t> </w:t>
      </w:r>
      <w:r>
        <w:rPr/>
        <w:t>value</w:t>
      </w:r>
      <w:r>
        <w:rPr>
          <w:spacing w:val="-22"/>
        </w:rPr>
        <w:t> </w:t>
      </w:r>
      <w:r>
        <w:rPr/>
        <w:t>to</w:t>
      </w:r>
      <w:r>
        <w:rPr>
          <w:spacing w:val="-23"/>
        </w:rPr>
        <w:t> </w:t>
      </w:r>
      <w:r>
        <w:rPr/>
        <w:t>the</w:t>
      </w:r>
      <w:r>
        <w:rPr>
          <w:spacing w:val="-24"/>
        </w:rPr>
        <w:t> </w:t>
      </w:r>
      <w:r>
        <w:rPr/>
        <w:t>damage</w:t>
      </w:r>
      <w:r>
        <w:rPr>
          <w:spacing w:val="-23"/>
        </w:rPr>
        <w:t> </w:t>
      </w:r>
      <w:r>
        <w:rPr/>
        <w:t>done</w:t>
      </w:r>
      <w:r>
        <w:rPr>
          <w:spacing w:val="-21"/>
        </w:rPr>
        <w:t> </w:t>
      </w:r>
      <w:r>
        <w:rPr/>
        <w:t>by</w:t>
      </w:r>
      <w:r>
        <w:rPr>
          <w:spacing w:val="-23"/>
        </w:rPr>
        <w:t> </w:t>
      </w:r>
      <w:r>
        <w:rPr/>
        <w:t>a</w:t>
      </w:r>
      <w:r>
        <w:rPr>
          <w:spacing w:val="-22"/>
        </w:rPr>
        <w:t> </w:t>
      </w:r>
      <w:r>
        <w:rPr/>
        <w:t>given event. One cannot measure a loss without determining a starting point…what </w:t>
      </w:r>
      <w:r>
        <w:rPr>
          <w:spacing w:val="2"/>
        </w:rPr>
        <w:t>is </w:t>
      </w:r>
      <w:r>
        <w:rPr/>
        <w:t>not appropriate for an appraiser to decide is how much of the deterioration resulted from a covered</w:t>
      </w:r>
      <w:r>
        <w:rPr>
          <w:spacing w:val="-6"/>
        </w:rPr>
        <w:t> </w:t>
      </w:r>
      <w:r>
        <w:rPr/>
        <w:t>cause</w:t>
      </w:r>
      <w:r>
        <w:rPr>
          <w:spacing w:val="-7"/>
        </w:rPr>
        <w:t> </w:t>
      </w:r>
      <w:r>
        <w:rPr/>
        <w:t>and</w:t>
      </w:r>
      <w:r>
        <w:rPr>
          <w:spacing w:val="-7"/>
        </w:rPr>
        <w:t> </w:t>
      </w:r>
      <w:r>
        <w:rPr/>
        <w:t>how</w:t>
      </w:r>
      <w:r>
        <w:rPr>
          <w:spacing w:val="-11"/>
        </w:rPr>
        <w:t> </w:t>
      </w:r>
      <w:r>
        <w:rPr/>
        <w:t>much</w:t>
      </w:r>
      <w:r>
        <w:rPr>
          <w:spacing w:val="-8"/>
        </w:rPr>
        <w:t> </w:t>
      </w:r>
      <w:r>
        <w:rPr/>
        <w:t>came</w:t>
      </w:r>
      <w:r>
        <w:rPr>
          <w:spacing w:val="-8"/>
        </w:rPr>
        <w:t> </w:t>
      </w:r>
      <w:r>
        <w:rPr/>
        <w:t>from</w:t>
      </w:r>
      <w:r>
        <w:rPr>
          <w:spacing w:val="-8"/>
        </w:rPr>
        <w:t> </w:t>
      </w:r>
      <w:r>
        <w:rPr>
          <w:spacing w:val="-6"/>
        </w:rPr>
        <w:t>an </w:t>
      </w:r>
      <w:r>
        <w:rPr/>
        <w:t>uncovered cause.” North Carolina is among the more conservative states in dealing with causation in this</w:t>
      </w:r>
      <w:r>
        <w:rPr>
          <w:spacing w:val="-3"/>
        </w:rPr>
        <w:t> </w:t>
      </w:r>
      <w:r>
        <w:rPr/>
        <w:t>manner.</w:t>
      </w:r>
      <w:r>
        <w:rPr>
          <w:vertAlign w:val="superscript"/>
        </w:rPr>
        <w:t>183</w:t>
      </w:r>
    </w:p>
    <w:p>
      <w:pPr>
        <w:pStyle w:val="BodyText"/>
        <w:rPr>
          <w:sz w:val="20"/>
        </w:rPr>
      </w:pPr>
    </w:p>
    <w:p>
      <w:pPr>
        <w:pStyle w:val="BodyText"/>
        <w:rPr>
          <w:sz w:val="20"/>
        </w:rPr>
      </w:pPr>
    </w:p>
    <w:p>
      <w:pPr>
        <w:pStyle w:val="BodyText"/>
        <w:spacing w:before="10"/>
        <w:rPr>
          <w:sz w:val="10"/>
        </w:rPr>
      </w:pPr>
      <w:r>
        <w:rPr/>
        <w:pict>
          <v:shape style="position:absolute;margin-left:162pt;margin-top:9.072402pt;width:143.9pt;height:.1pt;mso-position-horizontal-relative:page;mso-position-vertical-relative:paragraph;z-index:-251591680;mso-wrap-distance-left:0;mso-wrap-distance-right:0" coordorigin="3240,181" coordsize="2878,0" path="m3240,181l6118,181e" filled="false" stroked="true" strokeweight=".84pt" strokecolor="#000000">
            <v:path arrowok="t"/>
            <v:stroke dashstyle="solid"/>
            <w10:wrap type="topAndBottom"/>
          </v:shape>
        </w:pict>
      </w:r>
    </w:p>
    <w:p>
      <w:pPr>
        <w:pStyle w:val="BodyText"/>
        <w:spacing w:before="10"/>
        <w:rPr>
          <w:sz w:val="13"/>
        </w:rPr>
      </w:pPr>
    </w:p>
    <w:p>
      <w:pPr>
        <w:pStyle w:val="ListParagraph"/>
        <w:numPr>
          <w:ilvl w:val="0"/>
          <w:numId w:val="12"/>
        </w:numPr>
        <w:tabs>
          <w:tab w:pos="1440" w:val="left" w:leader="none"/>
        </w:tabs>
        <w:spacing w:line="256" w:lineRule="auto" w:before="72" w:after="0"/>
        <w:ind w:left="1160" w:right="1164" w:firstLine="0"/>
        <w:jc w:val="left"/>
        <w:rPr>
          <w:sz w:val="18"/>
        </w:rPr>
      </w:pPr>
      <w:r>
        <w:rPr>
          <w:sz w:val="18"/>
          <w:u w:val="single"/>
        </w:rPr>
        <w:t>North</w:t>
      </w:r>
      <w:r>
        <w:rPr>
          <w:spacing w:val="-6"/>
          <w:sz w:val="18"/>
          <w:u w:val="single"/>
        </w:rPr>
        <w:t> </w:t>
      </w:r>
      <w:r>
        <w:rPr>
          <w:sz w:val="18"/>
          <w:u w:val="single"/>
        </w:rPr>
        <w:t>Carolina</w:t>
      </w:r>
      <w:r>
        <w:rPr>
          <w:spacing w:val="-7"/>
          <w:sz w:val="18"/>
          <w:u w:val="single"/>
        </w:rPr>
        <w:t> </w:t>
      </w:r>
      <w:r>
        <w:rPr>
          <w:sz w:val="18"/>
          <w:u w:val="single"/>
        </w:rPr>
        <w:t>Farm</w:t>
      </w:r>
      <w:r>
        <w:rPr>
          <w:spacing w:val="-11"/>
          <w:sz w:val="18"/>
          <w:u w:val="single"/>
        </w:rPr>
        <w:t> </w:t>
      </w:r>
      <w:r>
        <w:rPr>
          <w:sz w:val="18"/>
          <w:u w:val="single"/>
        </w:rPr>
        <w:t>Bureau</w:t>
      </w:r>
      <w:r>
        <w:rPr>
          <w:spacing w:val="-6"/>
          <w:sz w:val="18"/>
          <w:u w:val="single"/>
        </w:rPr>
        <w:t> </w:t>
      </w:r>
      <w:r>
        <w:rPr>
          <w:sz w:val="18"/>
          <w:u w:val="single"/>
        </w:rPr>
        <w:t>Mut.</w:t>
      </w:r>
      <w:r>
        <w:rPr>
          <w:spacing w:val="-5"/>
          <w:sz w:val="18"/>
          <w:u w:val="single"/>
        </w:rPr>
        <w:t> </w:t>
      </w:r>
      <w:r>
        <w:rPr>
          <w:sz w:val="18"/>
          <w:u w:val="single"/>
        </w:rPr>
        <w:t>Ins.</w:t>
      </w:r>
      <w:r>
        <w:rPr>
          <w:spacing w:val="-9"/>
          <w:sz w:val="18"/>
          <w:u w:val="single"/>
        </w:rPr>
        <w:t> </w:t>
      </w:r>
      <w:r>
        <w:rPr>
          <w:sz w:val="18"/>
          <w:u w:val="single"/>
        </w:rPr>
        <w:t>Co.,</w:t>
      </w:r>
      <w:r>
        <w:rPr>
          <w:spacing w:val="-7"/>
          <w:sz w:val="18"/>
          <w:u w:val="single"/>
        </w:rPr>
        <w:t> </w:t>
      </w:r>
      <w:r>
        <w:rPr>
          <w:sz w:val="18"/>
          <w:u w:val="single"/>
        </w:rPr>
        <w:t>Inc.</w:t>
      </w:r>
      <w:r>
        <w:rPr>
          <w:spacing w:val="-9"/>
          <w:sz w:val="18"/>
          <w:u w:val="single"/>
        </w:rPr>
        <w:t> </w:t>
      </w:r>
      <w:r>
        <w:rPr>
          <w:sz w:val="18"/>
          <w:u w:val="single"/>
        </w:rPr>
        <w:t>v.</w:t>
      </w:r>
      <w:r>
        <w:rPr>
          <w:spacing w:val="-9"/>
          <w:sz w:val="18"/>
          <w:u w:val="single"/>
        </w:rPr>
        <w:t> </w:t>
      </w:r>
      <w:r>
        <w:rPr>
          <w:sz w:val="18"/>
          <w:u w:val="single"/>
        </w:rPr>
        <w:t>Sadler</w:t>
      </w:r>
      <w:r>
        <w:rPr>
          <w:sz w:val="18"/>
        </w:rPr>
        <w:t>,</w:t>
      </w:r>
      <w:r>
        <w:rPr>
          <w:spacing w:val="-8"/>
          <w:sz w:val="18"/>
        </w:rPr>
        <w:t> </w:t>
      </w:r>
      <w:r>
        <w:rPr>
          <w:sz w:val="18"/>
        </w:rPr>
        <w:t>711</w:t>
      </w:r>
      <w:r>
        <w:rPr>
          <w:spacing w:val="-8"/>
          <w:sz w:val="18"/>
        </w:rPr>
        <w:t> </w:t>
      </w:r>
      <w:r>
        <w:rPr>
          <w:sz w:val="18"/>
        </w:rPr>
        <w:t>S.E.2d</w:t>
      </w:r>
      <w:r>
        <w:rPr>
          <w:spacing w:val="-7"/>
          <w:sz w:val="18"/>
        </w:rPr>
        <w:t> </w:t>
      </w:r>
      <w:r>
        <w:rPr>
          <w:sz w:val="18"/>
        </w:rPr>
        <w:t>114</w:t>
      </w:r>
      <w:r>
        <w:rPr>
          <w:spacing w:val="-5"/>
          <w:sz w:val="18"/>
        </w:rPr>
        <w:t> </w:t>
      </w:r>
      <w:r>
        <w:rPr>
          <w:sz w:val="18"/>
        </w:rPr>
        <w:t>(N.C.</w:t>
      </w:r>
      <w:r>
        <w:rPr>
          <w:spacing w:val="-6"/>
          <w:sz w:val="18"/>
        </w:rPr>
        <w:t> </w:t>
      </w:r>
      <w:r>
        <w:rPr>
          <w:sz w:val="18"/>
        </w:rPr>
        <w:t>2011), citing</w:t>
      </w:r>
      <w:r>
        <w:rPr>
          <w:spacing w:val="-14"/>
          <w:sz w:val="18"/>
        </w:rPr>
        <w:t> </w:t>
      </w:r>
      <w:r>
        <w:rPr>
          <w:sz w:val="18"/>
          <w:u w:val="single"/>
        </w:rPr>
        <w:t>Markham</w:t>
      </w:r>
      <w:r>
        <w:rPr>
          <w:spacing w:val="-15"/>
          <w:sz w:val="18"/>
          <w:u w:val="single"/>
        </w:rPr>
        <w:t> </w:t>
      </w:r>
      <w:r>
        <w:rPr>
          <w:sz w:val="18"/>
          <w:u w:val="single"/>
        </w:rPr>
        <w:t>v.</w:t>
      </w:r>
      <w:r>
        <w:rPr>
          <w:spacing w:val="-11"/>
          <w:sz w:val="18"/>
          <w:u w:val="single"/>
        </w:rPr>
        <w:t> </w:t>
      </w:r>
      <w:r>
        <w:rPr>
          <w:sz w:val="18"/>
          <w:u w:val="single"/>
        </w:rPr>
        <w:t>Nationwide</w:t>
      </w:r>
      <w:r>
        <w:rPr>
          <w:spacing w:val="-13"/>
          <w:sz w:val="18"/>
          <w:u w:val="single"/>
        </w:rPr>
        <w:t> </w:t>
      </w:r>
      <w:r>
        <w:rPr>
          <w:sz w:val="18"/>
          <w:u w:val="single"/>
        </w:rPr>
        <w:t>Mut.</w:t>
      </w:r>
      <w:r>
        <w:rPr>
          <w:spacing w:val="-10"/>
          <w:sz w:val="18"/>
          <w:u w:val="single"/>
        </w:rPr>
        <w:t> </w:t>
      </w:r>
      <w:r>
        <w:rPr>
          <w:sz w:val="18"/>
          <w:u w:val="single"/>
        </w:rPr>
        <w:t>Fire</w:t>
      </w:r>
      <w:r>
        <w:rPr>
          <w:spacing w:val="-10"/>
          <w:sz w:val="18"/>
          <w:u w:val="single"/>
        </w:rPr>
        <w:t> </w:t>
      </w:r>
      <w:r>
        <w:rPr>
          <w:sz w:val="18"/>
          <w:u w:val="single"/>
        </w:rPr>
        <w:t>Ins.</w:t>
      </w:r>
      <w:r>
        <w:rPr>
          <w:spacing w:val="-11"/>
          <w:sz w:val="18"/>
          <w:u w:val="single"/>
        </w:rPr>
        <w:t> </w:t>
      </w:r>
      <w:r>
        <w:rPr>
          <w:sz w:val="18"/>
          <w:u w:val="single"/>
        </w:rPr>
        <w:t>Co.</w:t>
      </w:r>
      <w:r>
        <w:rPr>
          <w:sz w:val="18"/>
        </w:rPr>
        <w:t>,</w:t>
      </w:r>
      <w:r>
        <w:rPr>
          <w:spacing w:val="-8"/>
          <w:sz w:val="18"/>
        </w:rPr>
        <w:t> </w:t>
      </w:r>
      <w:r>
        <w:rPr>
          <w:sz w:val="18"/>
        </w:rPr>
        <w:t>125</w:t>
      </w:r>
      <w:r>
        <w:rPr>
          <w:spacing w:val="-10"/>
          <w:sz w:val="18"/>
        </w:rPr>
        <w:t> </w:t>
      </w:r>
      <w:r>
        <w:rPr>
          <w:sz w:val="18"/>
        </w:rPr>
        <w:t>N.C.</w:t>
      </w:r>
      <w:r>
        <w:rPr>
          <w:spacing w:val="-10"/>
          <w:sz w:val="18"/>
        </w:rPr>
        <w:t> </w:t>
      </w:r>
      <w:r>
        <w:rPr>
          <w:sz w:val="18"/>
        </w:rPr>
        <w:t>App.</w:t>
      </w:r>
      <w:r>
        <w:rPr>
          <w:spacing w:val="-11"/>
          <w:sz w:val="18"/>
        </w:rPr>
        <w:t> </w:t>
      </w:r>
      <w:r>
        <w:rPr>
          <w:sz w:val="18"/>
        </w:rPr>
        <w:t>443,</w:t>
      </w:r>
      <w:r>
        <w:rPr>
          <w:spacing w:val="-10"/>
          <w:sz w:val="18"/>
        </w:rPr>
        <w:t> </w:t>
      </w:r>
      <w:r>
        <w:rPr>
          <w:sz w:val="18"/>
        </w:rPr>
        <w:t>453,</w:t>
      </w:r>
      <w:r>
        <w:rPr>
          <w:spacing w:val="-10"/>
          <w:sz w:val="18"/>
        </w:rPr>
        <w:t> </w:t>
      </w:r>
      <w:r>
        <w:rPr>
          <w:sz w:val="18"/>
        </w:rPr>
        <w:t>481</w:t>
      </w:r>
      <w:r>
        <w:rPr>
          <w:spacing w:val="-10"/>
          <w:sz w:val="18"/>
        </w:rPr>
        <w:t> </w:t>
      </w:r>
      <w:r>
        <w:rPr>
          <w:sz w:val="18"/>
        </w:rPr>
        <w:t>S.E.2d</w:t>
      </w:r>
      <w:r>
        <w:rPr>
          <w:spacing w:val="-11"/>
          <w:sz w:val="18"/>
        </w:rPr>
        <w:t> </w:t>
      </w:r>
      <w:r>
        <w:rPr>
          <w:sz w:val="18"/>
        </w:rPr>
        <w:t>349,</w:t>
      </w:r>
    </w:p>
    <w:p>
      <w:pPr>
        <w:spacing w:line="171" w:lineRule="exact" w:before="0"/>
        <w:ind w:left="1160" w:right="0" w:firstLine="0"/>
        <w:jc w:val="left"/>
        <w:rPr>
          <w:rFonts w:ascii="Times New Roman"/>
          <w:sz w:val="18"/>
        </w:rPr>
      </w:pPr>
      <w:r>
        <w:rPr>
          <w:rFonts w:ascii="Times New Roman"/>
          <w:sz w:val="18"/>
        </w:rPr>
        <w:t>355, </w:t>
      </w:r>
      <w:r>
        <w:rPr>
          <w:rFonts w:ascii="Times New Roman"/>
          <w:i/>
          <w:sz w:val="18"/>
        </w:rPr>
        <w:t>disc. rev. denied</w:t>
      </w:r>
      <w:r>
        <w:rPr>
          <w:rFonts w:ascii="Times New Roman"/>
          <w:sz w:val="18"/>
        </w:rPr>
        <w:t>, 346 N.C. 281, 487 S.E2d 551 (1997).</w:t>
      </w:r>
    </w:p>
    <w:p>
      <w:pPr>
        <w:pStyle w:val="ListParagraph"/>
        <w:numPr>
          <w:ilvl w:val="0"/>
          <w:numId w:val="12"/>
        </w:numPr>
        <w:tabs>
          <w:tab w:pos="1421" w:val="left" w:leader="none"/>
        </w:tabs>
        <w:spacing w:line="235" w:lineRule="exact" w:before="0" w:after="0"/>
        <w:ind w:left="1421" w:right="0" w:hanging="261"/>
        <w:jc w:val="left"/>
        <w:rPr>
          <w:sz w:val="18"/>
        </w:rPr>
      </w:pPr>
      <w:r>
        <w:rPr>
          <w:sz w:val="18"/>
          <w:u w:val="single"/>
        </w:rPr>
        <w:t>Glendale LLC v. Amco Ins. Co.</w:t>
      </w:r>
      <w:r>
        <w:rPr>
          <w:sz w:val="18"/>
        </w:rPr>
        <w:t>, 2012 WL 1394746 (W.D.N.C.,</w:t>
      </w:r>
      <w:r>
        <w:rPr>
          <w:spacing w:val="-1"/>
          <w:sz w:val="18"/>
        </w:rPr>
        <w:t> </w:t>
      </w:r>
      <w:r>
        <w:rPr>
          <w:sz w:val="18"/>
        </w:rPr>
        <w:t>2012).</w:t>
      </w:r>
    </w:p>
    <w:p>
      <w:pPr>
        <w:spacing w:after="0" w:line="235" w:lineRule="exact"/>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21" w:firstLine="720"/>
        <w:jc w:val="both"/>
      </w:pPr>
      <w:bookmarkStart w:name="Law and Procedure 136" w:id="47"/>
      <w:bookmarkEnd w:id="47"/>
      <w:r>
        <w:rPr/>
      </w:r>
      <w:r>
        <w:rPr/>
        <w:t>Some</w:t>
      </w:r>
      <w:r>
        <w:rPr>
          <w:spacing w:val="-20"/>
        </w:rPr>
        <w:t> </w:t>
      </w:r>
      <w:r>
        <w:rPr/>
        <w:t>recent</w:t>
      </w:r>
      <w:r>
        <w:rPr>
          <w:spacing w:val="-22"/>
        </w:rPr>
        <w:t> </w:t>
      </w:r>
      <w:r>
        <w:rPr/>
        <w:t>Florida</w:t>
      </w:r>
      <w:r>
        <w:rPr>
          <w:spacing w:val="-19"/>
        </w:rPr>
        <w:t> </w:t>
      </w:r>
      <w:r>
        <w:rPr/>
        <w:t>decisions</w:t>
      </w:r>
      <w:r>
        <w:rPr>
          <w:spacing w:val="-17"/>
        </w:rPr>
        <w:t> </w:t>
      </w:r>
      <w:r>
        <w:rPr>
          <w:spacing w:val="-3"/>
        </w:rPr>
        <w:t>appeared </w:t>
      </w:r>
      <w:r>
        <w:rPr/>
        <w:t>to</w:t>
      </w:r>
      <w:r>
        <w:rPr>
          <w:spacing w:val="-30"/>
        </w:rPr>
        <w:t> </w:t>
      </w:r>
      <w:r>
        <w:rPr/>
        <w:t>extend</w:t>
      </w:r>
      <w:r>
        <w:rPr>
          <w:spacing w:val="-30"/>
        </w:rPr>
        <w:t> </w:t>
      </w:r>
      <w:r>
        <w:rPr/>
        <w:t>the</w:t>
      </w:r>
      <w:r>
        <w:rPr>
          <w:spacing w:val="-30"/>
        </w:rPr>
        <w:t> </w:t>
      </w:r>
      <w:r>
        <w:rPr/>
        <w:t>scope</w:t>
      </w:r>
      <w:r>
        <w:rPr>
          <w:spacing w:val="-28"/>
        </w:rPr>
        <w:t> </w:t>
      </w:r>
      <w:r>
        <w:rPr/>
        <w:t>of</w:t>
      </w:r>
      <w:r>
        <w:rPr>
          <w:spacing w:val="-29"/>
        </w:rPr>
        <w:t> </w:t>
      </w:r>
      <w:r>
        <w:rPr/>
        <w:t>the</w:t>
      </w:r>
      <w:r>
        <w:rPr>
          <w:spacing w:val="-31"/>
        </w:rPr>
        <w:t> </w:t>
      </w:r>
      <w:r>
        <w:rPr/>
        <w:t>appraisal</w:t>
      </w:r>
      <w:r>
        <w:rPr>
          <w:spacing w:val="-28"/>
        </w:rPr>
        <w:t> </w:t>
      </w:r>
      <w:r>
        <w:rPr/>
        <w:t>process</w:t>
      </w:r>
      <w:r>
        <w:rPr>
          <w:spacing w:val="-30"/>
        </w:rPr>
        <w:t> </w:t>
      </w:r>
      <w:r>
        <w:rPr/>
        <w:t>to allow the award to consider</w:t>
      </w:r>
      <w:r>
        <w:rPr>
          <w:spacing w:val="-11"/>
        </w:rPr>
        <w:t> </w:t>
      </w:r>
      <w:r>
        <w:rPr/>
        <w:t>causation.</w:t>
      </w:r>
      <w:r>
        <w:rPr>
          <w:vertAlign w:val="superscript"/>
        </w:rPr>
        <w:t>184</w:t>
      </w:r>
    </w:p>
    <w:p>
      <w:pPr>
        <w:pStyle w:val="BodyText"/>
        <w:spacing w:before="1"/>
      </w:pPr>
    </w:p>
    <w:p>
      <w:pPr>
        <w:pStyle w:val="BodyText"/>
        <w:spacing w:line="242" w:lineRule="auto"/>
        <w:ind w:left="1520" w:right="1516" w:firstLine="720"/>
        <w:jc w:val="both"/>
      </w:pPr>
      <w:r>
        <w:rPr/>
        <w:t>Florida courts had seen previous</w:t>
      </w:r>
      <w:r>
        <w:rPr>
          <w:spacing w:val="-34"/>
        </w:rPr>
        <w:t> </w:t>
      </w:r>
      <w:r>
        <w:rPr/>
        <w:t>conflict on this point. </w:t>
      </w:r>
      <w:r>
        <w:rPr>
          <w:spacing w:val="3"/>
        </w:rPr>
        <w:t>In </w:t>
      </w:r>
      <w:r>
        <w:rPr/>
        <w:t>2000, </w:t>
      </w:r>
      <w:r>
        <w:rPr>
          <w:u w:val="single"/>
        </w:rPr>
        <w:t>Opar v. Allstate Ins.</w:t>
      </w:r>
      <w:r>
        <w:rPr/>
        <w:t> </w:t>
      </w:r>
      <w:r>
        <w:rPr>
          <w:u w:val="single"/>
        </w:rPr>
        <w:t>Co.</w:t>
      </w:r>
      <w:r>
        <w:rPr/>
        <w:t>,</w:t>
      </w:r>
      <w:r>
        <w:rPr>
          <w:vertAlign w:val="superscript"/>
        </w:rPr>
        <w:t>185</w:t>
      </w:r>
      <w:r>
        <w:rPr>
          <w:vertAlign w:val="baseline"/>
        </w:rPr>
        <w:t> the First District Court of </w:t>
      </w:r>
      <w:r>
        <w:rPr>
          <w:spacing w:val="-4"/>
          <w:vertAlign w:val="baseline"/>
        </w:rPr>
        <w:t>Appeals </w:t>
      </w:r>
      <w:r>
        <w:rPr>
          <w:vertAlign w:val="baseline"/>
        </w:rPr>
        <w:t>concluded that coverage issues were not to be addressed during the appraisal process. The</w:t>
      </w:r>
      <w:r>
        <w:rPr>
          <w:spacing w:val="-20"/>
          <w:vertAlign w:val="baseline"/>
        </w:rPr>
        <w:t> </w:t>
      </w:r>
      <w:r>
        <w:rPr>
          <w:vertAlign w:val="baseline"/>
        </w:rPr>
        <w:t>Third</w:t>
      </w:r>
      <w:r>
        <w:rPr>
          <w:spacing w:val="-19"/>
          <w:vertAlign w:val="baseline"/>
        </w:rPr>
        <w:t> </w:t>
      </w:r>
      <w:r>
        <w:rPr>
          <w:vertAlign w:val="baseline"/>
        </w:rPr>
        <w:t>District</w:t>
      </w:r>
      <w:r>
        <w:rPr>
          <w:spacing w:val="-20"/>
          <w:vertAlign w:val="baseline"/>
        </w:rPr>
        <w:t> </w:t>
      </w:r>
      <w:r>
        <w:rPr>
          <w:vertAlign w:val="baseline"/>
        </w:rPr>
        <w:t>Court</w:t>
      </w:r>
      <w:r>
        <w:rPr>
          <w:spacing w:val="-21"/>
          <w:vertAlign w:val="baseline"/>
        </w:rPr>
        <w:t> </w:t>
      </w:r>
      <w:r>
        <w:rPr>
          <w:vertAlign w:val="baseline"/>
        </w:rPr>
        <w:t>of</w:t>
      </w:r>
      <w:r>
        <w:rPr>
          <w:spacing w:val="-18"/>
          <w:vertAlign w:val="baseline"/>
        </w:rPr>
        <w:t> </w:t>
      </w:r>
      <w:r>
        <w:rPr>
          <w:vertAlign w:val="baseline"/>
        </w:rPr>
        <w:t>Appeals</w:t>
      </w:r>
      <w:r>
        <w:rPr>
          <w:spacing w:val="-19"/>
          <w:vertAlign w:val="baseline"/>
        </w:rPr>
        <w:t> </w:t>
      </w:r>
      <w:r>
        <w:rPr>
          <w:vertAlign w:val="baseline"/>
        </w:rPr>
        <w:t>in</w:t>
      </w:r>
      <w:r>
        <w:rPr>
          <w:spacing w:val="-19"/>
          <w:vertAlign w:val="baseline"/>
        </w:rPr>
        <w:t> </w:t>
      </w:r>
      <w:r>
        <w:rPr>
          <w:vertAlign w:val="baseline"/>
        </w:rPr>
        <w:t>Florida</w:t>
      </w:r>
      <w:r>
        <w:rPr>
          <w:spacing w:val="-19"/>
          <w:vertAlign w:val="baseline"/>
        </w:rPr>
        <w:t> </w:t>
      </w:r>
      <w:r>
        <w:rPr>
          <w:vertAlign w:val="baseline"/>
        </w:rPr>
        <w:t>has also</w:t>
      </w:r>
      <w:r>
        <w:rPr>
          <w:spacing w:val="-20"/>
          <w:vertAlign w:val="baseline"/>
        </w:rPr>
        <w:t> </w:t>
      </w:r>
      <w:r>
        <w:rPr>
          <w:vertAlign w:val="baseline"/>
        </w:rPr>
        <w:t>held</w:t>
      </w:r>
      <w:r>
        <w:rPr>
          <w:spacing w:val="-21"/>
          <w:vertAlign w:val="baseline"/>
        </w:rPr>
        <w:t> </w:t>
      </w:r>
      <w:r>
        <w:rPr>
          <w:vertAlign w:val="baseline"/>
        </w:rPr>
        <w:t>that</w:t>
      </w:r>
      <w:r>
        <w:rPr>
          <w:spacing w:val="-21"/>
          <w:vertAlign w:val="baseline"/>
        </w:rPr>
        <w:t> </w:t>
      </w:r>
      <w:r>
        <w:rPr>
          <w:vertAlign w:val="baseline"/>
        </w:rPr>
        <w:t>causation</w:t>
      </w:r>
      <w:r>
        <w:rPr>
          <w:spacing w:val="-18"/>
          <w:vertAlign w:val="baseline"/>
        </w:rPr>
        <w:t> </w:t>
      </w:r>
      <w:r>
        <w:rPr>
          <w:vertAlign w:val="baseline"/>
        </w:rPr>
        <w:t>was</w:t>
      </w:r>
      <w:r>
        <w:rPr>
          <w:spacing w:val="-21"/>
          <w:vertAlign w:val="baseline"/>
        </w:rPr>
        <w:t> </w:t>
      </w:r>
      <w:r>
        <w:rPr>
          <w:vertAlign w:val="baseline"/>
        </w:rPr>
        <w:t>not</w:t>
      </w:r>
      <w:r>
        <w:rPr>
          <w:spacing w:val="-22"/>
          <w:vertAlign w:val="baseline"/>
        </w:rPr>
        <w:t> </w:t>
      </w:r>
      <w:r>
        <w:rPr>
          <w:vertAlign w:val="baseline"/>
        </w:rPr>
        <w:t>a</w:t>
      </w:r>
      <w:r>
        <w:rPr>
          <w:spacing w:val="-21"/>
          <w:vertAlign w:val="baseline"/>
        </w:rPr>
        <w:t> </w:t>
      </w:r>
      <w:r>
        <w:rPr>
          <w:vertAlign w:val="baseline"/>
        </w:rPr>
        <w:t>proper</w:t>
      </w:r>
      <w:r>
        <w:rPr>
          <w:spacing w:val="-22"/>
          <w:vertAlign w:val="baseline"/>
        </w:rPr>
        <w:t> </w:t>
      </w:r>
      <w:r>
        <w:rPr>
          <w:vertAlign w:val="baseline"/>
        </w:rPr>
        <w:t>issue for appraisal. </w:t>
      </w:r>
      <w:r>
        <w:rPr>
          <w:spacing w:val="3"/>
          <w:vertAlign w:val="baseline"/>
        </w:rPr>
        <w:t>In </w:t>
      </w:r>
      <w:r>
        <w:rPr>
          <w:u w:val="single"/>
          <w:vertAlign w:val="baseline"/>
        </w:rPr>
        <w:t>Gonzalez v. State Farm</w:t>
      </w:r>
      <w:r>
        <w:rPr>
          <w:vertAlign w:val="baseline"/>
        </w:rPr>
        <w:t>,</w:t>
      </w:r>
      <w:r>
        <w:rPr>
          <w:vertAlign w:val="superscript"/>
        </w:rPr>
        <w:t>186</w:t>
      </w:r>
      <w:r>
        <w:rPr>
          <w:vertAlign w:val="baseline"/>
        </w:rPr>
        <w:t> </w:t>
      </w:r>
      <w:r>
        <w:rPr>
          <w:spacing w:val="-14"/>
          <w:vertAlign w:val="baseline"/>
        </w:rPr>
        <w:t>the </w:t>
      </w:r>
      <w:r>
        <w:rPr>
          <w:vertAlign w:val="baseline"/>
        </w:rPr>
        <w:t>carrier had claimed that the entire loss fell within a policy exclusion and the court determined that such a defense is a legal question to be resolved through litigation and not a question of amount of loss to be determined by appraisers. Interestingly, the Third District, in concluding that the</w:t>
      </w:r>
      <w:r>
        <w:rPr>
          <w:spacing w:val="-25"/>
          <w:vertAlign w:val="baseline"/>
        </w:rPr>
        <w:t> </w:t>
      </w:r>
      <w:r>
        <w:rPr>
          <w:vertAlign w:val="baseline"/>
        </w:rPr>
        <w:t>appraisers</w:t>
      </w:r>
    </w:p>
    <w:p>
      <w:pPr>
        <w:pStyle w:val="BodyText"/>
        <w:rPr>
          <w:sz w:val="20"/>
        </w:rPr>
      </w:pPr>
    </w:p>
    <w:p>
      <w:pPr>
        <w:pStyle w:val="BodyText"/>
        <w:rPr>
          <w:sz w:val="20"/>
        </w:rPr>
      </w:pPr>
      <w:r>
        <w:rPr/>
        <w:pict>
          <v:shape style="position:absolute;margin-left:162pt;margin-top:14.669063pt;width:143.9pt;height:.1pt;mso-position-horizontal-relative:page;mso-position-vertical-relative:paragraph;z-index:-251590656;mso-wrap-distance-left:0;mso-wrap-distance-right:0" coordorigin="3240,293" coordsize="2878,0" path="m3240,293l6118,293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2"/>
        </w:numPr>
        <w:tabs>
          <w:tab w:pos="1440" w:val="left" w:leader="none"/>
        </w:tabs>
        <w:spacing w:line="247" w:lineRule="auto" w:before="80" w:after="0"/>
        <w:ind w:left="1160" w:right="1161" w:firstLine="0"/>
        <w:jc w:val="both"/>
        <w:rPr>
          <w:sz w:val="18"/>
        </w:rPr>
      </w:pPr>
      <w:r>
        <w:rPr>
          <w:sz w:val="18"/>
          <w:u w:val="single"/>
        </w:rPr>
        <w:t>Nationwide Mut. Ins. Co. v. Johnson</w:t>
      </w:r>
      <w:r>
        <w:rPr>
          <w:sz w:val="18"/>
        </w:rPr>
        <w:t>, 828 So.2d 1021 (Fla. </w:t>
      </w:r>
      <w:r>
        <w:rPr>
          <w:spacing w:val="2"/>
          <w:sz w:val="18"/>
        </w:rPr>
        <w:t>2002); </w:t>
      </w:r>
      <w:r>
        <w:rPr>
          <w:sz w:val="18"/>
          <w:u w:val="single"/>
        </w:rPr>
        <w:t>Gonzalez v. State Farm Ins. Co.</w:t>
      </w:r>
      <w:r>
        <w:rPr>
          <w:sz w:val="18"/>
        </w:rPr>
        <w:t>, 805 So.2d 814 (Fla. Dist. Ct. App. 3d Dist. 2000), </w:t>
      </w:r>
      <w:r>
        <w:rPr>
          <w:i/>
          <w:sz w:val="18"/>
        </w:rPr>
        <w:t>quashed in part and </w:t>
      </w:r>
      <w:r>
        <w:rPr>
          <w:i/>
          <w:sz w:val="18"/>
        </w:rPr>
        <w:t>approved</w:t>
      </w:r>
      <w:r>
        <w:rPr>
          <w:i/>
          <w:spacing w:val="-12"/>
          <w:sz w:val="18"/>
        </w:rPr>
        <w:t> </w:t>
      </w:r>
      <w:r>
        <w:rPr>
          <w:i/>
          <w:sz w:val="18"/>
        </w:rPr>
        <w:t>in</w:t>
      </w:r>
      <w:r>
        <w:rPr>
          <w:i/>
          <w:spacing w:val="-8"/>
          <w:sz w:val="18"/>
        </w:rPr>
        <w:t> </w:t>
      </w:r>
      <w:r>
        <w:rPr>
          <w:i/>
          <w:sz w:val="18"/>
        </w:rPr>
        <w:t>part</w:t>
      </w:r>
      <w:r>
        <w:rPr>
          <w:sz w:val="18"/>
        </w:rPr>
        <w:t>,</w:t>
      </w:r>
      <w:r>
        <w:rPr>
          <w:spacing w:val="-14"/>
          <w:sz w:val="18"/>
        </w:rPr>
        <w:t> </w:t>
      </w:r>
      <w:r>
        <w:rPr>
          <w:sz w:val="18"/>
        </w:rPr>
        <w:t>828</w:t>
      </w:r>
      <w:r>
        <w:rPr>
          <w:spacing w:val="-12"/>
          <w:sz w:val="18"/>
        </w:rPr>
        <w:t> </w:t>
      </w:r>
      <w:r>
        <w:rPr>
          <w:sz w:val="18"/>
        </w:rPr>
        <w:t>So.2d</w:t>
      </w:r>
      <w:r>
        <w:rPr>
          <w:spacing w:val="-12"/>
          <w:sz w:val="18"/>
        </w:rPr>
        <w:t> </w:t>
      </w:r>
      <w:r>
        <w:rPr>
          <w:sz w:val="18"/>
        </w:rPr>
        <w:t>1021</w:t>
      </w:r>
      <w:r>
        <w:rPr>
          <w:spacing w:val="-12"/>
          <w:sz w:val="18"/>
        </w:rPr>
        <w:t> </w:t>
      </w:r>
      <w:r>
        <w:rPr>
          <w:sz w:val="18"/>
        </w:rPr>
        <w:t>(Fla.</w:t>
      </w:r>
      <w:r>
        <w:rPr>
          <w:spacing w:val="-12"/>
          <w:sz w:val="18"/>
        </w:rPr>
        <w:t> </w:t>
      </w:r>
      <w:r>
        <w:rPr>
          <w:sz w:val="18"/>
        </w:rPr>
        <w:t>2002);</w:t>
      </w:r>
      <w:r>
        <w:rPr>
          <w:spacing w:val="-13"/>
          <w:sz w:val="18"/>
        </w:rPr>
        <w:t> </w:t>
      </w:r>
      <w:r>
        <w:rPr>
          <w:sz w:val="18"/>
          <w:u w:val="single"/>
        </w:rPr>
        <w:t>Florida</w:t>
      </w:r>
      <w:r>
        <w:rPr>
          <w:spacing w:val="-12"/>
          <w:sz w:val="18"/>
          <w:u w:val="single"/>
        </w:rPr>
        <w:t> </w:t>
      </w:r>
      <w:r>
        <w:rPr>
          <w:sz w:val="18"/>
          <w:u w:val="single"/>
        </w:rPr>
        <w:t>Select</w:t>
      </w:r>
      <w:r>
        <w:rPr>
          <w:spacing w:val="-12"/>
          <w:sz w:val="18"/>
          <w:u w:val="single"/>
        </w:rPr>
        <w:t> </w:t>
      </w:r>
      <w:r>
        <w:rPr>
          <w:sz w:val="18"/>
          <w:u w:val="single"/>
        </w:rPr>
        <w:t>Ins.</w:t>
      </w:r>
      <w:r>
        <w:rPr>
          <w:spacing w:val="-11"/>
          <w:sz w:val="18"/>
          <w:u w:val="single"/>
        </w:rPr>
        <w:t> </w:t>
      </w:r>
      <w:r>
        <w:rPr>
          <w:sz w:val="18"/>
          <w:u w:val="single"/>
        </w:rPr>
        <w:t>Co.</w:t>
      </w:r>
      <w:r>
        <w:rPr>
          <w:spacing w:val="-10"/>
          <w:sz w:val="18"/>
          <w:u w:val="single"/>
        </w:rPr>
        <w:t> </w:t>
      </w:r>
      <w:r>
        <w:rPr>
          <w:sz w:val="18"/>
          <w:u w:val="single"/>
        </w:rPr>
        <w:t>v.</w:t>
      </w:r>
      <w:r>
        <w:rPr>
          <w:spacing w:val="-10"/>
          <w:sz w:val="18"/>
          <w:u w:val="single"/>
        </w:rPr>
        <w:t> </w:t>
      </w:r>
      <w:r>
        <w:rPr>
          <w:sz w:val="18"/>
          <w:u w:val="single"/>
        </w:rPr>
        <w:t>Keelean</w:t>
      </w:r>
      <w:r>
        <w:rPr>
          <w:sz w:val="18"/>
        </w:rPr>
        <w:t>,</w:t>
      </w:r>
      <w:r>
        <w:rPr>
          <w:spacing w:val="-11"/>
          <w:sz w:val="18"/>
        </w:rPr>
        <w:t> </w:t>
      </w:r>
      <w:r>
        <w:rPr>
          <w:sz w:val="18"/>
        </w:rPr>
        <w:t>727</w:t>
      </w:r>
      <w:r>
        <w:rPr>
          <w:spacing w:val="-10"/>
          <w:sz w:val="18"/>
        </w:rPr>
        <w:t> </w:t>
      </w:r>
      <w:r>
        <w:rPr>
          <w:sz w:val="18"/>
        </w:rPr>
        <w:t>So.2d 1131 (Fla.2d DCA 1999); </w:t>
      </w:r>
      <w:r>
        <w:rPr>
          <w:i/>
          <w:sz w:val="18"/>
        </w:rPr>
        <w:t>But see, </w:t>
      </w:r>
      <w:r>
        <w:rPr>
          <w:sz w:val="18"/>
          <w:u w:val="single"/>
        </w:rPr>
        <w:t>Allstate Ins. Co. v. Suarez</w:t>
      </w:r>
      <w:r>
        <w:rPr>
          <w:sz w:val="18"/>
        </w:rPr>
        <w:t>, 786 So. 2d 645, </w:t>
      </w:r>
      <w:r>
        <w:rPr>
          <w:i/>
          <w:sz w:val="18"/>
        </w:rPr>
        <w:t>aff’d</w:t>
      </w:r>
      <w:r>
        <w:rPr>
          <w:sz w:val="18"/>
        </w:rPr>
        <w:t>, 833 So.2d 645 (Fla. 2002); </w:t>
      </w:r>
      <w:r>
        <w:rPr>
          <w:i/>
          <w:sz w:val="18"/>
        </w:rPr>
        <w:t>See also</w:t>
      </w:r>
      <w:r>
        <w:rPr>
          <w:sz w:val="18"/>
        </w:rPr>
        <w:t>, </w:t>
      </w:r>
      <w:r>
        <w:rPr>
          <w:sz w:val="18"/>
          <w:u w:val="single"/>
        </w:rPr>
        <w:t>Allstate Ins. Co. v. Martinez</w:t>
      </w:r>
      <w:r>
        <w:rPr>
          <w:sz w:val="18"/>
        </w:rPr>
        <w:t>, 833 </w:t>
      </w:r>
      <w:r>
        <w:rPr>
          <w:spacing w:val="2"/>
          <w:sz w:val="18"/>
        </w:rPr>
        <w:t>So.2d </w:t>
      </w:r>
      <w:r>
        <w:rPr>
          <w:sz w:val="18"/>
        </w:rPr>
        <w:t>761, 27 Fla. L. Weekly S1043 (Fla. 2002); </w:t>
      </w:r>
      <w:r>
        <w:rPr>
          <w:sz w:val="18"/>
          <w:u w:val="single"/>
        </w:rPr>
        <w:t>Kendall Lakes Town Homes Developers, Inc. v. Agricultural Excess and Surplus Lines Ins. Co.</w:t>
      </w:r>
      <w:r>
        <w:rPr>
          <w:sz w:val="18"/>
        </w:rPr>
        <w:t>, 916 So.2d 12, 2005 WL 2447887, 30 Fla L. Weekly D2349</w:t>
      </w:r>
      <w:r>
        <w:rPr>
          <w:spacing w:val="-16"/>
          <w:sz w:val="18"/>
        </w:rPr>
        <w:t> </w:t>
      </w:r>
      <w:r>
        <w:rPr>
          <w:sz w:val="18"/>
        </w:rPr>
        <w:t>(Fla.</w:t>
      </w:r>
      <w:r>
        <w:rPr>
          <w:spacing w:val="-14"/>
          <w:sz w:val="18"/>
        </w:rPr>
        <w:t> </w:t>
      </w:r>
      <w:r>
        <w:rPr>
          <w:sz w:val="18"/>
        </w:rPr>
        <w:t>App.3d</w:t>
      </w:r>
      <w:r>
        <w:rPr>
          <w:spacing w:val="-13"/>
          <w:sz w:val="18"/>
        </w:rPr>
        <w:t> </w:t>
      </w:r>
      <w:r>
        <w:rPr>
          <w:sz w:val="18"/>
        </w:rPr>
        <w:t>Dist.</w:t>
      </w:r>
      <w:r>
        <w:rPr>
          <w:spacing w:val="-14"/>
          <w:sz w:val="18"/>
        </w:rPr>
        <w:t> </w:t>
      </w:r>
      <w:r>
        <w:rPr>
          <w:sz w:val="18"/>
        </w:rPr>
        <w:t>2005),</w:t>
      </w:r>
      <w:r>
        <w:rPr>
          <w:spacing w:val="-14"/>
          <w:sz w:val="18"/>
        </w:rPr>
        <w:t> </w:t>
      </w:r>
      <w:r>
        <w:rPr>
          <w:sz w:val="18"/>
        </w:rPr>
        <w:t>(where</w:t>
      </w:r>
      <w:r>
        <w:rPr>
          <w:spacing w:val="-17"/>
          <w:sz w:val="18"/>
        </w:rPr>
        <w:t> </w:t>
      </w:r>
      <w:r>
        <w:rPr>
          <w:sz w:val="18"/>
        </w:rPr>
        <w:t>some</w:t>
      </w:r>
      <w:r>
        <w:rPr>
          <w:spacing w:val="-16"/>
          <w:sz w:val="18"/>
        </w:rPr>
        <w:t> </w:t>
      </w:r>
      <w:r>
        <w:rPr>
          <w:sz w:val="18"/>
        </w:rPr>
        <w:t>of</w:t>
      </w:r>
      <w:r>
        <w:rPr>
          <w:spacing w:val="-20"/>
          <w:sz w:val="18"/>
        </w:rPr>
        <w:t> </w:t>
      </w:r>
      <w:r>
        <w:rPr>
          <w:sz w:val="18"/>
        </w:rPr>
        <w:t>the</w:t>
      </w:r>
      <w:r>
        <w:rPr>
          <w:spacing w:val="-17"/>
          <w:sz w:val="18"/>
        </w:rPr>
        <w:t> </w:t>
      </w:r>
      <w:r>
        <w:rPr>
          <w:sz w:val="18"/>
        </w:rPr>
        <w:t>loss</w:t>
      </w:r>
      <w:r>
        <w:rPr>
          <w:spacing w:val="-19"/>
          <w:sz w:val="18"/>
        </w:rPr>
        <w:t> </w:t>
      </w:r>
      <w:r>
        <w:rPr>
          <w:sz w:val="18"/>
        </w:rPr>
        <w:t>is</w:t>
      </w:r>
      <w:r>
        <w:rPr>
          <w:spacing w:val="-18"/>
          <w:sz w:val="18"/>
        </w:rPr>
        <w:t> </w:t>
      </w:r>
      <w:r>
        <w:rPr>
          <w:sz w:val="18"/>
        </w:rPr>
        <w:t>covered,</w:t>
      </w:r>
      <w:r>
        <w:rPr>
          <w:spacing w:val="-16"/>
          <w:sz w:val="18"/>
        </w:rPr>
        <w:t> </w:t>
      </w:r>
      <w:r>
        <w:rPr>
          <w:sz w:val="18"/>
        </w:rPr>
        <w:t>causation</w:t>
      </w:r>
      <w:r>
        <w:rPr>
          <w:spacing w:val="-16"/>
          <w:sz w:val="18"/>
        </w:rPr>
        <w:t> </w:t>
      </w:r>
      <w:r>
        <w:rPr>
          <w:sz w:val="18"/>
        </w:rPr>
        <w:t>is</w:t>
      </w:r>
      <w:r>
        <w:rPr>
          <w:spacing w:val="-17"/>
          <w:sz w:val="18"/>
        </w:rPr>
        <w:t> </w:t>
      </w:r>
      <w:r>
        <w:rPr>
          <w:sz w:val="18"/>
        </w:rPr>
        <w:t>an</w:t>
      </w:r>
      <w:r>
        <w:rPr>
          <w:spacing w:val="-18"/>
          <w:sz w:val="18"/>
        </w:rPr>
        <w:t> </w:t>
      </w:r>
      <w:r>
        <w:rPr>
          <w:sz w:val="18"/>
        </w:rPr>
        <w:t>“amount of loss” question for appraisal panel and not a coverage question to be decided by the</w:t>
      </w:r>
      <w:r>
        <w:rPr>
          <w:spacing w:val="-21"/>
          <w:sz w:val="18"/>
        </w:rPr>
        <w:t> </w:t>
      </w:r>
      <w:r>
        <w:rPr>
          <w:sz w:val="18"/>
        </w:rPr>
        <w:t>trial court. The carrier had agreed that there was some covered loss but disagreed as to the amount of loss. Note that the award was overturned and the matter remanded with an instruction</w:t>
      </w:r>
      <w:r>
        <w:rPr>
          <w:spacing w:val="-8"/>
          <w:sz w:val="18"/>
        </w:rPr>
        <w:t> </w:t>
      </w:r>
      <w:r>
        <w:rPr>
          <w:sz w:val="18"/>
        </w:rPr>
        <w:t>that</w:t>
      </w:r>
      <w:r>
        <w:rPr>
          <w:spacing w:val="-10"/>
          <w:sz w:val="18"/>
        </w:rPr>
        <w:t> </w:t>
      </w:r>
      <w:r>
        <w:rPr>
          <w:sz w:val="18"/>
        </w:rPr>
        <w:t>the</w:t>
      </w:r>
      <w:r>
        <w:rPr>
          <w:spacing w:val="-10"/>
          <w:sz w:val="18"/>
        </w:rPr>
        <w:t> </w:t>
      </w:r>
      <w:r>
        <w:rPr>
          <w:sz w:val="18"/>
        </w:rPr>
        <w:t>appraisal</w:t>
      </w:r>
      <w:r>
        <w:rPr>
          <w:spacing w:val="-11"/>
          <w:sz w:val="18"/>
        </w:rPr>
        <w:t> </w:t>
      </w:r>
      <w:r>
        <w:rPr>
          <w:sz w:val="18"/>
        </w:rPr>
        <w:t>process</w:t>
      </w:r>
      <w:r>
        <w:rPr>
          <w:spacing w:val="-12"/>
          <w:sz w:val="18"/>
        </w:rPr>
        <w:t> </w:t>
      </w:r>
      <w:r>
        <w:rPr>
          <w:sz w:val="18"/>
        </w:rPr>
        <w:t>be</w:t>
      </w:r>
      <w:r>
        <w:rPr>
          <w:spacing w:val="-9"/>
          <w:sz w:val="18"/>
        </w:rPr>
        <w:t> </w:t>
      </w:r>
      <w:r>
        <w:rPr>
          <w:sz w:val="18"/>
        </w:rPr>
        <w:t>repeated</w:t>
      </w:r>
      <w:r>
        <w:rPr>
          <w:spacing w:val="-6"/>
          <w:sz w:val="18"/>
        </w:rPr>
        <w:t> </w:t>
      </w:r>
      <w:r>
        <w:rPr>
          <w:sz w:val="18"/>
        </w:rPr>
        <w:t>before</w:t>
      </w:r>
      <w:r>
        <w:rPr>
          <w:spacing w:val="-8"/>
          <w:sz w:val="18"/>
        </w:rPr>
        <w:t> </w:t>
      </w:r>
      <w:r>
        <w:rPr>
          <w:sz w:val="18"/>
        </w:rPr>
        <w:t>a</w:t>
      </w:r>
      <w:r>
        <w:rPr>
          <w:spacing w:val="-8"/>
          <w:sz w:val="18"/>
        </w:rPr>
        <w:t> </w:t>
      </w:r>
      <w:r>
        <w:rPr>
          <w:sz w:val="18"/>
        </w:rPr>
        <w:t>new</w:t>
      </w:r>
      <w:r>
        <w:rPr>
          <w:spacing w:val="-11"/>
          <w:sz w:val="18"/>
        </w:rPr>
        <w:t> </w:t>
      </w:r>
      <w:r>
        <w:rPr>
          <w:sz w:val="18"/>
        </w:rPr>
        <w:t>umpire,</w:t>
      </w:r>
      <w:r>
        <w:rPr>
          <w:spacing w:val="-6"/>
          <w:sz w:val="18"/>
        </w:rPr>
        <w:t> </w:t>
      </w:r>
      <w:r>
        <w:rPr>
          <w:sz w:val="18"/>
        </w:rPr>
        <w:t>as</w:t>
      </w:r>
      <w:r>
        <w:rPr>
          <w:spacing w:val="-8"/>
          <w:sz w:val="18"/>
        </w:rPr>
        <w:t> </w:t>
      </w:r>
      <w:r>
        <w:rPr>
          <w:sz w:val="18"/>
        </w:rPr>
        <w:t>the</w:t>
      </w:r>
      <w:r>
        <w:rPr>
          <w:spacing w:val="-8"/>
          <w:sz w:val="18"/>
        </w:rPr>
        <w:t> </w:t>
      </w:r>
      <w:r>
        <w:rPr>
          <w:sz w:val="18"/>
        </w:rPr>
        <w:t>trial</w:t>
      </w:r>
      <w:r>
        <w:rPr>
          <w:spacing w:val="-7"/>
          <w:sz w:val="18"/>
        </w:rPr>
        <w:t> </w:t>
      </w:r>
      <w:r>
        <w:rPr>
          <w:sz w:val="18"/>
        </w:rPr>
        <w:t>court</w:t>
      </w:r>
      <w:r>
        <w:rPr>
          <w:spacing w:val="-9"/>
          <w:sz w:val="18"/>
        </w:rPr>
        <w:t> </w:t>
      </w:r>
      <w:r>
        <w:rPr>
          <w:sz w:val="18"/>
        </w:rPr>
        <w:t>had previously limited the umpire’s authority and the umpire failed to follow the court’s instructions.).</w:t>
      </w:r>
    </w:p>
    <w:p>
      <w:pPr>
        <w:pStyle w:val="ListParagraph"/>
        <w:numPr>
          <w:ilvl w:val="0"/>
          <w:numId w:val="12"/>
        </w:numPr>
        <w:tabs>
          <w:tab w:pos="1421" w:val="left" w:leader="none"/>
        </w:tabs>
        <w:spacing w:line="165" w:lineRule="exact" w:before="0" w:after="0"/>
        <w:ind w:left="1421" w:right="0" w:hanging="261"/>
        <w:jc w:val="both"/>
        <w:rPr>
          <w:sz w:val="18"/>
        </w:rPr>
      </w:pPr>
      <w:r>
        <w:rPr>
          <w:sz w:val="18"/>
          <w:u w:val="single"/>
        </w:rPr>
        <w:t>Opar v. Allstate Ins. Co.</w:t>
      </w:r>
      <w:r>
        <w:rPr>
          <w:sz w:val="18"/>
        </w:rPr>
        <w:t>, 751 So.2d 758 (Fla. Dist. Ct. App. </w:t>
      </w:r>
      <w:r>
        <w:rPr>
          <w:spacing w:val="2"/>
          <w:sz w:val="18"/>
        </w:rPr>
        <w:t>1</w:t>
      </w:r>
      <w:r>
        <w:rPr>
          <w:spacing w:val="2"/>
          <w:position w:val="7"/>
          <w:sz w:val="10"/>
        </w:rPr>
        <w:t>st </w:t>
      </w:r>
      <w:r>
        <w:rPr>
          <w:sz w:val="18"/>
        </w:rPr>
        <w:t>Dist.</w:t>
      </w:r>
      <w:r>
        <w:rPr>
          <w:spacing w:val="-1"/>
          <w:sz w:val="18"/>
        </w:rPr>
        <w:t> </w:t>
      </w:r>
      <w:r>
        <w:rPr>
          <w:sz w:val="18"/>
        </w:rPr>
        <w:t>2000).</w:t>
      </w:r>
    </w:p>
    <w:p>
      <w:pPr>
        <w:pStyle w:val="ListParagraph"/>
        <w:numPr>
          <w:ilvl w:val="0"/>
          <w:numId w:val="12"/>
        </w:numPr>
        <w:tabs>
          <w:tab w:pos="1409" w:val="left" w:leader="none"/>
        </w:tabs>
        <w:spacing w:line="240" w:lineRule="exact" w:before="0" w:after="0"/>
        <w:ind w:left="1408" w:right="0" w:hanging="249"/>
        <w:jc w:val="both"/>
        <w:rPr>
          <w:sz w:val="18"/>
        </w:rPr>
      </w:pPr>
      <w:r>
        <w:rPr>
          <w:sz w:val="18"/>
          <w:u w:val="single"/>
        </w:rPr>
        <w:t>Gonzalez,</w:t>
      </w:r>
      <w:r>
        <w:rPr>
          <w:spacing w:val="-13"/>
          <w:sz w:val="18"/>
        </w:rPr>
        <w:t> </w:t>
      </w:r>
      <w:r>
        <w:rPr>
          <w:sz w:val="18"/>
        </w:rPr>
        <w:t>805</w:t>
      </w:r>
      <w:r>
        <w:rPr>
          <w:spacing w:val="-12"/>
          <w:sz w:val="18"/>
        </w:rPr>
        <w:t> </w:t>
      </w:r>
      <w:r>
        <w:rPr>
          <w:sz w:val="18"/>
        </w:rPr>
        <w:t>So.2d</w:t>
      </w:r>
      <w:r>
        <w:rPr>
          <w:spacing w:val="-11"/>
          <w:sz w:val="18"/>
        </w:rPr>
        <w:t> </w:t>
      </w:r>
      <w:r>
        <w:rPr>
          <w:sz w:val="18"/>
        </w:rPr>
        <w:t>814;</w:t>
      </w:r>
      <w:r>
        <w:rPr>
          <w:spacing w:val="-12"/>
          <w:sz w:val="18"/>
        </w:rPr>
        <w:t> </w:t>
      </w:r>
      <w:r>
        <w:rPr>
          <w:i/>
          <w:sz w:val="18"/>
        </w:rPr>
        <w:t>See</w:t>
      </w:r>
      <w:r>
        <w:rPr>
          <w:i/>
          <w:spacing w:val="-13"/>
          <w:sz w:val="18"/>
        </w:rPr>
        <w:t> </w:t>
      </w:r>
      <w:r>
        <w:rPr>
          <w:i/>
          <w:sz w:val="18"/>
        </w:rPr>
        <w:t>also</w:t>
      </w:r>
      <w:r>
        <w:rPr>
          <w:sz w:val="18"/>
        </w:rPr>
        <w:t>,</w:t>
      </w:r>
      <w:r>
        <w:rPr>
          <w:spacing w:val="-11"/>
          <w:sz w:val="18"/>
        </w:rPr>
        <w:t> </w:t>
      </w:r>
      <w:r>
        <w:rPr>
          <w:sz w:val="18"/>
          <w:u w:val="single"/>
        </w:rPr>
        <w:t>Delisfort</w:t>
      </w:r>
      <w:r>
        <w:rPr>
          <w:spacing w:val="-14"/>
          <w:sz w:val="18"/>
          <w:u w:val="single"/>
        </w:rPr>
        <w:t> </w:t>
      </w:r>
      <w:r>
        <w:rPr>
          <w:sz w:val="18"/>
          <w:u w:val="single"/>
        </w:rPr>
        <w:t>v.</w:t>
      </w:r>
      <w:r>
        <w:rPr>
          <w:spacing w:val="-15"/>
          <w:sz w:val="18"/>
          <w:u w:val="single"/>
        </w:rPr>
        <w:t> </w:t>
      </w:r>
      <w:r>
        <w:rPr>
          <w:sz w:val="18"/>
          <w:u w:val="single"/>
        </w:rPr>
        <w:t>Progressive-Express</w:t>
      </w:r>
      <w:r>
        <w:rPr>
          <w:spacing w:val="-16"/>
          <w:sz w:val="18"/>
          <w:u w:val="single"/>
        </w:rPr>
        <w:t> </w:t>
      </w:r>
      <w:r>
        <w:rPr>
          <w:sz w:val="18"/>
          <w:u w:val="single"/>
        </w:rPr>
        <w:t>Ins.</w:t>
      </w:r>
      <w:r>
        <w:rPr>
          <w:spacing w:val="-14"/>
          <w:sz w:val="18"/>
          <w:u w:val="single"/>
        </w:rPr>
        <w:t> </w:t>
      </w:r>
      <w:r>
        <w:rPr>
          <w:sz w:val="18"/>
          <w:u w:val="single"/>
        </w:rPr>
        <w:t>Co.</w:t>
      </w:r>
      <w:r>
        <w:rPr>
          <w:sz w:val="18"/>
        </w:rPr>
        <w:t>,</w:t>
      </w:r>
      <w:r>
        <w:rPr>
          <w:spacing w:val="-13"/>
          <w:sz w:val="18"/>
        </w:rPr>
        <w:t> </w:t>
      </w:r>
      <w:r>
        <w:rPr>
          <w:sz w:val="18"/>
        </w:rPr>
        <w:t>785</w:t>
      </w:r>
      <w:r>
        <w:rPr>
          <w:spacing w:val="-13"/>
          <w:sz w:val="18"/>
        </w:rPr>
        <w:t> </w:t>
      </w:r>
      <w:r>
        <w:rPr>
          <w:sz w:val="18"/>
        </w:rPr>
        <w:t>So.2d</w:t>
      </w:r>
    </w:p>
    <w:p>
      <w:pPr>
        <w:spacing w:before="4"/>
        <w:ind w:left="1160" w:right="0" w:firstLine="0"/>
        <w:jc w:val="both"/>
        <w:rPr>
          <w:rFonts w:ascii="Times New Roman"/>
          <w:sz w:val="18"/>
        </w:rPr>
      </w:pPr>
      <w:r>
        <w:rPr>
          <w:rFonts w:ascii="Times New Roman"/>
          <w:sz w:val="18"/>
        </w:rPr>
        <w:t>734 (Fla. Dist. Ct. App. 4</w:t>
      </w:r>
      <w:r>
        <w:rPr>
          <w:rFonts w:ascii="Times New Roman"/>
          <w:position w:val="7"/>
          <w:sz w:val="10"/>
        </w:rPr>
        <w:t>th </w:t>
      </w:r>
      <w:r>
        <w:rPr>
          <w:rFonts w:ascii="Times New Roman"/>
          <w:sz w:val="18"/>
        </w:rPr>
        <w:t>Dist. 2001).</w:t>
      </w:r>
    </w:p>
    <w:p>
      <w:pPr>
        <w:spacing w:after="0"/>
        <w:jc w:val="both"/>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21"/>
        <w:jc w:val="both"/>
      </w:pPr>
      <w:bookmarkStart w:name="Law and Procedure 137" w:id="48"/>
      <w:bookmarkEnd w:id="48"/>
      <w:r>
        <w:rPr/>
      </w:r>
      <w:r>
        <w:rPr/>
        <w:t>impermissibly</w:t>
      </w:r>
      <w:r>
        <w:rPr>
          <w:spacing w:val="-36"/>
        </w:rPr>
        <w:t> </w:t>
      </w:r>
      <w:r>
        <w:rPr/>
        <w:t>decided</w:t>
      </w:r>
      <w:r>
        <w:rPr>
          <w:spacing w:val="-35"/>
        </w:rPr>
        <w:t> </w:t>
      </w:r>
      <w:r>
        <w:rPr/>
        <w:t>whether</w:t>
      </w:r>
      <w:r>
        <w:rPr>
          <w:spacing w:val="-37"/>
        </w:rPr>
        <w:t> </w:t>
      </w:r>
      <w:r>
        <w:rPr>
          <w:spacing w:val="-3"/>
        </w:rPr>
        <w:t>the</w:t>
      </w:r>
      <w:r>
        <w:rPr>
          <w:spacing w:val="-37"/>
        </w:rPr>
        <w:t> </w:t>
      </w:r>
      <w:r>
        <w:rPr>
          <w:spacing w:val="-3"/>
        </w:rPr>
        <w:t>entire</w:t>
      </w:r>
      <w:r>
        <w:rPr>
          <w:spacing w:val="-38"/>
        </w:rPr>
        <w:t> </w:t>
      </w:r>
      <w:r>
        <w:rPr/>
        <w:t>claim was within the coverage of the insurance policy,</w:t>
      </w:r>
      <w:r>
        <w:rPr>
          <w:spacing w:val="-18"/>
        </w:rPr>
        <w:t> </w:t>
      </w:r>
      <w:r>
        <w:rPr/>
        <w:t>quoted</w:t>
      </w:r>
      <w:r>
        <w:rPr>
          <w:spacing w:val="-15"/>
        </w:rPr>
        <w:t> </w:t>
      </w:r>
      <w:r>
        <w:rPr/>
        <w:t>the</w:t>
      </w:r>
      <w:r>
        <w:rPr>
          <w:spacing w:val="-15"/>
        </w:rPr>
        <w:t> </w:t>
      </w:r>
      <w:r>
        <w:rPr/>
        <w:t>same</w:t>
      </w:r>
      <w:r>
        <w:rPr>
          <w:spacing w:val="42"/>
        </w:rPr>
        <w:t> </w:t>
      </w:r>
      <w:r>
        <w:rPr>
          <w:u w:val="single"/>
        </w:rPr>
        <w:t>State</w:t>
      </w:r>
      <w:r>
        <w:rPr>
          <w:spacing w:val="-17"/>
          <w:u w:val="single"/>
        </w:rPr>
        <w:t> </w:t>
      </w:r>
      <w:r>
        <w:rPr>
          <w:u w:val="single"/>
        </w:rPr>
        <w:t>Farm</w:t>
      </w:r>
      <w:r>
        <w:rPr>
          <w:spacing w:val="-17"/>
          <w:u w:val="single"/>
        </w:rPr>
        <w:t> </w:t>
      </w:r>
      <w:r>
        <w:rPr>
          <w:u w:val="single"/>
        </w:rPr>
        <w:t>v.</w:t>
      </w:r>
      <w:r>
        <w:rPr>
          <w:spacing w:val="-18"/>
          <w:u w:val="single"/>
        </w:rPr>
        <w:t> </w:t>
      </w:r>
      <w:r>
        <w:rPr>
          <w:spacing w:val="-6"/>
          <w:u w:val="single"/>
        </w:rPr>
        <w:t>Licea</w:t>
      </w:r>
      <w:r>
        <w:rPr>
          <w:spacing w:val="-6"/>
          <w:vertAlign w:val="superscript"/>
        </w:rPr>
        <w:t>187</w:t>
      </w:r>
      <w:r>
        <w:rPr>
          <w:spacing w:val="-6"/>
          <w:vertAlign w:val="baseline"/>
        </w:rPr>
        <w:t> </w:t>
      </w:r>
      <w:r>
        <w:rPr>
          <w:vertAlign w:val="baseline"/>
        </w:rPr>
        <w:t>case</w:t>
      </w:r>
      <w:r>
        <w:rPr>
          <w:spacing w:val="-12"/>
          <w:vertAlign w:val="baseline"/>
        </w:rPr>
        <w:t> </w:t>
      </w:r>
      <w:r>
        <w:rPr>
          <w:vertAlign w:val="baseline"/>
        </w:rPr>
        <w:t>that</w:t>
      </w:r>
      <w:r>
        <w:rPr>
          <w:spacing w:val="-13"/>
          <w:vertAlign w:val="baseline"/>
        </w:rPr>
        <w:t> </w:t>
      </w:r>
      <w:r>
        <w:rPr>
          <w:vertAlign w:val="baseline"/>
        </w:rPr>
        <w:t>the</w:t>
      </w:r>
      <w:r>
        <w:rPr>
          <w:spacing w:val="-15"/>
          <w:vertAlign w:val="baseline"/>
        </w:rPr>
        <w:t> </w:t>
      </w:r>
      <w:r>
        <w:rPr>
          <w:vertAlign w:val="baseline"/>
        </w:rPr>
        <w:t>Second</w:t>
      </w:r>
      <w:r>
        <w:rPr>
          <w:spacing w:val="-14"/>
          <w:vertAlign w:val="baseline"/>
        </w:rPr>
        <w:t> </w:t>
      </w:r>
      <w:r>
        <w:rPr>
          <w:vertAlign w:val="baseline"/>
        </w:rPr>
        <w:t>District</w:t>
      </w:r>
      <w:r>
        <w:rPr>
          <w:spacing w:val="-16"/>
          <w:vertAlign w:val="baseline"/>
        </w:rPr>
        <w:t> </w:t>
      </w:r>
      <w:r>
        <w:rPr>
          <w:vertAlign w:val="baseline"/>
        </w:rPr>
        <w:t>Court</w:t>
      </w:r>
      <w:r>
        <w:rPr>
          <w:spacing w:val="-16"/>
          <w:vertAlign w:val="baseline"/>
        </w:rPr>
        <w:t> </w:t>
      </w:r>
      <w:r>
        <w:rPr>
          <w:vertAlign w:val="baseline"/>
        </w:rPr>
        <w:t>of</w:t>
      </w:r>
      <w:r>
        <w:rPr>
          <w:spacing w:val="-14"/>
          <w:vertAlign w:val="baseline"/>
        </w:rPr>
        <w:t> </w:t>
      </w:r>
      <w:r>
        <w:rPr>
          <w:vertAlign w:val="baseline"/>
        </w:rPr>
        <w:t>Appeals cited in </w:t>
      </w:r>
      <w:r>
        <w:rPr>
          <w:u w:val="single"/>
          <w:vertAlign w:val="baseline"/>
        </w:rPr>
        <w:t>Johnson</w:t>
      </w:r>
      <w:r>
        <w:rPr>
          <w:vertAlign w:val="baseline"/>
        </w:rPr>
        <w:t> in drawing the opposite conclusion.</w:t>
      </w:r>
    </w:p>
    <w:p>
      <w:pPr>
        <w:pStyle w:val="BodyText"/>
      </w:pPr>
    </w:p>
    <w:p>
      <w:pPr>
        <w:pStyle w:val="BodyText"/>
        <w:spacing w:line="242" w:lineRule="auto"/>
        <w:ind w:left="1520" w:right="1519" w:firstLine="720"/>
        <w:jc w:val="both"/>
      </w:pPr>
      <w:r>
        <w:rPr/>
        <w:t>The Florida Supreme Court’s decision in </w:t>
      </w:r>
      <w:r>
        <w:rPr>
          <w:u w:val="single"/>
        </w:rPr>
        <w:t>Nationwide Mutual Ins. Co. v. </w:t>
      </w:r>
      <w:r>
        <w:rPr>
          <w:spacing w:val="-5"/>
          <w:u w:val="single"/>
        </w:rPr>
        <w:t>Johnson</w:t>
      </w:r>
      <w:r>
        <w:rPr>
          <w:spacing w:val="-5"/>
        </w:rPr>
        <w:t>,</w:t>
      </w:r>
      <w:r>
        <w:rPr>
          <w:spacing w:val="-5"/>
          <w:vertAlign w:val="superscript"/>
        </w:rPr>
        <w:t>188</w:t>
      </w:r>
      <w:r>
        <w:rPr>
          <w:spacing w:val="-5"/>
          <w:vertAlign w:val="baseline"/>
        </w:rPr>
        <w:t> </w:t>
      </w:r>
      <w:r>
        <w:rPr>
          <w:vertAlign w:val="baseline"/>
        </w:rPr>
        <w:t>however,</w:t>
      </w:r>
      <w:r>
        <w:rPr>
          <w:spacing w:val="-34"/>
          <w:vertAlign w:val="baseline"/>
        </w:rPr>
        <w:t> </w:t>
      </w:r>
      <w:r>
        <w:rPr>
          <w:vertAlign w:val="baseline"/>
        </w:rPr>
        <w:t>issued</w:t>
      </w:r>
      <w:r>
        <w:rPr>
          <w:spacing w:val="-34"/>
          <w:vertAlign w:val="baseline"/>
        </w:rPr>
        <w:t> </w:t>
      </w:r>
      <w:r>
        <w:rPr>
          <w:vertAlign w:val="baseline"/>
        </w:rPr>
        <w:t>in</w:t>
      </w:r>
      <w:r>
        <w:rPr>
          <w:spacing w:val="-32"/>
          <w:vertAlign w:val="baseline"/>
        </w:rPr>
        <w:t> </w:t>
      </w:r>
      <w:r>
        <w:rPr>
          <w:vertAlign w:val="baseline"/>
        </w:rPr>
        <w:t>2002,</w:t>
      </w:r>
      <w:r>
        <w:rPr>
          <w:spacing w:val="-36"/>
          <w:vertAlign w:val="baseline"/>
        </w:rPr>
        <w:t> </w:t>
      </w:r>
      <w:r>
        <w:rPr>
          <w:spacing w:val="-3"/>
          <w:vertAlign w:val="baseline"/>
        </w:rPr>
        <w:t>seems</w:t>
      </w:r>
      <w:r>
        <w:rPr>
          <w:spacing w:val="-34"/>
          <w:vertAlign w:val="baseline"/>
        </w:rPr>
        <w:t> </w:t>
      </w:r>
      <w:r>
        <w:rPr>
          <w:vertAlign w:val="baseline"/>
        </w:rPr>
        <w:t>to</w:t>
      </w:r>
      <w:r>
        <w:rPr>
          <w:spacing w:val="-34"/>
          <w:vertAlign w:val="baseline"/>
        </w:rPr>
        <w:t> </w:t>
      </w:r>
      <w:r>
        <w:rPr>
          <w:vertAlign w:val="baseline"/>
        </w:rPr>
        <w:t>have</w:t>
      </w:r>
      <w:r>
        <w:rPr>
          <w:spacing w:val="-33"/>
          <w:vertAlign w:val="baseline"/>
        </w:rPr>
        <w:t> </w:t>
      </w:r>
      <w:r>
        <w:rPr>
          <w:vertAlign w:val="baseline"/>
        </w:rPr>
        <w:t>clarified a significant body of Florida jurisprudence which</w:t>
      </w:r>
      <w:r>
        <w:rPr>
          <w:spacing w:val="-34"/>
          <w:vertAlign w:val="baseline"/>
        </w:rPr>
        <w:t> </w:t>
      </w:r>
      <w:r>
        <w:rPr>
          <w:vertAlign w:val="baseline"/>
        </w:rPr>
        <w:t>had</w:t>
      </w:r>
      <w:r>
        <w:rPr>
          <w:spacing w:val="-32"/>
          <w:vertAlign w:val="baseline"/>
        </w:rPr>
        <w:t> </w:t>
      </w:r>
      <w:r>
        <w:rPr>
          <w:vertAlign w:val="baseline"/>
        </w:rPr>
        <w:t>expanded</w:t>
      </w:r>
      <w:r>
        <w:rPr>
          <w:spacing w:val="-33"/>
          <w:vertAlign w:val="baseline"/>
        </w:rPr>
        <w:t> </w:t>
      </w:r>
      <w:r>
        <w:rPr>
          <w:vertAlign w:val="baseline"/>
        </w:rPr>
        <w:t>the</w:t>
      </w:r>
      <w:r>
        <w:rPr>
          <w:spacing w:val="-33"/>
          <w:vertAlign w:val="baseline"/>
        </w:rPr>
        <w:t> </w:t>
      </w:r>
      <w:r>
        <w:rPr>
          <w:vertAlign w:val="baseline"/>
        </w:rPr>
        <w:t>scope</w:t>
      </w:r>
      <w:r>
        <w:rPr>
          <w:spacing w:val="-37"/>
          <w:vertAlign w:val="baseline"/>
        </w:rPr>
        <w:t> </w:t>
      </w:r>
      <w:r>
        <w:rPr>
          <w:vertAlign w:val="baseline"/>
        </w:rPr>
        <w:t>of</w:t>
      </w:r>
      <w:r>
        <w:rPr>
          <w:spacing w:val="-36"/>
          <w:vertAlign w:val="baseline"/>
        </w:rPr>
        <w:t> </w:t>
      </w:r>
      <w:r>
        <w:rPr>
          <w:vertAlign w:val="baseline"/>
        </w:rPr>
        <w:t>appraisal</w:t>
      </w:r>
      <w:r>
        <w:rPr>
          <w:spacing w:val="-32"/>
          <w:vertAlign w:val="baseline"/>
        </w:rPr>
        <w:t> </w:t>
      </w:r>
      <w:r>
        <w:rPr>
          <w:vertAlign w:val="baseline"/>
        </w:rPr>
        <w:t>to include a determination of</w:t>
      </w:r>
      <w:r>
        <w:rPr>
          <w:spacing w:val="-6"/>
          <w:vertAlign w:val="baseline"/>
        </w:rPr>
        <w:t> </w:t>
      </w:r>
      <w:r>
        <w:rPr>
          <w:vertAlign w:val="baseline"/>
        </w:rPr>
        <w:t>causation.</w:t>
      </w:r>
    </w:p>
    <w:p>
      <w:pPr>
        <w:pStyle w:val="BodyText"/>
        <w:spacing w:before="8"/>
        <w:rPr>
          <w:sz w:val="22"/>
        </w:rPr>
      </w:pPr>
    </w:p>
    <w:p>
      <w:pPr>
        <w:pStyle w:val="BodyText"/>
        <w:spacing w:line="242" w:lineRule="auto" w:before="42"/>
        <w:ind w:left="1520" w:right="1517" w:firstLine="720"/>
        <w:jc w:val="both"/>
      </w:pPr>
      <w:r>
        <w:rPr/>
        <w:t>In </w:t>
      </w:r>
      <w:r>
        <w:rPr>
          <w:u w:val="single"/>
        </w:rPr>
        <w:t>Johnson</w:t>
      </w:r>
      <w:r>
        <w:rPr/>
        <w:t>, the intermediate appellate court was confronted by a coverage issue where the consumer claimed his loss was caused by sinkhole, a covered peril, whereas the carrier contended the cause was earth movement, an excluded one. In determining that this issue was a proper one for appraisal, the court stated:</w:t>
      </w:r>
    </w:p>
    <w:p>
      <w:pPr>
        <w:pStyle w:val="BodyText"/>
      </w:pPr>
    </w:p>
    <w:p>
      <w:pPr>
        <w:pStyle w:val="BodyText"/>
        <w:spacing w:line="242" w:lineRule="auto"/>
        <w:ind w:left="2240" w:right="2238"/>
        <w:jc w:val="both"/>
      </w:pPr>
      <w:r>
        <w:rPr/>
        <w:t>“The issue presented here </w:t>
      </w:r>
      <w:r>
        <w:rPr>
          <w:spacing w:val="-6"/>
        </w:rPr>
        <w:t>is </w:t>
      </w:r>
      <w:r>
        <w:rPr/>
        <w:t>whether causation is a </w:t>
      </w:r>
      <w:r>
        <w:rPr>
          <w:spacing w:val="-3"/>
        </w:rPr>
        <w:t>coverage </w:t>
      </w:r>
      <w:r>
        <w:rPr/>
        <w:t>question</w:t>
      </w:r>
      <w:r>
        <w:rPr>
          <w:spacing w:val="-30"/>
        </w:rPr>
        <w:t> </w:t>
      </w:r>
      <w:r>
        <w:rPr/>
        <w:t>for</w:t>
      </w:r>
      <w:r>
        <w:rPr>
          <w:spacing w:val="-31"/>
        </w:rPr>
        <w:t> </w:t>
      </w:r>
      <w:r>
        <w:rPr/>
        <w:t>the</w:t>
      </w:r>
      <w:r>
        <w:rPr>
          <w:spacing w:val="-30"/>
        </w:rPr>
        <w:t> </w:t>
      </w:r>
      <w:r>
        <w:rPr/>
        <w:t>court</w:t>
      </w:r>
      <w:r>
        <w:rPr>
          <w:spacing w:val="-29"/>
        </w:rPr>
        <w:t> </w:t>
      </w:r>
      <w:r>
        <w:rPr/>
        <w:t>or</w:t>
      </w:r>
      <w:r>
        <w:rPr>
          <w:spacing w:val="-28"/>
        </w:rPr>
        <w:t> </w:t>
      </w:r>
      <w:r>
        <w:rPr/>
        <w:t>an</w:t>
      </w:r>
      <w:r>
        <w:rPr>
          <w:spacing w:val="-28"/>
        </w:rPr>
        <w:t> </w:t>
      </w:r>
      <w:r>
        <w:rPr>
          <w:spacing w:val="-3"/>
        </w:rPr>
        <w:t>amount </w:t>
      </w:r>
      <w:r>
        <w:rPr/>
        <w:t>of loss question for the appraisal panel. Based on </w:t>
      </w:r>
      <w:r>
        <w:rPr>
          <w:u w:val="single"/>
        </w:rPr>
        <w:t>State Farm Fire</w:t>
      </w:r>
      <w:r>
        <w:rPr>
          <w:spacing w:val="-1"/>
          <w:u w:val="single"/>
        </w:rPr>
        <w:t> </w:t>
      </w:r>
      <w:r>
        <w:rPr>
          <w:spacing w:val="-11"/>
          <w:u w:val="single"/>
        </w:rPr>
        <w:t>&amp;</w:t>
      </w:r>
    </w:p>
    <w:p>
      <w:pPr>
        <w:pStyle w:val="BodyText"/>
        <w:rPr>
          <w:sz w:val="20"/>
        </w:rPr>
      </w:pPr>
    </w:p>
    <w:p>
      <w:pPr>
        <w:pStyle w:val="BodyText"/>
        <w:rPr>
          <w:sz w:val="20"/>
        </w:rPr>
      </w:pPr>
    </w:p>
    <w:p>
      <w:pPr>
        <w:pStyle w:val="BodyText"/>
        <w:spacing w:before="7"/>
        <w:rPr>
          <w:sz w:val="22"/>
        </w:rPr>
      </w:pPr>
      <w:r>
        <w:rPr/>
        <w:pict>
          <v:shape style="position:absolute;margin-left:162pt;margin-top:16.244057pt;width:143.9pt;height:.1pt;mso-position-horizontal-relative:page;mso-position-vertical-relative:paragraph;z-index:-251589632;mso-wrap-distance-left:0;mso-wrap-distance-right:0" coordorigin="3240,325" coordsize="2878,0" path="m3240,325l6118,325e" filled="false" stroked="true" strokeweight=".84pt" strokecolor="#000000">
            <v:path arrowok="t"/>
            <v:stroke dashstyle="solid"/>
            <w10:wrap type="topAndBottom"/>
          </v:shape>
        </w:pict>
      </w:r>
    </w:p>
    <w:p>
      <w:pPr>
        <w:spacing w:line="269" w:lineRule="exact" w:before="140"/>
        <w:ind w:left="1160" w:right="0" w:firstLine="0"/>
        <w:jc w:val="left"/>
        <w:rPr>
          <w:rFonts w:ascii="Times New Roman"/>
          <w:sz w:val="18"/>
        </w:rPr>
      </w:pPr>
      <w:r>
        <w:rPr>
          <w:rFonts w:ascii="Times New Roman"/>
          <w:position w:val="10"/>
          <w:sz w:val="14"/>
        </w:rPr>
        <w:t>187 </w:t>
      </w:r>
      <w:r>
        <w:rPr>
          <w:rFonts w:ascii="Times New Roman"/>
          <w:sz w:val="18"/>
        </w:rPr>
        <w:t>685 So.2d 1285 (Fla. 1996).</w:t>
      </w:r>
    </w:p>
    <w:p>
      <w:pPr>
        <w:spacing w:line="269" w:lineRule="exact" w:before="0"/>
        <w:ind w:left="1160" w:right="0" w:firstLine="0"/>
        <w:jc w:val="left"/>
        <w:rPr>
          <w:rFonts w:ascii="Times New Roman"/>
          <w:sz w:val="18"/>
        </w:rPr>
      </w:pPr>
      <w:r>
        <w:rPr>
          <w:rFonts w:ascii="Times New Roman"/>
          <w:position w:val="10"/>
          <w:sz w:val="14"/>
        </w:rPr>
        <w:t>188 </w:t>
      </w:r>
      <w:r>
        <w:rPr>
          <w:rFonts w:ascii="Times New Roman"/>
          <w:sz w:val="18"/>
        </w:rPr>
        <w:t>828 So. 2</w:t>
      </w:r>
      <w:r>
        <w:rPr>
          <w:rFonts w:ascii="Times New Roman"/>
          <w:position w:val="7"/>
          <w:sz w:val="10"/>
        </w:rPr>
        <w:t>nd </w:t>
      </w:r>
      <w:r>
        <w:rPr>
          <w:rFonts w:ascii="Times New Roman"/>
          <w:sz w:val="18"/>
        </w:rPr>
        <w:t>1021 (Fla. 2002).</w:t>
      </w:r>
    </w:p>
    <w:p>
      <w:pPr>
        <w:spacing w:after="0" w:line="269" w:lineRule="exact"/>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2"/>
        </w:rPr>
      </w:pPr>
    </w:p>
    <w:p>
      <w:pPr>
        <w:pStyle w:val="BodyText"/>
        <w:spacing w:line="242" w:lineRule="auto" w:before="76"/>
        <w:ind w:left="2240" w:right="2238"/>
        <w:jc w:val="both"/>
      </w:pPr>
      <w:bookmarkStart w:name="Law and Procedure 138" w:id="49"/>
      <w:bookmarkEnd w:id="49"/>
      <w:r>
        <w:rPr/>
      </w:r>
      <w:r>
        <w:rPr>
          <w:u w:val="single"/>
        </w:rPr>
        <w:t>Cas. Co. v. Licea</w:t>
      </w:r>
      <w:r>
        <w:rPr>
          <w:vertAlign w:val="superscript"/>
        </w:rPr>
        <w:t>189</w:t>
      </w:r>
      <w:r>
        <w:rPr>
          <w:vertAlign w:val="baseline"/>
        </w:rPr>
        <w:t> and </w:t>
      </w:r>
      <w:r>
        <w:rPr>
          <w:spacing w:val="-5"/>
          <w:u w:val="single"/>
          <w:vertAlign w:val="baseline"/>
        </w:rPr>
        <w:t>Florida</w:t>
      </w:r>
      <w:r>
        <w:rPr>
          <w:spacing w:val="-5"/>
          <w:vertAlign w:val="baseline"/>
        </w:rPr>
        <w:t> </w:t>
      </w:r>
      <w:r>
        <w:rPr>
          <w:u w:val="single"/>
          <w:vertAlign w:val="baseline"/>
        </w:rPr>
        <w:t>Select Ins. Co. v. Keelean</w:t>
      </w:r>
      <w:r>
        <w:rPr>
          <w:vertAlign w:val="baseline"/>
        </w:rPr>
        <w:t>,</w:t>
      </w:r>
      <w:r>
        <w:rPr>
          <w:vertAlign w:val="superscript"/>
        </w:rPr>
        <w:t>190</w:t>
      </w:r>
      <w:r>
        <w:rPr>
          <w:vertAlign w:val="baseline"/>
        </w:rPr>
        <w:t> </w:t>
      </w:r>
      <w:r>
        <w:rPr>
          <w:spacing w:val="-23"/>
          <w:vertAlign w:val="baseline"/>
        </w:rPr>
        <w:t>we </w:t>
      </w:r>
      <w:r>
        <w:rPr>
          <w:vertAlign w:val="baseline"/>
        </w:rPr>
        <w:t>hold that causation is an </w:t>
      </w:r>
      <w:r>
        <w:rPr>
          <w:spacing w:val="-3"/>
          <w:vertAlign w:val="baseline"/>
        </w:rPr>
        <w:t>amount </w:t>
      </w:r>
      <w:r>
        <w:rPr>
          <w:vertAlign w:val="baseline"/>
        </w:rPr>
        <w:t>of loss issue for the appraisal panel.”</w:t>
      </w:r>
    </w:p>
    <w:p>
      <w:pPr>
        <w:pStyle w:val="BodyText"/>
        <w:spacing w:before="10"/>
        <w:rPr>
          <w:sz w:val="19"/>
        </w:rPr>
      </w:pPr>
    </w:p>
    <w:p>
      <w:pPr>
        <w:pStyle w:val="BodyText"/>
        <w:spacing w:line="242" w:lineRule="auto" w:before="77"/>
        <w:ind w:left="1520" w:right="1515" w:firstLine="720"/>
        <w:jc w:val="both"/>
      </w:pPr>
      <w:r>
        <w:rPr>
          <w:spacing w:val="4"/>
        </w:rPr>
        <w:t>In </w:t>
      </w:r>
      <w:r>
        <w:rPr/>
        <w:t>its </w:t>
      </w:r>
      <w:r>
        <w:rPr>
          <w:u w:val="single"/>
        </w:rPr>
        <w:t>Suarez</w:t>
      </w:r>
      <w:r>
        <w:rPr>
          <w:vertAlign w:val="superscript"/>
        </w:rPr>
        <w:t>191</w:t>
      </w:r>
      <w:r>
        <w:rPr>
          <w:vertAlign w:val="baseline"/>
        </w:rPr>
        <w:t> decision, decided in </w:t>
      </w:r>
      <w:r>
        <w:rPr>
          <w:spacing w:val="-9"/>
          <w:vertAlign w:val="baseline"/>
        </w:rPr>
        <w:t>late</w:t>
      </w:r>
      <w:r>
        <w:rPr>
          <w:spacing w:val="53"/>
          <w:vertAlign w:val="baseline"/>
        </w:rPr>
        <w:t> </w:t>
      </w:r>
      <w:r>
        <w:rPr>
          <w:vertAlign w:val="baseline"/>
        </w:rPr>
        <w:t>2002, the Supreme Court of Florida</w:t>
      </w:r>
      <w:r>
        <w:rPr>
          <w:spacing w:val="-42"/>
          <w:vertAlign w:val="baseline"/>
        </w:rPr>
        <w:t> </w:t>
      </w:r>
      <w:r>
        <w:rPr>
          <w:vertAlign w:val="baseline"/>
        </w:rPr>
        <w:t>attempted to resolve these conflicting decisions in handing down its decision in a joint appeal of both </w:t>
      </w:r>
      <w:r>
        <w:rPr>
          <w:u w:val="single"/>
          <w:vertAlign w:val="baseline"/>
        </w:rPr>
        <w:t>Johnson v. Nationwide Mutual Ins. </w:t>
      </w:r>
      <w:r>
        <w:rPr>
          <w:spacing w:val="-8"/>
          <w:u w:val="single"/>
          <w:vertAlign w:val="baseline"/>
        </w:rPr>
        <w:t>Co.</w:t>
      </w:r>
      <w:r>
        <w:rPr>
          <w:spacing w:val="-8"/>
          <w:vertAlign w:val="superscript"/>
        </w:rPr>
        <w:t>192</w:t>
      </w:r>
      <w:r>
        <w:rPr>
          <w:spacing w:val="-8"/>
          <w:vertAlign w:val="baseline"/>
        </w:rPr>
        <w:t> </w:t>
      </w:r>
      <w:r>
        <w:rPr>
          <w:vertAlign w:val="baseline"/>
        </w:rPr>
        <w:t>as well as </w:t>
      </w:r>
      <w:r>
        <w:rPr>
          <w:u w:val="single"/>
          <w:vertAlign w:val="baseline"/>
        </w:rPr>
        <w:t>State Farm Fire &amp; Cas. Co. v.</w:t>
      </w:r>
      <w:r>
        <w:rPr>
          <w:vertAlign w:val="baseline"/>
        </w:rPr>
        <w:t> </w:t>
      </w:r>
      <w:r>
        <w:rPr>
          <w:u w:val="single"/>
          <w:vertAlign w:val="baseline"/>
        </w:rPr>
        <w:t>Gonzalez</w:t>
      </w:r>
      <w:r>
        <w:rPr>
          <w:vertAlign w:val="baseline"/>
        </w:rPr>
        <w:t>.</w:t>
      </w:r>
      <w:r>
        <w:rPr>
          <w:vertAlign w:val="superscript"/>
        </w:rPr>
        <w:t>193</w:t>
      </w:r>
      <w:r>
        <w:rPr>
          <w:vertAlign w:val="baseline"/>
        </w:rPr>
        <w:t> </w:t>
      </w:r>
      <w:r>
        <w:rPr>
          <w:spacing w:val="3"/>
          <w:vertAlign w:val="baseline"/>
        </w:rPr>
        <w:t>In </w:t>
      </w:r>
      <w:r>
        <w:rPr>
          <w:vertAlign w:val="baseline"/>
        </w:rPr>
        <w:t>resolving the conflict, </w:t>
      </w:r>
      <w:r>
        <w:rPr>
          <w:spacing w:val="-13"/>
          <w:vertAlign w:val="baseline"/>
        </w:rPr>
        <w:t>the </w:t>
      </w:r>
      <w:r>
        <w:rPr>
          <w:vertAlign w:val="baseline"/>
        </w:rPr>
        <w:t>Supreme</w:t>
      </w:r>
      <w:r>
        <w:rPr>
          <w:spacing w:val="-21"/>
          <w:vertAlign w:val="baseline"/>
        </w:rPr>
        <w:t> </w:t>
      </w:r>
      <w:r>
        <w:rPr>
          <w:vertAlign w:val="baseline"/>
        </w:rPr>
        <w:t>Court</w:t>
      </w:r>
      <w:r>
        <w:rPr>
          <w:spacing w:val="-22"/>
          <w:vertAlign w:val="baseline"/>
        </w:rPr>
        <w:t> </w:t>
      </w:r>
      <w:r>
        <w:rPr>
          <w:vertAlign w:val="baseline"/>
        </w:rPr>
        <w:t>of</w:t>
      </w:r>
      <w:r>
        <w:rPr>
          <w:spacing w:val="-18"/>
          <w:vertAlign w:val="baseline"/>
        </w:rPr>
        <w:t> </w:t>
      </w:r>
      <w:r>
        <w:rPr>
          <w:vertAlign w:val="baseline"/>
        </w:rPr>
        <w:t>Florida</w:t>
      </w:r>
      <w:r>
        <w:rPr>
          <w:spacing w:val="-17"/>
          <w:vertAlign w:val="baseline"/>
        </w:rPr>
        <w:t> </w:t>
      </w:r>
      <w:r>
        <w:rPr>
          <w:vertAlign w:val="baseline"/>
        </w:rPr>
        <w:t>adopted</w:t>
      </w:r>
      <w:r>
        <w:rPr>
          <w:spacing w:val="-18"/>
          <w:vertAlign w:val="baseline"/>
        </w:rPr>
        <w:t> </w:t>
      </w:r>
      <w:r>
        <w:rPr>
          <w:vertAlign w:val="baseline"/>
        </w:rPr>
        <w:t>the</w:t>
      </w:r>
      <w:r>
        <w:rPr>
          <w:spacing w:val="-18"/>
          <w:vertAlign w:val="baseline"/>
        </w:rPr>
        <w:t> </w:t>
      </w:r>
      <w:r>
        <w:rPr>
          <w:vertAlign w:val="baseline"/>
        </w:rPr>
        <w:t>analysis of Judge Kope in the </w:t>
      </w:r>
      <w:r>
        <w:rPr>
          <w:u w:val="single"/>
          <w:vertAlign w:val="baseline"/>
        </w:rPr>
        <w:t>Gonzalez</w:t>
      </w:r>
      <w:r>
        <w:rPr>
          <w:vertAlign w:val="baseline"/>
        </w:rPr>
        <w:t> case. Judge Kope</w:t>
      </w:r>
      <w:r>
        <w:rPr>
          <w:spacing w:val="-2"/>
          <w:vertAlign w:val="baseline"/>
        </w:rPr>
        <w:t> </w:t>
      </w:r>
      <w:r>
        <w:rPr>
          <w:vertAlign w:val="baseline"/>
        </w:rPr>
        <w:t>stated:</w:t>
      </w:r>
    </w:p>
    <w:p>
      <w:pPr>
        <w:pStyle w:val="BodyText"/>
        <w:spacing w:before="6"/>
        <w:rPr>
          <w:sz w:val="22"/>
        </w:rPr>
      </w:pPr>
    </w:p>
    <w:p>
      <w:pPr>
        <w:pStyle w:val="BodyText"/>
        <w:spacing w:line="242" w:lineRule="auto" w:before="42"/>
        <w:ind w:left="2240" w:right="2238"/>
        <w:jc w:val="both"/>
      </w:pPr>
      <w:r>
        <w:rPr/>
        <w:t>“Very simply, the </w:t>
      </w:r>
      <w:r>
        <w:rPr>
          <w:u w:val="single"/>
        </w:rPr>
        <w:t>Licea</w:t>
      </w:r>
      <w:r>
        <w:rPr/>
        <w:t> court was saying</w:t>
      </w:r>
      <w:r>
        <w:rPr>
          <w:spacing w:val="-23"/>
        </w:rPr>
        <w:t> </w:t>
      </w:r>
      <w:r>
        <w:rPr/>
        <w:t>that</w:t>
      </w:r>
      <w:r>
        <w:rPr>
          <w:spacing w:val="-23"/>
        </w:rPr>
        <w:t> </w:t>
      </w:r>
      <w:r>
        <w:rPr/>
        <w:t>when</w:t>
      </w:r>
      <w:r>
        <w:rPr>
          <w:spacing w:val="-24"/>
        </w:rPr>
        <w:t> </w:t>
      </w:r>
      <w:r>
        <w:rPr/>
        <w:t>the</w:t>
      </w:r>
      <w:r>
        <w:rPr>
          <w:spacing w:val="-24"/>
        </w:rPr>
        <w:t> </w:t>
      </w:r>
      <w:r>
        <w:rPr/>
        <w:t>insurer</w:t>
      </w:r>
      <w:r>
        <w:rPr>
          <w:spacing w:val="-24"/>
        </w:rPr>
        <w:t> </w:t>
      </w:r>
      <w:r>
        <w:rPr/>
        <w:t>admits there </w:t>
      </w:r>
      <w:r>
        <w:rPr>
          <w:u w:val="single"/>
        </w:rPr>
        <w:t>is</w:t>
      </w:r>
      <w:r>
        <w:rPr/>
        <w:t> a covered loss, but there is a disagreement on the </w:t>
      </w:r>
      <w:r>
        <w:rPr>
          <w:u w:val="single"/>
        </w:rPr>
        <w:t>amount</w:t>
      </w:r>
      <w:r>
        <w:rPr/>
        <w:t> </w:t>
      </w:r>
      <w:r>
        <w:rPr>
          <w:spacing w:val="-6"/>
        </w:rPr>
        <w:t>of </w:t>
      </w:r>
      <w:r>
        <w:rPr/>
        <w:t>loss, it is for the appraisers to arrive at the amount to be paid. </w:t>
      </w:r>
      <w:r>
        <w:rPr>
          <w:spacing w:val="3"/>
        </w:rPr>
        <w:t>In </w:t>
      </w:r>
      <w:r>
        <w:rPr/>
        <w:t>that circumstance,</w:t>
      </w:r>
      <w:r>
        <w:rPr>
          <w:spacing w:val="-33"/>
        </w:rPr>
        <w:t> </w:t>
      </w:r>
      <w:r>
        <w:rPr>
          <w:spacing w:val="-3"/>
        </w:rPr>
        <w:t>the</w:t>
      </w:r>
      <w:r>
        <w:rPr>
          <w:spacing w:val="-34"/>
        </w:rPr>
        <w:t> </w:t>
      </w:r>
      <w:r>
        <w:rPr>
          <w:spacing w:val="-3"/>
        </w:rPr>
        <w:t>appraisers</w:t>
      </w:r>
      <w:r>
        <w:rPr>
          <w:spacing w:val="-32"/>
        </w:rPr>
        <w:t> </w:t>
      </w:r>
      <w:r>
        <w:rPr/>
        <w:t>are</w:t>
      </w:r>
      <w:r>
        <w:rPr>
          <w:spacing w:val="-33"/>
        </w:rPr>
        <w:t> </w:t>
      </w:r>
      <w:r>
        <w:rPr/>
        <w:t>to inspect the property and sort </w:t>
      </w:r>
      <w:r>
        <w:rPr>
          <w:spacing w:val="-4"/>
        </w:rPr>
        <w:t>out </w:t>
      </w:r>
      <w:r>
        <w:rPr/>
        <w:t>how much is to</w:t>
      </w:r>
      <w:r>
        <w:rPr>
          <w:spacing w:val="1"/>
        </w:rPr>
        <w:t> </w:t>
      </w:r>
      <w:r>
        <w:rPr/>
        <w:t>be paid </w:t>
      </w:r>
      <w:r>
        <w:rPr>
          <w:spacing w:val="-6"/>
        </w:rPr>
        <w:t>on</w:t>
      </w:r>
    </w:p>
    <w:p>
      <w:pPr>
        <w:pStyle w:val="BodyText"/>
        <w:rPr>
          <w:sz w:val="17"/>
        </w:rPr>
      </w:pPr>
      <w:r>
        <w:rPr/>
        <w:pict>
          <v:shape style="position:absolute;margin-left:162pt;margin-top:12.868975pt;width:143.9pt;height:.1pt;mso-position-horizontal-relative:page;mso-position-vertical-relative:paragraph;z-index:-251588608;mso-wrap-distance-left:0;mso-wrap-distance-right:0" coordorigin="3240,257" coordsize="2878,0" path="m3240,257l6118,257e" filled="false" stroked="true" strokeweight=".84pt" strokecolor="#000000">
            <v:path arrowok="t"/>
            <v:stroke dashstyle="solid"/>
            <w10:wrap type="topAndBottom"/>
          </v:shape>
        </w:pict>
      </w:r>
    </w:p>
    <w:p>
      <w:pPr>
        <w:pStyle w:val="BodyText"/>
        <w:spacing w:before="4"/>
        <w:rPr>
          <w:sz w:val="10"/>
        </w:rPr>
      </w:pPr>
    </w:p>
    <w:p>
      <w:pPr>
        <w:spacing w:before="71"/>
        <w:ind w:left="1160" w:right="0" w:firstLine="0"/>
        <w:jc w:val="left"/>
        <w:rPr>
          <w:rFonts w:ascii="Times New Roman"/>
          <w:sz w:val="18"/>
        </w:rPr>
      </w:pPr>
      <w:r>
        <w:rPr>
          <w:rFonts w:ascii="Times New Roman"/>
          <w:position w:val="10"/>
          <w:sz w:val="14"/>
        </w:rPr>
        <w:t>189 </w:t>
      </w:r>
      <w:r>
        <w:rPr>
          <w:rFonts w:ascii="Times New Roman"/>
          <w:sz w:val="18"/>
        </w:rPr>
        <w:t>685 So.2d 1285 (Fla. 1996).</w:t>
      </w:r>
    </w:p>
    <w:p>
      <w:pPr>
        <w:spacing w:before="14"/>
        <w:ind w:left="1160" w:right="0" w:firstLine="0"/>
        <w:jc w:val="left"/>
        <w:rPr>
          <w:rFonts w:ascii="Times New Roman"/>
          <w:sz w:val="18"/>
        </w:rPr>
      </w:pPr>
      <w:r>
        <w:rPr>
          <w:rFonts w:ascii="Times New Roman"/>
          <w:position w:val="10"/>
          <w:sz w:val="14"/>
        </w:rPr>
        <w:t>190 </w:t>
      </w:r>
      <w:r>
        <w:rPr>
          <w:rFonts w:ascii="Times New Roman"/>
          <w:sz w:val="18"/>
        </w:rPr>
        <w:t>727 So. 2d 1131 (Fla.2d DCA 1999).</w:t>
      </w:r>
    </w:p>
    <w:p>
      <w:pPr>
        <w:spacing w:line="254" w:lineRule="auto" w:before="13"/>
        <w:ind w:left="1160" w:right="1165" w:firstLine="0"/>
        <w:jc w:val="both"/>
        <w:rPr>
          <w:rFonts w:ascii="Times New Roman" w:hAnsi="Times New Roman"/>
          <w:sz w:val="18"/>
        </w:rPr>
      </w:pPr>
      <w:r>
        <w:rPr>
          <w:rFonts w:ascii="Times New Roman" w:hAnsi="Times New Roman"/>
          <w:position w:val="10"/>
          <w:sz w:val="14"/>
        </w:rPr>
        <w:t>191</w:t>
      </w:r>
      <w:r>
        <w:rPr>
          <w:rFonts w:ascii="Times New Roman" w:hAnsi="Times New Roman"/>
          <w:spacing w:val="20"/>
          <w:sz w:val="14"/>
        </w:rPr>
        <w:t> </w:t>
      </w:r>
      <w:r>
        <w:rPr>
          <w:rFonts w:ascii="Times New Roman" w:hAnsi="Times New Roman"/>
          <w:sz w:val="18"/>
          <w:u w:val="single"/>
        </w:rPr>
        <w:t>Allstate</w:t>
      </w:r>
      <w:r>
        <w:rPr>
          <w:rFonts w:ascii="Times New Roman" w:hAnsi="Times New Roman"/>
          <w:spacing w:val="-9"/>
          <w:sz w:val="18"/>
          <w:u w:val="single"/>
        </w:rPr>
        <w:t> </w:t>
      </w:r>
      <w:r>
        <w:rPr>
          <w:rFonts w:ascii="Times New Roman" w:hAnsi="Times New Roman"/>
          <w:sz w:val="18"/>
          <w:u w:val="single"/>
        </w:rPr>
        <w:t>Ins.</w:t>
      </w:r>
      <w:r>
        <w:rPr>
          <w:rFonts w:ascii="Times New Roman" w:hAnsi="Times New Roman"/>
          <w:spacing w:val="-6"/>
          <w:sz w:val="18"/>
          <w:u w:val="single"/>
        </w:rPr>
        <w:t> </w:t>
      </w:r>
      <w:r>
        <w:rPr>
          <w:rFonts w:ascii="Times New Roman" w:hAnsi="Times New Roman"/>
          <w:sz w:val="18"/>
          <w:u w:val="single"/>
        </w:rPr>
        <w:t>Co.</w:t>
      </w:r>
      <w:r>
        <w:rPr>
          <w:rFonts w:ascii="Times New Roman" w:hAnsi="Times New Roman"/>
          <w:spacing w:val="-8"/>
          <w:sz w:val="18"/>
          <w:u w:val="single"/>
        </w:rPr>
        <w:t> </w:t>
      </w:r>
      <w:r>
        <w:rPr>
          <w:rFonts w:ascii="Times New Roman" w:hAnsi="Times New Roman"/>
          <w:sz w:val="18"/>
          <w:u w:val="single"/>
        </w:rPr>
        <w:t>v.</w:t>
      </w:r>
      <w:r>
        <w:rPr>
          <w:rFonts w:ascii="Times New Roman" w:hAnsi="Times New Roman"/>
          <w:spacing w:val="28"/>
          <w:sz w:val="18"/>
          <w:u w:val="single"/>
        </w:rPr>
        <w:t> </w:t>
      </w:r>
      <w:r>
        <w:rPr>
          <w:rFonts w:ascii="Times New Roman" w:hAnsi="Times New Roman"/>
          <w:sz w:val="18"/>
          <w:u w:val="single"/>
        </w:rPr>
        <w:t>Suarez</w:t>
      </w:r>
      <w:r>
        <w:rPr>
          <w:rFonts w:ascii="Times New Roman" w:hAnsi="Times New Roman"/>
          <w:sz w:val="18"/>
        </w:rPr>
        <w:t>,</w:t>
      </w:r>
      <w:r>
        <w:rPr>
          <w:rFonts w:ascii="Times New Roman" w:hAnsi="Times New Roman"/>
          <w:spacing w:val="-10"/>
          <w:sz w:val="18"/>
        </w:rPr>
        <w:t> </w:t>
      </w:r>
      <w:r>
        <w:rPr>
          <w:rFonts w:ascii="Times New Roman" w:hAnsi="Times New Roman"/>
          <w:sz w:val="18"/>
        </w:rPr>
        <w:t>786</w:t>
      </w:r>
      <w:r>
        <w:rPr>
          <w:rFonts w:ascii="Times New Roman" w:hAnsi="Times New Roman"/>
          <w:spacing w:val="-7"/>
          <w:sz w:val="18"/>
        </w:rPr>
        <w:t> </w:t>
      </w:r>
      <w:r>
        <w:rPr>
          <w:rFonts w:ascii="Times New Roman" w:hAnsi="Times New Roman"/>
          <w:sz w:val="18"/>
        </w:rPr>
        <w:t>So.2d</w:t>
      </w:r>
      <w:r>
        <w:rPr>
          <w:rFonts w:ascii="Times New Roman" w:hAnsi="Times New Roman"/>
          <w:spacing w:val="-8"/>
          <w:sz w:val="18"/>
        </w:rPr>
        <w:t> </w:t>
      </w:r>
      <w:r>
        <w:rPr>
          <w:rFonts w:ascii="Times New Roman" w:hAnsi="Times New Roman"/>
          <w:sz w:val="18"/>
        </w:rPr>
        <w:t>645</w:t>
      </w:r>
      <w:r>
        <w:rPr>
          <w:rFonts w:ascii="Times New Roman" w:hAnsi="Times New Roman"/>
          <w:spacing w:val="-8"/>
          <w:sz w:val="18"/>
        </w:rPr>
        <w:t> </w:t>
      </w:r>
      <w:r>
        <w:rPr>
          <w:rFonts w:ascii="Times New Roman" w:hAnsi="Times New Roman"/>
          <w:sz w:val="18"/>
        </w:rPr>
        <w:t>(Fla.</w:t>
      </w:r>
      <w:r>
        <w:rPr>
          <w:rFonts w:ascii="Times New Roman" w:hAnsi="Times New Roman"/>
          <w:spacing w:val="-7"/>
          <w:sz w:val="18"/>
        </w:rPr>
        <w:t> </w:t>
      </w:r>
      <w:r>
        <w:rPr>
          <w:rFonts w:ascii="Times New Roman" w:hAnsi="Times New Roman"/>
          <w:sz w:val="18"/>
        </w:rPr>
        <w:t>Dist.</w:t>
      </w:r>
      <w:r>
        <w:rPr>
          <w:rFonts w:ascii="Times New Roman" w:hAnsi="Times New Roman"/>
          <w:spacing w:val="-8"/>
          <w:sz w:val="18"/>
        </w:rPr>
        <w:t> </w:t>
      </w:r>
      <w:r>
        <w:rPr>
          <w:rFonts w:ascii="Times New Roman" w:hAnsi="Times New Roman"/>
          <w:sz w:val="18"/>
        </w:rPr>
        <w:t>Ct.</w:t>
      </w:r>
      <w:r>
        <w:rPr>
          <w:rFonts w:ascii="Times New Roman" w:hAnsi="Times New Roman"/>
          <w:spacing w:val="-9"/>
          <w:sz w:val="18"/>
        </w:rPr>
        <w:t> </w:t>
      </w:r>
      <w:r>
        <w:rPr>
          <w:rFonts w:ascii="Times New Roman" w:hAnsi="Times New Roman"/>
          <w:sz w:val="18"/>
        </w:rPr>
        <w:t>App.3d</w:t>
      </w:r>
      <w:r>
        <w:rPr>
          <w:rFonts w:ascii="Times New Roman" w:hAnsi="Times New Roman"/>
          <w:spacing w:val="-7"/>
          <w:sz w:val="18"/>
        </w:rPr>
        <w:t> </w:t>
      </w:r>
      <w:r>
        <w:rPr>
          <w:rFonts w:ascii="Times New Roman" w:hAnsi="Times New Roman"/>
          <w:sz w:val="18"/>
        </w:rPr>
        <w:t>Dist.</w:t>
      </w:r>
      <w:r>
        <w:rPr>
          <w:rFonts w:ascii="Times New Roman" w:hAnsi="Times New Roman"/>
          <w:spacing w:val="-8"/>
          <w:sz w:val="18"/>
        </w:rPr>
        <w:t> </w:t>
      </w:r>
      <w:r>
        <w:rPr>
          <w:rFonts w:ascii="Times New Roman" w:hAnsi="Times New Roman"/>
          <w:sz w:val="18"/>
        </w:rPr>
        <w:t>2001),</w:t>
      </w:r>
      <w:r>
        <w:rPr>
          <w:rFonts w:ascii="Times New Roman" w:hAnsi="Times New Roman"/>
          <w:spacing w:val="-9"/>
          <w:sz w:val="18"/>
        </w:rPr>
        <w:t> </w:t>
      </w:r>
      <w:r>
        <w:rPr>
          <w:rFonts w:ascii="Times New Roman" w:hAnsi="Times New Roman"/>
          <w:i/>
          <w:sz w:val="18"/>
        </w:rPr>
        <w:t>aff’d,</w:t>
      </w:r>
      <w:r>
        <w:rPr>
          <w:rFonts w:ascii="Times New Roman" w:hAnsi="Times New Roman"/>
          <w:i/>
          <w:spacing w:val="-9"/>
          <w:sz w:val="18"/>
        </w:rPr>
        <w:t> </w:t>
      </w:r>
      <w:r>
        <w:rPr>
          <w:rFonts w:ascii="Times New Roman" w:hAnsi="Times New Roman"/>
          <w:sz w:val="18"/>
        </w:rPr>
        <w:t>833 So.2d 762 (Fla. 2002); </w:t>
      </w:r>
      <w:r>
        <w:rPr>
          <w:rFonts w:ascii="Times New Roman" w:hAnsi="Times New Roman"/>
          <w:i/>
          <w:sz w:val="18"/>
        </w:rPr>
        <w:t>See also</w:t>
      </w:r>
      <w:r>
        <w:rPr>
          <w:rFonts w:ascii="Times New Roman" w:hAnsi="Times New Roman"/>
          <w:sz w:val="18"/>
        </w:rPr>
        <w:t>, </w:t>
      </w:r>
      <w:r>
        <w:rPr>
          <w:rFonts w:ascii="Times New Roman" w:hAnsi="Times New Roman"/>
          <w:sz w:val="18"/>
          <w:u w:val="single"/>
        </w:rPr>
        <w:t>Allstate Ins. Co. v. Martinez</w:t>
      </w:r>
      <w:r>
        <w:rPr>
          <w:rFonts w:ascii="Times New Roman" w:hAnsi="Times New Roman"/>
          <w:sz w:val="18"/>
        </w:rPr>
        <w:t>, 833 So.2d 761, 27 Fla. L. Weekly S1043 (Fla.</w:t>
      </w:r>
      <w:r>
        <w:rPr>
          <w:rFonts w:ascii="Times New Roman" w:hAnsi="Times New Roman"/>
          <w:spacing w:val="-3"/>
          <w:sz w:val="18"/>
        </w:rPr>
        <w:t> </w:t>
      </w:r>
      <w:r>
        <w:rPr>
          <w:rFonts w:ascii="Times New Roman" w:hAnsi="Times New Roman"/>
          <w:sz w:val="18"/>
        </w:rPr>
        <w:t>2002).</w:t>
      </w:r>
    </w:p>
    <w:p>
      <w:pPr>
        <w:spacing w:line="172" w:lineRule="exact" w:before="0"/>
        <w:ind w:left="1160" w:right="0" w:firstLine="0"/>
        <w:jc w:val="left"/>
        <w:rPr>
          <w:rFonts w:ascii="Times New Roman"/>
          <w:sz w:val="18"/>
        </w:rPr>
      </w:pPr>
      <w:r>
        <w:rPr>
          <w:rFonts w:ascii="Times New Roman"/>
          <w:position w:val="10"/>
          <w:sz w:val="14"/>
        </w:rPr>
        <w:t>192  </w:t>
      </w:r>
      <w:r>
        <w:rPr>
          <w:rFonts w:ascii="Times New Roman"/>
          <w:sz w:val="18"/>
        </w:rPr>
        <w:t>828 So.2d</w:t>
      </w:r>
      <w:r>
        <w:rPr>
          <w:rFonts w:ascii="Times New Roman"/>
          <w:spacing w:val="-11"/>
          <w:sz w:val="18"/>
        </w:rPr>
        <w:t> </w:t>
      </w:r>
      <w:r>
        <w:rPr>
          <w:rFonts w:ascii="Times New Roman"/>
          <w:sz w:val="18"/>
        </w:rPr>
        <w:t>1021.</w:t>
      </w:r>
    </w:p>
    <w:p>
      <w:pPr>
        <w:spacing w:line="235" w:lineRule="exact" w:before="0"/>
        <w:ind w:left="1160" w:right="0" w:firstLine="0"/>
        <w:jc w:val="left"/>
        <w:rPr>
          <w:rFonts w:ascii="Times New Roman"/>
          <w:sz w:val="18"/>
        </w:rPr>
      </w:pPr>
      <w:r>
        <w:rPr>
          <w:rFonts w:ascii="Times New Roman"/>
          <w:position w:val="9"/>
          <w:sz w:val="14"/>
        </w:rPr>
        <w:t>193  </w:t>
      </w:r>
      <w:r>
        <w:rPr>
          <w:rFonts w:ascii="Times New Roman"/>
          <w:sz w:val="18"/>
        </w:rPr>
        <w:t>805 So.2d</w:t>
      </w:r>
      <w:r>
        <w:rPr>
          <w:rFonts w:ascii="Times New Roman"/>
          <w:spacing w:val="-11"/>
          <w:sz w:val="18"/>
        </w:rPr>
        <w:t> </w:t>
      </w:r>
      <w:r>
        <w:rPr>
          <w:rFonts w:ascii="Times New Roman"/>
          <w:sz w:val="18"/>
        </w:rPr>
        <w:t>1021.</w:t>
      </w:r>
    </w:p>
    <w:p>
      <w:pPr>
        <w:spacing w:after="0" w:line="235" w:lineRule="exact"/>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2240" w:right="2238"/>
        <w:jc w:val="both"/>
      </w:pPr>
      <w:bookmarkStart w:name="Law and Procedure 139" w:id="50"/>
      <w:bookmarkEnd w:id="50"/>
      <w:r>
        <w:rPr/>
      </w:r>
      <w:r>
        <w:rPr/>
        <w:t>account of a covered peril. </w:t>
      </w:r>
      <w:r>
        <w:rPr>
          <w:spacing w:val="3"/>
        </w:rPr>
        <w:t>In </w:t>
      </w:r>
      <w:r>
        <w:rPr/>
        <w:t>doing so, they are to exclude payment</w:t>
      </w:r>
      <w:r>
        <w:rPr>
          <w:spacing w:val="-15"/>
        </w:rPr>
        <w:t> </w:t>
      </w:r>
      <w:r>
        <w:rPr/>
        <w:t>for</w:t>
      </w:r>
      <w:r>
        <w:rPr>
          <w:spacing w:val="-12"/>
        </w:rPr>
        <w:t> </w:t>
      </w:r>
      <w:r>
        <w:rPr/>
        <w:t>‘a</w:t>
      </w:r>
      <w:r>
        <w:rPr>
          <w:spacing w:val="-11"/>
        </w:rPr>
        <w:t> </w:t>
      </w:r>
      <w:r>
        <w:rPr/>
        <w:t>cause</w:t>
      </w:r>
      <w:r>
        <w:rPr>
          <w:spacing w:val="-8"/>
        </w:rPr>
        <w:t> </w:t>
      </w:r>
      <w:r>
        <w:rPr/>
        <w:t>not</w:t>
      </w:r>
      <w:r>
        <w:rPr>
          <w:spacing w:val="-11"/>
        </w:rPr>
        <w:t> </w:t>
      </w:r>
      <w:r>
        <w:rPr>
          <w:spacing w:val="-3"/>
        </w:rPr>
        <w:t>covered </w:t>
      </w:r>
      <w:r>
        <w:rPr/>
        <w:t>such as normal wear and tear, </w:t>
      </w:r>
      <w:r>
        <w:rPr>
          <w:spacing w:val="-5"/>
        </w:rPr>
        <w:t>dry </w:t>
      </w:r>
      <w:r>
        <w:rPr/>
        <w:t>rot or various other designated excluded</w:t>
      </w:r>
      <w:r>
        <w:rPr>
          <w:spacing w:val="-2"/>
        </w:rPr>
        <w:t> </w:t>
      </w:r>
      <w:r>
        <w:rPr/>
        <w:t>causes.’</w:t>
      </w:r>
    </w:p>
    <w:p>
      <w:pPr>
        <w:pStyle w:val="BodyText"/>
        <w:spacing w:before="8"/>
        <w:rPr>
          <w:sz w:val="22"/>
        </w:rPr>
      </w:pPr>
    </w:p>
    <w:p>
      <w:pPr>
        <w:pStyle w:val="BodyText"/>
        <w:spacing w:line="242" w:lineRule="auto" w:before="41"/>
        <w:ind w:left="2240" w:right="2238"/>
        <w:jc w:val="both"/>
      </w:pPr>
      <w:r>
        <w:rPr/>
        <w:t>Thus, in the </w:t>
      </w:r>
      <w:r>
        <w:rPr>
          <w:u w:val="single"/>
        </w:rPr>
        <w:t>Licea</w:t>
      </w:r>
      <w:r>
        <w:rPr/>
        <w:t> situation, if the homeowner’s insurance </w:t>
      </w:r>
      <w:r>
        <w:rPr>
          <w:spacing w:val="2"/>
        </w:rPr>
        <w:t>policy </w:t>
      </w:r>
      <w:r>
        <w:rPr/>
        <w:t>provides coverage for windstorm damage to the roof but does </w:t>
      </w:r>
      <w:r>
        <w:rPr>
          <w:spacing w:val="-3"/>
        </w:rPr>
        <w:t>not </w:t>
      </w:r>
      <w:r>
        <w:rPr/>
        <w:t>provide coverage for dry rot, </w:t>
      </w:r>
      <w:r>
        <w:rPr>
          <w:spacing w:val="-3"/>
        </w:rPr>
        <w:t>the </w:t>
      </w:r>
      <w:r>
        <w:rPr/>
        <w:t>appraisers are to inspect the roof, arrive  at  a  fair  value   for   the </w:t>
      </w:r>
      <w:r>
        <w:rPr>
          <w:spacing w:val="13"/>
        </w:rPr>
        <w:t>wi</w:t>
      </w:r>
      <w:r>
        <w:rPr>
          <w:spacing w:val="-39"/>
        </w:rPr>
        <w:t> </w:t>
      </w:r>
      <w:r>
        <w:rPr/>
        <w:t>n</w:t>
      </w:r>
      <w:r>
        <w:rPr>
          <w:spacing w:val="-39"/>
        </w:rPr>
        <w:t> </w:t>
      </w:r>
      <w:r>
        <w:rPr/>
        <w:t>d</w:t>
      </w:r>
      <w:r>
        <w:rPr>
          <w:spacing w:val="-39"/>
        </w:rPr>
        <w:t> </w:t>
      </w:r>
      <w:r>
        <w:rPr/>
        <w:t>s</w:t>
      </w:r>
      <w:r>
        <w:rPr>
          <w:spacing w:val="-39"/>
        </w:rPr>
        <w:t> </w:t>
      </w:r>
      <w:r>
        <w:rPr>
          <w:spacing w:val="16"/>
        </w:rPr>
        <w:t>to</w:t>
      </w:r>
      <w:r>
        <w:rPr>
          <w:spacing w:val="-38"/>
        </w:rPr>
        <w:t> </w:t>
      </w:r>
      <w:r>
        <w:rPr/>
        <w:t>r</w:t>
      </w:r>
      <w:r>
        <w:rPr>
          <w:spacing w:val="-41"/>
        </w:rPr>
        <w:t> </w:t>
      </w:r>
      <w:r>
        <w:rPr/>
        <w:t>m</w:t>
      </w:r>
      <w:r>
        <w:rPr>
          <w:spacing w:val="63"/>
        </w:rPr>
        <w:t> </w:t>
      </w:r>
      <w:r>
        <w:rPr/>
        <w:t>d</w:t>
      </w:r>
      <w:r>
        <w:rPr>
          <w:spacing w:val="-39"/>
        </w:rPr>
        <w:t> </w:t>
      </w:r>
      <w:r>
        <w:rPr/>
        <w:t>a</w:t>
      </w:r>
      <w:r>
        <w:rPr>
          <w:spacing w:val="-38"/>
        </w:rPr>
        <w:t> </w:t>
      </w:r>
      <w:r>
        <w:rPr>
          <w:spacing w:val="15"/>
        </w:rPr>
        <w:t>ma</w:t>
      </w:r>
      <w:r>
        <w:rPr>
          <w:spacing w:val="-38"/>
        </w:rPr>
        <w:t> </w:t>
      </w:r>
      <w:r>
        <w:rPr/>
        <w:t>g</w:t>
      </w:r>
      <w:r>
        <w:rPr>
          <w:spacing w:val="-38"/>
        </w:rPr>
        <w:t> </w:t>
      </w:r>
      <w:r>
        <w:rPr/>
        <w:t>e</w:t>
      </w:r>
      <w:r>
        <w:rPr>
          <w:spacing w:val="64"/>
        </w:rPr>
        <w:t> </w:t>
      </w:r>
      <w:r>
        <w:rPr>
          <w:spacing w:val="14"/>
        </w:rPr>
        <w:t>wh</w:t>
      </w:r>
      <w:r>
        <w:rPr>
          <w:spacing w:val="-40"/>
        </w:rPr>
        <w:t> </w:t>
      </w:r>
      <w:r>
        <w:rPr/>
        <w:t>i</w:t>
      </w:r>
      <w:r>
        <w:rPr>
          <w:spacing w:val="-37"/>
        </w:rPr>
        <w:t> </w:t>
      </w:r>
      <w:r>
        <w:rPr/>
        <w:t>l</w:t>
      </w:r>
      <w:r>
        <w:rPr>
          <w:spacing w:val="-38"/>
        </w:rPr>
        <w:t> </w:t>
      </w:r>
      <w:r>
        <w:rPr/>
        <w:t>e excluding payment for the repairs required for pre-existing dry</w:t>
      </w:r>
      <w:r>
        <w:rPr>
          <w:spacing w:val="-11"/>
        </w:rPr>
        <w:t> </w:t>
      </w:r>
      <w:r>
        <w:rPr/>
        <w:t>rot.</w:t>
      </w:r>
    </w:p>
    <w:p>
      <w:pPr>
        <w:pStyle w:val="BodyText"/>
        <w:spacing w:before="7"/>
        <w:rPr>
          <w:sz w:val="22"/>
        </w:rPr>
      </w:pPr>
    </w:p>
    <w:p>
      <w:pPr>
        <w:pStyle w:val="BodyText"/>
        <w:spacing w:line="242" w:lineRule="auto" w:before="41"/>
        <w:ind w:left="2240" w:right="2233"/>
        <w:jc w:val="both"/>
      </w:pPr>
      <w:r>
        <w:rPr>
          <w:spacing w:val="3"/>
        </w:rPr>
        <w:t>In </w:t>
      </w:r>
      <w:r>
        <w:rPr/>
        <w:t>the present case (unlike </w:t>
      </w:r>
      <w:r>
        <w:rPr>
          <w:spacing w:val="-3"/>
          <w:u w:val="single"/>
        </w:rPr>
        <w:t>Licea</w:t>
      </w:r>
      <w:r>
        <w:rPr>
          <w:spacing w:val="-3"/>
        </w:rPr>
        <w:t>) </w:t>
      </w:r>
      <w:r>
        <w:rPr/>
        <w:t>State Farm says that  there  is  no c</w:t>
      </w:r>
      <w:r>
        <w:rPr>
          <w:spacing w:val="-37"/>
        </w:rPr>
        <w:t> </w:t>
      </w:r>
      <w:r>
        <w:rPr/>
        <w:t>o</w:t>
      </w:r>
      <w:r>
        <w:rPr>
          <w:spacing w:val="-36"/>
        </w:rPr>
        <w:t> </w:t>
      </w:r>
      <w:r>
        <w:rPr/>
        <w:t>v</w:t>
      </w:r>
      <w:r>
        <w:rPr>
          <w:spacing w:val="-38"/>
        </w:rPr>
        <w:t> </w:t>
      </w:r>
      <w:r>
        <w:rPr/>
        <w:t>e</w:t>
      </w:r>
      <w:r>
        <w:rPr>
          <w:spacing w:val="-37"/>
        </w:rPr>
        <w:t> </w:t>
      </w:r>
      <w:r>
        <w:rPr/>
        <w:t>r</w:t>
      </w:r>
      <w:r>
        <w:rPr>
          <w:spacing w:val="-38"/>
        </w:rPr>
        <w:t> </w:t>
      </w:r>
      <w:r>
        <w:rPr/>
        <w:t>a</w:t>
      </w:r>
      <w:r>
        <w:rPr>
          <w:spacing w:val="-37"/>
        </w:rPr>
        <w:t> </w:t>
      </w:r>
      <w:r>
        <w:rPr/>
        <w:t>g</w:t>
      </w:r>
      <w:r>
        <w:rPr>
          <w:spacing w:val="-36"/>
        </w:rPr>
        <w:t> </w:t>
      </w:r>
      <w:r>
        <w:rPr/>
        <w:t>e</w:t>
      </w:r>
      <w:r>
        <w:rPr>
          <w:spacing w:val="69"/>
        </w:rPr>
        <w:t> </w:t>
      </w:r>
      <w:r>
        <w:rPr/>
        <w:t>f</w:t>
      </w:r>
      <w:r>
        <w:rPr>
          <w:spacing w:val="-37"/>
        </w:rPr>
        <w:t> </w:t>
      </w:r>
      <w:r>
        <w:rPr/>
        <w:t>o</w:t>
      </w:r>
      <w:r>
        <w:rPr>
          <w:spacing w:val="-36"/>
        </w:rPr>
        <w:t> </w:t>
      </w:r>
      <w:r>
        <w:rPr/>
        <w:t>r</w:t>
      </w:r>
      <w:r>
        <w:rPr>
          <w:spacing w:val="68"/>
        </w:rPr>
        <w:t> </w:t>
      </w:r>
      <w:r>
        <w:rPr/>
        <w:t>t</w:t>
      </w:r>
      <w:r>
        <w:rPr>
          <w:spacing w:val="-38"/>
        </w:rPr>
        <w:t> </w:t>
      </w:r>
      <w:r>
        <w:rPr/>
        <w:t>h</w:t>
      </w:r>
      <w:r>
        <w:rPr>
          <w:spacing w:val="-34"/>
        </w:rPr>
        <w:t> </w:t>
      </w:r>
      <w:r>
        <w:rPr/>
        <w:t>e</w:t>
      </w:r>
      <w:r>
        <w:rPr>
          <w:spacing w:val="2"/>
        </w:rPr>
        <w:t> </w:t>
      </w:r>
      <w:r>
        <w:rPr/>
        <w:t>c</w:t>
      </w:r>
      <w:r>
        <w:rPr>
          <w:spacing w:val="-34"/>
        </w:rPr>
        <w:t> </w:t>
      </w:r>
      <w:r>
        <w:rPr/>
        <w:t>l</w:t>
      </w:r>
      <w:r>
        <w:rPr>
          <w:spacing w:val="-33"/>
        </w:rPr>
        <w:t> </w:t>
      </w:r>
      <w:r>
        <w:rPr/>
        <w:t>a</w:t>
      </w:r>
      <w:r>
        <w:rPr>
          <w:spacing w:val="-34"/>
        </w:rPr>
        <w:t> </w:t>
      </w:r>
      <w:r>
        <w:rPr/>
        <w:t>i</w:t>
      </w:r>
      <w:r>
        <w:rPr>
          <w:spacing w:val="-31"/>
        </w:rPr>
        <w:t> </w:t>
      </w:r>
      <w:r>
        <w:rPr/>
        <w:t>m whatsoever,</w:t>
      </w:r>
      <w:r>
        <w:rPr>
          <w:spacing w:val="-40"/>
        </w:rPr>
        <w:t> </w:t>
      </w:r>
      <w:r>
        <w:rPr/>
        <w:t>while</w:t>
      </w:r>
      <w:r>
        <w:rPr>
          <w:spacing w:val="-37"/>
        </w:rPr>
        <w:t> </w:t>
      </w:r>
      <w:r>
        <w:rPr/>
        <w:t>the</w:t>
      </w:r>
      <w:r>
        <w:rPr>
          <w:spacing w:val="-38"/>
        </w:rPr>
        <w:t> </w:t>
      </w:r>
      <w:r>
        <w:rPr>
          <w:spacing w:val="-3"/>
        </w:rPr>
        <w:t>homeowners </w:t>
      </w:r>
      <w:r>
        <w:rPr/>
        <w:t>say that the claim falls within an applicable coverage. </w:t>
      </w:r>
      <w:r>
        <w:rPr>
          <w:spacing w:val="-4"/>
        </w:rPr>
        <w:t>Whether</w:t>
      </w:r>
      <w:r>
        <w:rPr>
          <w:spacing w:val="-56"/>
        </w:rPr>
        <w:t> </w:t>
      </w:r>
      <w:r>
        <w:rPr>
          <w:spacing w:val="-3"/>
        </w:rPr>
        <w:t>the </w:t>
      </w:r>
      <w:r>
        <w:rPr/>
        <w:t>claim is covered by the policy is a judicial</w:t>
      </w:r>
      <w:r>
        <w:rPr>
          <w:spacing w:val="-17"/>
        </w:rPr>
        <w:t> </w:t>
      </w:r>
      <w:r>
        <w:rPr/>
        <w:t>question,</w:t>
      </w:r>
      <w:r>
        <w:rPr>
          <w:spacing w:val="-16"/>
        </w:rPr>
        <w:t> </w:t>
      </w:r>
      <w:r>
        <w:rPr/>
        <w:t>not</w:t>
      </w:r>
      <w:r>
        <w:rPr>
          <w:spacing w:val="-18"/>
        </w:rPr>
        <w:t> </w:t>
      </w:r>
      <w:r>
        <w:rPr/>
        <w:t>a</w:t>
      </w:r>
      <w:r>
        <w:rPr>
          <w:spacing w:val="-17"/>
        </w:rPr>
        <w:t> </w:t>
      </w:r>
      <w:r>
        <w:rPr/>
        <w:t>question</w:t>
      </w:r>
      <w:r>
        <w:rPr>
          <w:spacing w:val="-16"/>
        </w:rPr>
        <w:t> </w:t>
      </w:r>
      <w:r>
        <w:rPr/>
        <w:t>for the</w:t>
      </w:r>
      <w:r>
        <w:rPr>
          <w:spacing w:val="-1"/>
        </w:rPr>
        <w:t> </w:t>
      </w:r>
      <w:r>
        <w:rPr/>
        <w:t>appraisers.”</w:t>
      </w:r>
      <w:r>
        <w:rPr>
          <w:vertAlign w:val="superscript"/>
        </w:rPr>
        <w:t>194</w:t>
      </w:r>
    </w:p>
    <w:p>
      <w:pPr>
        <w:pStyle w:val="BodyText"/>
        <w:rPr>
          <w:sz w:val="20"/>
        </w:rPr>
      </w:pPr>
    </w:p>
    <w:p>
      <w:pPr>
        <w:pStyle w:val="BodyText"/>
        <w:rPr>
          <w:sz w:val="20"/>
        </w:rPr>
      </w:pPr>
    </w:p>
    <w:p>
      <w:pPr>
        <w:pStyle w:val="BodyText"/>
        <w:rPr>
          <w:sz w:val="20"/>
        </w:rPr>
      </w:pPr>
    </w:p>
    <w:p>
      <w:pPr>
        <w:pStyle w:val="BodyText"/>
        <w:spacing w:before="9"/>
        <w:rPr>
          <w:sz w:val="28"/>
        </w:rPr>
      </w:pPr>
      <w:r>
        <w:rPr/>
        <w:pict>
          <v:shape style="position:absolute;margin-left:162pt;margin-top:20.024429pt;width:143.9pt;height:.1pt;mso-position-horizontal-relative:page;mso-position-vertical-relative:paragraph;z-index:-251587584;mso-wrap-distance-left:0;mso-wrap-distance-right:0" coordorigin="3240,400" coordsize="2878,0" path="m3240,400l6118,400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3"/>
        </w:numPr>
        <w:tabs>
          <w:tab w:pos="1426" w:val="left" w:leader="none"/>
        </w:tabs>
        <w:spacing w:line="261" w:lineRule="auto" w:before="71" w:after="0"/>
        <w:ind w:left="1160" w:right="1169" w:firstLine="0"/>
        <w:jc w:val="left"/>
        <w:rPr>
          <w:sz w:val="18"/>
        </w:rPr>
      </w:pPr>
      <w:r>
        <w:rPr>
          <w:sz w:val="18"/>
          <w:u w:val="single"/>
        </w:rPr>
        <w:t>Gonzalez</w:t>
      </w:r>
      <w:r>
        <w:rPr>
          <w:sz w:val="18"/>
        </w:rPr>
        <w:t>,</w:t>
      </w:r>
      <w:r>
        <w:rPr>
          <w:spacing w:val="-14"/>
          <w:sz w:val="18"/>
        </w:rPr>
        <w:t> </w:t>
      </w:r>
      <w:r>
        <w:rPr>
          <w:sz w:val="18"/>
        </w:rPr>
        <w:t>805</w:t>
      </w:r>
      <w:r>
        <w:rPr>
          <w:spacing w:val="-10"/>
          <w:sz w:val="18"/>
        </w:rPr>
        <w:t> </w:t>
      </w:r>
      <w:r>
        <w:rPr>
          <w:sz w:val="18"/>
        </w:rPr>
        <w:t>So.2d</w:t>
      </w:r>
      <w:r>
        <w:rPr>
          <w:spacing w:val="-10"/>
          <w:sz w:val="18"/>
        </w:rPr>
        <w:t> </w:t>
      </w:r>
      <w:r>
        <w:rPr>
          <w:sz w:val="18"/>
        </w:rPr>
        <w:t>816-817</w:t>
      </w:r>
      <w:r>
        <w:rPr>
          <w:spacing w:val="-10"/>
          <w:sz w:val="18"/>
        </w:rPr>
        <w:t> </w:t>
      </w:r>
      <w:r>
        <w:rPr>
          <w:sz w:val="18"/>
        </w:rPr>
        <w:t>(citations</w:t>
      </w:r>
      <w:r>
        <w:rPr>
          <w:spacing w:val="-11"/>
          <w:sz w:val="18"/>
        </w:rPr>
        <w:t> </w:t>
      </w:r>
      <w:r>
        <w:rPr>
          <w:sz w:val="18"/>
        </w:rPr>
        <w:t>omitted)</w:t>
      </w:r>
      <w:r>
        <w:rPr>
          <w:spacing w:val="-11"/>
          <w:sz w:val="18"/>
        </w:rPr>
        <w:t> </w:t>
      </w:r>
      <w:r>
        <w:rPr>
          <w:i/>
          <w:sz w:val="18"/>
        </w:rPr>
        <w:t>quashed</w:t>
      </w:r>
      <w:r>
        <w:rPr>
          <w:i/>
          <w:spacing w:val="-10"/>
          <w:sz w:val="18"/>
        </w:rPr>
        <w:t> </w:t>
      </w:r>
      <w:r>
        <w:rPr>
          <w:i/>
          <w:sz w:val="18"/>
        </w:rPr>
        <w:t>in</w:t>
      </w:r>
      <w:r>
        <w:rPr>
          <w:i/>
          <w:spacing w:val="-9"/>
          <w:sz w:val="18"/>
        </w:rPr>
        <w:t> </w:t>
      </w:r>
      <w:r>
        <w:rPr>
          <w:i/>
          <w:sz w:val="18"/>
        </w:rPr>
        <w:t>part</w:t>
      </w:r>
      <w:r>
        <w:rPr>
          <w:i/>
          <w:spacing w:val="-9"/>
          <w:sz w:val="18"/>
        </w:rPr>
        <w:t> </w:t>
      </w:r>
      <w:r>
        <w:rPr>
          <w:i/>
          <w:sz w:val="18"/>
        </w:rPr>
        <w:t>and</w:t>
      </w:r>
      <w:r>
        <w:rPr>
          <w:i/>
          <w:spacing w:val="-7"/>
          <w:sz w:val="18"/>
        </w:rPr>
        <w:t> </w:t>
      </w:r>
      <w:r>
        <w:rPr>
          <w:i/>
          <w:sz w:val="18"/>
        </w:rPr>
        <w:t>approved</w:t>
      </w:r>
      <w:r>
        <w:rPr>
          <w:i/>
          <w:spacing w:val="-9"/>
          <w:sz w:val="18"/>
        </w:rPr>
        <w:t> </w:t>
      </w:r>
      <w:r>
        <w:rPr>
          <w:i/>
          <w:sz w:val="18"/>
        </w:rPr>
        <w:t>in</w:t>
      </w:r>
      <w:r>
        <w:rPr>
          <w:i/>
          <w:spacing w:val="-8"/>
          <w:sz w:val="18"/>
        </w:rPr>
        <w:t> </w:t>
      </w:r>
      <w:r>
        <w:rPr>
          <w:i/>
          <w:sz w:val="18"/>
        </w:rPr>
        <w:t>part</w:t>
      </w:r>
      <w:r>
        <w:rPr>
          <w:sz w:val="18"/>
        </w:rPr>
        <w:t>, 828 So.2d 1021</w:t>
      </w:r>
      <w:r>
        <w:rPr>
          <w:spacing w:val="2"/>
          <w:sz w:val="18"/>
        </w:rPr>
        <w:t> </w:t>
      </w:r>
      <w:r>
        <w:rPr>
          <w:sz w:val="18"/>
        </w:rPr>
        <w:t>(2002).</w:t>
      </w:r>
    </w:p>
    <w:p>
      <w:pPr>
        <w:spacing w:after="0" w:line="261"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firstLine="720"/>
        <w:jc w:val="both"/>
      </w:pPr>
      <w:bookmarkStart w:name="Law and Procedure 140" w:id="51"/>
      <w:bookmarkEnd w:id="51"/>
      <w:r>
        <w:rPr/>
      </w:r>
      <w:r>
        <w:rPr/>
        <w:t>In reversing the </w:t>
      </w:r>
      <w:r>
        <w:rPr>
          <w:u w:val="single"/>
        </w:rPr>
        <w:t>Johnson</w:t>
      </w:r>
      <w:r>
        <w:rPr/>
        <w:t> decision and affirming the </w:t>
      </w:r>
      <w:r>
        <w:rPr>
          <w:u w:val="single"/>
        </w:rPr>
        <w:t>Gonzalez</w:t>
      </w:r>
      <w:r>
        <w:rPr/>
        <w:t> decision, the Florida Supreme Court has adopted a logical and practical resolution of this issue. This resolution would appear to bring Florida within the mainstream of states on this issue.</w:t>
      </w:r>
    </w:p>
    <w:p>
      <w:pPr>
        <w:pStyle w:val="BodyText"/>
        <w:spacing w:before="8"/>
        <w:rPr>
          <w:sz w:val="22"/>
        </w:rPr>
      </w:pPr>
    </w:p>
    <w:p>
      <w:pPr>
        <w:pStyle w:val="BodyText"/>
        <w:spacing w:line="242" w:lineRule="auto" w:before="41"/>
        <w:ind w:left="1520" w:right="1518" w:firstLine="720"/>
        <w:jc w:val="both"/>
      </w:pPr>
      <w:r>
        <w:rPr>
          <w:spacing w:val="3"/>
        </w:rPr>
        <w:t>In </w:t>
      </w:r>
      <w:r>
        <w:rPr/>
        <w:t>the years since </w:t>
      </w:r>
      <w:r>
        <w:rPr>
          <w:u w:val="single"/>
        </w:rPr>
        <w:t>Johnson</w:t>
      </w:r>
      <w:r>
        <w:rPr/>
        <w:t>, courts </w:t>
      </w:r>
      <w:r>
        <w:rPr>
          <w:spacing w:val="-4"/>
        </w:rPr>
        <w:t>have </w:t>
      </w:r>
      <w:r>
        <w:rPr>
          <w:spacing w:val="20"/>
        </w:rPr>
        <w:t>attempted </w:t>
      </w:r>
      <w:r>
        <w:rPr>
          <w:spacing w:val="11"/>
        </w:rPr>
        <w:t>to </w:t>
      </w:r>
      <w:r>
        <w:rPr>
          <w:spacing w:val="18"/>
        </w:rPr>
        <w:t>confront </w:t>
      </w:r>
      <w:r>
        <w:rPr>
          <w:spacing w:val="13"/>
        </w:rPr>
        <w:t>the </w:t>
      </w:r>
      <w:r>
        <w:rPr>
          <w:spacing w:val="17"/>
        </w:rPr>
        <w:t>varied </w:t>
      </w:r>
      <w:r>
        <w:rPr/>
        <w:t>circumstances that arise. For example, where the</w:t>
      </w:r>
      <w:r>
        <w:rPr>
          <w:spacing w:val="-22"/>
        </w:rPr>
        <w:t> </w:t>
      </w:r>
      <w:r>
        <w:rPr/>
        <w:t>insurer</w:t>
      </w:r>
      <w:r>
        <w:rPr>
          <w:spacing w:val="-23"/>
        </w:rPr>
        <w:t> </w:t>
      </w:r>
      <w:r>
        <w:rPr/>
        <w:t>acknowledged</w:t>
      </w:r>
      <w:r>
        <w:rPr>
          <w:spacing w:val="-23"/>
        </w:rPr>
        <w:t> </w:t>
      </w:r>
      <w:r>
        <w:rPr/>
        <w:t>coverage</w:t>
      </w:r>
      <w:r>
        <w:rPr>
          <w:spacing w:val="-24"/>
        </w:rPr>
        <w:t> </w:t>
      </w:r>
      <w:r>
        <w:rPr/>
        <w:t>and</w:t>
      </w:r>
      <w:r>
        <w:rPr>
          <w:spacing w:val="-22"/>
        </w:rPr>
        <w:t> </w:t>
      </w:r>
      <w:r>
        <w:rPr/>
        <w:t>paid the claim, but then the insured attempted to reopen</w:t>
      </w:r>
      <w:r>
        <w:rPr>
          <w:spacing w:val="-21"/>
        </w:rPr>
        <w:t> </w:t>
      </w:r>
      <w:r>
        <w:rPr/>
        <w:t>the</w:t>
      </w:r>
      <w:r>
        <w:rPr>
          <w:spacing w:val="-22"/>
        </w:rPr>
        <w:t> </w:t>
      </w:r>
      <w:r>
        <w:rPr/>
        <w:t>claim</w:t>
      </w:r>
      <w:r>
        <w:rPr>
          <w:spacing w:val="-23"/>
        </w:rPr>
        <w:t> </w:t>
      </w:r>
      <w:r>
        <w:rPr/>
        <w:t>several</w:t>
      </w:r>
      <w:r>
        <w:rPr>
          <w:spacing w:val="-21"/>
        </w:rPr>
        <w:t> </w:t>
      </w:r>
      <w:r>
        <w:rPr/>
        <w:t>years</w:t>
      </w:r>
      <w:r>
        <w:rPr>
          <w:spacing w:val="-25"/>
        </w:rPr>
        <w:t> </w:t>
      </w:r>
      <w:r>
        <w:rPr/>
        <w:t>later</w:t>
      </w:r>
      <w:r>
        <w:rPr>
          <w:spacing w:val="-24"/>
        </w:rPr>
        <w:t> </w:t>
      </w:r>
      <w:r>
        <w:rPr/>
        <w:t>which</w:t>
      </w:r>
      <w:r>
        <w:rPr>
          <w:spacing w:val="-22"/>
        </w:rPr>
        <w:t> </w:t>
      </w:r>
      <w:r>
        <w:rPr/>
        <w:t>was denied by the insurer, as the entire remaining claim was denied, the court found appraisal inappropriate,</w:t>
      </w:r>
      <w:r>
        <w:rPr>
          <w:spacing w:val="-22"/>
        </w:rPr>
        <w:t> </w:t>
      </w:r>
      <w:r>
        <w:rPr/>
        <w:t>stating</w:t>
      </w:r>
      <w:r>
        <w:rPr>
          <w:spacing w:val="-18"/>
        </w:rPr>
        <w:t> </w:t>
      </w:r>
      <w:r>
        <w:rPr/>
        <w:t>the</w:t>
      </w:r>
      <w:r>
        <w:rPr>
          <w:spacing w:val="-21"/>
        </w:rPr>
        <w:t> </w:t>
      </w:r>
      <w:r>
        <w:rPr/>
        <w:t>carrier</w:t>
      </w:r>
      <w:r>
        <w:rPr>
          <w:spacing w:val="-23"/>
        </w:rPr>
        <w:t> </w:t>
      </w:r>
      <w:r>
        <w:rPr/>
        <w:t>“has</w:t>
      </w:r>
      <w:r>
        <w:rPr>
          <w:spacing w:val="-21"/>
        </w:rPr>
        <w:t> </w:t>
      </w:r>
      <w:r>
        <w:rPr/>
        <w:t>asserted that the losses now claimed by plaintiffs </w:t>
      </w:r>
      <w:r>
        <w:rPr>
          <w:spacing w:val="-3"/>
        </w:rPr>
        <w:t>were </w:t>
      </w:r>
      <w:r>
        <w:rPr/>
        <w:t>not covered under the</w:t>
      </w:r>
      <w:r>
        <w:rPr>
          <w:spacing w:val="-5"/>
        </w:rPr>
        <w:t> </w:t>
      </w:r>
      <w:r>
        <w:rPr/>
        <w:t>policies.”</w:t>
      </w:r>
      <w:r>
        <w:rPr>
          <w:vertAlign w:val="superscript"/>
        </w:rPr>
        <w:t>195</w:t>
      </w:r>
    </w:p>
    <w:p>
      <w:pPr>
        <w:pStyle w:val="BodyText"/>
        <w:spacing w:before="11"/>
        <w:rPr>
          <w:sz w:val="25"/>
        </w:rPr>
      </w:pPr>
    </w:p>
    <w:p>
      <w:pPr>
        <w:pStyle w:val="BodyText"/>
        <w:spacing w:line="242" w:lineRule="auto"/>
        <w:ind w:left="1520" w:right="1518" w:firstLine="720"/>
        <w:jc w:val="both"/>
      </w:pPr>
      <w:r>
        <w:rPr/>
        <w:t>The</w:t>
      </w:r>
      <w:r>
        <w:rPr>
          <w:spacing w:val="-14"/>
        </w:rPr>
        <w:t> </w:t>
      </w:r>
      <w:r>
        <w:rPr/>
        <w:t>continuing</w:t>
      </w:r>
      <w:r>
        <w:rPr>
          <w:spacing w:val="-12"/>
        </w:rPr>
        <w:t> </w:t>
      </w:r>
      <w:r>
        <w:rPr/>
        <w:t>challenge</w:t>
      </w:r>
      <w:r>
        <w:rPr>
          <w:spacing w:val="-10"/>
        </w:rPr>
        <w:t> </w:t>
      </w:r>
      <w:r>
        <w:rPr/>
        <w:t>in</w:t>
      </w:r>
      <w:r>
        <w:rPr>
          <w:spacing w:val="-16"/>
        </w:rPr>
        <w:t> </w:t>
      </w:r>
      <w:r>
        <w:rPr/>
        <w:t>dealing</w:t>
      </w:r>
      <w:r>
        <w:rPr>
          <w:spacing w:val="-15"/>
        </w:rPr>
        <w:t> </w:t>
      </w:r>
      <w:r>
        <w:rPr>
          <w:spacing w:val="-4"/>
        </w:rPr>
        <w:t>with </w:t>
      </w:r>
      <w:r>
        <w:rPr/>
        <w:t>this issue will be that inevitably, in fulfilling their duties as appraisers in determining value and the amount of loss, it is inherent in the </w:t>
      </w:r>
      <w:r>
        <w:rPr>
          <w:spacing w:val="12"/>
        </w:rPr>
        <w:t>appraisers’ </w:t>
      </w:r>
      <w:r>
        <w:rPr>
          <w:spacing w:val="10"/>
        </w:rPr>
        <w:t>task </w:t>
      </w:r>
      <w:r>
        <w:rPr>
          <w:spacing w:val="6"/>
        </w:rPr>
        <w:t>to </w:t>
      </w:r>
      <w:r>
        <w:rPr>
          <w:spacing w:val="10"/>
        </w:rPr>
        <w:t>make </w:t>
      </w:r>
      <w:r>
        <w:rPr>
          <w:spacing w:val="7"/>
        </w:rPr>
        <w:t>an </w:t>
      </w:r>
      <w:r>
        <w:rPr>
          <w:spacing w:val="13"/>
        </w:rPr>
        <w:t>initial </w:t>
      </w:r>
      <w:r>
        <w:rPr/>
        <w:t>determination as to the cause of</w:t>
      </w:r>
      <w:r>
        <w:rPr>
          <w:spacing w:val="-16"/>
        </w:rPr>
        <w:t> </w:t>
      </w:r>
      <w:r>
        <w:rPr/>
        <w:t>damage.</w:t>
      </w:r>
    </w:p>
    <w:p>
      <w:pPr>
        <w:pStyle w:val="BodyText"/>
        <w:spacing w:before="1"/>
      </w:pPr>
    </w:p>
    <w:p>
      <w:pPr>
        <w:pStyle w:val="BodyText"/>
        <w:spacing w:line="242" w:lineRule="auto"/>
        <w:ind w:left="1520" w:right="1518" w:firstLine="720"/>
        <w:jc w:val="both"/>
      </w:pPr>
      <w:r>
        <w:rPr>
          <w:spacing w:val="3"/>
        </w:rPr>
        <w:t>In</w:t>
      </w:r>
      <w:r>
        <w:rPr>
          <w:spacing w:val="-22"/>
        </w:rPr>
        <w:t> </w:t>
      </w:r>
      <w:r>
        <w:rPr/>
        <w:t>Colorado,</w:t>
      </w:r>
      <w:r>
        <w:rPr>
          <w:spacing w:val="-24"/>
        </w:rPr>
        <w:t> </w:t>
      </w:r>
      <w:r>
        <w:rPr/>
        <w:t>the</w:t>
      </w:r>
      <w:r>
        <w:rPr>
          <w:spacing w:val="-24"/>
        </w:rPr>
        <w:t> </w:t>
      </w:r>
      <w:r>
        <w:rPr/>
        <w:t>issue</w:t>
      </w:r>
      <w:r>
        <w:rPr>
          <w:spacing w:val="-24"/>
        </w:rPr>
        <w:t> </w:t>
      </w:r>
      <w:r>
        <w:rPr/>
        <w:t>was</w:t>
      </w:r>
      <w:r>
        <w:rPr>
          <w:spacing w:val="-23"/>
        </w:rPr>
        <w:t> </w:t>
      </w:r>
      <w:r>
        <w:rPr/>
        <w:t>confronted</w:t>
      </w:r>
      <w:r>
        <w:rPr>
          <w:spacing w:val="-23"/>
        </w:rPr>
        <w:t> </w:t>
      </w:r>
      <w:r>
        <w:rPr>
          <w:spacing w:val="-5"/>
        </w:rPr>
        <w:t>for </w:t>
      </w:r>
      <w:r>
        <w:rPr/>
        <w:t>the</w:t>
      </w:r>
      <w:r>
        <w:rPr>
          <w:spacing w:val="-28"/>
        </w:rPr>
        <w:t> </w:t>
      </w:r>
      <w:r>
        <w:rPr/>
        <w:t>first</w:t>
      </w:r>
      <w:r>
        <w:rPr>
          <w:spacing w:val="-30"/>
        </w:rPr>
        <w:t> </w:t>
      </w:r>
      <w:r>
        <w:rPr/>
        <w:t>time</w:t>
      </w:r>
      <w:r>
        <w:rPr>
          <w:spacing w:val="-31"/>
        </w:rPr>
        <w:t> </w:t>
      </w:r>
      <w:r>
        <w:rPr/>
        <w:t>in</w:t>
      </w:r>
      <w:r>
        <w:rPr>
          <w:spacing w:val="-30"/>
        </w:rPr>
        <w:t> </w:t>
      </w:r>
      <w:r>
        <w:rPr/>
        <w:t>2011.</w:t>
      </w:r>
      <w:r>
        <w:rPr>
          <w:spacing w:val="13"/>
        </w:rPr>
        <w:t> </w:t>
      </w:r>
      <w:r>
        <w:rPr/>
        <w:t>While</w:t>
      </w:r>
      <w:r>
        <w:rPr>
          <w:spacing w:val="-27"/>
        </w:rPr>
        <w:t> </w:t>
      </w:r>
      <w:r>
        <w:rPr/>
        <w:t>acknowledging</w:t>
      </w:r>
      <w:r>
        <w:rPr>
          <w:spacing w:val="-26"/>
        </w:rPr>
        <w:t> </w:t>
      </w:r>
      <w:r>
        <w:rPr/>
        <w:t>that other jurisdictions disagree on the question of whether the appraisers’ powers</w:t>
      </w:r>
      <w:r>
        <w:rPr>
          <w:spacing w:val="60"/>
        </w:rPr>
        <w:t> </w:t>
      </w:r>
      <w:r>
        <w:rPr/>
        <w:t>include</w:t>
      </w:r>
    </w:p>
    <w:p>
      <w:pPr>
        <w:pStyle w:val="BodyText"/>
        <w:spacing w:before="4"/>
        <w:rPr>
          <w:sz w:val="27"/>
        </w:rPr>
      </w:pPr>
      <w:r>
        <w:rPr/>
        <w:pict>
          <v:shape style="position:absolute;margin-left:162pt;margin-top:19.191870pt;width:143.9pt;height:.1pt;mso-position-horizontal-relative:page;mso-position-vertical-relative:paragraph;z-index:-251586560;mso-wrap-distance-left:0;mso-wrap-distance-right:0" coordorigin="3240,384" coordsize="2878,0" path="m3240,384l6118,384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3"/>
        </w:numPr>
        <w:tabs>
          <w:tab w:pos="1435" w:val="left" w:leader="none"/>
        </w:tabs>
        <w:spacing w:line="240" w:lineRule="auto" w:before="71" w:after="0"/>
        <w:ind w:left="1434" w:right="0" w:hanging="275"/>
        <w:jc w:val="left"/>
        <w:rPr>
          <w:sz w:val="18"/>
        </w:rPr>
      </w:pPr>
      <w:r>
        <w:rPr>
          <w:sz w:val="18"/>
          <w:u w:val="single"/>
        </w:rPr>
        <w:t>767 Building LLC v. Allstate Ins. Co.</w:t>
      </w:r>
      <w:r>
        <w:rPr>
          <w:sz w:val="18"/>
        </w:rPr>
        <w:t>, 2010 WL 1796564 (S.D. Fla.</w:t>
      </w:r>
      <w:r>
        <w:rPr>
          <w:spacing w:val="1"/>
          <w:sz w:val="18"/>
        </w:rPr>
        <w:t> </w:t>
      </w:r>
      <w:r>
        <w:rPr>
          <w:sz w:val="18"/>
        </w:rPr>
        <w:t>2010).</w:t>
      </w:r>
    </w:p>
    <w:p>
      <w:pPr>
        <w:spacing w:after="0" w:line="240"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6"/>
        <w:jc w:val="both"/>
      </w:pPr>
      <w:bookmarkStart w:name="Law and Procedure 141" w:id="52"/>
      <w:bookmarkEnd w:id="52"/>
      <w:r>
        <w:rPr/>
      </w:r>
      <w:r>
        <w:rPr/>
        <w:t>identifying the cause of particular damage when ascertaining the loss the insured has sustained, the Elbart County District Court, relying in part on Florida’s </w:t>
      </w:r>
      <w:r>
        <w:rPr>
          <w:u w:val="single"/>
        </w:rPr>
        <w:t>Johnson v.</w:t>
      </w:r>
      <w:r>
        <w:rPr/>
        <w:t> </w:t>
      </w:r>
      <w:r>
        <w:rPr>
          <w:u w:val="single"/>
        </w:rPr>
        <w:t>Nationwide Mutl Ins. Co.</w:t>
      </w:r>
      <w:r>
        <w:rPr/>
        <w:t>, 828 So.2d 1021 </w:t>
      </w:r>
      <w:r>
        <w:rPr>
          <w:spacing w:val="-3"/>
        </w:rPr>
        <w:t>(Fla </w:t>
      </w:r>
      <w:r>
        <w:rPr/>
        <w:t>2001), Delaware’s </w:t>
      </w:r>
      <w:r>
        <w:rPr>
          <w:u w:val="single"/>
        </w:rPr>
        <w:t>Cigna Ins. Co. v. Didimois</w:t>
      </w:r>
      <w:r>
        <w:rPr/>
        <w:t> </w:t>
      </w:r>
      <w:r>
        <w:rPr>
          <w:u w:val="single"/>
        </w:rPr>
        <w:t>Prop. Holding N.V.</w:t>
      </w:r>
      <w:r>
        <w:rPr/>
        <w:t>, 110 F.Supp.2d 259 (D.Del. 2000) and Maryland’s </w:t>
      </w:r>
      <w:r>
        <w:rPr>
          <w:u w:val="single"/>
        </w:rPr>
        <w:t>Wausau Ins. Co. </w:t>
      </w:r>
      <w:r>
        <w:rPr>
          <w:spacing w:val="-8"/>
          <w:u w:val="single"/>
        </w:rPr>
        <w:t>v.</w:t>
      </w:r>
      <w:r>
        <w:rPr>
          <w:spacing w:val="-8"/>
        </w:rPr>
        <w:t> </w:t>
      </w:r>
      <w:r>
        <w:rPr>
          <w:u w:val="single"/>
        </w:rPr>
        <w:t>Herbert</w:t>
      </w:r>
      <w:r>
        <w:rPr>
          <w:spacing w:val="-26"/>
          <w:u w:val="single"/>
        </w:rPr>
        <w:t> </w:t>
      </w:r>
      <w:r>
        <w:rPr>
          <w:u w:val="single"/>
        </w:rPr>
        <w:t>Halporin</w:t>
      </w:r>
      <w:r>
        <w:rPr>
          <w:spacing w:val="-22"/>
          <w:u w:val="single"/>
        </w:rPr>
        <w:t> </w:t>
      </w:r>
      <w:r>
        <w:rPr>
          <w:u w:val="single"/>
        </w:rPr>
        <w:t>Dist.</w:t>
      </w:r>
      <w:r>
        <w:rPr>
          <w:spacing w:val="-26"/>
          <w:u w:val="single"/>
        </w:rPr>
        <w:t> </w:t>
      </w:r>
      <w:r>
        <w:rPr>
          <w:u w:val="single"/>
        </w:rPr>
        <w:t>Corp.</w:t>
      </w:r>
      <w:r>
        <w:rPr/>
        <w:t>,</w:t>
      </w:r>
      <w:r>
        <w:rPr>
          <w:spacing w:val="-22"/>
        </w:rPr>
        <w:t> </w:t>
      </w:r>
      <w:r>
        <w:rPr/>
        <w:t>664</w:t>
      </w:r>
      <w:r>
        <w:rPr>
          <w:spacing w:val="-20"/>
        </w:rPr>
        <w:t> </w:t>
      </w:r>
      <w:r>
        <w:rPr/>
        <w:t>F.</w:t>
      </w:r>
      <w:r>
        <w:rPr>
          <w:spacing w:val="-25"/>
        </w:rPr>
        <w:t> </w:t>
      </w:r>
      <w:r>
        <w:rPr/>
        <w:t>Supp.987</w:t>
      </w:r>
      <w:r>
        <w:rPr>
          <w:spacing w:val="-20"/>
        </w:rPr>
        <w:t> </w:t>
      </w:r>
      <w:r>
        <w:rPr/>
        <w:t>(D. Md. 1987) determined that the plain meaning of the policy phrase “amount of loss” necessarily includes a determination of the cause of loss as well as the cost to repair that which was lost. Finding such definition consistent with that found in </w:t>
      </w:r>
      <w:r>
        <w:rPr>
          <w:i/>
        </w:rPr>
        <w:t>Blacks Law </w:t>
      </w:r>
      <w:r>
        <w:rPr>
          <w:i/>
        </w:rPr>
        <w:t>Dictionary </w:t>
      </w:r>
      <w:r>
        <w:rPr/>
        <w:t>and the word “loss” as found in </w:t>
      </w:r>
      <w:r>
        <w:rPr>
          <w:i/>
        </w:rPr>
        <w:t>Webster’s Dictionary</w:t>
      </w:r>
      <w:r>
        <w:rPr/>
        <w:t>, detailed its rationale as follows:</w:t>
      </w:r>
    </w:p>
    <w:p>
      <w:pPr>
        <w:pStyle w:val="BodyText"/>
        <w:spacing w:before="8"/>
        <w:rPr>
          <w:sz w:val="25"/>
        </w:rPr>
      </w:pPr>
    </w:p>
    <w:p>
      <w:pPr>
        <w:pStyle w:val="BodyText"/>
        <w:spacing w:line="242" w:lineRule="auto"/>
        <w:ind w:left="2240" w:right="2237"/>
        <w:jc w:val="both"/>
      </w:pPr>
      <w:r>
        <w:rPr/>
        <w:t>“If... the court limits the appraisers to simply make dollar value determinations without regard for </w:t>
      </w:r>
      <w:r>
        <w:rPr>
          <w:spacing w:val="-4"/>
        </w:rPr>
        <w:t>whether</w:t>
      </w:r>
      <w:r>
        <w:rPr>
          <w:spacing w:val="-38"/>
        </w:rPr>
        <w:t> </w:t>
      </w:r>
      <w:r>
        <w:rPr>
          <w:spacing w:val="-3"/>
        </w:rPr>
        <w:t>property</w:t>
      </w:r>
      <w:r>
        <w:rPr>
          <w:spacing w:val="-37"/>
        </w:rPr>
        <w:t> </w:t>
      </w:r>
      <w:r>
        <w:rPr>
          <w:spacing w:val="-3"/>
        </w:rPr>
        <w:t>was</w:t>
      </w:r>
      <w:r>
        <w:rPr>
          <w:spacing w:val="-34"/>
        </w:rPr>
        <w:t> </w:t>
      </w:r>
      <w:r>
        <w:rPr/>
        <w:t>damaged</w:t>
      </w:r>
      <w:r>
        <w:rPr>
          <w:spacing w:val="-36"/>
        </w:rPr>
        <w:t> </w:t>
      </w:r>
      <w:r>
        <w:rPr/>
        <w:t>by a covered peril, </w:t>
      </w:r>
      <w:r>
        <w:rPr>
          <w:spacing w:val="2"/>
        </w:rPr>
        <w:t>it </w:t>
      </w:r>
      <w:r>
        <w:rPr/>
        <w:t>could </w:t>
      </w:r>
      <w:r>
        <w:rPr>
          <w:spacing w:val="-6"/>
        </w:rPr>
        <w:t>be </w:t>
      </w:r>
      <w:r>
        <w:rPr/>
        <w:t>reserving a plethora of detailed damage assessments for judicial review thereby debunking </w:t>
      </w:r>
      <w:r>
        <w:rPr>
          <w:spacing w:val="-5"/>
        </w:rPr>
        <w:t>the </w:t>
      </w:r>
      <w:r>
        <w:rPr/>
        <w:t>purpose of appraisal which is to minimize the need for judicial intervention...Moreover the </w:t>
      </w:r>
      <w:r>
        <w:rPr>
          <w:spacing w:val="-3"/>
        </w:rPr>
        <w:t>court </w:t>
      </w:r>
      <w:r>
        <w:rPr/>
        <w:t>believes that its approach to the appraisal process may foster</w:t>
      </w:r>
      <w:r>
        <w:rPr>
          <w:spacing w:val="14"/>
        </w:rPr>
        <w:t> </w:t>
      </w:r>
      <w:r>
        <w:rPr>
          <w:spacing w:val="-5"/>
        </w:rPr>
        <w:t>the</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2240" w:right="2237"/>
        <w:jc w:val="both"/>
      </w:pPr>
      <w:bookmarkStart w:name="Law and Procedure 142" w:id="53"/>
      <w:bookmarkEnd w:id="53"/>
      <w:r>
        <w:rPr/>
      </w:r>
      <w:r>
        <w:rPr/>
        <w:t>parties’ resolution of certain issues without legal intervention, </w:t>
      </w:r>
      <w:r>
        <w:rPr>
          <w:spacing w:val="-3"/>
        </w:rPr>
        <w:t>thereby </w:t>
      </w:r>
      <w:r>
        <w:rPr>
          <w:spacing w:val="16"/>
        </w:rPr>
        <w:t>promoting </w:t>
      </w:r>
      <w:r>
        <w:rPr>
          <w:spacing w:val="13"/>
        </w:rPr>
        <w:t>the </w:t>
      </w:r>
      <w:r>
        <w:rPr>
          <w:spacing w:val="16"/>
        </w:rPr>
        <w:t>purpose </w:t>
      </w:r>
      <w:r>
        <w:rPr>
          <w:spacing w:val="9"/>
        </w:rPr>
        <w:t>of </w:t>
      </w:r>
      <w:r>
        <w:rPr/>
        <w:t>appraisal... For the appraisal </w:t>
      </w:r>
      <w:r>
        <w:rPr>
          <w:spacing w:val="-5"/>
        </w:rPr>
        <w:t>may </w:t>
      </w:r>
      <w:r>
        <w:rPr/>
        <w:t>assist the parties in narrowing and identifying the disputed issues thereby</w:t>
      </w:r>
      <w:r>
        <w:rPr>
          <w:spacing w:val="-17"/>
        </w:rPr>
        <w:t> </w:t>
      </w:r>
      <w:r>
        <w:rPr/>
        <w:t>encouraging</w:t>
      </w:r>
      <w:r>
        <w:rPr>
          <w:spacing w:val="-14"/>
        </w:rPr>
        <w:t> </w:t>
      </w:r>
      <w:r>
        <w:rPr/>
        <w:t>the</w:t>
      </w:r>
      <w:r>
        <w:rPr>
          <w:spacing w:val="-15"/>
        </w:rPr>
        <w:t> </w:t>
      </w:r>
      <w:r>
        <w:rPr/>
        <w:t>partes</w:t>
      </w:r>
      <w:r>
        <w:rPr>
          <w:spacing w:val="-15"/>
        </w:rPr>
        <w:t> </w:t>
      </w:r>
      <w:r>
        <w:rPr/>
        <w:t>to attempt a resolution of those matters before seeking judicial intervention.”</w:t>
      </w:r>
      <w:r>
        <w:rPr>
          <w:vertAlign w:val="superscript"/>
        </w:rPr>
        <w:t>196</w:t>
      </w:r>
    </w:p>
    <w:p>
      <w:pPr>
        <w:pStyle w:val="BodyText"/>
        <w:spacing w:before="11"/>
        <w:rPr>
          <w:sz w:val="25"/>
        </w:rPr>
      </w:pPr>
    </w:p>
    <w:p>
      <w:pPr>
        <w:pStyle w:val="BodyText"/>
        <w:spacing w:line="242" w:lineRule="auto" w:before="1"/>
        <w:ind w:left="1520" w:right="1517" w:firstLine="720"/>
        <w:jc w:val="both"/>
      </w:pPr>
      <w:r>
        <w:rPr/>
        <w:t>A more recent Colorado decision </w:t>
      </w:r>
      <w:r>
        <w:rPr>
          <w:spacing w:val="-4"/>
        </w:rPr>
        <w:t>has </w:t>
      </w:r>
      <w:r>
        <w:rPr/>
        <w:t>affirmed</w:t>
      </w:r>
      <w:r>
        <w:rPr>
          <w:spacing w:val="-26"/>
        </w:rPr>
        <w:t> </w:t>
      </w:r>
      <w:r>
        <w:rPr/>
        <w:t>these</w:t>
      </w:r>
      <w:r>
        <w:rPr>
          <w:spacing w:val="-24"/>
        </w:rPr>
        <w:t> </w:t>
      </w:r>
      <w:r>
        <w:rPr/>
        <w:t>principles.</w:t>
      </w:r>
      <w:r>
        <w:rPr>
          <w:spacing w:val="-25"/>
        </w:rPr>
        <w:t> </w:t>
      </w:r>
      <w:r>
        <w:rPr/>
        <w:t>There,</w:t>
      </w:r>
      <w:r>
        <w:rPr>
          <w:spacing w:val="-25"/>
        </w:rPr>
        <w:t> </w:t>
      </w:r>
      <w:r>
        <w:rPr/>
        <w:t>causation</w:t>
      </w:r>
      <w:r>
        <w:rPr>
          <w:spacing w:val="-21"/>
        </w:rPr>
        <w:t> </w:t>
      </w:r>
      <w:r>
        <w:rPr/>
        <w:t>was challenged</w:t>
      </w:r>
      <w:r>
        <w:rPr>
          <w:spacing w:val="43"/>
        </w:rPr>
        <w:t> </w:t>
      </w:r>
      <w:r>
        <w:rPr/>
        <w:t>in</w:t>
      </w:r>
      <w:r>
        <w:rPr>
          <w:spacing w:val="-17"/>
        </w:rPr>
        <w:t> </w:t>
      </w:r>
      <w:r>
        <w:rPr/>
        <w:t>a</w:t>
      </w:r>
      <w:r>
        <w:rPr>
          <w:spacing w:val="-15"/>
        </w:rPr>
        <w:t> </w:t>
      </w:r>
      <w:r>
        <w:rPr/>
        <w:t>claim</w:t>
      </w:r>
      <w:r>
        <w:rPr>
          <w:spacing w:val="-18"/>
        </w:rPr>
        <w:t> </w:t>
      </w:r>
      <w:r>
        <w:rPr/>
        <w:t>which</w:t>
      </w:r>
      <w:r>
        <w:rPr>
          <w:spacing w:val="-15"/>
        </w:rPr>
        <w:t> </w:t>
      </w:r>
      <w:r>
        <w:rPr/>
        <w:t>raised</w:t>
      </w:r>
      <w:r>
        <w:rPr>
          <w:spacing w:val="-18"/>
        </w:rPr>
        <w:t> </w:t>
      </w:r>
      <w:r>
        <w:rPr/>
        <w:t>a</w:t>
      </w:r>
      <w:r>
        <w:rPr>
          <w:spacing w:val="-18"/>
        </w:rPr>
        <w:t> </w:t>
      </w:r>
      <w:r>
        <w:rPr/>
        <w:t>question as to whether damage sustained had been caused</w:t>
      </w:r>
      <w:r>
        <w:rPr>
          <w:spacing w:val="-21"/>
        </w:rPr>
        <w:t> </w:t>
      </w:r>
      <w:r>
        <w:rPr/>
        <w:t>by</w:t>
      </w:r>
      <w:r>
        <w:rPr>
          <w:spacing w:val="-24"/>
        </w:rPr>
        <w:t> </w:t>
      </w:r>
      <w:r>
        <w:rPr/>
        <w:t>one</w:t>
      </w:r>
      <w:r>
        <w:rPr>
          <w:spacing w:val="-25"/>
        </w:rPr>
        <w:t> </w:t>
      </w:r>
      <w:r>
        <w:rPr/>
        <w:t>storm</w:t>
      </w:r>
      <w:r>
        <w:rPr>
          <w:spacing w:val="-26"/>
        </w:rPr>
        <w:t> </w:t>
      </w:r>
      <w:r>
        <w:rPr/>
        <w:t>as</w:t>
      </w:r>
      <w:r>
        <w:rPr>
          <w:spacing w:val="-22"/>
        </w:rPr>
        <w:t> </w:t>
      </w:r>
      <w:r>
        <w:rPr/>
        <w:t>opposed</w:t>
      </w:r>
      <w:r>
        <w:rPr>
          <w:spacing w:val="-20"/>
        </w:rPr>
        <w:t> </w:t>
      </w:r>
      <w:r>
        <w:rPr/>
        <w:t>to</w:t>
      </w:r>
      <w:r>
        <w:rPr>
          <w:spacing w:val="-21"/>
        </w:rPr>
        <w:t> </w:t>
      </w:r>
      <w:r>
        <w:rPr/>
        <w:t>a</w:t>
      </w:r>
      <w:r>
        <w:rPr>
          <w:spacing w:val="-23"/>
        </w:rPr>
        <w:t> </w:t>
      </w:r>
      <w:r>
        <w:rPr/>
        <w:t>previous one, demonstrating that “as a matter of common usage, one determines the amount of loss with reference to a particular cause.” The Court cited the purpose of the appraisal provision</w:t>
      </w:r>
      <w:r>
        <w:rPr>
          <w:spacing w:val="-25"/>
        </w:rPr>
        <w:t> </w:t>
      </w:r>
      <w:r>
        <w:rPr/>
        <w:t>as</w:t>
      </w:r>
      <w:r>
        <w:rPr>
          <w:spacing w:val="-24"/>
        </w:rPr>
        <w:t> </w:t>
      </w:r>
      <w:r>
        <w:rPr/>
        <w:t>in</w:t>
      </w:r>
      <w:r>
        <w:rPr>
          <w:spacing w:val="22"/>
        </w:rPr>
        <w:t> </w:t>
      </w:r>
      <w:r>
        <w:rPr>
          <w:u w:val="single"/>
        </w:rPr>
        <w:t>Rooftop</w:t>
      </w:r>
      <w:r>
        <w:rPr>
          <w:spacing w:val="-22"/>
          <w:u w:val="single"/>
        </w:rPr>
        <w:t> </w:t>
      </w:r>
      <w:r>
        <w:rPr>
          <w:u w:val="single"/>
        </w:rPr>
        <w:t>Roofing</w:t>
      </w:r>
      <w:r>
        <w:rPr/>
        <w:t>,</w:t>
      </w:r>
      <w:r>
        <w:rPr>
          <w:spacing w:val="-24"/>
        </w:rPr>
        <w:t> </w:t>
      </w:r>
      <w:r>
        <w:rPr/>
        <w:t>holding</w:t>
      </w:r>
      <w:r>
        <w:rPr>
          <w:spacing w:val="-22"/>
        </w:rPr>
        <w:t> </w:t>
      </w:r>
      <w:r>
        <w:rPr/>
        <w:t>that</w:t>
      </w:r>
      <w:r>
        <w:rPr>
          <w:spacing w:val="-23"/>
        </w:rPr>
        <w:t> </w:t>
      </w:r>
      <w:r>
        <w:rPr/>
        <w:t>to </w:t>
      </w:r>
      <w:r>
        <w:rPr>
          <w:spacing w:val="12"/>
        </w:rPr>
        <w:t>preclude </w:t>
      </w:r>
      <w:r>
        <w:rPr>
          <w:spacing w:val="15"/>
        </w:rPr>
        <w:t>causation </w:t>
      </w:r>
      <w:r>
        <w:rPr>
          <w:spacing w:val="12"/>
        </w:rPr>
        <w:t>from </w:t>
      </w:r>
      <w:r>
        <w:rPr>
          <w:spacing w:val="13"/>
        </w:rPr>
        <w:t>appraisers’ </w:t>
      </w:r>
      <w:r>
        <w:rPr/>
        <w:t>consideration would “significantly</w:t>
      </w:r>
      <w:r>
        <w:rPr>
          <w:spacing w:val="-38"/>
        </w:rPr>
        <w:t> </w:t>
      </w:r>
      <w:r>
        <w:rPr/>
        <w:t>undermine” its objective. Third, the Court relied upon </w:t>
      </w:r>
      <w:r>
        <w:rPr>
          <w:spacing w:val="-3"/>
        </w:rPr>
        <w:t>Colorado</w:t>
      </w:r>
      <w:r>
        <w:rPr>
          <w:spacing w:val="-33"/>
        </w:rPr>
        <w:t> </w:t>
      </w:r>
      <w:r>
        <w:rPr/>
        <w:t>public</w:t>
      </w:r>
      <w:r>
        <w:rPr>
          <w:spacing w:val="-31"/>
        </w:rPr>
        <w:t> </w:t>
      </w:r>
      <w:r>
        <w:rPr/>
        <w:t>policy</w:t>
      </w:r>
      <w:r>
        <w:rPr>
          <w:spacing w:val="-32"/>
        </w:rPr>
        <w:t> </w:t>
      </w:r>
      <w:r>
        <w:rPr/>
        <w:t>in</w:t>
      </w:r>
      <w:r>
        <w:rPr>
          <w:spacing w:val="-31"/>
        </w:rPr>
        <w:t> </w:t>
      </w:r>
      <w:r>
        <w:rPr/>
        <w:t>“caution[ing]</w:t>
      </w:r>
      <w:r>
        <w:rPr>
          <w:spacing w:val="-28"/>
        </w:rPr>
        <w:t> </w:t>
      </w:r>
      <w:r>
        <w:rPr/>
        <w:t>against an overly restrictive reading” of the provision. </w:t>
      </w:r>
      <w:r>
        <w:rPr>
          <w:spacing w:val="20"/>
        </w:rPr>
        <w:t>Finally, </w:t>
      </w:r>
      <w:r>
        <w:rPr/>
        <w:t>i t </w:t>
      </w:r>
      <w:r>
        <w:rPr>
          <w:spacing w:val="19"/>
        </w:rPr>
        <w:t>acknowledged </w:t>
      </w:r>
      <w:r>
        <w:rPr>
          <w:spacing w:val="17"/>
        </w:rPr>
        <w:t>that </w:t>
      </w:r>
      <w:r>
        <w:rPr>
          <w:spacing w:val="16"/>
        </w:rPr>
        <w:t>any </w:t>
      </w:r>
      <w:r>
        <w:rPr/>
        <w:t>determination made by the appraisers as to damage</w:t>
      </w:r>
      <w:r>
        <w:rPr>
          <w:spacing w:val="19"/>
        </w:rPr>
        <w:t> </w:t>
      </w:r>
      <w:r>
        <w:rPr/>
        <w:t>caused</w:t>
      </w:r>
      <w:r>
        <w:rPr>
          <w:spacing w:val="21"/>
        </w:rPr>
        <w:t> </w:t>
      </w:r>
      <w:r>
        <w:rPr/>
        <w:t>by</w:t>
      </w:r>
      <w:r>
        <w:rPr>
          <w:spacing w:val="17"/>
        </w:rPr>
        <w:t> </w:t>
      </w:r>
      <w:r>
        <w:rPr/>
        <w:t>the</w:t>
      </w:r>
      <w:r>
        <w:rPr>
          <w:spacing w:val="19"/>
        </w:rPr>
        <w:t> </w:t>
      </w:r>
      <w:r>
        <w:rPr/>
        <w:t>storm</w:t>
      </w:r>
      <w:r>
        <w:rPr>
          <w:spacing w:val="17"/>
        </w:rPr>
        <w:t> </w:t>
      </w:r>
      <w:r>
        <w:rPr/>
        <w:t>in</w:t>
      </w:r>
      <w:r>
        <w:rPr>
          <w:spacing w:val="19"/>
        </w:rPr>
        <w:t> </w:t>
      </w:r>
      <w:r>
        <w:rPr/>
        <w:t>question</w:t>
      </w:r>
    </w:p>
    <w:p>
      <w:pPr>
        <w:pStyle w:val="BodyText"/>
        <w:rPr>
          <w:sz w:val="20"/>
        </w:rPr>
      </w:pPr>
    </w:p>
    <w:p>
      <w:pPr>
        <w:pStyle w:val="BodyText"/>
        <w:spacing w:before="11"/>
        <w:rPr>
          <w:sz w:val="15"/>
        </w:rPr>
      </w:pPr>
      <w:r>
        <w:rPr/>
        <w:pict>
          <v:shape style="position:absolute;margin-left:162pt;margin-top:12.176435pt;width:143.9pt;height:.1pt;mso-position-horizontal-relative:page;mso-position-vertical-relative:paragraph;z-index:-251585536;mso-wrap-distance-left:0;mso-wrap-distance-right:0" coordorigin="3240,244" coordsize="2878,0" path="m3240,244l6118,244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3"/>
        </w:numPr>
        <w:tabs>
          <w:tab w:pos="1421" w:val="left" w:leader="none"/>
        </w:tabs>
        <w:spacing w:line="261" w:lineRule="auto" w:before="71" w:after="0"/>
        <w:ind w:left="1160" w:right="1168" w:firstLine="0"/>
        <w:jc w:val="left"/>
        <w:rPr>
          <w:sz w:val="18"/>
        </w:rPr>
      </w:pPr>
      <w:r>
        <w:rPr>
          <w:sz w:val="18"/>
        </w:rPr>
        <w:t>(</w:t>
      </w:r>
      <w:r>
        <w:rPr>
          <w:i/>
          <w:sz w:val="18"/>
        </w:rPr>
        <w:t>quoting</w:t>
      </w:r>
      <w:r>
        <w:rPr>
          <w:i/>
          <w:spacing w:val="-13"/>
          <w:sz w:val="18"/>
        </w:rPr>
        <w:t> </w:t>
      </w:r>
      <w:r>
        <w:rPr>
          <w:sz w:val="18"/>
          <w:u w:val="single"/>
        </w:rPr>
        <w:t>Aqua</w:t>
      </w:r>
      <w:r>
        <w:rPr>
          <w:spacing w:val="-15"/>
          <w:sz w:val="18"/>
          <w:u w:val="single"/>
        </w:rPr>
        <w:t> </w:t>
      </w:r>
      <w:r>
        <w:rPr>
          <w:sz w:val="18"/>
          <w:u w:val="single"/>
        </w:rPr>
        <w:t>Ins.</w:t>
      </w:r>
      <w:r>
        <w:rPr>
          <w:spacing w:val="-14"/>
          <w:sz w:val="18"/>
          <w:u w:val="single"/>
        </w:rPr>
        <w:t> </w:t>
      </w:r>
      <w:r>
        <w:rPr>
          <w:sz w:val="18"/>
          <w:u w:val="single"/>
        </w:rPr>
        <w:t>Co.</w:t>
      </w:r>
      <w:r>
        <w:rPr>
          <w:sz w:val="18"/>
        </w:rPr>
        <w:t>,</w:t>
      </w:r>
      <w:r>
        <w:rPr>
          <w:spacing w:val="-13"/>
          <w:sz w:val="18"/>
        </w:rPr>
        <w:t> </w:t>
      </w:r>
      <w:r>
        <w:rPr>
          <w:i/>
          <w:sz w:val="18"/>
          <w:u w:val="single"/>
        </w:rPr>
        <w:t>supra</w:t>
      </w:r>
      <w:r>
        <w:rPr>
          <w:i/>
          <w:spacing w:val="18"/>
          <w:sz w:val="18"/>
        </w:rPr>
        <w:t> </w:t>
      </w:r>
      <w:r>
        <w:rPr>
          <w:sz w:val="18"/>
        </w:rPr>
        <w:t>p.249),</w:t>
      </w:r>
      <w:r>
        <w:rPr>
          <w:spacing w:val="-14"/>
          <w:sz w:val="18"/>
        </w:rPr>
        <w:t> </w:t>
      </w:r>
      <w:r>
        <w:rPr>
          <w:sz w:val="18"/>
          <w:u w:val="single"/>
        </w:rPr>
        <w:t>Rooftop</w:t>
      </w:r>
      <w:r>
        <w:rPr>
          <w:spacing w:val="-13"/>
          <w:sz w:val="18"/>
          <w:u w:val="single"/>
        </w:rPr>
        <w:t> </w:t>
      </w:r>
      <w:r>
        <w:rPr>
          <w:sz w:val="18"/>
          <w:u w:val="single"/>
        </w:rPr>
        <w:t>Roofing</w:t>
      </w:r>
      <w:r>
        <w:rPr>
          <w:spacing w:val="-15"/>
          <w:sz w:val="18"/>
          <w:u w:val="single"/>
        </w:rPr>
        <w:t> </w:t>
      </w:r>
      <w:r>
        <w:rPr>
          <w:sz w:val="18"/>
          <w:u w:val="single"/>
        </w:rPr>
        <w:t>Inc.</w:t>
      </w:r>
      <w:r>
        <w:rPr>
          <w:spacing w:val="-14"/>
          <w:sz w:val="18"/>
          <w:u w:val="single"/>
        </w:rPr>
        <w:t> </w:t>
      </w:r>
      <w:r>
        <w:rPr>
          <w:sz w:val="18"/>
          <w:u w:val="single"/>
        </w:rPr>
        <w:t>v.</w:t>
      </w:r>
      <w:r>
        <w:rPr>
          <w:spacing w:val="-11"/>
          <w:sz w:val="18"/>
          <w:u w:val="single"/>
        </w:rPr>
        <w:t> </w:t>
      </w:r>
      <w:r>
        <w:rPr>
          <w:sz w:val="18"/>
          <w:u w:val="single"/>
        </w:rPr>
        <w:t>Fire</w:t>
      </w:r>
      <w:r>
        <w:rPr>
          <w:spacing w:val="-11"/>
          <w:sz w:val="18"/>
          <w:u w:val="single"/>
        </w:rPr>
        <w:t> </w:t>
      </w:r>
      <w:r>
        <w:rPr>
          <w:sz w:val="18"/>
          <w:u w:val="single"/>
        </w:rPr>
        <w:t>Ins.</w:t>
      </w:r>
      <w:r>
        <w:rPr>
          <w:spacing w:val="-11"/>
          <w:sz w:val="18"/>
          <w:u w:val="single"/>
        </w:rPr>
        <w:t> </w:t>
      </w:r>
      <w:r>
        <w:rPr>
          <w:sz w:val="18"/>
          <w:u w:val="single"/>
        </w:rPr>
        <w:t>Exchange</w:t>
      </w:r>
      <w:r>
        <w:rPr>
          <w:sz w:val="18"/>
        </w:rPr>
        <w:t>,</w:t>
      </w:r>
      <w:r>
        <w:rPr>
          <w:spacing w:val="-12"/>
          <w:sz w:val="18"/>
        </w:rPr>
        <w:t> </w:t>
      </w:r>
      <w:r>
        <w:rPr>
          <w:sz w:val="18"/>
        </w:rPr>
        <w:t>2010 CV 243 Dist. Court, Elbert Co., Co.</w:t>
      </w:r>
      <w:r>
        <w:rPr>
          <w:spacing w:val="3"/>
          <w:sz w:val="18"/>
        </w:rPr>
        <w:t> </w:t>
      </w:r>
      <w:r>
        <w:rPr>
          <w:sz w:val="18"/>
        </w:rPr>
        <w:t>(2011).</w:t>
      </w:r>
    </w:p>
    <w:p>
      <w:pPr>
        <w:spacing w:after="0" w:line="261"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20"/>
        <w:jc w:val="both"/>
      </w:pPr>
      <w:bookmarkStart w:name="Law and Procedure 143" w:id="54"/>
      <w:bookmarkEnd w:id="54"/>
      <w:r>
        <w:rPr/>
      </w:r>
      <w:r>
        <w:rPr/>
        <w:t>would have no bearing on coverage</w:t>
      </w:r>
      <w:r>
        <w:rPr>
          <w:spacing w:val="-23"/>
        </w:rPr>
        <w:t> </w:t>
      </w:r>
      <w:r>
        <w:rPr/>
        <w:t>matters, and that such issues may still be disputed </w:t>
      </w:r>
      <w:r>
        <w:rPr>
          <w:spacing w:val="-6"/>
        </w:rPr>
        <w:t>by </w:t>
      </w:r>
      <w:r>
        <w:rPr/>
        <w:t>the parties following the conclusion of appraisal.</w:t>
      </w:r>
      <w:r>
        <w:rPr>
          <w:vertAlign w:val="superscript"/>
        </w:rPr>
        <w:t>197</w:t>
      </w:r>
    </w:p>
    <w:p>
      <w:pPr>
        <w:pStyle w:val="BodyText"/>
        <w:spacing w:before="1"/>
      </w:pPr>
    </w:p>
    <w:p>
      <w:pPr>
        <w:pStyle w:val="BodyText"/>
        <w:spacing w:line="242" w:lineRule="auto"/>
        <w:ind w:left="1520" w:right="1518" w:firstLine="720"/>
        <w:jc w:val="both"/>
      </w:pPr>
      <w:r>
        <w:rPr/>
        <w:t>In Illinois, it has been held that determining the cause of damage is inherent to the appraisers’ duties.</w:t>
      </w:r>
      <w:r>
        <w:rPr>
          <w:vertAlign w:val="superscript"/>
        </w:rPr>
        <w:t>198</w:t>
      </w:r>
    </w:p>
    <w:p>
      <w:pPr>
        <w:pStyle w:val="BodyText"/>
        <w:spacing w:before="1"/>
      </w:pPr>
    </w:p>
    <w:p>
      <w:pPr>
        <w:pStyle w:val="BodyText"/>
        <w:spacing w:line="242" w:lineRule="auto" w:before="1"/>
        <w:ind w:left="1520" w:right="1518" w:firstLine="720"/>
        <w:jc w:val="both"/>
      </w:pPr>
      <w:r>
        <w:rPr>
          <w:spacing w:val="3"/>
        </w:rPr>
        <w:t>In </w:t>
      </w:r>
      <w:r>
        <w:rPr/>
        <w:t>considering this issue, care must be taken</w:t>
      </w:r>
      <w:r>
        <w:rPr>
          <w:spacing w:val="-26"/>
        </w:rPr>
        <w:t> </w:t>
      </w:r>
      <w:r>
        <w:rPr/>
        <w:t>to</w:t>
      </w:r>
      <w:r>
        <w:rPr>
          <w:spacing w:val="-26"/>
        </w:rPr>
        <w:t> </w:t>
      </w:r>
      <w:r>
        <w:rPr/>
        <w:t>avoid</w:t>
      </w:r>
      <w:r>
        <w:rPr>
          <w:spacing w:val="-26"/>
        </w:rPr>
        <w:t> </w:t>
      </w:r>
      <w:r>
        <w:rPr/>
        <w:t>frustrating</w:t>
      </w:r>
      <w:r>
        <w:rPr>
          <w:spacing w:val="-24"/>
        </w:rPr>
        <w:t> </w:t>
      </w:r>
      <w:r>
        <w:rPr/>
        <w:t>the</w:t>
      </w:r>
      <w:r>
        <w:rPr>
          <w:spacing w:val="-29"/>
        </w:rPr>
        <w:t> </w:t>
      </w:r>
      <w:r>
        <w:rPr/>
        <w:t>clear</w:t>
      </w:r>
      <w:r>
        <w:rPr>
          <w:spacing w:val="-27"/>
        </w:rPr>
        <w:t> </w:t>
      </w:r>
      <w:r>
        <w:rPr/>
        <w:t>intent</w:t>
      </w:r>
      <w:r>
        <w:rPr>
          <w:spacing w:val="-29"/>
        </w:rPr>
        <w:t> </w:t>
      </w:r>
      <w:r>
        <w:rPr/>
        <w:t>of</w:t>
      </w:r>
      <w:r>
        <w:rPr>
          <w:spacing w:val="-27"/>
        </w:rPr>
        <w:t> </w:t>
      </w:r>
      <w:r>
        <w:rPr/>
        <w:t>the appraisal provision by an aggressive assertion of causation as an issue when </w:t>
      </w:r>
      <w:r>
        <w:rPr>
          <w:spacing w:val="2"/>
        </w:rPr>
        <w:t>it is plain </w:t>
      </w:r>
      <w:r>
        <w:rPr>
          <w:spacing w:val="-4"/>
        </w:rPr>
        <w:t>that </w:t>
      </w:r>
      <w:r>
        <w:rPr/>
        <w:t>the principal issue between the parties is the amount and value of the</w:t>
      </w:r>
      <w:r>
        <w:rPr>
          <w:spacing w:val="65"/>
        </w:rPr>
        <w:t> </w:t>
      </w:r>
      <w:r>
        <w:rPr/>
        <w:t>loss.</w:t>
      </w:r>
    </w:p>
    <w:p>
      <w:pPr>
        <w:pStyle w:val="BodyText"/>
      </w:pPr>
    </w:p>
    <w:p>
      <w:pPr>
        <w:pStyle w:val="BodyText"/>
        <w:spacing w:line="242" w:lineRule="auto"/>
        <w:ind w:left="1520" w:right="1518" w:firstLine="720"/>
        <w:jc w:val="both"/>
      </w:pPr>
      <w:r>
        <w:rPr>
          <w:spacing w:val="3"/>
        </w:rPr>
        <w:t>In </w:t>
      </w:r>
      <w:r>
        <w:rPr/>
        <w:t>Iowa as well, the scope of appraisal was found to include issues of causation (but not coverage). </w:t>
      </w:r>
      <w:r>
        <w:rPr>
          <w:spacing w:val="3"/>
        </w:rPr>
        <w:t>In </w:t>
      </w:r>
      <w:r>
        <w:rPr/>
        <w:t>a case where insureds submitted a claim under their policy for hail damage sustained to their roof and </w:t>
      </w:r>
      <w:r>
        <w:rPr>
          <w:spacing w:val="-3"/>
        </w:rPr>
        <w:t>two </w:t>
      </w:r>
      <w:r>
        <w:rPr/>
        <w:t>years later, for additional damage suffered from </w:t>
      </w:r>
      <w:r>
        <w:rPr>
          <w:spacing w:val="-11"/>
        </w:rPr>
        <w:t>a </w:t>
      </w:r>
      <w:r>
        <w:rPr/>
        <w:t>second</w:t>
      </w:r>
      <w:r>
        <w:rPr>
          <w:spacing w:val="-19"/>
        </w:rPr>
        <w:t> </w:t>
      </w:r>
      <w:r>
        <w:rPr/>
        <w:t>storm,</w:t>
      </w:r>
      <w:r>
        <w:rPr>
          <w:spacing w:val="-23"/>
        </w:rPr>
        <w:t> </w:t>
      </w:r>
      <w:r>
        <w:rPr/>
        <w:t>a</w:t>
      </w:r>
      <w:r>
        <w:rPr>
          <w:spacing w:val="-19"/>
        </w:rPr>
        <w:t> </w:t>
      </w:r>
      <w:r>
        <w:rPr/>
        <w:t>dispute</w:t>
      </w:r>
      <w:r>
        <w:rPr>
          <w:spacing w:val="-18"/>
        </w:rPr>
        <w:t> </w:t>
      </w:r>
      <w:r>
        <w:rPr/>
        <w:t>surrounded</w:t>
      </w:r>
      <w:r>
        <w:rPr>
          <w:spacing w:val="-16"/>
        </w:rPr>
        <w:t> </w:t>
      </w:r>
      <w:r>
        <w:rPr/>
        <w:t>causation of damage claimed to be a result of the second storm and whether such damage</w:t>
      </w:r>
      <w:r>
        <w:rPr>
          <w:spacing w:val="-51"/>
        </w:rPr>
        <w:t> </w:t>
      </w:r>
      <w:r>
        <w:rPr>
          <w:spacing w:val="-6"/>
        </w:rPr>
        <w:t>was </w:t>
      </w:r>
      <w:r>
        <w:rPr/>
        <w:t>covered by the policy or excluded by prior compensation. </w:t>
      </w:r>
      <w:r>
        <w:rPr>
          <w:spacing w:val="4"/>
        </w:rPr>
        <w:t>In </w:t>
      </w:r>
      <w:r>
        <w:rPr/>
        <w:t>evaluating this matter, the court asserted that a provision for appraisal</w:t>
      </w:r>
      <w:r>
        <w:rPr>
          <w:spacing w:val="-27"/>
        </w:rPr>
        <w:t> </w:t>
      </w:r>
      <w:r>
        <w:rPr/>
        <w:t>of a</w:t>
      </w:r>
      <w:r>
        <w:rPr>
          <w:spacing w:val="-23"/>
        </w:rPr>
        <w:t> </w:t>
      </w:r>
      <w:r>
        <w:rPr/>
        <w:t>loss,</w:t>
      </w:r>
      <w:r>
        <w:rPr>
          <w:spacing w:val="-23"/>
        </w:rPr>
        <w:t> </w:t>
      </w:r>
      <w:r>
        <w:rPr/>
        <w:t>whether</w:t>
      </w:r>
      <w:r>
        <w:rPr>
          <w:spacing w:val="-26"/>
        </w:rPr>
        <w:t> </w:t>
      </w:r>
      <w:r>
        <w:rPr/>
        <w:t>under</w:t>
      </w:r>
      <w:r>
        <w:rPr>
          <w:spacing w:val="-23"/>
        </w:rPr>
        <w:t> </w:t>
      </w:r>
      <w:r>
        <w:rPr/>
        <w:t>the</w:t>
      </w:r>
      <w:r>
        <w:rPr>
          <w:spacing w:val="-24"/>
        </w:rPr>
        <w:t> </w:t>
      </w:r>
      <w:r>
        <w:rPr/>
        <w:t>terms</w:t>
      </w:r>
      <w:r>
        <w:rPr>
          <w:spacing w:val="-23"/>
        </w:rPr>
        <w:t> </w:t>
      </w:r>
      <w:r>
        <w:rPr/>
        <w:t>of</w:t>
      </w:r>
      <w:r>
        <w:rPr>
          <w:spacing w:val="-23"/>
        </w:rPr>
        <w:t> </w:t>
      </w:r>
      <w:r>
        <w:rPr/>
        <w:t>an</w:t>
      </w:r>
      <w:r>
        <w:rPr>
          <w:spacing w:val="-20"/>
        </w:rPr>
        <w:t> </w:t>
      </w:r>
      <w:r>
        <w:rPr/>
        <w:t>insurance</w:t>
      </w:r>
    </w:p>
    <w:p>
      <w:pPr>
        <w:pStyle w:val="BodyText"/>
        <w:spacing w:before="11"/>
        <w:rPr>
          <w:sz w:val="18"/>
        </w:rPr>
      </w:pPr>
      <w:r>
        <w:rPr/>
        <w:pict>
          <v:shape style="position:absolute;margin-left:162pt;margin-top:14.005039pt;width:143.9pt;height:.1pt;mso-position-horizontal-relative:page;mso-position-vertical-relative:paragraph;z-index:-251584512;mso-wrap-distance-left:0;mso-wrap-distance-right:0" coordorigin="3240,280" coordsize="2878,0" path="m3240,280l6118,280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3"/>
        </w:numPr>
        <w:tabs>
          <w:tab w:pos="1421" w:val="left" w:leader="none"/>
        </w:tabs>
        <w:spacing w:line="220" w:lineRule="auto" w:before="85" w:after="0"/>
        <w:ind w:left="1160" w:right="1164" w:firstLine="0"/>
        <w:jc w:val="both"/>
        <w:rPr>
          <w:sz w:val="18"/>
        </w:rPr>
      </w:pPr>
      <w:r>
        <w:rPr>
          <w:sz w:val="18"/>
          <w:u w:val="single"/>
        </w:rPr>
        <w:t>Auto-Owners</w:t>
      </w:r>
      <w:r>
        <w:rPr>
          <w:spacing w:val="-17"/>
          <w:sz w:val="18"/>
          <w:u w:val="single"/>
        </w:rPr>
        <w:t> </w:t>
      </w:r>
      <w:r>
        <w:rPr>
          <w:sz w:val="18"/>
          <w:u w:val="single"/>
        </w:rPr>
        <w:t>Ins.</w:t>
      </w:r>
      <w:r>
        <w:rPr>
          <w:spacing w:val="-15"/>
          <w:sz w:val="18"/>
          <w:u w:val="single"/>
        </w:rPr>
        <w:t> </w:t>
      </w:r>
      <w:r>
        <w:rPr>
          <w:sz w:val="18"/>
          <w:u w:val="single"/>
        </w:rPr>
        <w:t>Co.</w:t>
      </w:r>
      <w:r>
        <w:rPr>
          <w:spacing w:val="-15"/>
          <w:sz w:val="18"/>
          <w:u w:val="single"/>
        </w:rPr>
        <w:t> </w:t>
      </w:r>
      <w:r>
        <w:rPr>
          <w:sz w:val="18"/>
          <w:u w:val="single"/>
        </w:rPr>
        <w:t>v.</w:t>
      </w:r>
      <w:r>
        <w:rPr>
          <w:spacing w:val="-17"/>
          <w:sz w:val="18"/>
          <w:u w:val="single"/>
        </w:rPr>
        <w:t> </w:t>
      </w:r>
      <w:r>
        <w:rPr>
          <w:sz w:val="18"/>
          <w:u w:val="single"/>
        </w:rPr>
        <w:t>Summit</w:t>
      </w:r>
      <w:r>
        <w:rPr>
          <w:spacing w:val="-17"/>
          <w:sz w:val="18"/>
          <w:u w:val="single"/>
        </w:rPr>
        <w:t> </w:t>
      </w:r>
      <w:r>
        <w:rPr>
          <w:sz w:val="18"/>
          <w:u w:val="single"/>
        </w:rPr>
        <w:t>Park</w:t>
      </w:r>
      <w:r>
        <w:rPr>
          <w:spacing w:val="-20"/>
          <w:sz w:val="18"/>
          <w:u w:val="single"/>
        </w:rPr>
        <w:t> </w:t>
      </w:r>
      <w:r>
        <w:rPr>
          <w:sz w:val="18"/>
          <w:u w:val="single"/>
        </w:rPr>
        <w:t>Townhome</w:t>
      </w:r>
      <w:r>
        <w:rPr>
          <w:spacing w:val="-18"/>
          <w:sz w:val="18"/>
          <w:u w:val="single"/>
        </w:rPr>
        <w:t> </w:t>
      </w:r>
      <w:r>
        <w:rPr>
          <w:sz w:val="18"/>
          <w:u w:val="single"/>
        </w:rPr>
        <w:t>Ass’n</w:t>
      </w:r>
      <w:r>
        <w:rPr>
          <w:sz w:val="18"/>
        </w:rPr>
        <w:t>,</w:t>
      </w:r>
      <w:r>
        <w:rPr>
          <w:spacing w:val="-17"/>
          <w:sz w:val="18"/>
        </w:rPr>
        <w:t> </w:t>
      </w:r>
      <w:r>
        <w:rPr>
          <w:sz w:val="18"/>
        </w:rPr>
        <w:t>2015</w:t>
      </w:r>
      <w:r>
        <w:rPr>
          <w:spacing w:val="-14"/>
          <w:sz w:val="18"/>
        </w:rPr>
        <w:t> </w:t>
      </w:r>
      <w:r>
        <w:rPr>
          <w:sz w:val="18"/>
        </w:rPr>
        <w:t>U.S.</w:t>
      </w:r>
      <w:r>
        <w:rPr>
          <w:spacing w:val="-14"/>
          <w:sz w:val="18"/>
        </w:rPr>
        <w:t> </w:t>
      </w:r>
      <w:r>
        <w:rPr>
          <w:sz w:val="18"/>
        </w:rPr>
        <w:t>Dist.</w:t>
      </w:r>
      <w:r>
        <w:rPr>
          <w:spacing w:val="-15"/>
          <w:sz w:val="18"/>
        </w:rPr>
        <w:t> </w:t>
      </w:r>
      <w:r>
        <w:rPr>
          <w:sz w:val="18"/>
        </w:rPr>
        <w:t>LEXIS</w:t>
      </w:r>
      <w:r>
        <w:rPr>
          <w:spacing w:val="-15"/>
          <w:sz w:val="18"/>
        </w:rPr>
        <w:t> </w:t>
      </w:r>
      <w:r>
        <w:rPr>
          <w:sz w:val="18"/>
        </w:rPr>
        <w:t>48854.</w:t>
      </w:r>
      <w:r>
        <w:rPr>
          <w:position w:val="10"/>
          <w:sz w:val="18"/>
        </w:rPr>
        <w:t> </w:t>
      </w:r>
      <w:r>
        <w:rPr>
          <w:position w:val="10"/>
          <w:sz w:val="14"/>
        </w:rPr>
        <w:t>198</w:t>
      </w:r>
      <w:r>
        <w:rPr>
          <w:sz w:val="14"/>
        </w:rPr>
        <w:t> </w:t>
      </w:r>
      <w:r>
        <w:rPr>
          <w:sz w:val="18"/>
          <w:u w:val="single"/>
        </w:rPr>
        <w:t>Spearman Ind. Inc. v. St. Paul Fire &amp; Marine Ins. Co.</w:t>
      </w:r>
      <w:r>
        <w:rPr>
          <w:sz w:val="18"/>
        </w:rPr>
        <w:t>, 109 F. Supp.2d 905 (N.D. Ill 2002).</w:t>
      </w:r>
    </w:p>
    <w:p>
      <w:pPr>
        <w:spacing w:after="0" w:line="220" w:lineRule="auto"/>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144" w:id="55"/>
      <w:bookmarkEnd w:id="55"/>
      <w:r>
        <w:rPr/>
      </w:r>
      <w:r>
        <w:rPr/>
        <w:t>policy or pursuant to an independent agreement between parties, are valid and binding. The court acknowledged that the issue of an appraiser’s authority to determine causation or issues of coverage had not previously been fully considered in Iowa. Ultimately, it held that an appraiser must determine the amount of loss as part of appraisal</w:t>
      </w:r>
      <w:r>
        <w:rPr>
          <w:spacing w:val="-42"/>
        </w:rPr>
        <w:t> </w:t>
      </w:r>
      <w:r>
        <w:rPr>
          <w:spacing w:val="-3"/>
        </w:rPr>
        <w:t>process,</w:t>
      </w:r>
      <w:r>
        <w:rPr>
          <w:spacing w:val="-45"/>
        </w:rPr>
        <w:t> </w:t>
      </w:r>
      <w:r>
        <w:rPr/>
        <w:t>an</w:t>
      </w:r>
      <w:r>
        <w:rPr>
          <w:spacing w:val="-41"/>
        </w:rPr>
        <w:t> </w:t>
      </w:r>
      <w:r>
        <w:rPr/>
        <w:t>undertaking</w:t>
      </w:r>
      <w:r>
        <w:rPr>
          <w:spacing w:val="-40"/>
        </w:rPr>
        <w:t> </w:t>
      </w:r>
      <w:r>
        <w:rPr/>
        <w:t>“which</w:t>
      </w:r>
      <w:r>
        <w:rPr>
          <w:spacing w:val="-41"/>
        </w:rPr>
        <w:t> </w:t>
      </w:r>
      <w:r>
        <w:rPr/>
        <w:t>often requires consideration of causation.” Absent the ability to consider causation, an “integral part of the definition of loss,” an appraiser would be unable to take part in its assigned functions.</w:t>
      </w:r>
      <w:r>
        <w:rPr>
          <w:spacing w:val="-28"/>
        </w:rPr>
        <w:t> </w:t>
      </w:r>
      <w:r>
        <w:rPr/>
        <w:t>The</w:t>
      </w:r>
      <w:r>
        <w:rPr>
          <w:spacing w:val="-26"/>
        </w:rPr>
        <w:t> </w:t>
      </w:r>
      <w:r>
        <w:rPr/>
        <w:t>court</w:t>
      </w:r>
      <w:r>
        <w:rPr>
          <w:spacing w:val="-28"/>
        </w:rPr>
        <w:t> </w:t>
      </w:r>
      <w:r>
        <w:rPr/>
        <w:t>determined</w:t>
      </w:r>
      <w:r>
        <w:rPr>
          <w:spacing w:val="-28"/>
        </w:rPr>
        <w:t> </w:t>
      </w:r>
      <w:r>
        <w:rPr/>
        <w:t>that</w:t>
      </w:r>
      <w:r>
        <w:rPr>
          <w:spacing w:val="-27"/>
        </w:rPr>
        <w:t> </w:t>
      </w:r>
      <w:r>
        <w:rPr/>
        <w:t>this</w:t>
      </w:r>
      <w:r>
        <w:rPr>
          <w:spacing w:val="-26"/>
        </w:rPr>
        <w:t> </w:t>
      </w:r>
      <w:r>
        <w:rPr/>
        <w:t>would constitute an improper limit of the appraisal process to circumstances where only the monetary amount of a loss was a disputed matter.</w:t>
      </w:r>
      <w:r>
        <w:rPr>
          <w:vertAlign w:val="superscript"/>
        </w:rPr>
        <w:t>199</w:t>
      </w:r>
    </w:p>
    <w:p>
      <w:pPr>
        <w:pStyle w:val="BodyText"/>
        <w:spacing w:before="8"/>
        <w:rPr>
          <w:sz w:val="25"/>
        </w:rPr>
      </w:pPr>
    </w:p>
    <w:p>
      <w:pPr>
        <w:pStyle w:val="BodyText"/>
        <w:spacing w:line="242" w:lineRule="auto"/>
        <w:ind w:left="1520" w:right="1519" w:firstLine="720"/>
        <w:jc w:val="both"/>
      </w:pPr>
      <w:r>
        <w:rPr/>
        <w:t>Indeed,</w:t>
      </w:r>
      <w:r>
        <w:rPr>
          <w:spacing w:val="-14"/>
        </w:rPr>
        <w:t> </w:t>
      </w:r>
      <w:r>
        <w:rPr/>
        <w:t>a</w:t>
      </w:r>
      <w:r>
        <w:rPr>
          <w:spacing w:val="-11"/>
        </w:rPr>
        <w:t> </w:t>
      </w:r>
      <w:r>
        <w:rPr/>
        <w:t>Federal</w:t>
      </w:r>
      <w:r>
        <w:rPr>
          <w:spacing w:val="-10"/>
        </w:rPr>
        <w:t> </w:t>
      </w:r>
      <w:r>
        <w:rPr/>
        <w:t>District</w:t>
      </w:r>
      <w:r>
        <w:rPr>
          <w:spacing w:val="-13"/>
        </w:rPr>
        <w:t> </w:t>
      </w:r>
      <w:r>
        <w:rPr/>
        <w:t>Judge</w:t>
      </w:r>
      <w:r>
        <w:rPr>
          <w:spacing w:val="-10"/>
        </w:rPr>
        <w:t> </w:t>
      </w:r>
      <w:r>
        <w:rPr/>
        <w:t>sitting</w:t>
      </w:r>
      <w:r>
        <w:rPr>
          <w:spacing w:val="-9"/>
        </w:rPr>
        <w:t> </w:t>
      </w:r>
      <w:r>
        <w:rPr/>
        <w:t>in the Northern District of Iowa, in attempting to predict how the Iowa Supreme Court would rule on the appraisability of claims raising causation and coverage issues,</w:t>
      </w:r>
      <w:r>
        <w:rPr>
          <w:spacing w:val="-9"/>
        </w:rPr>
        <w:t> </w:t>
      </w:r>
      <w:r>
        <w:rPr/>
        <w:t>stated:</w:t>
      </w:r>
    </w:p>
    <w:p>
      <w:pPr>
        <w:pStyle w:val="BodyText"/>
        <w:spacing w:before="1"/>
      </w:pPr>
    </w:p>
    <w:p>
      <w:pPr>
        <w:pStyle w:val="BodyText"/>
        <w:spacing w:line="242" w:lineRule="auto"/>
        <w:ind w:left="2240" w:right="2238"/>
        <w:jc w:val="both"/>
      </w:pPr>
      <w:r>
        <w:rPr/>
        <w:t>“...[T]he outcome I predict would be adopted in Iowa, is that a dispute over coverage or causation does not eviscerate an</w:t>
      </w:r>
    </w:p>
    <w:p>
      <w:pPr>
        <w:pStyle w:val="BodyText"/>
        <w:rPr>
          <w:sz w:val="20"/>
        </w:rPr>
      </w:pPr>
    </w:p>
    <w:p>
      <w:pPr>
        <w:pStyle w:val="BodyText"/>
        <w:spacing w:before="3"/>
        <w:rPr>
          <w:sz w:val="13"/>
        </w:rPr>
      </w:pPr>
      <w:r>
        <w:rPr/>
        <w:pict>
          <v:shape style="position:absolute;margin-left:162pt;margin-top:10.537945pt;width:143.9pt;height:.1pt;mso-position-horizontal-relative:page;mso-position-vertical-relative:paragraph;z-index:-251583488;mso-wrap-distance-left:0;mso-wrap-distance-right:0" coordorigin="3240,211" coordsize="2878,0" path="m3240,211l6118,211e" filled="false" stroked="true" strokeweight=".84pt" strokecolor="#000000">
            <v:path arrowok="t"/>
            <v:stroke dashstyle="solid"/>
            <w10:wrap type="topAndBottom"/>
          </v:shape>
        </w:pict>
      </w:r>
    </w:p>
    <w:p>
      <w:pPr>
        <w:pStyle w:val="BodyText"/>
        <w:spacing w:before="10"/>
        <w:rPr>
          <w:sz w:val="13"/>
        </w:rPr>
      </w:pPr>
    </w:p>
    <w:p>
      <w:pPr>
        <w:pStyle w:val="ListParagraph"/>
        <w:numPr>
          <w:ilvl w:val="0"/>
          <w:numId w:val="14"/>
        </w:numPr>
        <w:tabs>
          <w:tab w:pos="1433" w:val="left" w:leader="none"/>
        </w:tabs>
        <w:spacing w:line="256" w:lineRule="auto" w:before="80" w:after="0"/>
        <w:ind w:left="1160" w:right="1160" w:firstLine="0"/>
        <w:jc w:val="left"/>
        <w:rPr>
          <w:sz w:val="18"/>
        </w:rPr>
      </w:pPr>
      <w:r>
        <w:rPr>
          <w:sz w:val="18"/>
          <w:u w:val="single"/>
        </w:rPr>
        <w:t>North</w:t>
      </w:r>
      <w:r>
        <w:rPr>
          <w:spacing w:val="-14"/>
          <w:sz w:val="18"/>
          <w:u w:val="single"/>
        </w:rPr>
        <w:t> </w:t>
      </w:r>
      <w:r>
        <w:rPr>
          <w:sz w:val="18"/>
          <w:u w:val="single"/>
        </w:rPr>
        <w:t>Glenn</w:t>
      </w:r>
      <w:r>
        <w:rPr>
          <w:spacing w:val="-15"/>
          <w:sz w:val="18"/>
          <w:u w:val="single"/>
        </w:rPr>
        <w:t> </w:t>
      </w:r>
      <w:r>
        <w:rPr>
          <w:sz w:val="18"/>
          <w:u w:val="single"/>
        </w:rPr>
        <w:t>Homeowners</w:t>
      </w:r>
      <w:r>
        <w:rPr>
          <w:spacing w:val="-15"/>
          <w:sz w:val="18"/>
          <w:u w:val="single"/>
        </w:rPr>
        <w:t> </w:t>
      </w:r>
      <w:r>
        <w:rPr>
          <w:sz w:val="18"/>
          <w:u w:val="single"/>
        </w:rPr>
        <w:t>Ass’n</w:t>
      </w:r>
      <w:r>
        <w:rPr>
          <w:spacing w:val="-15"/>
          <w:sz w:val="18"/>
          <w:u w:val="single"/>
        </w:rPr>
        <w:t> </w:t>
      </w:r>
      <w:r>
        <w:rPr>
          <w:sz w:val="18"/>
          <w:u w:val="single"/>
        </w:rPr>
        <w:t>v.</w:t>
      </w:r>
      <w:r>
        <w:rPr>
          <w:spacing w:val="-15"/>
          <w:sz w:val="18"/>
          <w:u w:val="single"/>
        </w:rPr>
        <w:t> </w:t>
      </w:r>
      <w:r>
        <w:rPr>
          <w:sz w:val="18"/>
          <w:u w:val="single"/>
        </w:rPr>
        <w:t>State</w:t>
      </w:r>
      <w:r>
        <w:rPr>
          <w:spacing w:val="-13"/>
          <w:sz w:val="18"/>
          <w:u w:val="single"/>
        </w:rPr>
        <w:t> </w:t>
      </w:r>
      <w:r>
        <w:rPr>
          <w:sz w:val="18"/>
          <w:u w:val="single"/>
        </w:rPr>
        <w:t>Farm</w:t>
      </w:r>
      <w:r>
        <w:rPr>
          <w:spacing w:val="-16"/>
          <w:sz w:val="18"/>
          <w:u w:val="single"/>
        </w:rPr>
        <w:t> </w:t>
      </w:r>
      <w:r>
        <w:rPr>
          <w:sz w:val="18"/>
          <w:u w:val="single"/>
        </w:rPr>
        <w:t>Fire</w:t>
      </w:r>
      <w:r>
        <w:rPr>
          <w:spacing w:val="-12"/>
          <w:sz w:val="18"/>
          <w:u w:val="single"/>
        </w:rPr>
        <w:t> </w:t>
      </w:r>
      <w:r>
        <w:rPr>
          <w:sz w:val="18"/>
          <w:u w:val="single"/>
        </w:rPr>
        <w:t>and</w:t>
      </w:r>
      <w:r>
        <w:rPr>
          <w:spacing w:val="-13"/>
          <w:sz w:val="18"/>
          <w:u w:val="single"/>
        </w:rPr>
        <w:t> </w:t>
      </w:r>
      <w:r>
        <w:rPr>
          <w:sz w:val="18"/>
          <w:u w:val="single"/>
        </w:rPr>
        <w:t>Cas.</w:t>
      </w:r>
      <w:r>
        <w:rPr>
          <w:spacing w:val="-13"/>
          <w:sz w:val="18"/>
          <w:u w:val="single"/>
        </w:rPr>
        <w:t> </w:t>
      </w:r>
      <w:r>
        <w:rPr>
          <w:sz w:val="18"/>
          <w:u w:val="single"/>
        </w:rPr>
        <w:t>Co.</w:t>
      </w:r>
      <w:r>
        <w:rPr>
          <w:sz w:val="18"/>
        </w:rPr>
        <w:t>,</w:t>
      </w:r>
      <w:r>
        <w:rPr>
          <w:spacing w:val="-12"/>
          <w:sz w:val="18"/>
        </w:rPr>
        <w:t> </w:t>
      </w:r>
      <w:r>
        <w:rPr>
          <w:sz w:val="18"/>
        </w:rPr>
        <w:t>854</w:t>
      </w:r>
      <w:r>
        <w:rPr>
          <w:spacing w:val="-12"/>
          <w:sz w:val="18"/>
        </w:rPr>
        <w:t> </w:t>
      </w:r>
      <w:r>
        <w:rPr>
          <w:sz w:val="18"/>
        </w:rPr>
        <w:t>N.W.</w:t>
      </w:r>
      <w:r>
        <w:rPr>
          <w:spacing w:val="-12"/>
          <w:sz w:val="18"/>
        </w:rPr>
        <w:t> </w:t>
      </w:r>
      <w:r>
        <w:rPr>
          <w:sz w:val="18"/>
        </w:rPr>
        <w:t>2d</w:t>
      </w:r>
      <w:r>
        <w:rPr>
          <w:spacing w:val="-14"/>
          <w:sz w:val="18"/>
        </w:rPr>
        <w:t> </w:t>
      </w:r>
      <w:r>
        <w:rPr>
          <w:sz w:val="18"/>
        </w:rPr>
        <w:t>67</w:t>
      </w:r>
      <w:r>
        <w:rPr>
          <w:spacing w:val="-14"/>
          <w:sz w:val="18"/>
        </w:rPr>
        <w:t> </w:t>
      </w:r>
      <w:r>
        <w:rPr>
          <w:sz w:val="18"/>
        </w:rPr>
        <w:t>(Iowa Ct. App. 2014).</w:t>
      </w:r>
    </w:p>
    <w:p>
      <w:pPr>
        <w:spacing w:after="0" w:line="256"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2240" w:right="2234"/>
        <w:jc w:val="both"/>
      </w:pPr>
      <w:bookmarkStart w:name="Law and Procedure 145" w:id="56"/>
      <w:bookmarkEnd w:id="56"/>
      <w:r>
        <w:rPr/>
      </w:r>
      <w:r>
        <w:rPr/>
        <w:t>insurance</w:t>
      </w:r>
      <w:r>
        <w:rPr>
          <w:spacing w:val="-49"/>
        </w:rPr>
        <w:t> </w:t>
      </w:r>
      <w:r>
        <w:rPr/>
        <w:t>policy’s</w:t>
      </w:r>
      <w:r>
        <w:rPr>
          <w:spacing w:val="-48"/>
        </w:rPr>
        <w:t> </w:t>
      </w:r>
      <w:r>
        <w:rPr/>
        <w:t>appraisal</w:t>
      </w:r>
      <w:r>
        <w:rPr>
          <w:spacing w:val="-47"/>
        </w:rPr>
        <w:t> </w:t>
      </w:r>
      <w:r>
        <w:rPr/>
        <w:t>clause. Instead,</w:t>
      </w:r>
      <w:r>
        <w:rPr>
          <w:spacing w:val="-17"/>
        </w:rPr>
        <w:t> </w:t>
      </w:r>
      <w:r>
        <w:rPr/>
        <w:t>upon</w:t>
      </w:r>
      <w:r>
        <w:rPr>
          <w:spacing w:val="-14"/>
        </w:rPr>
        <w:t> </w:t>
      </w:r>
      <w:r>
        <w:rPr/>
        <w:t>either</w:t>
      </w:r>
      <w:r>
        <w:rPr>
          <w:spacing w:val="-15"/>
        </w:rPr>
        <w:t> </w:t>
      </w:r>
      <w:r>
        <w:rPr/>
        <w:t>party’s</w:t>
      </w:r>
      <w:r>
        <w:rPr>
          <w:spacing w:val="-15"/>
        </w:rPr>
        <w:t> </w:t>
      </w:r>
      <w:r>
        <w:rPr/>
        <w:t>written demand, a dispute over the amount of loss is subject to the </w:t>
      </w:r>
      <w:r>
        <w:rPr>
          <w:spacing w:val="4"/>
        </w:rPr>
        <w:t>contractual appraisal </w:t>
      </w:r>
      <w:r>
        <w:rPr>
          <w:spacing w:val="3"/>
        </w:rPr>
        <w:t>process </w:t>
      </w:r>
      <w:r>
        <w:rPr/>
        <w:t>despite questions as to coverage or</w:t>
      </w:r>
      <w:r>
        <w:rPr>
          <w:spacing w:val="-27"/>
        </w:rPr>
        <w:t> </w:t>
      </w:r>
      <w:r>
        <w:rPr/>
        <w:t>causation.</w:t>
      </w:r>
      <w:r>
        <w:rPr>
          <w:spacing w:val="-25"/>
        </w:rPr>
        <w:t> </w:t>
      </w:r>
      <w:r>
        <w:rPr/>
        <w:t>Once</w:t>
      </w:r>
      <w:r>
        <w:rPr>
          <w:spacing w:val="-24"/>
        </w:rPr>
        <w:t> </w:t>
      </w:r>
      <w:r>
        <w:rPr/>
        <w:t>appointed,</w:t>
      </w:r>
      <w:r>
        <w:rPr>
          <w:spacing w:val="-26"/>
        </w:rPr>
        <w:t> </w:t>
      </w:r>
      <w:r>
        <w:rPr/>
        <w:t>the appraisers must determine the amount of the loss without regard to causation, disputes or defenses to coverage. Basically, this means “valuing each item of loss</w:t>
      </w:r>
      <w:r>
        <w:rPr>
          <w:spacing w:val="-38"/>
        </w:rPr>
        <w:t> </w:t>
      </w:r>
      <w:r>
        <w:rPr/>
        <w:t>claimed by the insured, in a sworn proof of loss, even if the insurer disputes causation of and/or coverage </w:t>
      </w:r>
      <w:r>
        <w:rPr>
          <w:spacing w:val="-4"/>
        </w:rPr>
        <w:t>for </w:t>
      </w:r>
      <w:r>
        <w:rPr/>
        <w:t>some or all of these items. Questions</w:t>
      </w:r>
      <w:r>
        <w:rPr>
          <w:spacing w:val="-22"/>
        </w:rPr>
        <w:t> </w:t>
      </w:r>
      <w:r>
        <w:rPr/>
        <w:t>as</w:t>
      </w:r>
      <w:r>
        <w:rPr>
          <w:spacing w:val="-19"/>
        </w:rPr>
        <w:t> </w:t>
      </w:r>
      <w:r>
        <w:rPr/>
        <w:t>to</w:t>
      </w:r>
      <w:r>
        <w:rPr>
          <w:spacing w:val="-20"/>
        </w:rPr>
        <w:t> </w:t>
      </w:r>
      <w:r>
        <w:rPr/>
        <w:t>wether</w:t>
      </w:r>
      <w:r>
        <w:rPr>
          <w:spacing w:val="-21"/>
        </w:rPr>
        <w:t> </w:t>
      </w:r>
      <w:r>
        <w:rPr/>
        <w:t>the</w:t>
      </w:r>
      <w:r>
        <w:rPr>
          <w:spacing w:val="-20"/>
        </w:rPr>
        <w:t> </w:t>
      </w:r>
      <w:r>
        <w:rPr/>
        <w:t>insurer</w:t>
      </w:r>
      <w:r>
        <w:rPr>
          <w:spacing w:val="-22"/>
        </w:rPr>
        <w:t> </w:t>
      </w:r>
      <w:r>
        <w:rPr/>
        <w:t>is liable for all or part of the loss must be resolved by the court, not by the</w:t>
      </w:r>
      <w:r>
        <w:rPr>
          <w:spacing w:val="-1"/>
        </w:rPr>
        <w:t> </w:t>
      </w:r>
      <w:r>
        <w:rPr/>
        <w:t>appraisers.”</w:t>
      </w:r>
      <w:r>
        <w:rPr>
          <w:vertAlign w:val="superscript"/>
        </w:rPr>
        <w:t>200</w:t>
      </w:r>
    </w:p>
    <w:p>
      <w:pPr>
        <w:pStyle w:val="BodyText"/>
        <w:spacing w:before="7"/>
        <w:rPr>
          <w:sz w:val="25"/>
        </w:rPr>
      </w:pPr>
    </w:p>
    <w:p>
      <w:pPr>
        <w:pStyle w:val="BodyText"/>
        <w:spacing w:line="242" w:lineRule="auto"/>
        <w:ind w:left="1520" w:right="1518" w:firstLine="720"/>
        <w:jc w:val="both"/>
      </w:pPr>
      <w:r>
        <w:rPr>
          <w:spacing w:val="-3"/>
        </w:rPr>
        <w:t>Where </w:t>
      </w:r>
      <w:r>
        <w:rPr/>
        <w:t>a challenge based on </w:t>
      </w:r>
      <w:r>
        <w:rPr>
          <w:spacing w:val="-5"/>
        </w:rPr>
        <w:t>the </w:t>
      </w:r>
      <w:r>
        <w:rPr/>
        <w:t>improper consideration of causation in an appraisal award was raised by one insurer, a Louisiana decision clarified that causation determinations will not necessarily nullify appraisal awards in that jurisdiction. The</w:t>
      </w:r>
      <w:r>
        <w:rPr>
          <w:spacing w:val="-33"/>
        </w:rPr>
        <w:t> </w:t>
      </w:r>
      <w:r>
        <w:rPr/>
        <w:t>Court </w:t>
      </w:r>
      <w:r>
        <w:rPr>
          <w:spacing w:val="14"/>
        </w:rPr>
        <w:t>acknowledged </w:t>
      </w:r>
      <w:r>
        <w:rPr>
          <w:spacing w:val="12"/>
        </w:rPr>
        <w:t>that </w:t>
      </w:r>
      <w:r>
        <w:rPr>
          <w:spacing w:val="13"/>
        </w:rPr>
        <w:t>while </w:t>
      </w:r>
      <w:r>
        <w:rPr>
          <w:spacing w:val="16"/>
        </w:rPr>
        <w:t>causation </w:t>
      </w:r>
      <w:r>
        <w:rPr/>
        <w:t>determinations may be improper </w:t>
      </w:r>
      <w:r>
        <w:rPr>
          <w:spacing w:val="2"/>
        </w:rPr>
        <w:t>in </w:t>
      </w:r>
      <w:r>
        <w:rPr/>
        <w:t>rendering an appraisal award in Louisiana, an</w:t>
      </w:r>
      <w:r>
        <w:rPr>
          <w:spacing w:val="9"/>
        </w:rPr>
        <w:t> </w:t>
      </w:r>
      <w:r>
        <w:rPr/>
        <w:t>award</w:t>
      </w:r>
    </w:p>
    <w:p>
      <w:pPr>
        <w:pStyle w:val="BodyText"/>
        <w:spacing w:before="3"/>
        <w:rPr>
          <w:sz w:val="27"/>
        </w:rPr>
      </w:pPr>
      <w:r>
        <w:rPr/>
        <w:pict>
          <v:shape style="position:absolute;margin-left:162pt;margin-top:19.120943pt;width:143.9pt;height:.1pt;mso-position-horizontal-relative:page;mso-position-vertical-relative:paragraph;z-index:-251582464;mso-wrap-distance-left:0;mso-wrap-distance-right:0" coordorigin="3240,382" coordsize="2878,0" path="m3240,382l6118,382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4"/>
        </w:numPr>
        <w:tabs>
          <w:tab w:pos="1435" w:val="left" w:leader="none"/>
        </w:tabs>
        <w:spacing w:line="240" w:lineRule="auto" w:before="71" w:after="0"/>
        <w:ind w:left="1434" w:right="105" w:hanging="1435"/>
        <w:jc w:val="left"/>
        <w:rPr>
          <w:sz w:val="18"/>
        </w:rPr>
      </w:pPr>
      <w:r>
        <w:rPr>
          <w:sz w:val="18"/>
          <w:u w:val="single"/>
        </w:rPr>
        <w:t>Mapleton Processing, Inc. v. Society Ins. Co.</w:t>
      </w:r>
      <w:r>
        <w:rPr>
          <w:sz w:val="18"/>
        </w:rPr>
        <w:t>, 2013 WL 3467190 (N.D. Iowa</w:t>
      </w:r>
      <w:r>
        <w:rPr>
          <w:spacing w:val="-1"/>
          <w:sz w:val="18"/>
        </w:rPr>
        <w:t> </w:t>
      </w:r>
      <w:r>
        <w:rPr>
          <w:sz w:val="18"/>
        </w:rPr>
        <w:t>2013).</w:t>
      </w:r>
    </w:p>
    <w:p>
      <w:pPr>
        <w:spacing w:after="0" w:line="240"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146" w:id="57"/>
      <w:bookmarkEnd w:id="57"/>
      <w:r>
        <w:rPr/>
      </w:r>
      <w:r>
        <w:rPr/>
        <w:t>may</w:t>
      </w:r>
      <w:r>
        <w:rPr>
          <w:spacing w:val="-17"/>
        </w:rPr>
        <w:t> </w:t>
      </w:r>
      <w:r>
        <w:rPr/>
        <w:t>still</w:t>
      </w:r>
      <w:r>
        <w:rPr>
          <w:spacing w:val="-11"/>
        </w:rPr>
        <w:t> </w:t>
      </w:r>
      <w:r>
        <w:rPr/>
        <w:t>stand</w:t>
      </w:r>
      <w:r>
        <w:rPr>
          <w:spacing w:val="-11"/>
        </w:rPr>
        <w:t> </w:t>
      </w:r>
      <w:r>
        <w:rPr/>
        <w:t>as</w:t>
      </w:r>
      <w:r>
        <w:rPr>
          <w:spacing w:val="-11"/>
        </w:rPr>
        <w:t> </w:t>
      </w:r>
      <w:r>
        <w:rPr/>
        <w:t>any</w:t>
      </w:r>
      <w:r>
        <w:rPr>
          <w:spacing w:val="-13"/>
        </w:rPr>
        <w:t> </w:t>
      </w:r>
      <w:r>
        <w:rPr/>
        <w:t>such</w:t>
      </w:r>
      <w:r>
        <w:rPr>
          <w:spacing w:val="-11"/>
        </w:rPr>
        <w:t> </w:t>
      </w:r>
      <w:r>
        <w:rPr/>
        <w:t>determinations</w:t>
      </w:r>
      <w:r>
        <w:rPr>
          <w:spacing w:val="-13"/>
        </w:rPr>
        <w:t> </w:t>
      </w:r>
      <w:r>
        <w:rPr>
          <w:spacing w:val="-4"/>
        </w:rPr>
        <w:t>can </w:t>
      </w:r>
      <w:r>
        <w:rPr/>
        <w:t>be challenged and thus are not binding on either party or the Court. There, an appraiser had argued that issues of causation must </w:t>
      </w:r>
      <w:r>
        <w:rPr>
          <w:spacing w:val="-6"/>
        </w:rPr>
        <w:t>be </w:t>
      </w:r>
      <w:r>
        <w:rPr/>
        <w:t>assessed in order to evaluate the “amount of the loss” under the plain language of the policy, recognizing that his work as an appraiser was not to decide coverage or liability matters. Finding no contrary state authority, the Court ultimately held the extent to</w:t>
      </w:r>
      <w:r>
        <w:rPr>
          <w:spacing w:val="-28"/>
        </w:rPr>
        <w:t> </w:t>
      </w:r>
      <w:r>
        <w:rPr/>
        <w:t>which</w:t>
      </w:r>
      <w:r>
        <w:rPr>
          <w:spacing w:val="-28"/>
        </w:rPr>
        <w:t> </w:t>
      </w:r>
      <w:r>
        <w:rPr/>
        <w:t>the</w:t>
      </w:r>
      <w:r>
        <w:rPr>
          <w:spacing w:val="-31"/>
        </w:rPr>
        <w:t> </w:t>
      </w:r>
      <w:r>
        <w:rPr/>
        <w:t>appraiser</w:t>
      </w:r>
      <w:r>
        <w:rPr>
          <w:spacing w:val="-31"/>
        </w:rPr>
        <w:t> </w:t>
      </w:r>
      <w:r>
        <w:rPr/>
        <w:t>incorporated</w:t>
      </w:r>
      <w:r>
        <w:rPr>
          <w:spacing w:val="-29"/>
        </w:rPr>
        <w:t> </w:t>
      </w:r>
      <w:r>
        <w:rPr/>
        <w:t>causation into the appraisal process alone did not form sufficient grounds for vacating the</w:t>
      </w:r>
      <w:r>
        <w:rPr>
          <w:spacing w:val="-10"/>
        </w:rPr>
        <w:t> </w:t>
      </w:r>
      <w:r>
        <w:rPr/>
        <w:t>award.</w:t>
      </w:r>
      <w:r>
        <w:rPr>
          <w:vertAlign w:val="superscript"/>
        </w:rPr>
        <w:t>201</w:t>
      </w:r>
    </w:p>
    <w:p>
      <w:pPr>
        <w:pStyle w:val="BodyText"/>
        <w:spacing w:before="10"/>
        <w:rPr>
          <w:sz w:val="25"/>
        </w:rPr>
      </w:pPr>
    </w:p>
    <w:p>
      <w:pPr>
        <w:pStyle w:val="BodyText"/>
        <w:spacing w:line="242" w:lineRule="auto"/>
        <w:ind w:left="1520" w:right="1517" w:firstLine="720"/>
        <w:jc w:val="both"/>
      </w:pPr>
      <w:r>
        <w:rPr>
          <w:spacing w:val="3"/>
        </w:rPr>
        <w:t>In </w:t>
      </w:r>
      <w:r>
        <w:rPr/>
        <w:t>a minority of jurisdictions, the rule that causation and other coverage issues are </w:t>
      </w:r>
      <w:r>
        <w:rPr>
          <w:spacing w:val="-4"/>
        </w:rPr>
        <w:t>not </w:t>
      </w:r>
      <w:r>
        <w:rPr/>
        <w:t>proper for appraisal is commonly </w:t>
      </w:r>
      <w:r>
        <w:rPr>
          <w:spacing w:val="-8"/>
        </w:rPr>
        <w:t>held.</w:t>
      </w:r>
      <w:r>
        <w:rPr>
          <w:spacing w:val="-8"/>
          <w:vertAlign w:val="superscript"/>
        </w:rPr>
        <w:t>202</w:t>
      </w:r>
      <w:r>
        <w:rPr>
          <w:spacing w:val="-8"/>
          <w:vertAlign w:val="baseline"/>
        </w:rPr>
        <w:t> </w:t>
      </w:r>
      <w:r>
        <w:rPr>
          <w:vertAlign w:val="baseline"/>
        </w:rPr>
        <w:t>However,</w:t>
      </w:r>
      <w:r>
        <w:rPr>
          <w:spacing w:val="-11"/>
          <w:vertAlign w:val="baseline"/>
        </w:rPr>
        <w:t> </w:t>
      </w:r>
      <w:r>
        <w:rPr>
          <w:vertAlign w:val="baseline"/>
        </w:rPr>
        <w:t>where</w:t>
      </w:r>
      <w:r>
        <w:rPr>
          <w:spacing w:val="-9"/>
          <w:vertAlign w:val="baseline"/>
        </w:rPr>
        <w:t> </w:t>
      </w:r>
      <w:r>
        <w:rPr>
          <w:vertAlign w:val="baseline"/>
        </w:rPr>
        <w:t>coverage</w:t>
      </w:r>
      <w:r>
        <w:rPr>
          <w:spacing w:val="-9"/>
          <w:vertAlign w:val="baseline"/>
        </w:rPr>
        <w:t> </w:t>
      </w:r>
      <w:r>
        <w:rPr>
          <w:vertAlign w:val="baseline"/>
        </w:rPr>
        <w:t>for</w:t>
      </w:r>
      <w:r>
        <w:rPr>
          <w:spacing w:val="-12"/>
          <w:vertAlign w:val="baseline"/>
        </w:rPr>
        <w:t> </w:t>
      </w:r>
      <w:r>
        <w:rPr>
          <w:vertAlign w:val="baseline"/>
        </w:rPr>
        <w:t>a</w:t>
      </w:r>
      <w:r>
        <w:rPr>
          <w:spacing w:val="-7"/>
          <w:vertAlign w:val="baseline"/>
        </w:rPr>
        <w:t> </w:t>
      </w:r>
      <w:r>
        <w:rPr>
          <w:vertAlign w:val="baseline"/>
        </w:rPr>
        <w:t>portion</w:t>
      </w:r>
      <w:r>
        <w:rPr>
          <w:spacing w:val="-9"/>
          <w:vertAlign w:val="baseline"/>
        </w:rPr>
        <w:t> </w:t>
      </w:r>
      <w:r>
        <w:rPr>
          <w:vertAlign w:val="baseline"/>
        </w:rPr>
        <w:t>of</w:t>
      </w:r>
      <w:r>
        <w:rPr>
          <w:spacing w:val="-8"/>
          <w:vertAlign w:val="baseline"/>
        </w:rPr>
        <w:t> </w:t>
      </w:r>
      <w:r>
        <w:rPr>
          <w:vertAlign w:val="baseline"/>
        </w:rPr>
        <w:t>the loss</w:t>
      </w:r>
      <w:r>
        <w:rPr>
          <w:spacing w:val="-14"/>
          <w:vertAlign w:val="baseline"/>
        </w:rPr>
        <w:t> </w:t>
      </w:r>
      <w:r>
        <w:rPr>
          <w:vertAlign w:val="baseline"/>
        </w:rPr>
        <w:t>is</w:t>
      </w:r>
      <w:r>
        <w:rPr>
          <w:spacing w:val="-16"/>
          <w:vertAlign w:val="baseline"/>
        </w:rPr>
        <w:t> </w:t>
      </w:r>
      <w:r>
        <w:rPr>
          <w:vertAlign w:val="baseline"/>
        </w:rPr>
        <w:t>accepted,</w:t>
      </w:r>
      <w:r>
        <w:rPr>
          <w:spacing w:val="-18"/>
          <w:vertAlign w:val="baseline"/>
        </w:rPr>
        <w:t> </w:t>
      </w:r>
      <w:r>
        <w:rPr>
          <w:vertAlign w:val="baseline"/>
        </w:rPr>
        <w:t>there</w:t>
      </w:r>
      <w:r>
        <w:rPr>
          <w:spacing w:val="-16"/>
          <w:vertAlign w:val="baseline"/>
        </w:rPr>
        <w:t> </w:t>
      </w:r>
      <w:r>
        <w:rPr>
          <w:vertAlign w:val="baseline"/>
        </w:rPr>
        <w:t>is</w:t>
      </w:r>
      <w:r>
        <w:rPr>
          <w:spacing w:val="-18"/>
          <w:vertAlign w:val="baseline"/>
        </w:rPr>
        <w:t> </w:t>
      </w:r>
      <w:r>
        <w:rPr>
          <w:vertAlign w:val="baseline"/>
        </w:rPr>
        <w:t>a</w:t>
      </w:r>
      <w:r>
        <w:rPr>
          <w:spacing w:val="-19"/>
          <w:vertAlign w:val="baseline"/>
        </w:rPr>
        <w:t> </w:t>
      </w:r>
      <w:r>
        <w:rPr>
          <w:vertAlign w:val="baseline"/>
        </w:rPr>
        <w:t>logic</w:t>
      </w:r>
      <w:r>
        <w:rPr>
          <w:spacing w:val="-18"/>
          <w:vertAlign w:val="baseline"/>
        </w:rPr>
        <w:t> </w:t>
      </w:r>
      <w:r>
        <w:rPr>
          <w:vertAlign w:val="baseline"/>
        </w:rPr>
        <w:t>and</w:t>
      </w:r>
      <w:r>
        <w:rPr>
          <w:spacing w:val="-17"/>
          <w:vertAlign w:val="baseline"/>
        </w:rPr>
        <w:t> </w:t>
      </w:r>
      <w:r>
        <w:rPr>
          <w:vertAlign w:val="baseline"/>
        </w:rPr>
        <w:t>efficiency to allowing the appraisers to determine</w:t>
      </w:r>
      <w:r>
        <w:rPr>
          <w:spacing w:val="6"/>
          <w:vertAlign w:val="baseline"/>
        </w:rPr>
        <w:t> </w:t>
      </w:r>
      <w:r>
        <w:rPr>
          <w:vertAlign w:val="baseline"/>
        </w:rPr>
        <w:t>that</w:t>
      </w:r>
    </w:p>
    <w:p>
      <w:pPr>
        <w:pStyle w:val="BodyText"/>
        <w:spacing w:before="10"/>
        <w:rPr>
          <w:sz w:val="19"/>
        </w:rPr>
      </w:pPr>
      <w:r>
        <w:rPr/>
        <w:pict>
          <v:shape style="position:absolute;margin-left:162pt;margin-top:14.594487pt;width:143.9pt;height:.1pt;mso-position-horizontal-relative:page;mso-position-vertical-relative:paragraph;z-index:-251581440;mso-wrap-distance-left:0;mso-wrap-distance-right:0" coordorigin="3240,292" coordsize="2878,0" path="m3240,292l6118,292e" filled="false" stroked="true" strokeweight=".84pt" strokecolor="#000000">
            <v:path arrowok="t"/>
            <v:stroke dashstyle="solid"/>
            <w10:wrap type="topAndBottom"/>
          </v:shape>
        </w:pict>
      </w:r>
    </w:p>
    <w:p>
      <w:pPr>
        <w:pStyle w:val="ListParagraph"/>
        <w:numPr>
          <w:ilvl w:val="0"/>
          <w:numId w:val="14"/>
        </w:numPr>
        <w:tabs>
          <w:tab w:pos="1450" w:val="left" w:leader="none"/>
        </w:tabs>
        <w:spacing w:line="244" w:lineRule="auto" w:before="140" w:after="0"/>
        <w:ind w:left="1160" w:right="1166" w:firstLine="0"/>
        <w:jc w:val="left"/>
        <w:rPr>
          <w:sz w:val="18"/>
        </w:rPr>
      </w:pPr>
      <w:r>
        <w:rPr>
          <w:sz w:val="18"/>
          <w:u w:val="single"/>
        </w:rPr>
        <w:t>St. Charles Parish Hospital Service Dist. No. 1 v. United Fire and Cas. Co.</w:t>
      </w:r>
      <w:r>
        <w:rPr>
          <w:sz w:val="18"/>
        </w:rPr>
        <w:t>, 681 F.Supp.2d 748 (E.D. La.</w:t>
      </w:r>
      <w:r>
        <w:rPr>
          <w:spacing w:val="2"/>
          <w:sz w:val="18"/>
        </w:rPr>
        <w:t> </w:t>
      </w:r>
      <w:r>
        <w:rPr>
          <w:sz w:val="18"/>
        </w:rPr>
        <w:t>2010).</w:t>
      </w:r>
    </w:p>
    <w:p>
      <w:pPr>
        <w:pStyle w:val="ListParagraph"/>
        <w:numPr>
          <w:ilvl w:val="0"/>
          <w:numId w:val="14"/>
        </w:numPr>
        <w:tabs>
          <w:tab w:pos="1406" w:val="left" w:leader="none"/>
        </w:tabs>
        <w:spacing w:line="207" w:lineRule="exact" w:before="0" w:after="0"/>
        <w:ind w:left="1406" w:right="0" w:hanging="246"/>
        <w:jc w:val="both"/>
        <w:rPr>
          <w:sz w:val="18"/>
        </w:rPr>
      </w:pPr>
      <w:r>
        <w:rPr>
          <w:sz w:val="18"/>
          <w:u w:val="single"/>
        </w:rPr>
        <w:t>Munn</w:t>
      </w:r>
      <w:r>
        <w:rPr>
          <w:spacing w:val="-14"/>
          <w:sz w:val="18"/>
          <w:u w:val="single"/>
        </w:rPr>
        <w:t> </w:t>
      </w:r>
      <w:r>
        <w:rPr>
          <w:sz w:val="18"/>
          <w:u w:val="single"/>
        </w:rPr>
        <w:t>v.</w:t>
      </w:r>
      <w:r>
        <w:rPr>
          <w:spacing w:val="-14"/>
          <w:sz w:val="18"/>
          <w:u w:val="single"/>
        </w:rPr>
        <w:t> </w:t>
      </w:r>
      <w:r>
        <w:rPr>
          <w:sz w:val="18"/>
          <w:u w:val="single"/>
        </w:rPr>
        <w:t>National</w:t>
      </w:r>
      <w:r>
        <w:rPr>
          <w:spacing w:val="-15"/>
          <w:sz w:val="18"/>
          <w:u w:val="single"/>
        </w:rPr>
        <w:t> </w:t>
      </w:r>
      <w:r>
        <w:rPr>
          <w:sz w:val="18"/>
          <w:u w:val="single"/>
        </w:rPr>
        <w:t>Fire</w:t>
      </w:r>
      <w:r>
        <w:rPr>
          <w:spacing w:val="-13"/>
          <w:sz w:val="18"/>
          <w:u w:val="single"/>
        </w:rPr>
        <w:t> </w:t>
      </w:r>
      <w:r>
        <w:rPr>
          <w:sz w:val="18"/>
          <w:u w:val="single"/>
        </w:rPr>
        <w:t>Ins.</w:t>
      </w:r>
      <w:r>
        <w:rPr>
          <w:spacing w:val="-12"/>
          <w:sz w:val="18"/>
          <w:u w:val="single"/>
        </w:rPr>
        <w:t> </w:t>
      </w:r>
      <w:r>
        <w:rPr>
          <w:sz w:val="18"/>
          <w:u w:val="single"/>
        </w:rPr>
        <w:t>Co.</w:t>
      </w:r>
      <w:r>
        <w:rPr>
          <w:spacing w:val="-10"/>
          <w:sz w:val="18"/>
          <w:u w:val="single"/>
        </w:rPr>
        <w:t> </w:t>
      </w:r>
      <w:r>
        <w:rPr>
          <w:sz w:val="18"/>
          <w:u w:val="single"/>
        </w:rPr>
        <w:t>of</w:t>
      </w:r>
      <w:r>
        <w:rPr>
          <w:spacing w:val="-14"/>
          <w:sz w:val="18"/>
          <w:u w:val="single"/>
        </w:rPr>
        <w:t> </w:t>
      </w:r>
      <w:r>
        <w:rPr>
          <w:sz w:val="18"/>
          <w:u w:val="single"/>
        </w:rPr>
        <w:t>Hartford</w:t>
      </w:r>
      <w:r>
        <w:rPr>
          <w:sz w:val="18"/>
        </w:rPr>
        <w:t>,</w:t>
      </w:r>
      <w:r>
        <w:rPr>
          <w:spacing w:val="-12"/>
          <w:sz w:val="18"/>
        </w:rPr>
        <w:t> </w:t>
      </w:r>
      <w:r>
        <w:rPr>
          <w:sz w:val="18"/>
        </w:rPr>
        <w:t>237</w:t>
      </w:r>
      <w:r>
        <w:rPr>
          <w:spacing w:val="-10"/>
          <w:sz w:val="18"/>
        </w:rPr>
        <w:t> </w:t>
      </w:r>
      <w:r>
        <w:rPr>
          <w:sz w:val="18"/>
        </w:rPr>
        <w:t>Miss.</w:t>
      </w:r>
      <w:r>
        <w:rPr>
          <w:spacing w:val="-11"/>
          <w:sz w:val="18"/>
        </w:rPr>
        <w:t> </w:t>
      </w:r>
      <w:r>
        <w:rPr>
          <w:sz w:val="18"/>
        </w:rPr>
        <w:t>641,</w:t>
      </w:r>
      <w:r>
        <w:rPr>
          <w:spacing w:val="-12"/>
          <w:sz w:val="18"/>
        </w:rPr>
        <w:t> </w:t>
      </w:r>
      <w:r>
        <w:rPr>
          <w:sz w:val="18"/>
        </w:rPr>
        <w:t>646,</w:t>
      </w:r>
      <w:r>
        <w:rPr>
          <w:spacing w:val="-10"/>
          <w:sz w:val="18"/>
        </w:rPr>
        <w:t> </w:t>
      </w:r>
      <w:r>
        <w:rPr>
          <w:sz w:val="18"/>
        </w:rPr>
        <w:t>115</w:t>
      </w:r>
      <w:r>
        <w:rPr>
          <w:spacing w:val="-13"/>
          <w:sz w:val="18"/>
        </w:rPr>
        <w:t> </w:t>
      </w:r>
      <w:r>
        <w:rPr>
          <w:sz w:val="18"/>
        </w:rPr>
        <w:t>So.2d</w:t>
      </w:r>
      <w:r>
        <w:rPr>
          <w:spacing w:val="-13"/>
          <w:sz w:val="18"/>
        </w:rPr>
        <w:t> </w:t>
      </w:r>
      <w:r>
        <w:rPr>
          <w:sz w:val="18"/>
        </w:rPr>
        <w:t>54,</w:t>
      </w:r>
      <w:r>
        <w:rPr>
          <w:spacing w:val="-13"/>
          <w:sz w:val="18"/>
        </w:rPr>
        <w:t> </w:t>
      </w:r>
      <w:r>
        <w:rPr>
          <w:sz w:val="18"/>
        </w:rPr>
        <w:t>56</w:t>
      </w:r>
      <w:r>
        <w:rPr>
          <w:spacing w:val="-13"/>
          <w:sz w:val="18"/>
        </w:rPr>
        <w:t> </w:t>
      </w:r>
      <w:r>
        <w:rPr>
          <w:sz w:val="18"/>
        </w:rPr>
        <w:t>(1959)</w:t>
      </w:r>
    </w:p>
    <w:p>
      <w:pPr>
        <w:spacing w:line="244" w:lineRule="auto" w:before="4"/>
        <w:ind w:left="1160" w:right="1166" w:firstLine="0"/>
        <w:jc w:val="both"/>
        <w:rPr>
          <w:rFonts w:ascii="Times New Roman" w:hAnsi="Times New Roman"/>
          <w:sz w:val="18"/>
        </w:rPr>
      </w:pPr>
      <w:r>
        <w:rPr>
          <w:rFonts w:ascii="Times New Roman" w:hAnsi="Times New Roman"/>
          <w:sz w:val="18"/>
        </w:rPr>
        <w:t>(holding</w:t>
      </w:r>
      <w:r>
        <w:rPr>
          <w:rFonts w:ascii="Times New Roman" w:hAnsi="Times New Roman"/>
          <w:spacing w:val="-19"/>
          <w:sz w:val="18"/>
        </w:rPr>
        <w:t> </w:t>
      </w:r>
      <w:r>
        <w:rPr>
          <w:rFonts w:ascii="Times New Roman" w:hAnsi="Times New Roman"/>
          <w:sz w:val="18"/>
        </w:rPr>
        <w:t>appraisers</w:t>
      </w:r>
      <w:r>
        <w:rPr>
          <w:rFonts w:ascii="Times New Roman" w:hAnsi="Times New Roman"/>
          <w:spacing w:val="-18"/>
          <w:sz w:val="18"/>
        </w:rPr>
        <w:t> </w:t>
      </w:r>
      <w:r>
        <w:rPr>
          <w:rFonts w:ascii="Times New Roman" w:hAnsi="Times New Roman"/>
          <w:sz w:val="18"/>
        </w:rPr>
        <w:t>did</w:t>
      </w:r>
      <w:r>
        <w:rPr>
          <w:rFonts w:ascii="Times New Roman" w:hAnsi="Times New Roman"/>
          <w:spacing w:val="-15"/>
          <w:sz w:val="18"/>
        </w:rPr>
        <w:t> </w:t>
      </w:r>
      <w:r>
        <w:rPr>
          <w:rFonts w:ascii="Times New Roman" w:hAnsi="Times New Roman"/>
          <w:sz w:val="18"/>
        </w:rPr>
        <w:t>not</w:t>
      </w:r>
      <w:r>
        <w:rPr>
          <w:rFonts w:ascii="Times New Roman" w:hAnsi="Times New Roman"/>
          <w:spacing w:val="-16"/>
          <w:sz w:val="18"/>
        </w:rPr>
        <w:t> </w:t>
      </w:r>
      <w:r>
        <w:rPr>
          <w:rFonts w:ascii="Times New Roman" w:hAnsi="Times New Roman"/>
          <w:sz w:val="18"/>
        </w:rPr>
        <w:t>have</w:t>
      </w:r>
      <w:r>
        <w:rPr>
          <w:rFonts w:ascii="Times New Roman" w:hAnsi="Times New Roman"/>
          <w:spacing w:val="-14"/>
          <w:sz w:val="18"/>
        </w:rPr>
        <w:t> </w:t>
      </w:r>
      <w:r>
        <w:rPr>
          <w:rFonts w:ascii="Times New Roman" w:hAnsi="Times New Roman"/>
          <w:sz w:val="18"/>
        </w:rPr>
        <w:t>authority</w:t>
      </w:r>
      <w:r>
        <w:rPr>
          <w:rFonts w:ascii="Times New Roman" w:hAnsi="Times New Roman"/>
          <w:spacing w:val="-17"/>
          <w:sz w:val="18"/>
        </w:rPr>
        <w:t> </w:t>
      </w:r>
      <w:r>
        <w:rPr>
          <w:rFonts w:ascii="Times New Roman" w:hAnsi="Times New Roman"/>
          <w:sz w:val="18"/>
        </w:rPr>
        <w:t>to</w:t>
      </w:r>
      <w:r>
        <w:rPr>
          <w:rFonts w:ascii="Times New Roman" w:hAnsi="Times New Roman"/>
          <w:spacing w:val="-15"/>
          <w:sz w:val="18"/>
        </w:rPr>
        <w:t> </w:t>
      </w:r>
      <w:r>
        <w:rPr>
          <w:rFonts w:ascii="Times New Roman" w:hAnsi="Times New Roman"/>
          <w:sz w:val="18"/>
        </w:rPr>
        <w:t>decide</w:t>
      </w:r>
      <w:r>
        <w:rPr>
          <w:rFonts w:ascii="Times New Roman" w:hAnsi="Times New Roman"/>
          <w:spacing w:val="-17"/>
          <w:sz w:val="18"/>
        </w:rPr>
        <w:t> </w:t>
      </w:r>
      <w:r>
        <w:rPr>
          <w:rFonts w:ascii="Times New Roman" w:hAnsi="Times New Roman"/>
          <w:sz w:val="18"/>
        </w:rPr>
        <w:t>liability</w:t>
      </w:r>
      <w:r>
        <w:rPr>
          <w:rFonts w:ascii="Times New Roman" w:hAnsi="Times New Roman"/>
          <w:spacing w:val="-18"/>
          <w:sz w:val="18"/>
        </w:rPr>
        <w:t> </w:t>
      </w:r>
      <w:r>
        <w:rPr>
          <w:rFonts w:ascii="Times New Roman" w:hAnsi="Times New Roman"/>
          <w:sz w:val="18"/>
        </w:rPr>
        <w:t>and</w:t>
      </w:r>
      <w:r>
        <w:rPr>
          <w:rFonts w:ascii="Times New Roman" w:hAnsi="Times New Roman"/>
          <w:spacing w:val="-15"/>
          <w:sz w:val="18"/>
        </w:rPr>
        <w:t> </w:t>
      </w:r>
      <w:r>
        <w:rPr>
          <w:rFonts w:ascii="Times New Roman" w:hAnsi="Times New Roman"/>
          <w:sz w:val="18"/>
        </w:rPr>
        <w:t>coverage</w:t>
      </w:r>
      <w:r>
        <w:rPr>
          <w:rFonts w:ascii="Times New Roman" w:hAnsi="Times New Roman"/>
          <w:spacing w:val="-17"/>
          <w:sz w:val="18"/>
        </w:rPr>
        <w:t> </w:t>
      </w:r>
      <w:r>
        <w:rPr>
          <w:rFonts w:ascii="Times New Roman" w:hAnsi="Times New Roman"/>
          <w:sz w:val="18"/>
        </w:rPr>
        <w:t>questions</w:t>
      </w:r>
      <w:r>
        <w:rPr>
          <w:rFonts w:ascii="Times New Roman" w:hAnsi="Times New Roman"/>
          <w:spacing w:val="-17"/>
          <w:sz w:val="18"/>
        </w:rPr>
        <w:t> </w:t>
      </w:r>
      <w:r>
        <w:rPr>
          <w:rFonts w:ascii="Times New Roman" w:hAnsi="Times New Roman"/>
          <w:sz w:val="18"/>
        </w:rPr>
        <w:t>because “nowhere</w:t>
      </w:r>
      <w:r>
        <w:rPr>
          <w:rFonts w:ascii="Times New Roman" w:hAnsi="Times New Roman"/>
          <w:spacing w:val="-14"/>
          <w:sz w:val="18"/>
        </w:rPr>
        <w:t> </w:t>
      </w:r>
      <w:r>
        <w:rPr>
          <w:rFonts w:ascii="Times New Roman" w:hAnsi="Times New Roman"/>
          <w:sz w:val="18"/>
        </w:rPr>
        <w:t>in</w:t>
      </w:r>
      <w:r>
        <w:rPr>
          <w:rFonts w:ascii="Times New Roman" w:hAnsi="Times New Roman"/>
          <w:spacing w:val="-12"/>
          <w:sz w:val="18"/>
        </w:rPr>
        <w:t> </w:t>
      </w:r>
      <w:r>
        <w:rPr>
          <w:rFonts w:ascii="Times New Roman" w:hAnsi="Times New Roman"/>
          <w:sz w:val="18"/>
        </w:rPr>
        <w:t>the</w:t>
      </w:r>
      <w:r>
        <w:rPr>
          <w:rFonts w:ascii="Times New Roman" w:hAnsi="Times New Roman"/>
          <w:spacing w:val="-10"/>
          <w:sz w:val="18"/>
        </w:rPr>
        <w:t> </w:t>
      </w:r>
      <w:r>
        <w:rPr>
          <w:rFonts w:ascii="Times New Roman" w:hAnsi="Times New Roman"/>
          <w:sz w:val="18"/>
        </w:rPr>
        <w:t>standard</w:t>
      </w:r>
      <w:r>
        <w:rPr>
          <w:rFonts w:ascii="Times New Roman" w:hAnsi="Times New Roman"/>
          <w:spacing w:val="-10"/>
          <w:sz w:val="18"/>
        </w:rPr>
        <w:t> </w:t>
      </w:r>
      <w:r>
        <w:rPr>
          <w:rFonts w:ascii="Times New Roman" w:hAnsi="Times New Roman"/>
          <w:sz w:val="18"/>
        </w:rPr>
        <w:t>fire</w:t>
      </w:r>
      <w:r>
        <w:rPr>
          <w:rFonts w:ascii="Times New Roman" w:hAnsi="Times New Roman"/>
          <w:spacing w:val="-10"/>
          <w:sz w:val="18"/>
        </w:rPr>
        <w:t> </w:t>
      </w:r>
      <w:r>
        <w:rPr>
          <w:rFonts w:ascii="Times New Roman" w:hAnsi="Times New Roman"/>
          <w:sz w:val="18"/>
        </w:rPr>
        <w:t>policy</w:t>
      </w:r>
      <w:r>
        <w:rPr>
          <w:rFonts w:ascii="Times New Roman" w:hAnsi="Times New Roman"/>
          <w:spacing w:val="-14"/>
          <w:sz w:val="18"/>
        </w:rPr>
        <w:t> </w:t>
      </w:r>
      <w:r>
        <w:rPr>
          <w:rFonts w:ascii="Times New Roman" w:hAnsi="Times New Roman"/>
          <w:sz w:val="18"/>
        </w:rPr>
        <w:t>is</w:t>
      </w:r>
      <w:r>
        <w:rPr>
          <w:rFonts w:ascii="Times New Roman" w:hAnsi="Times New Roman"/>
          <w:spacing w:val="-10"/>
          <w:sz w:val="18"/>
        </w:rPr>
        <w:t> </w:t>
      </w:r>
      <w:r>
        <w:rPr>
          <w:rFonts w:ascii="Times New Roman" w:hAnsi="Times New Roman"/>
          <w:sz w:val="18"/>
        </w:rPr>
        <w:t>any</w:t>
      </w:r>
      <w:r>
        <w:rPr>
          <w:rFonts w:ascii="Times New Roman" w:hAnsi="Times New Roman"/>
          <w:spacing w:val="-13"/>
          <w:sz w:val="18"/>
        </w:rPr>
        <w:t> </w:t>
      </w:r>
      <w:r>
        <w:rPr>
          <w:rFonts w:ascii="Times New Roman" w:hAnsi="Times New Roman"/>
          <w:sz w:val="18"/>
        </w:rPr>
        <w:t>power</w:t>
      </w:r>
      <w:r>
        <w:rPr>
          <w:rFonts w:ascii="Times New Roman" w:hAnsi="Times New Roman"/>
          <w:spacing w:val="-11"/>
          <w:sz w:val="18"/>
        </w:rPr>
        <w:t> </w:t>
      </w:r>
      <w:r>
        <w:rPr>
          <w:rFonts w:ascii="Times New Roman" w:hAnsi="Times New Roman"/>
          <w:sz w:val="18"/>
        </w:rPr>
        <w:t>vested</w:t>
      </w:r>
      <w:r>
        <w:rPr>
          <w:rFonts w:ascii="Times New Roman" w:hAnsi="Times New Roman"/>
          <w:spacing w:val="-11"/>
          <w:sz w:val="18"/>
        </w:rPr>
        <w:t> </w:t>
      </w:r>
      <w:r>
        <w:rPr>
          <w:rFonts w:ascii="Times New Roman" w:hAnsi="Times New Roman"/>
          <w:sz w:val="18"/>
        </w:rPr>
        <w:t>in</w:t>
      </w:r>
      <w:r>
        <w:rPr>
          <w:rFonts w:ascii="Times New Roman" w:hAnsi="Times New Roman"/>
          <w:spacing w:val="-8"/>
          <w:sz w:val="18"/>
        </w:rPr>
        <w:t> </w:t>
      </w:r>
      <w:r>
        <w:rPr>
          <w:rFonts w:ascii="Times New Roman" w:hAnsi="Times New Roman"/>
          <w:sz w:val="18"/>
        </w:rPr>
        <w:t>or</w:t>
      </w:r>
      <w:r>
        <w:rPr>
          <w:rFonts w:ascii="Times New Roman" w:hAnsi="Times New Roman"/>
          <w:spacing w:val="-10"/>
          <w:sz w:val="18"/>
        </w:rPr>
        <w:t> </w:t>
      </w:r>
      <w:r>
        <w:rPr>
          <w:rFonts w:ascii="Times New Roman" w:hAnsi="Times New Roman"/>
          <w:sz w:val="18"/>
        </w:rPr>
        <w:t>conferred</w:t>
      </w:r>
      <w:r>
        <w:rPr>
          <w:rFonts w:ascii="Times New Roman" w:hAnsi="Times New Roman"/>
          <w:spacing w:val="-9"/>
          <w:sz w:val="18"/>
        </w:rPr>
        <w:t> </w:t>
      </w:r>
      <w:r>
        <w:rPr>
          <w:rFonts w:ascii="Times New Roman" w:hAnsi="Times New Roman"/>
          <w:sz w:val="18"/>
        </w:rPr>
        <w:t>upon</w:t>
      </w:r>
      <w:r>
        <w:rPr>
          <w:rFonts w:ascii="Times New Roman" w:hAnsi="Times New Roman"/>
          <w:spacing w:val="-12"/>
          <w:sz w:val="18"/>
        </w:rPr>
        <w:t> </w:t>
      </w:r>
      <w:r>
        <w:rPr>
          <w:rFonts w:ascii="Times New Roman" w:hAnsi="Times New Roman"/>
          <w:sz w:val="18"/>
        </w:rPr>
        <w:t>the</w:t>
      </w:r>
      <w:r>
        <w:rPr>
          <w:rFonts w:ascii="Times New Roman" w:hAnsi="Times New Roman"/>
          <w:spacing w:val="-14"/>
          <w:sz w:val="18"/>
        </w:rPr>
        <w:t> </w:t>
      </w:r>
      <w:r>
        <w:rPr>
          <w:rFonts w:ascii="Times New Roman" w:hAnsi="Times New Roman"/>
          <w:sz w:val="18"/>
        </w:rPr>
        <w:t>appraisers to</w:t>
      </w:r>
      <w:r>
        <w:rPr>
          <w:rFonts w:ascii="Times New Roman" w:hAnsi="Times New Roman"/>
          <w:spacing w:val="-3"/>
          <w:sz w:val="18"/>
        </w:rPr>
        <w:t> </w:t>
      </w:r>
      <w:r>
        <w:rPr>
          <w:rFonts w:ascii="Times New Roman" w:hAnsi="Times New Roman"/>
          <w:sz w:val="18"/>
        </w:rPr>
        <w:t>determine</w:t>
      </w:r>
      <w:r>
        <w:rPr>
          <w:rFonts w:ascii="Times New Roman" w:hAnsi="Times New Roman"/>
          <w:spacing w:val="-3"/>
          <w:sz w:val="18"/>
        </w:rPr>
        <w:t> </w:t>
      </w:r>
      <w:r>
        <w:rPr>
          <w:rFonts w:ascii="Times New Roman" w:hAnsi="Times New Roman"/>
          <w:sz w:val="18"/>
        </w:rPr>
        <w:t>the</w:t>
      </w:r>
      <w:r>
        <w:rPr>
          <w:rFonts w:ascii="Times New Roman" w:hAnsi="Times New Roman"/>
          <w:spacing w:val="-4"/>
          <w:sz w:val="18"/>
        </w:rPr>
        <w:t> </w:t>
      </w:r>
      <w:r>
        <w:rPr>
          <w:rFonts w:ascii="Times New Roman" w:hAnsi="Times New Roman"/>
          <w:sz w:val="18"/>
        </w:rPr>
        <w:t>cause</w:t>
      </w:r>
      <w:r>
        <w:rPr>
          <w:rFonts w:ascii="Times New Roman" w:hAnsi="Times New Roman"/>
          <w:spacing w:val="-4"/>
          <w:sz w:val="18"/>
        </w:rPr>
        <w:t> </w:t>
      </w:r>
      <w:r>
        <w:rPr>
          <w:rFonts w:ascii="Times New Roman" w:hAnsi="Times New Roman"/>
          <w:sz w:val="18"/>
        </w:rPr>
        <w:t>of</w:t>
      </w:r>
      <w:r>
        <w:rPr>
          <w:rFonts w:ascii="Times New Roman" w:hAnsi="Times New Roman"/>
          <w:spacing w:val="-5"/>
          <w:sz w:val="18"/>
        </w:rPr>
        <w:t> </w:t>
      </w:r>
      <w:r>
        <w:rPr>
          <w:rFonts w:ascii="Times New Roman" w:hAnsi="Times New Roman"/>
          <w:sz w:val="18"/>
        </w:rPr>
        <w:t>loss...”);</w:t>
      </w:r>
      <w:r>
        <w:rPr>
          <w:rFonts w:ascii="Times New Roman" w:hAnsi="Times New Roman"/>
          <w:spacing w:val="-4"/>
          <w:sz w:val="18"/>
        </w:rPr>
        <w:t> </w:t>
      </w:r>
      <w:r>
        <w:rPr>
          <w:rFonts w:ascii="Times New Roman" w:hAnsi="Times New Roman"/>
          <w:sz w:val="18"/>
          <w:u w:val="single"/>
        </w:rPr>
        <w:t>St.</w:t>
      </w:r>
      <w:r>
        <w:rPr>
          <w:rFonts w:ascii="Times New Roman" w:hAnsi="Times New Roman"/>
          <w:spacing w:val="-3"/>
          <w:sz w:val="18"/>
          <w:u w:val="single"/>
        </w:rPr>
        <w:t> </w:t>
      </w:r>
      <w:r>
        <w:rPr>
          <w:rFonts w:ascii="Times New Roman" w:hAnsi="Times New Roman"/>
          <w:sz w:val="18"/>
          <w:u w:val="single"/>
        </w:rPr>
        <w:t>Paul</w:t>
      </w:r>
      <w:r>
        <w:rPr>
          <w:rFonts w:ascii="Times New Roman" w:hAnsi="Times New Roman"/>
          <w:spacing w:val="-5"/>
          <w:sz w:val="18"/>
          <w:u w:val="single"/>
        </w:rPr>
        <w:t> </w:t>
      </w:r>
      <w:r>
        <w:rPr>
          <w:rFonts w:ascii="Times New Roman" w:hAnsi="Times New Roman"/>
          <w:sz w:val="18"/>
          <w:u w:val="single"/>
        </w:rPr>
        <w:t>Fire</w:t>
      </w:r>
      <w:r>
        <w:rPr>
          <w:rFonts w:ascii="Times New Roman" w:hAnsi="Times New Roman"/>
          <w:spacing w:val="-4"/>
          <w:sz w:val="18"/>
          <w:u w:val="single"/>
        </w:rPr>
        <w:t> </w:t>
      </w:r>
      <w:r>
        <w:rPr>
          <w:rFonts w:ascii="Times New Roman" w:hAnsi="Times New Roman"/>
          <w:sz w:val="18"/>
          <w:u w:val="single"/>
        </w:rPr>
        <w:t>&amp;</w:t>
      </w:r>
      <w:r>
        <w:rPr>
          <w:rFonts w:ascii="Times New Roman" w:hAnsi="Times New Roman"/>
          <w:spacing w:val="-7"/>
          <w:sz w:val="18"/>
          <w:u w:val="single"/>
        </w:rPr>
        <w:t> </w:t>
      </w:r>
      <w:r>
        <w:rPr>
          <w:rFonts w:ascii="Times New Roman" w:hAnsi="Times New Roman"/>
          <w:sz w:val="18"/>
          <w:u w:val="single"/>
        </w:rPr>
        <w:t>Marine</w:t>
      </w:r>
      <w:r>
        <w:rPr>
          <w:rFonts w:ascii="Times New Roman" w:hAnsi="Times New Roman"/>
          <w:spacing w:val="-5"/>
          <w:sz w:val="18"/>
          <w:u w:val="single"/>
        </w:rPr>
        <w:t> </w:t>
      </w:r>
      <w:r>
        <w:rPr>
          <w:rFonts w:ascii="Times New Roman" w:hAnsi="Times New Roman"/>
          <w:sz w:val="18"/>
          <w:u w:val="single"/>
        </w:rPr>
        <w:t>Ins.</w:t>
      </w:r>
      <w:r>
        <w:rPr>
          <w:rFonts w:ascii="Times New Roman" w:hAnsi="Times New Roman"/>
          <w:spacing w:val="-5"/>
          <w:sz w:val="18"/>
          <w:u w:val="single"/>
        </w:rPr>
        <w:t> </w:t>
      </w:r>
      <w:r>
        <w:rPr>
          <w:rFonts w:ascii="Times New Roman" w:hAnsi="Times New Roman"/>
          <w:sz w:val="18"/>
          <w:u w:val="single"/>
        </w:rPr>
        <w:t>Co.</w:t>
      </w:r>
      <w:r>
        <w:rPr>
          <w:rFonts w:ascii="Times New Roman" w:hAnsi="Times New Roman"/>
          <w:spacing w:val="-4"/>
          <w:sz w:val="18"/>
          <w:u w:val="single"/>
        </w:rPr>
        <w:t> </w:t>
      </w:r>
      <w:r>
        <w:rPr>
          <w:rFonts w:ascii="Times New Roman" w:hAnsi="Times New Roman"/>
          <w:sz w:val="18"/>
          <w:u w:val="single"/>
        </w:rPr>
        <w:t>v.</w:t>
      </w:r>
      <w:r>
        <w:rPr>
          <w:rFonts w:ascii="Times New Roman" w:hAnsi="Times New Roman"/>
          <w:spacing w:val="-2"/>
          <w:sz w:val="18"/>
          <w:u w:val="single"/>
        </w:rPr>
        <w:t> </w:t>
      </w:r>
      <w:r>
        <w:rPr>
          <w:rFonts w:ascii="Times New Roman" w:hAnsi="Times New Roman"/>
          <w:sz w:val="18"/>
          <w:u w:val="single"/>
        </w:rPr>
        <w:t>Wright</w:t>
      </w:r>
      <w:r>
        <w:rPr>
          <w:rFonts w:ascii="Times New Roman" w:hAnsi="Times New Roman"/>
          <w:sz w:val="18"/>
        </w:rPr>
        <w:t>,</w:t>
      </w:r>
      <w:r>
        <w:rPr>
          <w:rFonts w:ascii="Times New Roman" w:hAnsi="Times New Roman"/>
          <w:spacing w:val="-1"/>
          <w:sz w:val="18"/>
        </w:rPr>
        <w:t> </w:t>
      </w:r>
      <w:r>
        <w:rPr>
          <w:rFonts w:ascii="Times New Roman" w:hAnsi="Times New Roman"/>
          <w:sz w:val="18"/>
        </w:rPr>
        <w:t>97</w:t>
      </w:r>
      <w:r>
        <w:rPr>
          <w:rFonts w:ascii="Times New Roman" w:hAnsi="Times New Roman"/>
          <w:spacing w:val="-3"/>
          <w:sz w:val="18"/>
        </w:rPr>
        <w:t> </w:t>
      </w:r>
      <w:r>
        <w:rPr>
          <w:rFonts w:ascii="Times New Roman" w:hAnsi="Times New Roman"/>
          <w:sz w:val="18"/>
        </w:rPr>
        <w:t>Nev.</w:t>
      </w:r>
      <w:r>
        <w:rPr>
          <w:rFonts w:ascii="Times New Roman" w:hAnsi="Times New Roman"/>
          <w:spacing w:val="-2"/>
          <w:sz w:val="18"/>
        </w:rPr>
        <w:t> </w:t>
      </w:r>
      <w:r>
        <w:rPr>
          <w:rFonts w:ascii="Times New Roman" w:hAnsi="Times New Roman"/>
          <w:sz w:val="18"/>
        </w:rPr>
        <w:t>308, 629 P.2d 1202 (1981); </w:t>
      </w:r>
      <w:r>
        <w:rPr>
          <w:rFonts w:ascii="Times New Roman" w:hAnsi="Times New Roman"/>
          <w:sz w:val="18"/>
          <w:u w:val="single"/>
        </w:rPr>
        <w:t>Elberon Bathing Co., Inc. v. Ambassador Ins. Co., Inc.</w:t>
      </w:r>
      <w:r>
        <w:rPr>
          <w:rFonts w:ascii="Times New Roman" w:hAnsi="Times New Roman"/>
          <w:sz w:val="18"/>
        </w:rPr>
        <w:t>, 77 N.J. </w:t>
      </w:r>
      <w:r>
        <w:rPr>
          <w:rFonts w:ascii="Times New Roman" w:hAnsi="Times New Roman"/>
          <w:spacing w:val="4"/>
          <w:sz w:val="18"/>
        </w:rPr>
        <w:t> </w:t>
      </w:r>
      <w:r>
        <w:rPr>
          <w:rFonts w:ascii="Times New Roman" w:hAnsi="Times New Roman"/>
          <w:sz w:val="18"/>
        </w:rPr>
        <w:t>1,</w:t>
      </w:r>
    </w:p>
    <w:p>
      <w:pPr>
        <w:spacing w:before="1"/>
        <w:ind w:left="1160" w:right="0" w:firstLine="0"/>
        <w:jc w:val="both"/>
        <w:rPr>
          <w:rFonts w:ascii="Times New Roman" w:hAnsi="Times New Roman"/>
          <w:sz w:val="18"/>
        </w:rPr>
      </w:pPr>
      <w:r>
        <w:rPr>
          <w:rFonts w:ascii="Times New Roman" w:hAnsi="Times New Roman"/>
          <w:sz w:val="18"/>
        </w:rPr>
        <w:t>389</w:t>
      </w:r>
      <w:r>
        <w:rPr>
          <w:rFonts w:ascii="Times New Roman" w:hAnsi="Times New Roman"/>
          <w:spacing w:val="-5"/>
          <w:sz w:val="18"/>
        </w:rPr>
        <w:t> </w:t>
      </w:r>
      <w:r>
        <w:rPr>
          <w:rFonts w:ascii="Times New Roman" w:hAnsi="Times New Roman"/>
          <w:sz w:val="18"/>
        </w:rPr>
        <w:t>A.2d</w:t>
      </w:r>
      <w:r>
        <w:rPr>
          <w:rFonts w:ascii="Times New Roman" w:hAnsi="Times New Roman"/>
          <w:spacing w:val="-3"/>
          <w:sz w:val="18"/>
        </w:rPr>
        <w:t> </w:t>
      </w:r>
      <w:r>
        <w:rPr>
          <w:rFonts w:ascii="Times New Roman" w:hAnsi="Times New Roman"/>
          <w:sz w:val="18"/>
        </w:rPr>
        <w:t>439</w:t>
      </w:r>
      <w:r>
        <w:rPr>
          <w:rFonts w:ascii="Times New Roman" w:hAnsi="Times New Roman"/>
          <w:spacing w:val="-2"/>
          <w:sz w:val="18"/>
        </w:rPr>
        <w:t> </w:t>
      </w:r>
      <w:r>
        <w:rPr>
          <w:rFonts w:ascii="Times New Roman" w:hAnsi="Times New Roman"/>
          <w:sz w:val="18"/>
        </w:rPr>
        <w:t>(1978);</w:t>
      </w:r>
      <w:r>
        <w:rPr>
          <w:rFonts w:ascii="Times New Roman" w:hAnsi="Times New Roman"/>
          <w:spacing w:val="-4"/>
          <w:sz w:val="18"/>
        </w:rPr>
        <w:t> </w:t>
      </w:r>
      <w:r>
        <w:rPr>
          <w:rFonts w:ascii="Times New Roman" w:hAnsi="Times New Roman"/>
          <w:sz w:val="18"/>
          <w:u w:val="single"/>
        </w:rPr>
        <w:t>Minot</w:t>
      </w:r>
      <w:r>
        <w:rPr>
          <w:rFonts w:ascii="Times New Roman" w:hAnsi="Times New Roman"/>
          <w:spacing w:val="-4"/>
          <w:sz w:val="18"/>
          <w:u w:val="single"/>
        </w:rPr>
        <w:t> </w:t>
      </w:r>
      <w:r>
        <w:rPr>
          <w:rFonts w:ascii="Times New Roman" w:hAnsi="Times New Roman"/>
          <w:sz w:val="18"/>
          <w:u w:val="single"/>
        </w:rPr>
        <w:t>Town</w:t>
      </w:r>
      <w:r>
        <w:rPr>
          <w:rFonts w:ascii="Times New Roman" w:hAnsi="Times New Roman"/>
          <w:spacing w:val="-4"/>
          <w:sz w:val="18"/>
          <w:u w:val="single"/>
        </w:rPr>
        <w:t> </w:t>
      </w:r>
      <w:r>
        <w:rPr>
          <w:rFonts w:ascii="Times New Roman" w:hAnsi="Times New Roman"/>
          <w:sz w:val="18"/>
          <w:u w:val="single"/>
        </w:rPr>
        <w:t>&amp;</w:t>
      </w:r>
      <w:r>
        <w:rPr>
          <w:rFonts w:ascii="Times New Roman" w:hAnsi="Times New Roman"/>
          <w:spacing w:val="-6"/>
          <w:sz w:val="18"/>
          <w:u w:val="single"/>
        </w:rPr>
        <w:t> </w:t>
      </w:r>
      <w:r>
        <w:rPr>
          <w:rFonts w:ascii="Times New Roman" w:hAnsi="Times New Roman"/>
          <w:sz w:val="18"/>
          <w:u w:val="single"/>
        </w:rPr>
        <w:t>Country</w:t>
      </w:r>
      <w:r>
        <w:rPr>
          <w:rFonts w:ascii="Times New Roman" w:hAnsi="Times New Roman"/>
          <w:spacing w:val="-8"/>
          <w:sz w:val="18"/>
          <w:u w:val="single"/>
        </w:rPr>
        <w:t> </w:t>
      </w:r>
      <w:r>
        <w:rPr>
          <w:rFonts w:ascii="Times New Roman" w:hAnsi="Times New Roman"/>
          <w:sz w:val="18"/>
          <w:u w:val="single"/>
        </w:rPr>
        <w:t>v.</w:t>
      </w:r>
      <w:r>
        <w:rPr>
          <w:rFonts w:ascii="Times New Roman" w:hAnsi="Times New Roman"/>
          <w:spacing w:val="-3"/>
          <w:sz w:val="18"/>
          <w:u w:val="single"/>
        </w:rPr>
        <w:t> </w:t>
      </w:r>
      <w:r>
        <w:rPr>
          <w:rFonts w:ascii="Times New Roman" w:hAnsi="Times New Roman"/>
          <w:sz w:val="18"/>
          <w:u w:val="single"/>
        </w:rPr>
        <w:t>Fireman’s</w:t>
      </w:r>
      <w:r>
        <w:rPr>
          <w:rFonts w:ascii="Times New Roman" w:hAnsi="Times New Roman"/>
          <w:spacing w:val="-5"/>
          <w:sz w:val="18"/>
          <w:u w:val="single"/>
        </w:rPr>
        <w:t> </w:t>
      </w:r>
      <w:r>
        <w:rPr>
          <w:rFonts w:ascii="Times New Roman" w:hAnsi="Times New Roman"/>
          <w:sz w:val="18"/>
          <w:u w:val="single"/>
        </w:rPr>
        <w:t>Fund</w:t>
      </w:r>
      <w:r>
        <w:rPr>
          <w:rFonts w:ascii="Times New Roman" w:hAnsi="Times New Roman"/>
          <w:spacing w:val="-3"/>
          <w:sz w:val="18"/>
          <w:u w:val="single"/>
        </w:rPr>
        <w:t> </w:t>
      </w:r>
      <w:r>
        <w:rPr>
          <w:rFonts w:ascii="Times New Roman" w:hAnsi="Times New Roman"/>
          <w:sz w:val="18"/>
          <w:u w:val="single"/>
        </w:rPr>
        <w:t>Ins.</w:t>
      </w:r>
      <w:r>
        <w:rPr>
          <w:rFonts w:ascii="Times New Roman" w:hAnsi="Times New Roman"/>
          <w:spacing w:val="-3"/>
          <w:sz w:val="18"/>
          <w:u w:val="single"/>
        </w:rPr>
        <w:t> </w:t>
      </w:r>
      <w:r>
        <w:rPr>
          <w:rFonts w:ascii="Times New Roman" w:hAnsi="Times New Roman"/>
          <w:sz w:val="18"/>
          <w:u w:val="single"/>
        </w:rPr>
        <w:t>Co.</w:t>
      </w:r>
      <w:r>
        <w:rPr>
          <w:rFonts w:ascii="Times New Roman" w:hAnsi="Times New Roman"/>
          <w:sz w:val="18"/>
        </w:rPr>
        <w:t>,</w:t>
      </w:r>
      <w:r>
        <w:rPr>
          <w:rFonts w:ascii="Times New Roman" w:hAnsi="Times New Roman"/>
          <w:spacing w:val="-5"/>
          <w:sz w:val="18"/>
        </w:rPr>
        <w:t> </w:t>
      </w:r>
      <w:r>
        <w:rPr>
          <w:rFonts w:ascii="Times New Roman" w:hAnsi="Times New Roman"/>
          <w:sz w:val="18"/>
        </w:rPr>
        <w:t>1998</w:t>
      </w:r>
      <w:r>
        <w:rPr>
          <w:rFonts w:ascii="Times New Roman" w:hAnsi="Times New Roman"/>
          <w:spacing w:val="-3"/>
          <w:sz w:val="18"/>
        </w:rPr>
        <w:t> </w:t>
      </w:r>
      <w:r>
        <w:rPr>
          <w:rFonts w:ascii="Times New Roman" w:hAnsi="Times New Roman"/>
          <w:sz w:val="18"/>
        </w:rPr>
        <w:t>N.D.</w:t>
      </w:r>
      <w:r>
        <w:rPr>
          <w:rFonts w:ascii="Times New Roman" w:hAnsi="Times New Roman"/>
          <w:spacing w:val="-3"/>
          <w:sz w:val="18"/>
        </w:rPr>
        <w:t> </w:t>
      </w:r>
      <w:r>
        <w:rPr>
          <w:rFonts w:ascii="Times New Roman" w:hAnsi="Times New Roman"/>
          <w:sz w:val="18"/>
        </w:rPr>
        <w:t>215,</w:t>
      </w:r>
    </w:p>
    <w:p>
      <w:pPr>
        <w:spacing w:before="4"/>
        <w:ind w:left="1160" w:right="0" w:firstLine="0"/>
        <w:jc w:val="both"/>
        <w:rPr>
          <w:rFonts w:ascii="Times New Roman"/>
          <w:sz w:val="18"/>
        </w:rPr>
      </w:pPr>
      <w:r>
        <w:rPr>
          <w:rFonts w:ascii="Times New Roman"/>
          <w:sz w:val="18"/>
        </w:rPr>
        <w:t>587 N.W. 2d 189 (1998); </w:t>
      </w:r>
      <w:r>
        <w:rPr>
          <w:rFonts w:ascii="Times New Roman"/>
          <w:sz w:val="18"/>
          <w:u w:val="single"/>
        </w:rPr>
        <w:t>Kentner v. Gulf Ins. Co.</w:t>
      </w:r>
      <w:r>
        <w:rPr>
          <w:rFonts w:ascii="Times New Roman"/>
          <w:sz w:val="18"/>
        </w:rPr>
        <w:t>, 66 Or. App. 15, 673 P.2d 1354</w:t>
      </w:r>
      <w:r>
        <w:rPr>
          <w:rFonts w:ascii="Times New Roman"/>
          <w:spacing w:val="-30"/>
          <w:sz w:val="18"/>
        </w:rPr>
        <w:t> </w:t>
      </w:r>
      <w:r>
        <w:rPr>
          <w:rFonts w:ascii="Times New Roman"/>
          <w:sz w:val="18"/>
        </w:rPr>
        <w:t>(1983),</w:t>
      </w:r>
    </w:p>
    <w:p>
      <w:pPr>
        <w:spacing w:line="244" w:lineRule="auto" w:before="4"/>
        <w:ind w:left="1160" w:right="1163" w:firstLine="0"/>
        <w:jc w:val="both"/>
        <w:rPr>
          <w:rFonts w:ascii="Times New Roman" w:hAnsi="Times New Roman"/>
          <w:sz w:val="18"/>
        </w:rPr>
      </w:pPr>
      <w:r>
        <w:rPr>
          <w:rFonts w:ascii="Times New Roman" w:hAnsi="Times New Roman"/>
          <w:i/>
          <w:sz w:val="18"/>
        </w:rPr>
        <w:t>aff’d</w:t>
      </w:r>
      <w:r>
        <w:rPr>
          <w:rFonts w:ascii="Times New Roman" w:hAnsi="Times New Roman"/>
          <w:i/>
          <w:spacing w:val="-2"/>
          <w:sz w:val="18"/>
        </w:rPr>
        <w:t> </w:t>
      </w:r>
      <w:r>
        <w:rPr>
          <w:rFonts w:ascii="Times New Roman" w:hAnsi="Times New Roman"/>
          <w:i/>
          <w:sz w:val="18"/>
        </w:rPr>
        <w:t>and</w:t>
      </w:r>
      <w:r>
        <w:rPr>
          <w:rFonts w:ascii="Times New Roman" w:hAnsi="Times New Roman"/>
          <w:i/>
          <w:spacing w:val="-2"/>
          <w:sz w:val="18"/>
        </w:rPr>
        <w:t> </w:t>
      </w:r>
      <w:r>
        <w:rPr>
          <w:rFonts w:ascii="Times New Roman" w:hAnsi="Times New Roman"/>
          <w:i/>
          <w:sz w:val="18"/>
        </w:rPr>
        <w:t>remanded,</w:t>
      </w:r>
      <w:r>
        <w:rPr>
          <w:rFonts w:ascii="Times New Roman" w:hAnsi="Times New Roman"/>
          <w:i/>
          <w:spacing w:val="-4"/>
          <w:sz w:val="18"/>
        </w:rPr>
        <w:t> </w:t>
      </w:r>
      <w:r>
        <w:rPr>
          <w:rFonts w:ascii="Times New Roman" w:hAnsi="Times New Roman"/>
          <w:sz w:val="18"/>
        </w:rPr>
        <w:t>297</w:t>
      </w:r>
      <w:r>
        <w:rPr>
          <w:rFonts w:ascii="Times New Roman" w:hAnsi="Times New Roman"/>
          <w:spacing w:val="-5"/>
          <w:sz w:val="18"/>
        </w:rPr>
        <w:t> </w:t>
      </w:r>
      <w:r>
        <w:rPr>
          <w:rFonts w:ascii="Times New Roman" w:hAnsi="Times New Roman"/>
          <w:sz w:val="18"/>
        </w:rPr>
        <w:t>Or.</w:t>
      </w:r>
      <w:r>
        <w:rPr>
          <w:rFonts w:ascii="Times New Roman" w:hAnsi="Times New Roman"/>
          <w:spacing w:val="-6"/>
          <w:sz w:val="18"/>
        </w:rPr>
        <w:t> </w:t>
      </w:r>
      <w:r>
        <w:rPr>
          <w:rFonts w:ascii="Times New Roman" w:hAnsi="Times New Roman"/>
          <w:sz w:val="18"/>
        </w:rPr>
        <w:t>470,</w:t>
      </w:r>
      <w:r>
        <w:rPr>
          <w:rFonts w:ascii="Times New Roman" w:hAnsi="Times New Roman"/>
          <w:spacing w:val="-4"/>
          <w:sz w:val="18"/>
        </w:rPr>
        <w:t> </w:t>
      </w:r>
      <w:r>
        <w:rPr>
          <w:rFonts w:ascii="Times New Roman" w:hAnsi="Times New Roman"/>
          <w:sz w:val="18"/>
        </w:rPr>
        <w:t>686</w:t>
      </w:r>
      <w:r>
        <w:rPr>
          <w:rFonts w:ascii="Times New Roman" w:hAnsi="Times New Roman"/>
          <w:spacing w:val="-5"/>
          <w:sz w:val="18"/>
        </w:rPr>
        <w:t> </w:t>
      </w:r>
      <w:r>
        <w:rPr>
          <w:rFonts w:ascii="Times New Roman" w:hAnsi="Times New Roman"/>
          <w:sz w:val="18"/>
        </w:rPr>
        <w:t>P.2d</w:t>
      </w:r>
      <w:r>
        <w:rPr>
          <w:rFonts w:ascii="Times New Roman" w:hAnsi="Times New Roman"/>
          <w:spacing w:val="-4"/>
          <w:sz w:val="18"/>
        </w:rPr>
        <w:t> </w:t>
      </w:r>
      <w:r>
        <w:rPr>
          <w:rFonts w:ascii="Times New Roman" w:hAnsi="Times New Roman"/>
          <w:sz w:val="18"/>
        </w:rPr>
        <w:t>339</w:t>
      </w:r>
      <w:r>
        <w:rPr>
          <w:rFonts w:ascii="Times New Roman" w:hAnsi="Times New Roman"/>
          <w:spacing w:val="-6"/>
          <w:sz w:val="18"/>
        </w:rPr>
        <w:t> </w:t>
      </w:r>
      <w:r>
        <w:rPr>
          <w:rFonts w:ascii="Times New Roman" w:hAnsi="Times New Roman"/>
          <w:sz w:val="18"/>
        </w:rPr>
        <w:t>(1984),</w:t>
      </w:r>
      <w:r>
        <w:rPr>
          <w:rFonts w:ascii="Times New Roman" w:hAnsi="Times New Roman"/>
          <w:spacing w:val="-3"/>
          <w:sz w:val="18"/>
        </w:rPr>
        <w:t> </w:t>
      </w:r>
      <w:r>
        <w:rPr>
          <w:rFonts w:ascii="Times New Roman" w:hAnsi="Times New Roman"/>
          <w:i/>
          <w:sz w:val="18"/>
        </w:rPr>
        <w:t>modified</w:t>
      </w:r>
      <w:r>
        <w:rPr>
          <w:rFonts w:ascii="Times New Roman" w:hAnsi="Times New Roman"/>
          <w:i/>
          <w:spacing w:val="-1"/>
          <w:sz w:val="18"/>
        </w:rPr>
        <w:t> </w:t>
      </w:r>
      <w:r>
        <w:rPr>
          <w:rFonts w:ascii="Times New Roman" w:hAnsi="Times New Roman"/>
          <w:i/>
          <w:sz w:val="18"/>
        </w:rPr>
        <w:t>at</w:t>
      </w:r>
      <w:r>
        <w:rPr>
          <w:rFonts w:ascii="Times New Roman" w:hAnsi="Times New Roman"/>
          <w:i/>
          <w:spacing w:val="-3"/>
          <w:sz w:val="18"/>
        </w:rPr>
        <w:t> </w:t>
      </w:r>
      <w:r>
        <w:rPr>
          <w:rFonts w:ascii="Times New Roman" w:hAnsi="Times New Roman"/>
          <w:i/>
          <w:sz w:val="18"/>
        </w:rPr>
        <w:t>reh’g,</w:t>
      </w:r>
      <w:r>
        <w:rPr>
          <w:rFonts w:ascii="Times New Roman" w:hAnsi="Times New Roman"/>
          <w:i/>
          <w:spacing w:val="-2"/>
          <w:sz w:val="18"/>
        </w:rPr>
        <w:t> </w:t>
      </w:r>
      <w:r>
        <w:rPr>
          <w:rFonts w:ascii="Times New Roman" w:hAnsi="Times New Roman"/>
          <w:sz w:val="18"/>
        </w:rPr>
        <w:t>298</w:t>
      </w:r>
      <w:r>
        <w:rPr>
          <w:rFonts w:ascii="Times New Roman" w:hAnsi="Times New Roman"/>
          <w:spacing w:val="-2"/>
          <w:sz w:val="18"/>
        </w:rPr>
        <w:t> </w:t>
      </w:r>
      <w:r>
        <w:rPr>
          <w:rFonts w:ascii="Times New Roman" w:hAnsi="Times New Roman"/>
          <w:sz w:val="18"/>
        </w:rPr>
        <w:t>Or.</w:t>
      </w:r>
      <w:r>
        <w:rPr>
          <w:rFonts w:ascii="Times New Roman" w:hAnsi="Times New Roman"/>
          <w:spacing w:val="-3"/>
          <w:sz w:val="18"/>
        </w:rPr>
        <w:t> </w:t>
      </w:r>
      <w:r>
        <w:rPr>
          <w:rFonts w:ascii="Times New Roman" w:hAnsi="Times New Roman"/>
          <w:sz w:val="18"/>
        </w:rPr>
        <w:t>69,</w:t>
      </w:r>
      <w:r>
        <w:rPr>
          <w:rFonts w:ascii="Times New Roman" w:hAnsi="Times New Roman"/>
          <w:spacing w:val="-2"/>
          <w:sz w:val="18"/>
        </w:rPr>
        <w:t> </w:t>
      </w:r>
      <w:r>
        <w:rPr>
          <w:rFonts w:ascii="Times New Roman" w:hAnsi="Times New Roman"/>
          <w:sz w:val="18"/>
        </w:rPr>
        <w:t>689 P.2d 955 (1984), </w:t>
      </w:r>
      <w:r>
        <w:rPr>
          <w:rFonts w:ascii="Times New Roman" w:hAnsi="Times New Roman"/>
          <w:i/>
          <w:sz w:val="18"/>
        </w:rPr>
        <w:t>superceded by statute on other grounds</w:t>
      </w:r>
      <w:r>
        <w:rPr>
          <w:rFonts w:ascii="Times New Roman" w:hAnsi="Times New Roman"/>
          <w:sz w:val="18"/>
        </w:rPr>
        <w:t>, Concealment, Fraud, Representations</w:t>
      </w:r>
      <w:r>
        <w:rPr>
          <w:rFonts w:ascii="Times New Roman" w:hAnsi="Times New Roman"/>
          <w:spacing w:val="-18"/>
          <w:sz w:val="18"/>
        </w:rPr>
        <w:t> </w:t>
      </w:r>
      <w:r>
        <w:rPr>
          <w:rFonts w:ascii="Times New Roman" w:hAnsi="Times New Roman"/>
          <w:sz w:val="18"/>
        </w:rPr>
        <w:t>by</w:t>
      </w:r>
      <w:r>
        <w:rPr>
          <w:rFonts w:ascii="Times New Roman" w:hAnsi="Times New Roman"/>
          <w:spacing w:val="-19"/>
          <w:sz w:val="18"/>
        </w:rPr>
        <w:t> </w:t>
      </w:r>
      <w:r>
        <w:rPr>
          <w:rFonts w:ascii="Times New Roman" w:hAnsi="Times New Roman"/>
          <w:sz w:val="18"/>
        </w:rPr>
        <w:t>Insured,</w:t>
      </w:r>
      <w:r>
        <w:rPr>
          <w:rFonts w:ascii="Times New Roman" w:hAnsi="Times New Roman"/>
          <w:spacing w:val="-15"/>
          <w:sz w:val="18"/>
        </w:rPr>
        <w:t> </w:t>
      </w:r>
      <w:r>
        <w:rPr>
          <w:rFonts w:ascii="Times New Roman" w:hAnsi="Times New Roman"/>
          <w:sz w:val="18"/>
        </w:rPr>
        <w:t>Or.</w:t>
      </w:r>
      <w:r>
        <w:rPr>
          <w:rFonts w:ascii="Times New Roman" w:hAnsi="Times New Roman"/>
          <w:spacing w:val="-15"/>
          <w:sz w:val="18"/>
        </w:rPr>
        <w:t> </w:t>
      </w:r>
      <w:r>
        <w:rPr>
          <w:rFonts w:ascii="Times New Roman" w:hAnsi="Times New Roman"/>
          <w:sz w:val="18"/>
        </w:rPr>
        <w:t>Rev.</w:t>
      </w:r>
      <w:r>
        <w:rPr>
          <w:rFonts w:ascii="Times New Roman" w:hAnsi="Times New Roman"/>
          <w:spacing w:val="-17"/>
          <w:sz w:val="18"/>
        </w:rPr>
        <w:t> </w:t>
      </w:r>
      <w:r>
        <w:rPr>
          <w:rFonts w:ascii="Times New Roman" w:hAnsi="Times New Roman"/>
          <w:sz w:val="18"/>
        </w:rPr>
        <w:t>Stat.§742.208(3)(2001);</w:t>
      </w:r>
      <w:r>
        <w:rPr>
          <w:rFonts w:ascii="Times New Roman" w:hAnsi="Times New Roman"/>
          <w:spacing w:val="-18"/>
          <w:sz w:val="18"/>
        </w:rPr>
        <w:t> </w:t>
      </w:r>
      <w:r>
        <w:rPr>
          <w:rFonts w:ascii="Times New Roman" w:hAnsi="Times New Roman"/>
          <w:sz w:val="18"/>
          <w:u w:val="single"/>
        </w:rPr>
        <w:t>Merrimack</w:t>
      </w:r>
      <w:r>
        <w:rPr>
          <w:rFonts w:ascii="Times New Roman" w:hAnsi="Times New Roman"/>
          <w:spacing w:val="-21"/>
          <w:sz w:val="18"/>
          <w:u w:val="single"/>
        </w:rPr>
        <w:t> </w:t>
      </w:r>
      <w:r>
        <w:rPr>
          <w:rFonts w:ascii="Times New Roman" w:hAnsi="Times New Roman"/>
          <w:sz w:val="18"/>
          <w:u w:val="single"/>
        </w:rPr>
        <w:t>Mut.</w:t>
      </w:r>
      <w:r>
        <w:rPr>
          <w:rFonts w:ascii="Times New Roman" w:hAnsi="Times New Roman"/>
          <w:spacing w:val="-15"/>
          <w:sz w:val="18"/>
          <w:u w:val="single"/>
        </w:rPr>
        <w:t> </w:t>
      </w:r>
      <w:r>
        <w:rPr>
          <w:rFonts w:ascii="Times New Roman" w:hAnsi="Times New Roman"/>
          <w:sz w:val="18"/>
          <w:u w:val="single"/>
        </w:rPr>
        <w:t>Fire</w:t>
      </w:r>
      <w:r>
        <w:rPr>
          <w:rFonts w:ascii="Times New Roman" w:hAnsi="Times New Roman"/>
          <w:spacing w:val="-15"/>
          <w:sz w:val="18"/>
          <w:u w:val="single"/>
        </w:rPr>
        <w:t> </w:t>
      </w:r>
      <w:r>
        <w:rPr>
          <w:rFonts w:ascii="Times New Roman" w:hAnsi="Times New Roman"/>
          <w:sz w:val="18"/>
          <w:u w:val="single"/>
        </w:rPr>
        <w:t>Ins.</w:t>
      </w:r>
      <w:r>
        <w:rPr>
          <w:rFonts w:ascii="Times New Roman" w:hAnsi="Times New Roman"/>
          <w:spacing w:val="-16"/>
          <w:sz w:val="18"/>
          <w:u w:val="single"/>
        </w:rPr>
        <w:t> </w:t>
      </w:r>
      <w:r>
        <w:rPr>
          <w:rFonts w:ascii="Times New Roman" w:hAnsi="Times New Roman"/>
          <w:sz w:val="18"/>
          <w:u w:val="single"/>
        </w:rPr>
        <w:t>Co.</w:t>
      </w:r>
      <w:r>
        <w:rPr>
          <w:rFonts w:ascii="Times New Roman" w:hAnsi="Times New Roman"/>
          <w:sz w:val="18"/>
        </w:rPr>
        <w:t> </w:t>
      </w:r>
      <w:r>
        <w:rPr>
          <w:rFonts w:ascii="Times New Roman" w:hAnsi="Times New Roman"/>
          <w:sz w:val="18"/>
          <w:u w:val="single"/>
        </w:rPr>
        <w:t>v.</w:t>
      </w:r>
      <w:r>
        <w:rPr>
          <w:rFonts w:ascii="Times New Roman" w:hAnsi="Times New Roman"/>
          <w:spacing w:val="-15"/>
          <w:sz w:val="18"/>
          <w:u w:val="single"/>
        </w:rPr>
        <w:t> </w:t>
      </w:r>
      <w:r>
        <w:rPr>
          <w:rFonts w:ascii="Times New Roman" w:hAnsi="Times New Roman"/>
          <w:sz w:val="18"/>
          <w:u w:val="single"/>
        </w:rPr>
        <w:t>Batts</w:t>
      </w:r>
      <w:r>
        <w:rPr>
          <w:rFonts w:ascii="Times New Roman" w:hAnsi="Times New Roman"/>
          <w:sz w:val="18"/>
        </w:rPr>
        <w:t>,</w:t>
      </w:r>
      <w:r>
        <w:rPr>
          <w:rFonts w:ascii="Times New Roman" w:hAnsi="Times New Roman"/>
          <w:spacing w:val="-15"/>
          <w:sz w:val="18"/>
        </w:rPr>
        <w:t> </w:t>
      </w:r>
      <w:r>
        <w:rPr>
          <w:rFonts w:ascii="Times New Roman" w:hAnsi="Times New Roman"/>
          <w:sz w:val="18"/>
        </w:rPr>
        <w:t>59</w:t>
      </w:r>
      <w:r>
        <w:rPr>
          <w:rFonts w:ascii="Times New Roman" w:hAnsi="Times New Roman"/>
          <w:spacing w:val="-13"/>
          <w:sz w:val="18"/>
        </w:rPr>
        <w:t> </w:t>
      </w:r>
      <w:r>
        <w:rPr>
          <w:rFonts w:ascii="Times New Roman" w:hAnsi="Times New Roman"/>
          <w:sz w:val="18"/>
        </w:rPr>
        <w:t>S.W.3d</w:t>
      </w:r>
      <w:r>
        <w:rPr>
          <w:rFonts w:ascii="Times New Roman" w:hAnsi="Times New Roman"/>
          <w:spacing w:val="-14"/>
          <w:sz w:val="18"/>
        </w:rPr>
        <w:t> </w:t>
      </w:r>
      <w:r>
        <w:rPr>
          <w:rFonts w:ascii="Times New Roman" w:hAnsi="Times New Roman"/>
          <w:sz w:val="18"/>
        </w:rPr>
        <w:t>142</w:t>
      </w:r>
      <w:r>
        <w:rPr>
          <w:rFonts w:ascii="Times New Roman" w:hAnsi="Times New Roman"/>
          <w:spacing w:val="-12"/>
          <w:sz w:val="18"/>
        </w:rPr>
        <w:t> </w:t>
      </w:r>
      <w:r>
        <w:rPr>
          <w:rFonts w:ascii="Times New Roman" w:hAnsi="Times New Roman"/>
          <w:sz w:val="18"/>
        </w:rPr>
        <w:t>(Tenn.</w:t>
      </w:r>
      <w:r>
        <w:rPr>
          <w:rFonts w:ascii="Times New Roman" w:hAnsi="Times New Roman"/>
          <w:spacing w:val="-12"/>
          <w:sz w:val="18"/>
        </w:rPr>
        <w:t> </w:t>
      </w:r>
      <w:r>
        <w:rPr>
          <w:rFonts w:ascii="Times New Roman" w:hAnsi="Times New Roman"/>
          <w:sz w:val="18"/>
        </w:rPr>
        <w:t>Ct.</w:t>
      </w:r>
      <w:r>
        <w:rPr>
          <w:rFonts w:ascii="Times New Roman" w:hAnsi="Times New Roman"/>
          <w:spacing w:val="-11"/>
          <w:sz w:val="18"/>
        </w:rPr>
        <w:t> </w:t>
      </w:r>
      <w:r>
        <w:rPr>
          <w:rFonts w:ascii="Times New Roman" w:hAnsi="Times New Roman"/>
          <w:sz w:val="18"/>
        </w:rPr>
        <w:t>App.</w:t>
      </w:r>
      <w:r>
        <w:rPr>
          <w:rFonts w:ascii="Times New Roman" w:hAnsi="Times New Roman"/>
          <w:spacing w:val="-12"/>
          <w:sz w:val="18"/>
        </w:rPr>
        <w:t> </w:t>
      </w:r>
      <w:r>
        <w:rPr>
          <w:rFonts w:ascii="Times New Roman" w:hAnsi="Times New Roman"/>
          <w:sz w:val="18"/>
        </w:rPr>
        <w:t>2001);</w:t>
      </w:r>
      <w:r>
        <w:rPr>
          <w:rFonts w:ascii="Times New Roman" w:hAnsi="Times New Roman"/>
          <w:spacing w:val="-12"/>
          <w:sz w:val="18"/>
        </w:rPr>
        <w:t> </w:t>
      </w:r>
      <w:r>
        <w:rPr>
          <w:rFonts w:ascii="Times New Roman" w:hAnsi="Times New Roman"/>
          <w:sz w:val="18"/>
          <w:u w:val="single"/>
        </w:rPr>
        <w:t>Wells</w:t>
      </w:r>
      <w:r>
        <w:rPr>
          <w:rFonts w:ascii="Times New Roman" w:hAnsi="Times New Roman"/>
          <w:spacing w:val="-12"/>
          <w:sz w:val="18"/>
          <w:u w:val="single"/>
        </w:rPr>
        <w:t> </w:t>
      </w:r>
      <w:r>
        <w:rPr>
          <w:rFonts w:ascii="Times New Roman" w:hAnsi="Times New Roman"/>
          <w:sz w:val="18"/>
          <w:u w:val="single"/>
        </w:rPr>
        <w:t>v.</w:t>
      </w:r>
      <w:r>
        <w:rPr>
          <w:rFonts w:ascii="Times New Roman" w:hAnsi="Times New Roman"/>
          <w:spacing w:val="-12"/>
          <w:sz w:val="18"/>
          <w:u w:val="single"/>
        </w:rPr>
        <w:t> </w:t>
      </w:r>
      <w:r>
        <w:rPr>
          <w:rFonts w:ascii="Times New Roman" w:hAnsi="Times New Roman"/>
          <w:sz w:val="18"/>
          <w:u w:val="single"/>
        </w:rPr>
        <w:t>American</w:t>
      </w:r>
      <w:r>
        <w:rPr>
          <w:rFonts w:ascii="Times New Roman" w:hAnsi="Times New Roman"/>
          <w:spacing w:val="-14"/>
          <w:sz w:val="18"/>
          <w:u w:val="single"/>
        </w:rPr>
        <w:t> </w:t>
      </w:r>
      <w:r>
        <w:rPr>
          <w:rFonts w:ascii="Times New Roman" w:hAnsi="Times New Roman"/>
          <w:sz w:val="18"/>
          <w:u w:val="single"/>
        </w:rPr>
        <w:t>States</w:t>
      </w:r>
      <w:r>
        <w:rPr>
          <w:rFonts w:ascii="Times New Roman" w:hAnsi="Times New Roman"/>
          <w:spacing w:val="-17"/>
          <w:sz w:val="18"/>
          <w:u w:val="single"/>
        </w:rPr>
        <w:t> </w:t>
      </w:r>
      <w:r>
        <w:rPr>
          <w:rFonts w:ascii="Times New Roman" w:hAnsi="Times New Roman"/>
          <w:sz w:val="18"/>
          <w:u w:val="single"/>
        </w:rPr>
        <w:t>Preferred</w:t>
      </w:r>
      <w:r>
        <w:rPr>
          <w:rFonts w:ascii="Times New Roman" w:hAnsi="Times New Roman"/>
          <w:spacing w:val="-14"/>
          <w:sz w:val="18"/>
          <w:u w:val="single"/>
        </w:rPr>
        <w:t> </w:t>
      </w:r>
      <w:r>
        <w:rPr>
          <w:rFonts w:ascii="Times New Roman" w:hAnsi="Times New Roman"/>
          <w:sz w:val="18"/>
          <w:u w:val="single"/>
        </w:rPr>
        <w:t>Ins.</w:t>
      </w:r>
      <w:r>
        <w:rPr>
          <w:rFonts w:ascii="Times New Roman" w:hAnsi="Times New Roman"/>
          <w:spacing w:val="-15"/>
          <w:sz w:val="18"/>
          <w:u w:val="single"/>
        </w:rPr>
        <w:t> </w:t>
      </w:r>
      <w:r>
        <w:rPr>
          <w:rFonts w:ascii="Times New Roman" w:hAnsi="Times New Roman"/>
          <w:sz w:val="18"/>
          <w:u w:val="single"/>
        </w:rPr>
        <w:t>Co.</w:t>
      </w:r>
      <w:r>
        <w:rPr>
          <w:rFonts w:ascii="Times New Roman" w:hAnsi="Times New Roman"/>
          <w:sz w:val="18"/>
        </w:rPr>
        <w:t>, 919</w:t>
      </w:r>
      <w:r>
        <w:rPr>
          <w:rFonts w:ascii="Times New Roman" w:hAnsi="Times New Roman"/>
          <w:spacing w:val="-20"/>
          <w:sz w:val="18"/>
        </w:rPr>
        <w:t> </w:t>
      </w:r>
      <w:r>
        <w:rPr>
          <w:rFonts w:ascii="Times New Roman" w:hAnsi="Times New Roman"/>
          <w:sz w:val="18"/>
        </w:rPr>
        <w:t>S.W.2d</w:t>
      </w:r>
      <w:r>
        <w:rPr>
          <w:rFonts w:ascii="Times New Roman" w:hAnsi="Times New Roman"/>
          <w:spacing w:val="-19"/>
          <w:sz w:val="18"/>
        </w:rPr>
        <w:t> </w:t>
      </w:r>
      <w:r>
        <w:rPr>
          <w:rFonts w:ascii="Times New Roman" w:hAnsi="Times New Roman"/>
          <w:sz w:val="18"/>
        </w:rPr>
        <w:t>679</w:t>
      </w:r>
      <w:r>
        <w:rPr>
          <w:rFonts w:ascii="Times New Roman" w:hAnsi="Times New Roman"/>
          <w:spacing w:val="-18"/>
          <w:sz w:val="18"/>
        </w:rPr>
        <w:t> </w:t>
      </w:r>
      <w:r>
        <w:rPr>
          <w:rFonts w:ascii="Times New Roman" w:hAnsi="Times New Roman"/>
          <w:sz w:val="18"/>
        </w:rPr>
        <w:t>(Tex.</w:t>
      </w:r>
      <w:r>
        <w:rPr>
          <w:rFonts w:ascii="Times New Roman" w:hAnsi="Times New Roman"/>
          <w:spacing w:val="-19"/>
          <w:sz w:val="18"/>
        </w:rPr>
        <w:t> </w:t>
      </w:r>
      <w:r>
        <w:rPr>
          <w:rFonts w:ascii="Times New Roman" w:hAnsi="Times New Roman"/>
          <w:sz w:val="18"/>
        </w:rPr>
        <w:t>App.</w:t>
      </w:r>
      <w:r>
        <w:rPr>
          <w:rFonts w:ascii="Times New Roman" w:hAnsi="Times New Roman"/>
          <w:spacing w:val="-18"/>
          <w:sz w:val="18"/>
        </w:rPr>
        <w:t> </w:t>
      </w:r>
      <w:r>
        <w:rPr>
          <w:rFonts w:ascii="Times New Roman" w:hAnsi="Times New Roman"/>
          <w:sz w:val="18"/>
        </w:rPr>
        <w:t>Dallas</w:t>
      </w:r>
      <w:r>
        <w:rPr>
          <w:rFonts w:ascii="Times New Roman" w:hAnsi="Times New Roman"/>
          <w:spacing w:val="-22"/>
          <w:sz w:val="18"/>
        </w:rPr>
        <w:t> </w:t>
      </w:r>
      <w:r>
        <w:rPr>
          <w:rFonts w:ascii="Times New Roman" w:hAnsi="Times New Roman"/>
          <w:sz w:val="18"/>
        </w:rPr>
        <w:t>1996);</w:t>
      </w:r>
      <w:r>
        <w:rPr>
          <w:rFonts w:ascii="Times New Roman" w:hAnsi="Times New Roman"/>
          <w:spacing w:val="-17"/>
          <w:sz w:val="18"/>
        </w:rPr>
        <w:t> </w:t>
      </w:r>
      <w:r>
        <w:rPr>
          <w:rFonts w:ascii="Times New Roman" w:hAnsi="Times New Roman"/>
          <w:sz w:val="18"/>
          <w:u w:val="single"/>
        </w:rPr>
        <w:t>Auto-Owners</w:t>
      </w:r>
      <w:r>
        <w:rPr>
          <w:rFonts w:ascii="Times New Roman" w:hAnsi="Times New Roman"/>
          <w:spacing w:val="-18"/>
          <w:sz w:val="18"/>
          <w:u w:val="single"/>
        </w:rPr>
        <w:t> </w:t>
      </w:r>
      <w:r>
        <w:rPr>
          <w:rFonts w:ascii="Times New Roman" w:hAnsi="Times New Roman"/>
          <w:sz w:val="18"/>
          <w:u w:val="single"/>
        </w:rPr>
        <w:t>Ins.</w:t>
      </w:r>
      <w:r>
        <w:rPr>
          <w:rFonts w:ascii="Times New Roman" w:hAnsi="Times New Roman"/>
          <w:spacing w:val="-18"/>
          <w:sz w:val="18"/>
          <w:u w:val="single"/>
        </w:rPr>
        <w:t> </w:t>
      </w:r>
      <w:r>
        <w:rPr>
          <w:rFonts w:ascii="Times New Roman" w:hAnsi="Times New Roman"/>
          <w:sz w:val="18"/>
          <w:u w:val="single"/>
        </w:rPr>
        <w:t>Co.</w:t>
      </w:r>
      <w:r>
        <w:rPr>
          <w:rFonts w:ascii="Times New Roman" w:hAnsi="Times New Roman"/>
          <w:spacing w:val="-16"/>
          <w:sz w:val="18"/>
          <w:u w:val="single"/>
        </w:rPr>
        <w:t> </w:t>
      </w:r>
      <w:r>
        <w:rPr>
          <w:rFonts w:ascii="Times New Roman" w:hAnsi="Times New Roman"/>
          <w:sz w:val="18"/>
          <w:u w:val="single"/>
        </w:rPr>
        <w:t>v.</w:t>
      </w:r>
      <w:r>
        <w:rPr>
          <w:rFonts w:ascii="Times New Roman" w:hAnsi="Times New Roman"/>
          <w:spacing w:val="-17"/>
          <w:sz w:val="18"/>
          <w:u w:val="single"/>
        </w:rPr>
        <w:t> </w:t>
      </w:r>
      <w:r>
        <w:rPr>
          <w:rFonts w:ascii="Times New Roman" w:hAnsi="Times New Roman"/>
          <w:sz w:val="18"/>
          <w:u w:val="single"/>
        </w:rPr>
        <w:t>Kwaiser</w:t>
      </w:r>
      <w:r>
        <w:rPr>
          <w:rFonts w:ascii="Times New Roman" w:hAnsi="Times New Roman"/>
          <w:sz w:val="18"/>
        </w:rPr>
        <w:t>,</w:t>
      </w:r>
      <w:r>
        <w:rPr>
          <w:rFonts w:ascii="Times New Roman" w:hAnsi="Times New Roman"/>
          <w:spacing w:val="-18"/>
          <w:sz w:val="18"/>
        </w:rPr>
        <w:t> </w:t>
      </w:r>
      <w:r>
        <w:rPr>
          <w:rFonts w:ascii="Times New Roman" w:hAnsi="Times New Roman"/>
          <w:sz w:val="18"/>
        </w:rPr>
        <w:t>190</w:t>
      </w:r>
      <w:r>
        <w:rPr>
          <w:rFonts w:ascii="Times New Roman" w:hAnsi="Times New Roman"/>
          <w:spacing w:val="-15"/>
          <w:sz w:val="18"/>
        </w:rPr>
        <w:t> </w:t>
      </w:r>
      <w:r>
        <w:rPr>
          <w:rFonts w:ascii="Times New Roman" w:hAnsi="Times New Roman"/>
          <w:sz w:val="18"/>
        </w:rPr>
        <w:t>Mich.</w:t>
      </w:r>
      <w:r>
        <w:rPr>
          <w:rFonts w:ascii="Times New Roman" w:hAnsi="Times New Roman"/>
          <w:spacing w:val="-17"/>
          <w:sz w:val="18"/>
        </w:rPr>
        <w:t> </w:t>
      </w:r>
      <w:r>
        <w:rPr>
          <w:rFonts w:ascii="Times New Roman" w:hAnsi="Times New Roman"/>
          <w:sz w:val="18"/>
        </w:rPr>
        <w:t>App. 482,</w:t>
      </w:r>
      <w:r>
        <w:rPr>
          <w:rFonts w:ascii="Times New Roman" w:hAnsi="Times New Roman"/>
          <w:spacing w:val="-16"/>
          <w:sz w:val="18"/>
        </w:rPr>
        <w:t> </w:t>
      </w:r>
      <w:r>
        <w:rPr>
          <w:rFonts w:ascii="Times New Roman" w:hAnsi="Times New Roman"/>
          <w:sz w:val="18"/>
        </w:rPr>
        <w:t>476</w:t>
      </w:r>
      <w:r>
        <w:rPr>
          <w:rFonts w:ascii="Times New Roman" w:hAnsi="Times New Roman"/>
          <w:spacing w:val="-17"/>
          <w:sz w:val="18"/>
        </w:rPr>
        <w:t> </w:t>
      </w:r>
      <w:r>
        <w:rPr>
          <w:rFonts w:ascii="Times New Roman" w:hAnsi="Times New Roman"/>
          <w:sz w:val="18"/>
        </w:rPr>
        <w:t>N.W.2d</w:t>
      </w:r>
      <w:r>
        <w:rPr>
          <w:rFonts w:ascii="Times New Roman" w:hAnsi="Times New Roman"/>
          <w:spacing w:val="-17"/>
          <w:sz w:val="18"/>
        </w:rPr>
        <w:t> </w:t>
      </w:r>
      <w:r>
        <w:rPr>
          <w:rFonts w:ascii="Times New Roman" w:hAnsi="Times New Roman"/>
          <w:sz w:val="18"/>
        </w:rPr>
        <w:t>467</w:t>
      </w:r>
      <w:r>
        <w:rPr>
          <w:rFonts w:ascii="Times New Roman" w:hAnsi="Times New Roman"/>
          <w:spacing w:val="-15"/>
          <w:sz w:val="18"/>
        </w:rPr>
        <w:t> </w:t>
      </w:r>
      <w:r>
        <w:rPr>
          <w:rFonts w:ascii="Times New Roman" w:hAnsi="Times New Roman"/>
          <w:sz w:val="18"/>
        </w:rPr>
        <w:t>(1991);</w:t>
      </w:r>
      <w:r>
        <w:rPr>
          <w:rFonts w:ascii="Times New Roman" w:hAnsi="Times New Roman"/>
          <w:spacing w:val="-18"/>
          <w:sz w:val="18"/>
        </w:rPr>
        <w:t> </w:t>
      </w:r>
      <w:r>
        <w:rPr>
          <w:rFonts w:ascii="Times New Roman" w:hAnsi="Times New Roman"/>
          <w:sz w:val="18"/>
          <w:u w:val="single"/>
        </w:rPr>
        <w:t>H4C</w:t>
      </w:r>
      <w:r>
        <w:rPr>
          <w:rFonts w:ascii="Times New Roman" w:hAnsi="Times New Roman"/>
          <w:spacing w:val="-19"/>
          <w:sz w:val="18"/>
          <w:u w:val="single"/>
        </w:rPr>
        <w:t> </w:t>
      </w:r>
      <w:r>
        <w:rPr>
          <w:rFonts w:ascii="Times New Roman" w:hAnsi="Times New Roman"/>
          <w:sz w:val="18"/>
          <w:u w:val="single"/>
        </w:rPr>
        <w:t>Associates.</w:t>
      </w:r>
      <w:r>
        <w:rPr>
          <w:rFonts w:ascii="Times New Roman" w:hAnsi="Times New Roman"/>
          <w:spacing w:val="-18"/>
          <w:sz w:val="18"/>
          <w:u w:val="single"/>
        </w:rPr>
        <w:t> </w:t>
      </w:r>
      <w:r>
        <w:rPr>
          <w:rFonts w:ascii="Times New Roman" w:hAnsi="Times New Roman"/>
          <w:sz w:val="18"/>
          <w:u w:val="single"/>
        </w:rPr>
        <w:t>v.</w:t>
      </w:r>
      <w:r>
        <w:rPr>
          <w:rFonts w:ascii="Times New Roman" w:hAnsi="Times New Roman"/>
          <w:spacing w:val="-16"/>
          <w:sz w:val="18"/>
          <w:u w:val="single"/>
        </w:rPr>
        <w:t> </w:t>
      </w:r>
      <w:r>
        <w:rPr>
          <w:rFonts w:ascii="Times New Roman" w:hAnsi="Times New Roman"/>
          <w:sz w:val="18"/>
          <w:u w:val="single"/>
        </w:rPr>
        <w:t>Assur.</w:t>
      </w:r>
      <w:r>
        <w:rPr>
          <w:rFonts w:ascii="Times New Roman" w:hAnsi="Times New Roman"/>
          <w:spacing w:val="-16"/>
          <w:sz w:val="18"/>
          <w:u w:val="single"/>
        </w:rPr>
        <w:t> </w:t>
      </w:r>
      <w:r>
        <w:rPr>
          <w:rFonts w:ascii="Times New Roman" w:hAnsi="Times New Roman"/>
          <w:sz w:val="18"/>
          <w:u w:val="single"/>
        </w:rPr>
        <w:t>Co.</w:t>
      </w:r>
      <w:r>
        <w:rPr>
          <w:rFonts w:ascii="Times New Roman" w:hAnsi="Times New Roman"/>
          <w:spacing w:val="-15"/>
          <w:sz w:val="18"/>
          <w:u w:val="single"/>
        </w:rPr>
        <w:t> </w:t>
      </w:r>
      <w:r>
        <w:rPr>
          <w:rFonts w:ascii="Times New Roman" w:hAnsi="Times New Roman"/>
          <w:sz w:val="18"/>
          <w:u w:val="single"/>
        </w:rPr>
        <w:t>of</w:t>
      </w:r>
      <w:r>
        <w:rPr>
          <w:rFonts w:ascii="Times New Roman" w:hAnsi="Times New Roman"/>
          <w:spacing w:val="-19"/>
          <w:sz w:val="18"/>
          <w:u w:val="single"/>
        </w:rPr>
        <w:t> </w:t>
      </w:r>
      <w:r>
        <w:rPr>
          <w:rFonts w:ascii="Times New Roman" w:hAnsi="Times New Roman"/>
          <w:sz w:val="18"/>
          <w:u w:val="single"/>
        </w:rPr>
        <w:t>America</w:t>
      </w:r>
      <w:r>
        <w:rPr>
          <w:rFonts w:ascii="Times New Roman" w:hAnsi="Times New Roman"/>
          <w:sz w:val="18"/>
        </w:rPr>
        <w:t>,</w:t>
      </w:r>
      <w:r>
        <w:rPr>
          <w:rFonts w:ascii="Times New Roman" w:hAnsi="Times New Roman"/>
          <w:spacing w:val="-18"/>
          <w:sz w:val="18"/>
        </w:rPr>
        <w:t> </w:t>
      </w:r>
      <w:r>
        <w:rPr>
          <w:rFonts w:ascii="Times New Roman" w:hAnsi="Times New Roman"/>
          <w:sz w:val="18"/>
        </w:rPr>
        <w:t>256</w:t>
      </w:r>
      <w:r>
        <w:rPr>
          <w:rFonts w:ascii="Times New Roman" w:hAnsi="Times New Roman"/>
          <w:spacing w:val="-15"/>
          <w:sz w:val="18"/>
        </w:rPr>
        <w:t> </w:t>
      </w:r>
      <w:r>
        <w:rPr>
          <w:rFonts w:ascii="Times New Roman" w:hAnsi="Times New Roman"/>
          <w:sz w:val="18"/>
        </w:rPr>
        <w:t>F.Supp.2d</w:t>
      </w:r>
      <w:r>
        <w:rPr>
          <w:rFonts w:ascii="Times New Roman" w:hAnsi="Times New Roman"/>
          <w:spacing w:val="-15"/>
          <w:sz w:val="18"/>
        </w:rPr>
        <w:t> </w:t>
      </w:r>
      <w:r>
        <w:rPr>
          <w:rFonts w:ascii="Times New Roman" w:hAnsi="Times New Roman"/>
          <w:sz w:val="18"/>
        </w:rPr>
        <w:t>505</w:t>
      </w:r>
    </w:p>
    <w:p>
      <w:pPr>
        <w:spacing w:before="1"/>
        <w:ind w:left="1160" w:right="0" w:firstLine="0"/>
        <w:jc w:val="both"/>
        <w:rPr>
          <w:rFonts w:ascii="Times New Roman"/>
          <w:sz w:val="18"/>
        </w:rPr>
      </w:pPr>
      <w:r>
        <w:rPr>
          <w:rFonts w:ascii="Times New Roman"/>
          <w:sz w:val="18"/>
        </w:rPr>
        <w:t>(ED Va. 2003).</w:t>
      </w:r>
    </w:p>
    <w:p>
      <w:pPr>
        <w:spacing w:after="0"/>
        <w:jc w:val="both"/>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3"/>
      </w:pPr>
      <w:bookmarkStart w:name="Law and Procedure 147" w:id="58"/>
      <w:bookmarkEnd w:id="58"/>
      <w:r>
        <w:rPr/>
      </w:r>
      <w:r>
        <w:rPr/>
        <w:t>portion of the loss which is covered. This nuance represents the majority view</w:t>
      </w:r>
      <w:r>
        <w:rPr>
          <w:spacing w:val="-53"/>
        </w:rPr>
        <w:t> </w:t>
      </w:r>
      <w:r>
        <w:rPr/>
        <w:t>currently.</w:t>
      </w:r>
    </w:p>
    <w:p>
      <w:pPr>
        <w:pStyle w:val="BodyText"/>
        <w:spacing w:before="9"/>
        <w:rPr>
          <w:sz w:val="22"/>
        </w:rPr>
      </w:pPr>
    </w:p>
    <w:p>
      <w:pPr>
        <w:pStyle w:val="BodyText"/>
        <w:spacing w:line="242" w:lineRule="auto" w:before="42"/>
        <w:ind w:left="1520" w:right="1518" w:firstLine="720"/>
        <w:jc w:val="both"/>
      </w:pPr>
      <w:r>
        <w:rPr/>
        <w:t>For</w:t>
      </w:r>
      <w:r>
        <w:rPr>
          <w:spacing w:val="-35"/>
        </w:rPr>
        <w:t> </w:t>
      </w:r>
      <w:r>
        <w:rPr>
          <w:spacing w:val="-3"/>
        </w:rPr>
        <w:t>example,</w:t>
      </w:r>
      <w:r>
        <w:rPr>
          <w:spacing w:val="-36"/>
        </w:rPr>
        <w:t> </w:t>
      </w:r>
      <w:r>
        <w:rPr/>
        <w:t>in</w:t>
      </w:r>
      <w:r>
        <w:rPr>
          <w:spacing w:val="-32"/>
        </w:rPr>
        <w:t> </w:t>
      </w:r>
      <w:r>
        <w:rPr>
          <w:u w:val="single"/>
        </w:rPr>
        <w:t>LeBlanc</w:t>
      </w:r>
      <w:r>
        <w:rPr>
          <w:spacing w:val="-31"/>
          <w:u w:val="single"/>
        </w:rPr>
        <w:t> </w:t>
      </w:r>
      <w:r>
        <w:rPr>
          <w:u w:val="single"/>
        </w:rPr>
        <w:t>v.</w:t>
      </w:r>
      <w:r>
        <w:rPr>
          <w:spacing w:val="-34"/>
          <w:u w:val="single"/>
        </w:rPr>
        <w:t> </w:t>
      </w:r>
      <w:r>
        <w:rPr>
          <w:u w:val="single"/>
        </w:rPr>
        <w:t>Travelers</w:t>
      </w:r>
      <w:r>
        <w:rPr>
          <w:spacing w:val="-32"/>
          <w:u w:val="single"/>
        </w:rPr>
        <w:t> </w:t>
      </w:r>
      <w:r>
        <w:rPr>
          <w:u w:val="single"/>
        </w:rPr>
        <w:t>Home</w:t>
      </w:r>
      <w:r>
        <w:rPr/>
        <w:t> </w:t>
      </w:r>
      <w:r>
        <w:rPr>
          <w:u w:val="single"/>
        </w:rPr>
        <w:t>and Marine Ins. Co.</w:t>
      </w:r>
      <w:r>
        <w:rPr/>
        <w:t>, the District Court sitting in the Western District of Oklahoma held that although the umpire’s decision touched on </w:t>
      </w:r>
      <w:r>
        <w:rPr>
          <w:spacing w:val="8"/>
        </w:rPr>
        <w:t>issues </w:t>
      </w:r>
      <w:r>
        <w:rPr>
          <w:spacing w:val="5"/>
        </w:rPr>
        <w:t>of </w:t>
      </w:r>
      <w:r>
        <w:rPr>
          <w:spacing w:val="7"/>
        </w:rPr>
        <w:t>coverage, </w:t>
      </w:r>
      <w:r>
        <w:rPr>
          <w:spacing w:val="5"/>
        </w:rPr>
        <w:t>his </w:t>
      </w:r>
      <w:r>
        <w:rPr>
          <w:spacing w:val="6"/>
        </w:rPr>
        <w:t>analysis </w:t>
      </w:r>
      <w:r>
        <w:rPr>
          <w:spacing w:val="4"/>
        </w:rPr>
        <w:t>was </w:t>
      </w:r>
      <w:r>
        <w:rPr/>
        <w:t>appropriate.</w:t>
      </w:r>
      <w:r>
        <w:rPr>
          <w:spacing w:val="27"/>
        </w:rPr>
        <w:t> </w:t>
      </w:r>
      <w:r>
        <w:rPr/>
        <w:t>The</w:t>
      </w:r>
      <w:r>
        <w:rPr>
          <w:spacing w:val="-22"/>
        </w:rPr>
        <w:t> </w:t>
      </w:r>
      <w:r>
        <w:rPr/>
        <w:t>court</w:t>
      </w:r>
      <w:r>
        <w:rPr>
          <w:spacing w:val="-22"/>
        </w:rPr>
        <w:t> </w:t>
      </w:r>
      <w:r>
        <w:rPr/>
        <w:t>explained</w:t>
      </w:r>
      <w:r>
        <w:rPr>
          <w:spacing w:val="-22"/>
        </w:rPr>
        <w:t> </w:t>
      </w:r>
      <w:r>
        <w:rPr/>
        <w:t>that</w:t>
      </w:r>
      <w:r>
        <w:rPr>
          <w:spacing w:val="-22"/>
        </w:rPr>
        <w:t> </w:t>
      </w:r>
      <w:r>
        <w:rPr/>
        <w:t>as</w:t>
      </w:r>
      <w:r>
        <w:rPr>
          <w:spacing w:val="-17"/>
        </w:rPr>
        <w:t> </w:t>
      </w:r>
      <w:r>
        <w:rPr>
          <w:spacing w:val="-4"/>
        </w:rPr>
        <w:t>there </w:t>
      </w:r>
      <w:r>
        <w:rPr/>
        <w:t>was no dispute that tornado damage was </w:t>
      </w:r>
      <w:r>
        <w:rPr>
          <w:spacing w:val="-11"/>
        </w:rPr>
        <w:t>a </w:t>
      </w:r>
      <w:r>
        <w:rPr/>
        <w:t>covered</w:t>
      </w:r>
      <w:r>
        <w:rPr>
          <w:spacing w:val="-24"/>
        </w:rPr>
        <w:t> </w:t>
      </w:r>
      <w:r>
        <w:rPr/>
        <w:t>peril</w:t>
      </w:r>
      <w:r>
        <w:rPr>
          <w:spacing w:val="-22"/>
        </w:rPr>
        <w:t> </w:t>
      </w:r>
      <w:r>
        <w:rPr/>
        <w:t>under</w:t>
      </w:r>
      <w:r>
        <w:rPr>
          <w:spacing w:val="-24"/>
        </w:rPr>
        <w:t> </w:t>
      </w:r>
      <w:r>
        <w:rPr/>
        <w:t>the</w:t>
      </w:r>
      <w:r>
        <w:rPr>
          <w:spacing w:val="-23"/>
        </w:rPr>
        <w:t> </w:t>
      </w:r>
      <w:r>
        <w:rPr/>
        <w:t>homeowner’s</w:t>
      </w:r>
      <w:r>
        <w:rPr>
          <w:spacing w:val="-23"/>
        </w:rPr>
        <w:t> </w:t>
      </w:r>
      <w:r>
        <w:rPr/>
        <w:t>policy,</w:t>
      </w:r>
      <w:r>
        <w:rPr>
          <w:spacing w:val="-24"/>
        </w:rPr>
        <w:t> </w:t>
      </w:r>
      <w:r>
        <w:rPr/>
        <w:t>it was not appropriate for the umpire to determine what damage was caused by the tornado and what damage was caused by some other peril. While the court noted that “[u]nder a typical appraisal clause, the only issue to be determined by the appraiser is the amount of the loss...The problem...is that drawing</w:t>
      </w:r>
      <w:r>
        <w:rPr>
          <w:spacing w:val="-38"/>
        </w:rPr>
        <w:t> </w:t>
      </w:r>
      <w:r>
        <w:rPr/>
        <w:t>lines</w:t>
      </w:r>
      <w:r>
        <w:rPr>
          <w:spacing w:val="-38"/>
        </w:rPr>
        <w:t> </w:t>
      </w:r>
      <w:r>
        <w:rPr/>
        <w:t>between</w:t>
      </w:r>
      <w:r>
        <w:rPr>
          <w:spacing w:val="-40"/>
        </w:rPr>
        <w:t> </w:t>
      </w:r>
      <w:r>
        <w:rPr>
          <w:spacing w:val="-4"/>
        </w:rPr>
        <w:t>‘coverage,’</w:t>
      </w:r>
      <w:r>
        <w:rPr>
          <w:spacing w:val="-42"/>
        </w:rPr>
        <w:t> </w:t>
      </w:r>
      <w:r>
        <w:rPr/>
        <w:t>‘causation’ and ‘amount of loss’ is not always clear cut </w:t>
      </w:r>
      <w:r>
        <w:rPr>
          <w:spacing w:val="-5"/>
        </w:rPr>
        <w:t>in </w:t>
      </w:r>
      <w:r>
        <w:rPr/>
        <w:t>actual</w:t>
      </w:r>
      <w:r>
        <w:rPr>
          <w:spacing w:val="-1"/>
        </w:rPr>
        <w:t> </w:t>
      </w:r>
      <w:r>
        <w:rPr/>
        <w:t>practice.”</w:t>
      </w:r>
      <w:r>
        <w:rPr>
          <w:vertAlign w:val="superscript"/>
        </w:rPr>
        <w:t>203</w:t>
      </w:r>
    </w:p>
    <w:p>
      <w:pPr>
        <w:pStyle w:val="BodyText"/>
        <w:spacing w:before="8"/>
        <w:rPr>
          <w:sz w:val="25"/>
        </w:rPr>
      </w:pPr>
    </w:p>
    <w:p>
      <w:pPr>
        <w:pStyle w:val="BodyText"/>
        <w:spacing w:line="242" w:lineRule="auto"/>
        <w:ind w:left="1520" w:right="1519" w:firstLine="720"/>
        <w:jc w:val="both"/>
      </w:pPr>
      <w:r>
        <w:rPr>
          <w:spacing w:val="4"/>
        </w:rPr>
        <w:t>In </w:t>
      </w:r>
      <w:r>
        <w:rPr/>
        <w:t>Texas, appraisers acted within their authority “to the extent [they] merely distinguished damage caused by pre-existing conditions</w:t>
      </w:r>
      <w:r>
        <w:rPr>
          <w:spacing w:val="-19"/>
        </w:rPr>
        <w:t> </w:t>
      </w:r>
      <w:r>
        <w:rPr/>
        <w:t>from</w:t>
      </w:r>
      <w:r>
        <w:rPr>
          <w:spacing w:val="-17"/>
        </w:rPr>
        <w:t> </w:t>
      </w:r>
      <w:r>
        <w:rPr/>
        <w:t>damage</w:t>
      </w:r>
      <w:r>
        <w:rPr>
          <w:spacing w:val="-17"/>
        </w:rPr>
        <w:t> </w:t>
      </w:r>
      <w:r>
        <w:rPr/>
        <w:t>caused</w:t>
      </w:r>
      <w:r>
        <w:rPr>
          <w:spacing w:val="-15"/>
        </w:rPr>
        <w:t> </w:t>
      </w:r>
      <w:r>
        <w:rPr/>
        <w:t>by</w:t>
      </w:r>
      <w:r>
        <w:rPr>
          <w:spacing w:val="-18"/>
        </w:rPr>
        <w:t> </w:t>
      </w:r>
      <w:r>
        <w:rPr/>
        <w:t>[a]</w:t>
      </w:r>
      <w:r>
        <w:rPr>
          <w:spacing w:val="-15"/>
        </w:rPr>
        <w:t> </w:t>
      </w:r>
      <w:r>
        <w:rPr>
          <w:spacing w:val="-3"/>
        </w:rPr>
        <w:t>storm”</w:t>
      </w:r>
    </w:p>
    <w:p>
      <w:pPr>
        <w:pStyle w:val="BodyText"/>
        <w:spacing w:before="1"/>
        <w:rPr>
          <w:sz w:val="23"/>
        </w:rPr>
      </w:pPr>
      <w:r>
        <w:rPr/>
        <w:pict>
          <v:shape style="position:absolute;margin-left:162pt;margin-top:16.565899pt;width:143.9pt;height:.1pt;mso-position-horizontal-relative:page;mso-position-vertical-relative:paragraph;z-index:-251580416;mso-wrap-distance-left:0;mso-wrap-distance-right:0" coordorigin="3240,331" coordsize="2878,0" path="m3240,331l6118,331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5"/>
        </w:numPr>
        <w:tabs>
          <w:tab w:pos="1421" w:val="left" w:leader="none"/>
        </w:tabs>
        <w:spacing w:line="244" w:lineRule="auto" w:before="71" w:after="0"/>
        <w:ind w:left="1160" w:right="1159" w:firstLine="0"/>
        <w:jc w:val="both"/>
        <w:rPr>
          <w:sz w:val="18"/>
        </w:rPr>
      </w:pPr>
      <w:r>
        <w:rPr>
          <w:sz w:val="18"/>
          <w:u w:val="single"/>
        </w:rPr>
        <w:t>LeBlanc</w:t>
      </w:r>
      <w:r>
        <w:rPr>
          <w:spacing w:val="-14"/>
          <w:sz w:val="18"/>
          <w:u w:val="single"/>
        </w:rPr>
        <w:t> </w:t>
      </w:r>
      <w:r>
        <w:rPr>
          <w:sz w:val="18"/>
          <w:u w:val="single"/>
        </w:rPr>
        <w:t>v.</w:t>
      </w:r>
      <w:r>
        <w:rPr>
          <w:spacing w:val="-12"/>
          <w:sz w:val="18"/>
          <w:u w:val="single"/>
        </w:rPr>
        <w:t> </w:t>
      </w:r>
      <w:r>
        <w:rPr>
          <w:sz w:val="18"/>
          <w:u w:val="single"/>
        </w:rPr>
        <w:t>Travelers</w:t>
      </w:r>
      <w:r>
        <w:rPr>
          <w:spacing w:val="-14"/>
          <w:sz w:val="18"/>
          <w:u w:val="single"/>
        </w:rPr>
        <w:t> </w:t>
      </w:r>
      <w:r>
        <w:rPr>
          <w:sz w:val="18"/>
          <w:u w:val="single"/>
        </w:rPr>
        <w:t>Home</w:t>
      </w:r>
      <w:r>
        <w:rPr>
          <w:spacing w:val="-14"/>
          <w:sz w:val="18"/>
          <w:u w:val="single"/>
        </w:rPr>
        <w:t> </w:t>
      </w:r>
      <w:r>
        <w:rPr>
          <w:sz w:val="18"/>
          <w:u w:val="single"/>
        </w:rPr>
        <w:t>and</w:t>
      </w:r>
      <w:r>
        <w:rPr>
          <w:spacing w:val="22"/>
          <w:sz w:val="18"/>
          <w:u w:val="single"/>
        </w:rPr>
        <w:t> </w:t>
      </w:r>
      <w:r>
        <w:rPr>
          <w:sz w:val="18"/>
          <w:u w:val="single"/>
        </w:rPr>
        <w:t>Marine</w:t>
      </w:r>
      <w:r>
        <w:rPr>
          <w:spacing w:val="-14"/>
          <w:sz w:val="18"/>
          <w:u w:val="single"/>
        </w:rPr>
        <w:t> </w:t>
      </w:r>
      <w:r>
        <w:rPr>
          <w:sz w:val="18"/>
          <w:u w:val="single"/>
        </w:rPr>
        <w:t>Ins.</w:t>
      </w:r>
      <w:r>
        <w:rPr>
          <w:spacing w:val="-13"/>
          <w:sz w:val="18"/>
          <w:u w:val="single"/>
        </w:rPr>
        <w:t> </w:t>
      </w:r>
      <w:r>
        <w:rPr>
          <w:sz w:val="18"/>
          <w:u w:val="single"/>
        </w:rPr>
        <w:t>Co.</w:t>
      </w:r>
      <w:r>
        <w:rPr>
          <w:sz w:val="18"/>
        </w:rPr>
        <w:t>,</w:t>
      </w:r>
      <w:r>
        <w:rPr>
          <w:spacing w:val="-12"/>
          <w:sz w:val="18"/>
        </w:rPr>
        <w:t> </w:t>
      </w:r>
      <w:r>
        <w:rPr>
          <w:sz w:val="18"/>
        </w:rPr>
        <w:t>2011</w:t>
      </w:r>
      <w:r>
        <w:rPr>
          <w:spacing w:val="-12"/>
          <w:sz w:val="18"/>
        </w:rPr>
        <w:t> </w:t>
      </w:r>
      <w:r>
        <w:rPr>
          <w:sz w:val="18"/>
        </w:rPr>
        <w:t>WL</w:t>
      </w:r>
      <w:r>
        <w:rPr>
          <w:spacing w:val="-16"/>
          <w:sz w:val="18"/>
        </w:rPr>
        <w:t> </w:t>
      </w:r>
      <w:r>
        <w:rPr>
          <w:sz w:val="18"/>
        </w:rPr>
        <w:t>1107126</w:t>
      </w:r>
      <w:r>
        <w:rPr>
          <w:spacing w:val="-13"/>
          <w:sz w:val="18"/>
        </w:rPr>
        <w:t> </w:t>
      </w:r>
      <w:r>
        <w:rPr>
          <w:sz w:val="18"/>
        </w:rPr>
        <w:t>(W.D.Okla.2011)</w:t>
      </w:r>
      <w:r>
        <w:rPr>
          <w:sz w:val="24"/>
        </w:rPr>
        <w:t>; </w:t>
      </w:r>
      <w:r>
        <w:rPr>
          <w:i/>
          <w:sz w:val="18"/>
        </w:rPr>
        <w:t>See</w:t>
      </w:r>
      <w:r>
        <w:rPr>
          <w:i/>
          <w:spacing w:val="-13"/>
          <w:sz w:val="18"/>
        </w:rPr>
        <w:t> </w:t>
      </w:r>
      <w:r>
        <w:rPr>
          <w:i/>
          <w:sz w:val="18"/>
        </w:rPr>
        <w:t>also</w:t>
      </w:r>
      <w:r>
        <w:rPr>
          <w:i/>
          <w:spacing w:val="-11"/>
          <w:sz w:val="18"/>
        </w:rPr>
        <w:t> </w:t>
      </w:r>
      <w:r>
        <w:rPr>
          <w:sz w:val="18"/>
          <w:u w:val="single"/>
        </w:rPr>
        <w:t>Knop</w:t>
      </w:r>
      <w:r>
        <w:rPr>
          <w:spacing w:val="-11"/>
          <w:sz w:val="18"/>
          <w:u w:val="single"/>
        </w:rPr>
        <w:t> </w:t>
      </w:r>
      <w:r>
        <w:rPr>
          <w:sz w:val="18"/>
          <w:u w:val="single"/>
        </w:rPr>
        <w:t>v.</w:t>
      </w:r>
      <w:r>
        <w:rPr>
          <w:spacing w:val="-11"/>
          <w:sz w:val="18"/>
          <w:u w:val="single"/>
        </w:rPr>
        <w:t> </w:t>
      </w:r>
      <w:r>
        <w:rPr>
          <w:sz w:val="18"/>
          <w:u w:val="single"/>
        </w:rPr>
        <w:t>The</w:t>
      </w:r>
      <w:r>
        <w:rPr>
          <w:spacing w:val="-13"/>
          <w:sz w:val="18"/>
          <w:u w:val="single"/>
        </w:rPr>
        <w:t> </w:t>
      </w:r>
      <w:r>
        <w:rPr>
          <w:sz w:val="18"/>
          <w:u w:val="single"/>
        </w:rPr>
        <w:t>Travelers</w:t>
      </w:r>
      <w:r>
        <w:rPr>
          <w:spacing w:val="-13"/>
          <w:sz w:val="18"/>
          <w:u w:val="single"/>
        </w:rPr>
        <w:t> </w:t>
      </w:r>
      <w:r>
        <w:rPr>
          <w:sz w:val="18"/>
          <w:u w:val="single"/>
        </w:rPr>
        <w:t>Home</w:t>
      </w:r>
      <w:r>
        <w:rPr>
          <w:spacing w:val="-13"/>
          <w:sz w:val="18"/>
          <w:u w:val="single"/>
        </w:rPr>
        <w:t> </w:t>
      </w:r>
      <w:r>
        <w:rPr>
          <w:sz w:val="18"/>
          <w:u w:val="single"/>
        </w:rPr>
        <w:t>and</w:t>
      </w:r>
      <w:r>
        <w:rPr>
          <w:spacing w:val="22"/>
          <w:sz w:val="18"/>
          <w:u w:val="single"/>
        </w:rPr>
        <w:t> </w:t>
      </w:r>
      <w:r>
        <w:rPr>
          <w:sz w:val="18"/>
          <w:u w:val="single"/>
        </w:rPr>
        <w:t>Marine</w:t>
      </w:r>
      <w:r>
        <w:rPr>
          <w:spacing w:val="-13"/>
          <w:sz w:val="18"/>
          <w:u w:val="single"/>
        </w:rPr>
        <w:t> </w:t>
      </w:r>
      <w:r>
        <w:rPr>
          <w:sz w:val="18"/>
          <w:u w:val="single"/>
        </w:rPr>
        <w:t>Ins.</w:t>
      </w:r>
      <w:r>
        <w:rPr>
          <w:spacing w:val="-12"/>
          <w:sz w:val="18"/>
          <w:u w:val="single"/>
        </w:rPr>
        <w:t> </w:t>
      </w:r>
      <w:r>
        <w:rPr>
          <w:sz w:val="18"/>
          <w:u w:val="single"/>
        </w:rPr>
        <w:t>Co.</w:t>
      </w:r>
      <w:r>
        <w:rPr>
          <w:sz w:val="18"/>
        </w:rPr>
        <w:t>,</w:t>
      </w:r>
      <w:r>
        <w:rPr>
          <w:spacing w:val="-11"/>
          <w:sz w:val="18"/>
        </w:rPr>
        <w:t> </w:t>
      </w:r>
      <w:r>
        <w:rPr>
          <w:sz w:val="18"/>
        </w:rPr>
        <w:t>unpublished</w:t>
      </w:r>
      <w:r>
        <w:rPr>
          <w:spacing w:val="-11"/>
          <w:sz w:val="18"/>
        </w:rPr>
        <w:t> </w:t>
      </w:r>
      <w:r>
        <w:rPr>
          <w:sz w:val="18"/>
        </w:rPr>
        <w:t>decision,</w:t>
      </w:r>
      <w:r>
        <w:rPr>
          <w:spacing w:val="20"/>
          <w:sz w:val="18"/>
        </w:rPr>
        <w:t> </w:t>
      </w:r>
      <w:r>
        <w:rPr>
          <w:sz w:val="18"/>
        </w:rPr>
        <w:t>2:10-cv- 05506-JCJ</w:t>
      </w:r>
      <w:r>
        <w:rPr>
          <w:spacing w:val="-9"/>
          <w:sz w:val="18"/>
        </w:rPr>
        <w:t> </w:t>
      </w:r>
      <w:r>
        <w:rPr>
          <w:sz w:val="18"/>
        </w:rPr>
        <w:t>(E.D.</w:t>
      </w:r>
      <w:r>
        <w:rPr>
          <w:spacing w:val="33"/>
          <w:sz w:val="18"/>
        </w:rPr>
        <w:t> </w:t>
      </w:r>
      <w:r>
        <w:rPr>
          <w:sz w:val="18"/>
        </w:rPr>
        <w:t>Pa.</w:t>
      </w:r>
      <w:r>
        <w:rPr>
          <w:spacing w:val="-6"/>
          <w:sz w:val="18"/>
        </w:rPr>
        <w:t> </w:t>
      </w:r>
      <w:r>
        <w:rPr>
          <w:sz w:val="18"/>
        </w:rPr>
        <w:t>2010)</w:t>
      </w:r>
      <w:r>
        <w:rPr>
          <w:spacing w:val="-7"/>
          <w:sz w:val="18"/>
        </w:rPr>
        <w:t> </w:t>
      </w:r>
      <w:r>
        <w:rPr>
          <w:sz w:val="18"/>
        </w:rPr>
        <w:t>(Court</w:t>
      </w:r>
      <w:r>
        <w:rPr>
          <w:spacing w:val="-7"/>
          <w:sz w:val="18"/>
        </w:rPr>
        <w:t> </w:t>
      </w:r>
      <w:r>
        <w:rPr>
          <w:sz w:val="18"/>
        </w:rPr>
        <w:t>granted</w:t>
      </w:r>
      <w:r>
        <w:rPr>
          <w:spacing w:val="-6"/>
          <w:sz w:val="18"/>
        </w:rPr>
        <w:t> </w:t>
      </w:r>
      <w:r>
        <w:rPr>
          <w:sz w:val="18"/>
        </w:rPr>
        <w:t>a</w:t>
      </w:r>
      <w:r>
        <w:rPr>
          <w:spacing w:val="-8"/>
          <w:sz w:val="18"/>
        </w:rPr>
        <w:t> </w:t>
      </w:r>
      <w:r>
        <w:rPr>
          <w:sz w:val="18"/>
        </w:rPr>
        <w:t>motion</w:t>
      </w:r>
      <w:r>
        <w:rPr>
          <w:spacing w:val="-7"/>
          <w:sz w:val="18"/>
        </w:rPr>
        <w:t> </w:t>
      </w:r>
      <w:r>
        <w:rPr>
          <w:sz w:val="18"/>
        </w:rPr>
        <w:t>to</w:t>
      </w:r>
      <w:r>
        <w:rPr>
          <w:spacing w:val="-6"/>
          <w:sz w:val="18"/>
        </w:rPr>
        <w:t> </w:t>
      </w:r>
      <w:r>
        <w:rPr>
          <w:sz w:val="18"/>
        </w:rPr>
        <w:t>compel</w:t>
      </w:r>
      <w:r>
        <w:rPr>
          <w:spacing w:val="-7"/>
          <w:sz w:val="18"/>
        </w:rPr>
        <w:t> </w:t>
      </w:r>
      <w:r>
        <w:rPr>
          <w:sz w:val="18"/>
        </w:rPr>
        <w:t>appraisal</w:t>
      </w:r>
      <w:r>
        <w:rPr>
          <w:spacing w:val="-8"/>
          <w:sz w:val="18"/>
        </w:rPr>
        <w:t> </w:t>
      </w:r>
      <w:r>
        <w:rPr>
          <w:sz w:val="18"/>
        </w:rPr>
        <w:t>and</w:t>
      </w:r>
      <w:r>
        <w:rPr>
          <w:spacing w:val="-6"/>
          <w:sz w:val="18"/>
        </w:rPr>
        <w:t> </w:t>
      </w:r>
      <w:r>
        <w:rPr>
          <w:sz w:val="18"/>
        </w:rPr>
        <w:t>stay</w:t>
      </w:r>
      <w:r>
        <w:rPr>
          <w:spacing w:val="-11"/>
          <w:sz w:val="18"/>
        </w:rPr>
        <w:t> </w:t>
      </w:r>
      <w:r>
        <w:rPr>
          <w:sz w:val="18"/>
        </w:rPr>
        <w:t>litigation and directed compliance with an appraisal provision, “find[ing] that the decisions interpreting ‘amount of loss’ as having an embedded causation element…persuasive and…on</w:t>
      </w:r>
      <w:r>
        <w:rPr>
          <w:spacing w:val="1"/>
          <w:sz w:val="18"/>
        </w:rPr>
        <w:t> </w:t>
      </w:r>
      <w:r>
        <w:rPr>
          <w:sz w:val="18"/>
        </w:rPr>
        <w:t>point.”.</w:t>
      </w:r>
    </w:p>
    <w:p>
      <w:pPr>
        <w:spacing w:after="0" w:line="244" w:lineRule="auto"/>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6"/>
        <w:jc w:val="both"/>
      </w:pPr>
      <w:bookmarkStart w:name="Law and Procedure 148" w:id="59"/>
      <w:bookmarkEnd w:id="59"/>
      <w:r>
        <w:rPr/>
      </w:r>
      <w:r>
        <w:rPr/>
        <w:t>in a case where the court considered the </w:t>
      </w:r>
      <w:r>
        <w:rPr>
          <w:spacing w:val="5"/>
        </w:rPr>
        <w:t>aspect </w:t>
      </w:r>
      <w:r>
        <w:rPr>
          <w:spacing w:val="3"/>
        </w:rPr>
        <w:t>of </w:t>
      </w:r>
      <w:r>
        <w:rPr>
          <w:spacing w:val="4"/>
        </w:rPr>
        <w:t>causation in </w:t>
      </w:r>
      <w:r>
        <w:rPr>
          <w:spacing w:val="3"/>
        </w:rPr>
        <w:t>an </w:t>
      </w:r>
      <w:r>
        <w:rPr>
          <w:spacing w:val="6"/>
        </w:rPr>
        <w:t>appraisal </w:t>
      </w:r>
      <w:r>
        <w:rPr/>
        <w:t>determination. </w:t>
      </w:r>
      <w:r>
        <w:rPr>
          <w:spacing w:val="3"/>
        </w:rPr>
        <w:t>It </w:t>
      </w:r>
      <w:r>
        <w:rPr/>
        <w:t>referenced a state supreme court holding that matters of damage </w:t>
      </w:r>
      <w:r>
        <w:rPr>
          <w:spacing w:val="-3"/>
        </w:rPr>
        <w:t>were </w:t>
      </w:r>
      <w:r>
        <w:rPr/>
        <w:t>determinable by appraisal and that liability questions should be resolved by the court,</w:t>
      </w:r>
      <w:r>
        <w:rPr>
          <w:spacing w:val="-47"/>
        </w:rPr>
        <w:t> </w:t>
      </w:r>
      <w:r>
        <w:rPr/>
        <w:t>but which</w:t>
      </w:r>
      <w:r>
        <w:rPr>
          <w:spacing w:val="-14"/>
        </w:rPr>
        <w:t> </w:t>
      </w:r>
      <w:r>
        <w:rPr/>
        <w:t>also</w:t>
      </w:r>
      <w:r>
        <w:rPr>
          <w:spacing w:val="-13"/>
        </w:rPr>
        <w:t> </w:t>
      </w:r>
      <w:r>
        <w:rPr/>
        <w:t>stated</w:t>
      </w:r>
      <w:r>
        <w:rPr>
          <w:spacing w:val="-13"/>
        </w:rPr>
        <w:t> </w:t>
      </w:r>
      <w:r>
        <w:rPr/>
        <w:t>that</w:t>
      </w:r>
      <w:r>
        <w:rPr>
          <w:spacing w:val="-12"/>
        </w:rPr>
        <w:t> </w:t>
      </w:r>
      <w:r>
        <w:rPr/>
        <w:t>the</w:t>
      </w:r>
      <w:r>
        <w:rPr>
          <w:spacing w:val="-15"/>
        </w:rPr>
        <w:t> </w:t>
      </w:r>
      <w:r>
        <w:rPr/>
        <w:t>distinction</w:t>
      </w:r>
      <w:r>
        <w:rPr>
          <w:spacing w:val="-14"/>
        </w:rPr>
        <w:t> </w:t>
      </w:r>
      <w:r>
        <w:rPr/>
        <w:t>between liability and damage will not necessarily be clear</w:t>
      </w:r>
      <w:r>
        <w:rPr>
          <w:spacing w:val="-18"/>
        </w:rPr>
        <w:t> </w:t>
      </w:r>
      <w:r>
        <w:rPr/>
        <w:t>and</w:t>
      </w:r>
      <w:r>
        <w:rPr>
          <w:spacing w:val="-16"/>
        </w:rPr>
        <w:t> </w:t>
      </w:r>
      <w:r>
        <w:rPr/>
        <w:t>that</w:t>
      </w:r>
      <w:r>
        <w:rPr>
          <w:spacing w:val="-18"/>
        </w:rPr>
        <w:t> </w:t>
      </w:r>
      <w:r>
        <w:rPr/>
        <w:t>causation</w:t>
      </w:r>
      <w:r>
        <w:rPr>
          <w:spacing w:val="-16"/>
        </w:rPr>
        <w:t> </w:t>
      </w:r>
      <w:r>
        <w:rPr/>
        <w:t>relates</w:t>
      </w:r>
      <w:r>
        <w:rPr>
          <w:spacing w:val="-17"/>
        </w:rPr>
        <w:t> </w:t>
      </w:r>
      <w:r>
        <w:rPr/>
        <w:t>to</w:t>
      </w:r>
      <w:r>
        <w:rPr>
          <w:spacing w:val="-15"/>
        </w:rPr>
        <w:t> </w:t>
      </w:r>
      <w:r>
        <w:rPr/>
        <w:t>both</w:t>
      </w:r>
      <w:r>
        <w:rPr>
          <w:spacing w:val="-14"/>
        </w:rPr>
        <w:t> </w:t>
      </w:r>
      <w:r>
        <w:rPr/>
        <w:t>issues.</w:t>
      </w:r>
    </w:p>
    <w:p>
      <w:pPr>
        <w:pStyle w:val="BodyText"/>
        <w:spacing w:before="11"/>
        <w:rPr>
          <w:sz w:val="25"/>
        </w:rPr>
      </w:pPr>
    </w:p>
    <w:p>
      <w:pPr>
        <w:pStyle w:val="BodyText"/>
        <w:spacing w:line="242" w:lineRule="auto"/>
        <w:ind w:left="1520" w:right="1516" w:firstLine="436"/>
        <w:jc w:val="both"/>
      </w:pPr>
      <w:r>
        <w:rPr/>
        <w:t>The court further clarified that should causation be determinable by appraisal then there</w:t>
      </w:r>
      <w:r>
        <w:rPr>
          <w:spacing w:val="-23"/>
        </w:rPr>
        <w:t> </w:t>
      </w:r>
      <w:r>
        <w:rPr/>
        <w:t>would</w:t>
      </w:r>
      <w:r>
        <w:rPr>
          <w:spacing w:val="-18"/>
        </w:rPr>
        <w:t> </w:t>
      </w:r>
      <w:r>
        <w:rPr/>
        <w:t>be</w:t>
      </w:r>
      <w:r>
        <w:rPr>
          <w:spacing w:val="-20"/>
        </w:rPr>
        <w:t> </w:t>
      </w:r>
      <w:r>
        <w:rPr/>
        <w:t>no</w:t>
      </w:r>
      <w:r>
        <w:rPr>
          <w:spacing w:val="-19"/>
        </w:rPr>
        <w:t> </w:t>
      </w:r>
      <w:r>
        <w:rPr/>
        <w:t>liability</w:t>
      </w:r>
      <w:r>
        <w:rPr>
          <w:spacing w:val="-24"/>
        </w:rPr>
        <w:t> </w:t>
      </w:r>
      <w:r>
        <w:rPr/>
        <w:t>questions</w:t>
      </w:r>
      <w:r>
        <w:rPr>
          <w:spacing w:val="-22"/>
        </w:rPr>
        <w:t> </w:t>
      </w:r>
      <w:r>
        <w:rPr/>
        <w:t>before</w:t>
      </w:r>
      <w:r>
        <w:rPr>
          <w:spacing w:val="-22"/>
        </w:rPr>
        <w:t> </w:t>
      </w:r>
      <w:r>
        <w:rPr/>
        <w:t>the courts; “[b]y contrast, when different types of damage occur to different items of property, appraisers may have to decide the damage caused</w:t>
      </w:r>
      <w:r>
        <w:rPr>
          <w:spacing w:val="-16"/>
        </w:rPr>
        <w:t> </w:t>
      </w:r>
      <w:r>
        <w:rPr/>
        <w:t>by</w:t>
      </w:r>
      <w:r>
        <w:rPr>
          <w:spacing w:val="-22"/>
        </w:rPr>
        <w:t> </w:t>
      </w:r>
      <w:r>
        <w:rPr/>
        <w:t>each</w:t>
      </w:r>
      <w:r>
        <w:rPr>
          <w:spacing w:val="-20"/>
        </w:rPr>
        <w:t> </w:t>
      </w:r>
      <w:r>
        <w:rPr/>
        <w:t>before</w:t>
      </w:r>
      <w:r>
        <w:rPr>
          <w:spacing w:val="-21"/>
        </w:rPr>
        <w:t> </w:t>
      </w:r>
      <w:r>
        <w:rPr/>
        <w:t>the</w:t>
      </w:r>
      <w:r>
        <w:rPr>
          <w:spacing w:val="-20"/>
        </w:rPr>
        <w:t> </w:t>
      </w:r>
      <w:r>
        <w:rPr/>
        <w:t>courts</w:t>
      </w:r>
      <w:r>
        <w:rPr>
          <w:spacing w:val="-19"/>
        </w:rPr>
        <w:t> </w:t>
      </w:r>
      <w:r>
        <w:rPr/>
        <w:t>can</w:t>
      </w:r>
      <w:r>
        <w:rPr>
          <w:spacing w:val="-19"/>
        </w:rPr>
        <w:t> </w:t>
      </w:r>
      <w:r>
        <w:rPr/>
        <w:t>decide liability”…and “‘[a]ny appraisal necessarily includes some causation element, because settling</w:t>
      </w:r>
      <w:r>
        <w:rPr>
          <w:spacing w:val="-20"/>
        </w:rPr>
        <w:t> </w:t>
      </w:r>
      <w:r>
        <w:rPr/>
        <w:t>the</w:t>
      </w:r>
      <w:r>
        <w:rPr>
          <w:spacing w:val="-22"/>
        </w:rPr>
        <w:t> </w:t>
      </w:r>
      <w:r>
        <w:rPr/>
        <w:t>‘amount</w:t>
      </w:r>
      <w:r>
        <w:rPr>
          <w:spacing w:val="-19"/>
        </w:rPr>
        <w:t> </w:t>
      </w:r>
      <w:r>
        <w:rPr/>
        <w:t>of</w:t>
      </w:r>
      <w:r>
        <w:rPr>
          <w:spacing w:val="-18"/>
        </w:rPr>
        <w:t> </w:t>
      </w:r>
      <w:r>
        <w:rPr/>
        <w:t>loss’</w:t>
      </w:r>
      <w:r>
        <w:rPr>
          <w:spacing w:val="-16"/>
        </w:rPr>
        <w:t> </w:t>
      </w:r>
      <w:r>
        <w:rPr/>
        <w:t>requires</w:t>
      </w:r>
      <w:r>
        <w:rPr>
          <w:spacing w:val="-19"/>
        </w:rPr>
        <w:t> </w:t>
      </w:r>
      <w:r>
        <w:rPr/>
        <w:t>appraisers to decide between damages for </w:t>
      </w:r>
      <w:r>
        <w:rPr>
          <w:spacing w:val="-4"/>
        </w:rPr>
        <w:t>which </w:t>
      </w:r>
      <w:r>
        <w:rPr/>
        <w:t>coverage</w:t>
      </w:r>
      <w:r>
        <w:rPr>
          <w:spacing w:val="-31"/>
        </w:rPr>
        <w:t> </w:t>
      </w:r>
      <w:r>
        <w:rPr/>
        <w:t>is</w:t>
      </w:r>
      <w:r>
        <w:rPr>
          <w:spacing w:val="-31"/>
        </w:rPr>
        <w:t> </w:t>
      </w:r>
      <w:r>
        <w:rPr/>
        <w:t>claimed</w:t>
      </w:r>
      <w:r>
        <w:rPr>
          <w:spacing w:val="-32"/>
        </w:rPr>
        <w:t> </w:t>
      </w:r>
      <w:r>
        <w:rPr/>
        <w:t>from</w:t>
      </w:r>
      <w:r>
        <w:rPr>
          <w:spacing w:val="-29"/>
        </w:rPr>
        <w:t> </w:t>
      </w:r>
      <w:r>
        <w:rPr/>
        <w:t>damages</w:t>
      </w:r>
      <w:r>
        <w:rPr>
          <w:spacing w:val="-30"/>
        </w:rPr>
        <w:t> </w:t>
      </w:r>
      <w:r>
        <w:rPr/>
        <w:t>caused</w:t>
      </w:r>
      <w:r>
        <w:rPr>
          <w:spacing w:val="-30"/>
        </w:rPr>
        <w:t> </w:t>
      </w:r>
      <w:r>
        <w:rPr>
          <w:spacing w:val="-7"/>
        </w:rPr>
        <w:t>by </w:t>
      </w:r>
      <w:r>
        <w:rPr/>
        <w:t>everything</w:t>
      </w:r>
      <w:r>
        <w:rPr>
          <w:spacing w:val="-2"/>
        </w:rPr>
        <w:t> </w:t>
      </w:r>
      <w:r>
        <w:rPr/>
        <w:t>else.’”</w:t>
      </w:r>
      <w:r>
        <w:rPr>
          <w:vertAlign w:val="superscript"/>
        </w:rPr>
        <w:t>204</w:t>
      </w:r>
    </w:p>
    <w:p>
      <w:pPr>
        <w:pStyle w:val="BodyText"/>
        <w:spacing w:before="10"/>
        <w:rPr>
          <w:sz w:val="25"/>
        </w:rPr>
      </w:pPr>
    </w:p>
    <w:p>
      <w:pPr>
        <w:pStyle w:val="BodyText"/>
        <w:spacing w:line="242" w:lineRule="auto" w:before="1"/>
        <w:ind w:left="1520" w:right="1520" w:firstLine="720"/>
        <w:jc w:val="both"/>
      </w:pPr>
      <w:r>
        <w:rPr/>
        <w:t>A Texas court stated: “[W]hen </w:t>
      </w:r>
      <w:r>
        <w:rPr>
          <w:spacing w:val="-6"/>
        </w:rPr>
        <w:t>an </w:t>
      </w:r>
      <w:r>
        <w:rPr/>
        <w:t>indivisible injury to property may have several causes, appraisers can assess the amount </w:t>
      </w:r>
      <w:r>
        <w:rPr>
          <w:spacing w:val="-6"/>
        </w:rPr>
        <w:t>of </w:t>
      </w:r>
      <w:r>
        <w:rPr/>
        <w:t>damage</w:t>
      </w:r>
      <w:r>
        <w:rPr>
          <w:spacing w:val="-26"/>
        </w:rPr>
        <w:t> </w:t>
      </w:r>
      <w:r>
        <w:rPr/>
        <w:t>and</w:t>
      </w:r>
      <w:r>
        <w:rPr>
          <w:spacing w:val="-26"/>
        </w:rPr>
        <w:t> </w:t>
      </w:r>
      <w:r>
        <w:rPr/>
        <w:t>leave</w:t>
      </w:r>
      <w:r>
        <w:rPr>
          <w:spacing w:val="-27"/>
        </w:rPr>
        <w:t> </w:t>
      </w:r>
      <w:r>
        <w:rPr/>
        <w:t>causation</w:t>
      </w:r>
      <w:r>
        <w:rPr>
          <w:spacing w:val="-25"/>
        </w:rPr>
        <w:t> </w:t>
      </w:r>
      <w:r>
        <w:rPr/>
        <w:t>up</w:t>
      </w:r>
      <w:r>
        <w:rPr>
          <w:spacing w:val="-26"/>
        </w:rPr>
        <w:t> </w:t>
      </w:r>
      <w:r>
        <w:rPr/>
        <w:t>to</w:t>
      </w:r>
      <w:r>
        <w:rPr>
          <w:spacing w:val="-28"/>
        </w:rPr>
        <w:t> </w:t>
      </w:r>
      <w:r>
        <w:rPr/>
        <w:t>the</w:t>
      </w:r>
      <w:r>
        <w:rPr>
          <w:spacing w:val="-28"/>
        </w:rPr>
        <w:t> </w:t>
      </w:r>
      <w:r>
        <w:rPr>
          <w:spacing w:val="-3"/>
        </w:rPr>
        <w:t>courts. When</w:t>
      </w:r>
      <w:r>
        <w:rPr>
          <w:spacing w:val="27"/>
        </w:rPr>
        <w:t> </w:t>
      </w:r>
      <w:r>
        <w:rPr/>
        <w:t>divisible</w:t>
      </w:r>
      <w:r>
        <w:rPr>
          <w:spacing w:val="29"/>
        </w:rPr>
        <w:t> </w:t>
      </w:r>
      <w:r>
        <w:rPr/>
        <w:t>losses</w:t>
      </w:r>
      <w:r>
        <w:rPr>
          <w:spacing w:val="29"/>
        </w:rPr>
        <w:t> </w:t>
      </w:r>
      <w:r>
        <w:rPr/>
        <w:t>are</w:t>
      </w:r>
      <w:r>
        <w:rPr>
          <w:spacing w:val="28"/>
        </w:rPr>
        <w:t> </w:t>
      </w:r>
      <w:r>
        <w:rPr/>
        <w:t>involved,</w:t>
      </w:r>
      <w:r>
        <w:rPr>
          <w:spacing w:val="25"/>
        </w:rPr>
        <w:t> </w:t>
      </w:r>
      <w:r>
        <w:rPr/>
        <w:t>appraisers</w:t>
      </w:r>
    </w:p>
    <w:p>
      <w:pPr>
        <w:pStyle w:val="BodyText"/>
        <w:rPr>
          <w:sz w:val="20"/>
        </w:rPr>
      </w:pPr>
    </w:p>
    <w:p>
      <w:pPr>
        <w:pStyle w:val="BodyText"/>
        <w:spacing w:before="4"/>
        <w:rPr>
          <w:sz w:val="16"/>
        </w:rPr>
      </w:pPr>
      <w:r>
        <w:rPr/>
        <w:pict>
          <v:shape style="position:absolute;margin-left:162pt;margin-top:12.420981pt;width:143.9pt;height:.1pt;mso-position-horizontal-relative:page;mso-position-vertical-relative:paragraph;z-index:-251579392;mso-wrap-distance-left:0;mso-wrap-distance-right:0" coordorigin="3240,248" coordsize="2878,0" path="m3240,248l6118,248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5"/>
        </w:numPr>
        <w:tabs>
          <w:tab w:pos="1428" w:val="left" w:leader="none"/>
        </w:tabs>
        <w:spacing w:line="261" w:lineRule="auto" w:before="71" w:after="0"/>
        <w:ind w:left="1160" w:right="1168" w:firstLine="0"/>
        <w:jc w:val="left"/>
        <w:rPr>
          <w:sz w:val="18"/>
        </w:rPr>
      </w:pPr>
      <w:r>
        <w:rPr>
          <w:sz w:val="18"/>
          <w:u w:val="single"/>
        </w:rPr>
        <w:t>TMM</w:t>
      </w:r>
      <w:r>
        <w:rPr>
          <w:spacing w:val="-7"/>
          <w:sz w:val="18"/>
          <w:u w:val="single"/>
        </w:rPr>
        <w:t> </w:t>
      </w:r>
      <w:r>
        <w:rPr>
          <w:sz w:val="18"/>
          <w:u w:val="single"/>
        </w:rPr>
        <w:t>Investments,</w:t>
      </w:r>
      <w:r>
        <w:rPr>
          <w:spacing w:val="-7"/>
          <w:sz w:val="18"/>
          <w:u w:val="single"/>
        </w:rPr>
        <w:t> </w:t>
      </w:r>
      <w:r>
        <w:rPr>
          <w:sz w:val="18"/>
          <w:u w:val="single"/>
        </w:rPr>
        <w:t>Ltd.</w:t>
      </w:r>
      <w:r>
        <w:rPr>
          <w:spacing w:val="-8"/>
          <w:sz w:val="18"/>
          <w:u w:val="single"/>
        </w:rPr>
        <w:t> </w:t>
      </w:r>
      <w:r>
        <w:rPr>
          <w:sz w:val="18"/>
          <w:u w:val="single"/>
        </w:rPr>
        <w:t>v.</w:t>
      </w:r>
      <w:r>
        <w:rPr>
          <w:spacing w:val="-6"/>
          <w:sz w:val="18"/>
          <w:u w:val="single"/>
        </w:rPr>
        <w:t> </w:t>
      </w:r>
      <w:r>
        <w:rPr>
          <w:sz w:val="18"/>
          <w:u w:val="single"/>
        </w:rPr>
        <w:t>Ohio</w:t>
      </w:r>
      <w:r>
        <w:rPr>
          <w:spacing w:val="-7"/>
          <w:sz w:val="18"/>
          <w:u w:val="single"/>
        </w:rPr>
        <w:t> </w:t>
      </w:r>
      <w:r>
        <w:rPr>
          <w:sz w:val="18"/>
          <w:u w:val="single"/>
        </w:rPr>
        <w:t>Cas.</w:t>
      </w:r>
      <w:r>
        <w:rPr>
          <w:spacing w:val="-8"/>
          <w:sz w:val="18"/>
          <w:u w:val="single"/>
        </w:rPr>
        <w:t> </w:t>
      </w:r>
      <w:r>
        <w:rPr>
          <w:sz w:val="18"/>
          <w:u w:val="single"/>
        </w:rPr>
        <w:t>Ins.</w:t>
      </w:r>
      <w:r>
        <w:rPr>
          <w:spacing w:val="-6"/>
          <w:sz w:val="18"/>
          <w:u w:val="single"/>
        </w:rPr>
        <w:t> </w:t>
      </w:r>
      <w:r>
        <w:rPr>
          <w:sz w:val="18"/>
          <w:u w:val="single"/>
        </w:rPr>
        <w:t>Co.</w:t>
      </w:r>
      <w:r>
        <w:rPr>
          <w:sz w:val="18"/>
        </w:rPr>
        <w:t>,</w:t>
      </w:r>
      <w:r>
        <w:rPr>
          <w:spacing w:val="-7"/>
          <w:sz w:val="18"/>
        </w:rPr>
        <w:t> </w:t>
      </w:r>
      <w:r>
        <w:rPr>
          <w:sz w:val="18"/>
        </w:rPr>
        <w:t>730</w:t>
      </w:r>
      <w:r>
        <w:rPr>
          <w:spacing w:val="-6"/>
          <w:sz w:val="18"/>
        </w:rPr>
        <w:t> </w:t>
      </w:r>
      <w:r>
        <w:rPr>
          <w:sz w:val="18"/>
        </w:rPr>
        <w:t>F.3d</w:t>
      </w:r>
      <w:r>
        <w:rPr>
          <w:spacing w:val="-7"/>
          <w:sz w:val="18"/>
        </w:rPr>
        <w:t> </w:t>
      </w:r>
      <w:r>
        <w:rPr>
          <w:sz w:val="18"/>
        </w:rPr>
        <w:t>466</w:t>
      </w:r>
      <w:r>
        <w:rPr>
          <w:spacing w:val="-6"/>
          <w:sz w:val="18"/>
        </w:rPr>
        <w:t> </w:t>
      </w:r>
      <w:r>
        <w:rPr>
          <w:sz w:val="18"/>
        </w:rPr>
        <w:t>(5</w:t>
      </w:r>
      <w:r>
        <w:rPr>
          <w:position w:val="7"/>
          <w:sz w:val="10"/>
        </w:rPr>
        <w:t>th</w:t>
      </w:r>
      <w:r>
        <w:rPr>
          <w:spacing w:val="14"/>
          <w:position w:val="7"/>
          <w:sz w:val="10"/>
        </w:rPr>
        <w:t> </w:t>
      </w:r>
      <w:r>
        <w:rPr>
          <w:sz w:val="18"/>
        </w:rPr>
        <w:t>Cir.</w:t>
      </w:r>
      <w:r>
        <w:rPr>
          <w:spacing w:val="-9"/>
          <w:sz w:val="18"/>
        </w:rPr>
        <w:t> </w:t>
      </w:r>
      <w:r>
        <w:rPr>
          <w:sz w:val="18"/>
        </w:rPr>
        <w:t>2013),</w:t>
      </w:r>
      <w:r>
        <w:rPr>
          <w:spacing w:val="-9"/>
          <w:sz w:val="18"/>
        </w:rPr>
        <w:t> </w:t>
      </w:r>
      <w:r>
        <w:rPr>
          <w:sz w:val="18"/>
        </w:rPr>
        <w:t>citing</w:t>
      </w:r>
      <w:r>
        <w:rPr>
          <w:spacing w:val="-11"/>
          <w:sz w:val="18"/>
        </w:rPr>
        <w:t> </w:t>
      </w:r>
      <w:r>
        <w:rPr>
          <w:sz w:val="18"/>
          <w:u w:val="single"/>
        </w:rPr>
        <w:t>State Farm Lloyds v. Johnson</w:t>
      </w:r>
      <w:r>
        <w:rPr>
          <w:sz w:val="18"/>
        </w:rPr>
        <w:t>, 290 S.W.3d 886, 892-93 (Tex.2009).</w:t>
      </w:r>
    </w:p>
    <w:p>
      <w:pPr>
        <w:spacing w:after="0" w:line="261"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6"/>
        <w:jc w:val="both"/>
      </w:pPr>
      <w:bookmarkStart w:name="Law and Procedure 149" w:id="60"/>
      <w:bookmarkEnd w:id="60"/>
      <w:r>
        <w:rPr/>
      </w:r>
      <w:r>
        <w:rPr/>
        <w:t>can decide the cost to repair each without deciding who must pay for it…[w]hen an insurer</w:t>
      </w:r>
      <w:r>
        <w:rPr>
          <w:spacing w:val="-21"/>
        </w:rPr>
        <w:t> </w:t>
      </w:r>
      <w:r>
        <w:rPr/>
        <w:t>denies</w:t>
      </w:r>
      <w:r>
        <w:rPr>
          <w:spacing w:val="-20"/>
        </w:rPr>
        <w:t> </w:t>
      </w:r>
      <w:r>
        <w:rPr/>
        <w:t>coverage,</w:t>
      </w:r>
      <w:r>
        <w:rPr>
          <w:spacing w:val="-22"/>
        </w:rPr>
        <w:t> </w:t>
      </w:r>
      <w:r>
        <w:rPr/>
        <w:t>appraisers</w:t>
      </w:r>
      <w:r>
        <w:rPr>
          <w:spacing w:val="-21"/>
        </w:rPr>
        <w:t> </w:t>
      </w:r>
      <w:r>
        <w:rPr/>
        <w:t>can</w:t>
      </w:r>
      <w:r>
        <w:rPr>
          <w:spacing w:val="-18"/>
        </w:rPr>
        <w:t> </w:t>
      </w:r>
      <w:r>
        <w:rPr/>
        <w:t>still</w:t>
      </w:r>
      <w:r>
        <w:rPr>
          <w:spacing w:val="-16"/>
        </w:rPr>
        <w:t> </w:t>
      </w:r>
      <w:r>
        <w:rPr>
          <w:spacing w:val="-4"/>
        </w:rPr>
        <w:t>set </w:t>
      </w:r>
      <w:r>
        <w:rPr/>
        <w:t>the amount of loss </w:t>
      </w:r>
      <w:r>
        <w:rPr>
          <w:spacing w:val="3"/>
        </w:rPr>
        <w:t>in </w:t>
      </w:r>
      <w:r>
        <w:rPr/>
        <w:t>case the insurer turns</w:t>
      </w:r>
      <w:r>
        <w:rPr>
          <w:spacing w:val="-37"/>
        </w:rPr>
        <w:t> </w:t>
      </w:r>
      <w:r>
        <w:rPr/>
        <w:t>out to be</w:t>
      </w:r>
      <w:r>
        <w:rPr>
          <w:spacing w:val="-3"/>
        </w:rPr>
        <w:t> </w:t>
      </w:r>
      <w:r>
        <w:rPr/>
        <w:t>wrong.”</w:t>
      </w:r>
      <w:r>
        <w:rPr>
          <w:vertAlign w:val="superscript"/>
        </w:rPr>
        <w:t>205</w:t>
      </w:r>
    </w:p>
    <w:p>
      <w:pPr>
        <w:pStyle w:val="BodyText"/>
      </w:pPr>
    </w:p>
    <w:p>
      <w:pPr>
        <w:pStyle w:val="BodyText"/>
        <w:spacing w:line="242" w:lineRule="auto" w:before="1"/>
        <w:ind w:left="1520" w:right="1518" w:firstLine="720"/>
        <w:jc w:val="both"/>
      </w:pPr>
      <w:r>
        <w:rPr>
          <w:spacing w:val="3"/>
        </w:rPr>
        <w:t>In</w:t>
      </w:r>
      <w:r>
        <w:rPr>
          <w:spacing w:val="-19"/>
        </w:rPr>
        <w:t> </w:t>
      </w:r>
      <w:r>
        <w:rPr/>
        <w:t>Massachusetts,</w:t>
      </w:r>
      <w:r>
        <w:rPr>
          <w:spacing w:val="-21"/>
        </w:rPr>
        <w:t> </w:t>
      </w:r>
      <w:r>
        <w:rPr/>
        <w:t>policy</w:t>
      </w:r>
      <w:r>
        <w:rPr>
          <w:spacing w:val="-17"/>
        </w:rPr>
        <w:t> </w:t>
      </w:r>
      <w:r>
        <w:rPr/>
        <w:t>coverage</w:t>
      </w:r>
      <w:r>
        <w:rPr>
          <w:spacing w:val="-16"/>
        </w:rPr>
        <w:t> </w:t>
      </w:r>
      <w:r>
        <w:rPr/>
        <w:t>issues have been held properly determinable by</w:t>
      </w:r>
      <w:r>
        <w:rPr>
          <w:spacing w:val="-48"/>
        </w:rPr>
        <w:t> </w:t>
      </w:r>
      <w:r>
        <w:rPr/>
        <w:t>the Court as a matter of law. </w:t>
      </w:r>
      <w:r>
        <w:rPr>
          <w:spacing w:val="3"/>
        </w:rPr>
        <w:t>In </w:t>
      </w:r>
      <w:r>
        <w:rPr/>
        <w:t>one matter, it</w:t>
      </w:r>
      <w:r>
        <w:rPr>
          <w:spacing w:val="-26"/>
        </w:rPr>
        <w:t> </w:t>
      </w:r>
      <w:r>
        <w:rPr/>
        <w:t>was </w:t>
      </w:r>
      <w:r>
        <w:rPr>
          <w:spacing w:val="3"/>
        </w:rPr>
        <w:t>held that an </w:t>
      </w:r>
      <w:r>
        <w:rPr>
          <w:spacing w:val="4"/>
        </w:rPr>
        <w:t>appraiser </w:t>
      </w:r>
      <w:r>
        <w:rPr>
          <w:spacing w:val="3"/>
        </w:rPr>
        <w:t>had properly </w:t>
      </w:r>
      <w:r>
        <w:rPr/>
        <w:t>considered whether certain equipment was part of a covered loss under an insurance policy, but the Court was not bound by the appraiser’s interpretation of policy exclusions. There, the insured had contended that </w:t>
      </w:r>
      <w:r>
        <w:rPr>
          <w:spacing w:val="-6"/>
        </w:rPr>
        <w:t>an </w:t>
      </w:r>
      <w:r>
        <w:rPr>
          <w:spacing w:val="8"/>
        </w:rPr>
        <w:t>appraiser </w:t>
      </w:r>
      <w:r>
        <w:rPr>
          <w:spacing w:val="10"/>
        </w:rPr>
        <w:t>exceeded </w:t>
      </w:r>
      <w:r>
        <w:rPr>
          <w:spacing w:val="9"/>
        </w:rPr>
        <w:t>his </w:t>
      </w:r>
      <w:r>
        <w:rPr>
          <w:spacing w:val="8"/>
        </w:rPr>
        <w:t>authority </w:t>
      </w:r>
      <w:r>
        <w:rPr>
          <w:spacing w:val="5"/>
        </w:rPr>
        <w:t>by </w:t>
      </w:r>
      <w:r>
        <w:rPr/>
        <w:t>determining coverage issues as part of his appraisal, including a decision that coverage was governed by Form 0180 and </w:t>
      </w:r>
      <w:r>
        <w:rPr>
          <w:spacing w:val="-6"/>
        </w:rPr>
        <w:t>an </w:t>
      </w:r>
      <w:r>
        <w:rPr/>
        <w:t>interpretation of policy exclusions. The Court found an insured’s claim was subject to appraisal but an insurer’s liability in terms of coverage was to be considered after the appraisal. </w:t>
      </w:r>
      <w:r>
        <w:rPr>
          <w:spacing w:val="3"/>
        </w:rPr>
        <w:t>In </w:t>
      </w:r>
      <w:r>
        <w:rPr/>
        <w:t>that action the insured argued that the appraiser had acted outside his </w:t>
      </w:r>
      <w:r>
        <w:rPr>
          <w:spacing w:val="21"/>
        </w:rPr>
        <w:t>authority </w:t>
      </w:r>
      <w:r>
        <w:rPr/>
        <w:t>“ </w:t>
      </w:r>
      <w:r>
        <w:rPr>
          <w:spacing w:val="13"/>
        </w:rPr>
        <w:t>by </w:t>
      </w:r>
      <w:r>
        <w:rPr>
          <w:spacing w:val="21"/>
        </w:rPr>
        <w:t>making </w:t>
      </w:r>
      <w:r>
        <w:rPr/>
        <w:t>a </w:t>
      </w:r>
      <w:r>
        <w:rPr>
          <w:spacing w:val="21"/>
        </w:rPr>
        <w:t>threshold </w:t>
      </w:r>
      <w:r>
        <w:rPr/>
        <w:t>determination” pertaining to coverage under the parties’ insurance contract. The</w:t>
      </w:r>
      <w:r>
        <w:rPr>
          <w:spacing w:val="-30"/>
        </w:rPr>
        <w:t> </w:t>
      </w:r>
      <w:r>
        <w:rPr/>
        <w:t>policy’s</w:t>
      </w:r>
    </w:p>
    <w:p>
      <w:pPr>
        <w:pStyle w:val="BodyText"/>
        <w:spacing w:before="7"/>
        <w:rPr>
          <w:sz w:val="27"/>
        </w:rPr>
      </w:pPr>
      <w:r>
        <w:rPr/>
        <w:pict>
          <v:shape style="position:absolute;margin-left:162pt;margin-top:19.324614pt;width:143.9pt;height:.1pt;mso-position-horizontal-relative:page;mso-position-vertical-relative:paragraph;z-index:-251578368;mso-wrap-distance-left:0;mso-wrap-distance-right:0" coordorigin="3240,386" coordsize="2878,0" path="m3240,386l6118,386e" filled="false" stroked="true" strokeweight=".84pt" strokecolor="#000000">
            <v:path arrowok="t"/>
            <v:stroke dashstyle="solid"/>
            <w10:wrap type="topAndBottom"/>
          </v:shape>
        </w:pict>
      </w:r>
    </w:p>
    <w:p>
      <w:pPr>
        <w:pStyle w:val="ListParagraph"/>
        <w:numPr>
          <w:ilvl w:val="0"/>
          <w:numId w:val="15"/>
        </w:numPr>
        <w:tabs>
          <w:tab w:pos="1423" w:val="left" w:leader="none"/>
        </w:tabs>
        <w:spacing w:line="244" w:lineRule="auto" w:before="140" w:after="0"/>
        <w:ind w:left="1160" w:right="1162" w:firstLine="0"/>
        <w:jc w:val="left"/>
        <w:rPr>
          <w:sz w:val="18"/>
        </w:rPr>
      </w:pPr>
      <w:r>
        <w:rPr>
          <w:sz w:val="18"/>
          <w:u w:val="single"/>
        </w:rPr>
        <w:t>In re Southern Ins. Co.</w:t>
      </w:r>
      <w:r>
        <w:rPr>
          <w:sz w:val="18"/>
        </w:rPr>
        <w:t>, 2011 WL 846205 (Tex. App. 2011), citing </w:t>
      </w:r>
      <w:r>
        <w:rPr>
          <w:sz w:val="18"/>
          <w:u w:val="single"/>
        </w:rPr>
        <w:t>State Farm Lloyds v.</w:t>
      </w:r>
      <w:r>
        <w:rPr>
          <w:spacing w:val="-3"/>
          <w:sz w:val="18"/>
          <w:u w:val="single"/>
        </w:rPr>
        <w:t> </w:t>
      </w:r>
      <w:r>
        <w:rPr>
          <w:sz w:val="18"/>
          <w:u w:val="single"/>
        </w:rPr>
        <w:t>Johnson</w:t>
      </w:r>
      <w:r>
        <w:rPr>
          <w:sz w:val="18"/>
        </w:rPr>
        <w:t>,</w:t>
      </w:r>
      <w:r>
        <w:rPr>
          <w:spacing w:val="-2"/>
          <w:sz w:val="18"/>
        </w:rPr>
        <w:t> </w:t>
      </w:r>
      <w:r>
        <w:rPr>
          <w:sz w:val="18"/>
        </w:rPr>
        <w:t>290</w:t>
      </w:r>
      <w:r>
        <w:rPr>
          <w:spacing w:val="-1"/>
          <w:sz w:val="18"/>
        </w:rPr>
        <w:t> </w:t>
      </w:r>
      <w:r>
        <w:rPr>
          <w:sz w:val="18"/>
        </w:rPr>
        <w:t>S.W.3d</w:t>
      </w:r>
      <w:r>
        <w:rPr>
          <w:spacing w:val="-2"/>
          <w:sz w:val="18"/>
        </w:rPr>
        <w:t> </w:t>
      </w:r>
      <w:r>
        <w:rPr>
          <w:sz w:val="18"/>
        </w:rPr>
        <w:t>886</w:t>
      </w:r>
      <w:r>
        <w:rPr>
          <w:spacing w:val="-1"/>
          <w:sz w:val="18"/>
        </w:rPr>
        <w:t> </w:t>
      </w:r>
      <w:r>
        <w:rPr>
          <w:sz w:val="18"/>
        </w:rPr>
        <w:t>(Tex.</w:t>
      </w:r>
      <w:r>
        <w:rPr>
          <w:spacing w:val="-2"/>
          <w:sz w:val="18"/>
        </w:rPr>
        <w:t> </w:t>
      </w:r>
      <w:r>
        <w:rPr>
          <w:sz w:val="18"/>
        </w:rPr>
        <w:t>2009)</w:t>
      </w:r>
      <w:r>
        <w:rPr>
          <w:spacing w:val="-3"/>
          <w:sz w:val="18"/>
        </w:rPr>
        <w:t> </w:t>
      </w:r>
      <w:r>
        <w:rPr>
          <w:sz w:val="18"/>
        </w:rPr>
        <w:t>and</w:t>
      </w:r>
      <w:r>
        <w:rPr>
          <w:spacing w:val="-1"/>
          <w:sz w:val="18"/>
        </w:rPr>
        <w:t> </w:t>
      </w:r>
      <w:r>
        <w:rPr>
          <w:sz w:val="18"/>
          <w:u w:val="single"/>
        </w:rPr>
        <w:t>Scottish Union</w:t>
      </w:r>
      <w:r>
        <w:rPr>
          <w:spacing w:val="-2"/>
          <w:sz w:val="18"/>
          <w:u w:val="single"/>
        </w:rPr>
        <w:t> </w:t>
      </w:r>
      <w:r>
        <w:rPr>
          <w:sz w:val="18"/>
          <w:u w:val="single"/>
        </w:rPr>
        <w:t>&amp;</w:t>
      </w:r>
      <w:r>
        <w:rPr>
          <w:spacing w:val="-4"/>
          <w:sz w:val="18"/>
          <w:u w:val="single"/>
        </w:rPr>
        <w:t> </w:t>
      </w:r>
      <w:r>
        <w:rPr>
          <w:sz w:val="18"/>
          <w:u w:val="single"/>
        </w:rPr>
        <w:t>Nat.</w:t>
      </w:r>
      <w:r>
        <w:rPr>
          <w:spacing w:val="-2"/>
          <w:sz w:val="18"/>
          <w:u w:val="single"/>
        </w:rPr>
        <w:t> </w:t>
      </w:r>
      <w:r>
        <w:rPr>
          <w:sz w:val="18"/>
          <w:u w:val="single"/>
        </w:rPr>
        <w:t>Ins.</w:t>
      </w:r>
      <w:r>
        <w:rPr>
          <w:spacing w:val="-5"/>
          <w:sz w:val="18"/>
          <w:u w:val="single"/>
        </w:rPr>
        <w:t> </w:t>
      </w:r>
      <w:r>
        <w:rPr>
          <w:sz w:val="18"/>
          <w:u w:val="single"/>
        </w:rPr>
        <w:t>Co.</w:t>
      </w:r>
      <w:r>
        <w:rPr>
          <w:spacing w:val="-5"/>
          <w:sz w:val="18"/>
          <w:u w:val="single"/>
        </w:rPr>
        <w:t> </w:t>
      </w:r>
      <w:r>
        <w:rPr>
          <w:sz w:val="18"/>
          <w:u w:val="single"/>
        </w:rPr>
        <w:t>v.</w:t>
      </w:r>
      <w:r>
        <w:rPr>
          <w:spacing w:val="-2"/>
          <w:sz w:val="18"/>
          <w:u w:val="single"/>
        </w:rPr>
        <w:t> </w:t>
      </w:r>
      <w:r>
        <w:rPr>
          <w:sz w:val="18"/>
          <w:u w:val="single"/>
        </w:rPr>
        <w:t>Clancey,</w:t>
      </w:r>
      <w:r>
        <w:rPr>
          <w:spacing w:val="-2"/>
          <w:sz w:val="18"/>
        </w:rPr>
        <w:t> </w:t>
      </w:r>
      <w:r>
        <w:rPr>
          <w:sz w:val="18"/>
        </w:rPr>
        <w:t>8</w:t>
      </w:r>
    </w:p>
    <w:p>
      <w:pPr>
        <w:spacing w:line="247" w:lineRule="auto" w:before="0"/>
        <w:ind w:left="1160" w:right="1110" w:firstLine="0"/>
        <w:jc w:val="left"/>
        <w:rPr>
          <w:rFonts w:ascii="Times New Roman"/>
          <w:sz w:val="24"/>
        </w:rPr>
      </w:pPr>
      <w:r>
        <w:rPr>
          <w:rFonts w:ascii="Times New Roman"/>
          <w:sz w:val="18"/>
        </w:rPr>
        <w:t>S.W. 630, 631 (1888); </w:t>
      </w:r>
      <w:r>
        <w:rPr>
          <w:rFonts w:ascii="Times New Roman"/>
          <w:sz w:val="18"/>
          <w:u w:val="single"/>
        </w:rPr>
        <w:t>Amtrust Ins. Co. of Kansas Inc. v. Starship League City, L.P., et al</w:t>
      </w:r>
      <w:r>
        <w:rPr>
          <w:rFonts w:ascii="Times New Roman"/>
          <w:sz w:val="18"/>
        </w:rPr>
        <w:t>, 2012 WL 2996489 (E.D. Tex. 2012)</w:t>
      </w:r>
      <w:r>
        <w:rPr>
          <w:rFonts w:ascii="Times New Roman"/>
          <w:sz w:val="24"/>
        </w:rPr>
        <w:t>.</w:t>
      </w:r>
    </w:p>
    <w:p>
      <w:pPr>
        <w:spacing w:after="0" w:line="247" w:lineRule="auto"/>
        <w:jc w:val="left"/>
        <w:rPr>
          <w:rFonts w:ascii="Times New Roman"/>
          <w:sz w:val="24"/>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22"/>
        <w:jc w:val="both"/>
      </w:pPr>
      <w:bookmarkStart w:name="Law and Procedure 150" w:id="61"/>
      <w:bookmarkEnd w:id="61"/>
      <w:r>
        <w:rPr/>
      </w:r>
      <w:r>
        <w:rPr/>
        <w:t>language additionally implied that an appraiser must necessarily consider covered losses under the policy in order to carry out its obligations.</w:t>
      </w:r>
      <w:r>
        <w:rPr>
          <w:vertAlign w:val="superscript"/>
        </w:rPr>
        <w:t>206</w:t>
      </w:r>
    </w:p>
    <w:p>
      <w:pPr>
        <w:pStyle w:val="BodyText"/>
        <w:spacing w:before="1"/>
      </w:pPr>
    </w:p>
    <w:p>
      <w:pPr>
        <w:pStyle w:val="BodyText"/>
        <w:spacing w:line="242" w:lineRule="auto"/>
        <w:ind w:left="1520" w:right="1516" w:firstLine="720"/>
        <w:jc w:val="both"/>
      </w:pPr>
      <w:r>
        <w:rPr>
          <w:spacing w:val="2"/>
        </w:rPr>
        <w:t>An </w:t>
      </w:r>
      <w:r>
        <w:rPr/>
        <w:t>appraisal provision could not be circumvented in Texas where a disagreement surrounded</w:t>
      </w:r>
      <w:r>
        <w:rPr>
          <w:spacing w:val="-15"/>
        </w:rPr>
        <w:t> </w:t>
      </w:r>
      <w:r>
        <w:rPr/>
        <w:t>the</w:t>
      </w:r>
      <w:r>
        <w:rPr>
          <w:spacing w:val="-15"/>
        </w:rPr>
        <w:t> </w:t>
      </w:r>
      <w:r>
        <w:rPr/>
        <w:t>matters</w:t>
      </w:r>
      <w:r>
        <w:rPr>
          <w:spacing w:val="-15"/>
        </w:rPr>
        <w:t> </w:t>
      </w:r>
      <w:r>
        <w:rPr/>
        <w:t>of</w:t>
      </w:r>
      <w:r>
        <w:rPr>
          <w:spacing w:val="-12"/>
        </w:rPr>
        <w:t> </w:t>
      </w:r>
      <w:r>
        <w:rPr/>
        <w:t>both</w:t>
      </w:r>
      <w:r>
        <w:rPr>
          <w:spacing w:val="-13"/>
        </w:rPr>
        <w:t> </w:t>
      </w:r>
      <w:r>
        <w:rPr/>
        <w:t>coverage</w:t>
      </w:r>
      <w:r>
        <w:rPr>
          <w:spacing w:val="-13"/>
        </w:rPr>
        <w:t> </w:t>
      </w:r>
      <w:r>
        <w:rPr/>
        <w:t>and amount of loss. </w:t>
      </w:r>
      <w:r>
        <w:rPr>
          <w:spacing w:val="3"/>
        </w:rPr>
        <w:t>In </w:t>
      </w:r>
      <w:r>
        <w:rPr/>
        <w:t>that case, the overlap of coverage and causation issues with those related to amount of loss and repair cost did </w:t>
      </w:r>
      <w:r>
        <w:rPr>
          <w:spacing w:val="3"/>
        </w:rPr>
        <w:t>not preclude </w:t>
      </w:r>
      <w:r>
        <w:rPr>
          <w:spacing w:val="2"/>
        </w:rPr>
        <w:t>the </w:t>
      </w:r>
      <w:r>
        <w:rPr>
          <w:spacing w:val="4"/>
        </w:rPr>
        <w:t>appraisal </w:t>
      </w:r>
      <w:r>
        <w:rPr>
          <w:spacing w:val="3"/>
        </w:rPr>
        <w:t>provision’s </w:t>
      </w:r>
      <w:r>
        <w:rPr/>
        <w:t>applicability. The Court confirmed that with respect to appraisal, causation was always a consideration as appraisers must allocate damage caused by covered and excluded perils</w:t>
      </w:r>
      <w:r>
        <w:rPr>
          <w:spacing w:val="-26"/>
        </w:rPr>
        <w:t> </w:t>
      </w:r>
      <w:r>
        <w:rPr/>
        <w:t>in</w:t>
      </w:r>
      <w:r>
        <w:rPr>
          <w:spacing w:val="-25"/>
        </w:rPr>
        <w:t> </w:t>
      </w:r>
      <w:r>
        <w:rPr/>
        <w:t>the</w:t>
      </w:r>
      <w:r>
        <w:rPr>
          <w:spacing w:val="-24"/>
        </w:rPr>
        <w:t> </w:t>
      </w:r>
      <w:r>
        <w:rPr/>
        <w:t>determination</w:t>
      </w:r>
      <w:r>
        <w:rPr>
          <w:spacing w:val="-24"/>
        </w:rPr>
        <w:t> </w:t>
      </w:r>
      <w:r>
        <w:rPr/>
        <w:t>of</w:t>
      </w:r>
      <w:r>
        <w:rPr>
          <w:spacing w:val="-24"/>
        </w:rPr>
        <w:t> </w:t>
      </w:r>
      <w:r>
        <w:rPr/>
        <w:t>damages</w:t>
      </w:r>
      <w:r>
        <w:rPr>
          <w:spacing w:val="-23"/>
        </w:rPr>
        <w:t> </w:t>
      </w:r>
      <w:r>
        <w:rPr/>
        <w:t>caused by an</w:t>
      </w:r>
      <w:r>
        <w:rPr>
          <w:spacing w:val="-4"/>
        </w:rPr>
        <w:t> </w:t>
      </w:r>
      <w:r>
        <w:rPr/>
        <w:t>occurrence.</w:t>
      </w:r>
      <w:r>
        <w:rPr>
          <w:vertAlign w:val="superscript"/>
        </w:rPr>
        <w:t>207</w:t>
      </w:r>
    </w:p>
    <w:p>
      <w:pPr>
        <w:pStyle w:val="BodyText"/>
        <w:spacing w:before="10"/>
        <w:rPr>
          <w:sz w:val="25"/>
        </w:rPr>
      </w:pPr>
    </w:p>
    <w:p>
      <w:pPr>
        <w:pStyle w:val="BodyText"/>
        <w:spacing w:line="242" w:lineRule="auto"/>
        <w:ind w:left="1520" w:right="1516" w:firstLine="720"/>
        <w:jc w:val="both"/>
      </w:pPr>
      <w:r>
        <w:rPr>
          <w:spacing w:val="3"/>
        </w:rPr>
        <w:t>It </w:t>
      </w:r>
      <w:r>
        <w:rPr/>
        <w:t>was held appropriate to compel the insurer</w:t>
      </w:r>
      <w:r>
        <w:rPr>
          <w:spacing w:val="-29"/>
        </w:rPr>
        <w:t> </w:t>
      </w:r>
      <w:r>
        <w:rPr/>
        <w:t>to</w:t>
      </w:r>
      <w:r>
        <w:rPr>
          <w:spacing w:val="-26"/>
        </w:rPr>
        <w:t> </w:t>
      </w:r>
      <w:r>
        <w:rPr/>
        <w:t>submit</w:t>
      </w:r>
      <w:r>
        <w:rPr>
          <w:spacing w:val="-28"/>
        </w:rPr>
        <w:t> </w:t>
      </w:r>
      <w:r>
        <w:rPr/>
        <w:t>to</w:t>
      </w:r>
      <w:r>
        <w:rPr>
          <w:spacing w:val="-26"/>
        </w:rPr>
        <w:t> </w:t>
      </w:r>
      <w:r>
        <w:rPr/>
        <w:t>appraisal</w:t>
      </w:r>
      <w:r>
        <w:rPr>
          <w:spacing w:val="-24"/>
        </w:rPr>
        <w:t> </w:t>
      </w:r>
      <w:r>
        <w:rPr/>
        <w:t>where</w:t>
      </w:r>
      <w:r>
        <w:rPr>
          <w:spacing w:val="-27"/>
        </w:rPr>
        <w:t> </w:t>
      </w:r>
      <w:r>
        <w:rPr/>
        <w:t>the</w:t>
      </w:r>
      <w:r>
        <w:rPr>
          <w:spacing w:val="-27"/>
        </w:rPr>
        <w:t> </w:t>
      </w:r>
      <w:r>
        <w:rPr/>
        <w:t>dispute between</w:t>
      </w:r>
      <w:r>
        <w:rPr>
          <w:spacing w:val="-11"/>
        </w:rPr>
        <w:t> </w:t>
      </w:r>
      <w:r>
        <w:rPr/>
        <w:t>the</w:t>
      </w:r>
      <w:r>
        <w:rPr>
          <w:spacing w:val="-9"/>
        </w:rPr>
        <w:t> </w:t>
      </w:r>
      <w:r>
        <w:rPr/>
        <w:t>parties</w:t>
      </w:r>
      <w:r>
        <w:rPr>
          <w:spacing w:val="-11"/>
        </w:rPr>
        <w:t> </w:t>
      </w:r>
      <w:r>
        <w:rPr/>
        <w:t>had</w:t>
      </w:r>
      <w:r>
        <w:rPr>
          <w:spacing w:val="-8"/>
        </w:rPr>
        <w:t> </w:t>
      </w:r>
      <w:r>
        <w:rPr/>
        <w:t>to</w:t>
      </w:r>
      <w:r>
        <w:rPr>
          <w:spacing w:val="-10"/>
        </w:rPr>
        <w:t> </w:t>
      </w:r>
      <w:r>
        <w:rPr/>
        <w:t>do</w:t>
      </w:r>
      <w:r>
        <w:rPr>
          <w:spacing w:val="-9"/>
        </w:rPr>
        <w:t> </w:t>
      </w:r>
      <w:r>
        <w:rPr/>
        <w:t>with</w:t>
      </w:r>
      <w:r>
        <w:rPr>
          <w:spacing w:val="-14"/>
        </w:rPr>
        <w:t> </w:t>
      </w:r>
      <w:r>
        <w:rPr/>
        <w:t>the</w:t>
      </w:r>
      <w:r>
        <w:rPr>
          <w:spacing w:val="-12"/>
        </w:rPr>
        <w:t> </w:t>
      </w:r>
      <w:r>
        <w:rPr/>
        <w:t>extent of hail damage. The insurer argued that </w:t>
      </w:r>
      <w:r>
        <w:rPr>
          <w:i/>
          <w:u w:val="single"/>
        </w:rPr>
        <w:t>any</w:t>
      </w:r>
      <w:r>
        <w:rPr>
          <w:i/>
        </w:rPr>
        <w:t> </w:t>
      </w:r>
      <w:r>
        <w:rPr/>
        <w:t>decisions by appraisers on the extent of damage would be beyond the scope of </w:t>
      </w:r>
      <w:r>
        <w:rPr>
          <w:spacing w:val="-3"/>
        </w:rPr>
        <w:t>their </w:t>
      </w:r>
      <w:r>
        <w:rPr/>
        <w:t>authority because their decisions necessarily will involve </w:t>
      </w:r>
      <w:r>
        <w:rPr>
          <w:spacing w:val="2"/>
        </w:rPr>
        <w:t>decisions </w:t>
      </w:r>
      <w:r>
        <w:rPr/>
        <w:t>about</w:t>
      </w:r>
      <w:r>
        <w:rPr>
          <w:spacing w:val="24"/>
        </w:rPr>
        <w:t> </w:t>
      </w:r>
      <w:r>
        <w:rPr>
          <w:spacing w:val="3"/>
        </w:rPr>
        <w:t>causation,</w:t>
      </w:r>
    </w:p>
    <w:p>
      <w:pPr>
        <w:pStyle w:val="BodyText"/>
        <w:spacing w:before="3"/>
        <w:rPr>
          <w:sz w:val="20"/>
        </w:rPr>
      </w:pPr>
      <w:r>
        <w:rPr/>
        <w:pict>
          <v:shape style="position:absolute;margin-left:162pt;margin-top:14.815395pt;width:143.9pt;height:.1pt;mso-position-horizontal-relative:page;mso-position-vertical-relative:paragraph;z-index:-251577344;mso-wrap-distance-left:0;mso-wrap-distance-right:0" coordorigin="3240,296" coordsize="2878,0" path="m3240,296l6118,296e" filled="false" stroked="true" strokeweight=".84pt" strokecolor="#000000">
            <v:path arrowok="t"/>
            <v:stroke dashstyle="solid"/>
            <w10:wrap type="topAndBottom"/>
          </v:shape>
        </w:pict>
      </w:r>
    </w:p>
    <w:p>
      <w:pPr>
        <w:pStyle w:val="BodyText"/>
        <w:spacing w:before="10"/>
        <w:rPr>
          <w:sz w:val="13"/>
        </w:rPr>
      </w:pPr>
    </w:p>
    <w:p>
      <w:pPr>
        <w:pStyle w:val="ListParagraph"/>
        <w:numPr>
          <w:ilvl w:val="0"/>
          <w:numId w:val="15"/>
        </w:numPr>
        <w:tabs>
          <w:tab w:pos="1463" w:val="left" w:leader="none"/>
        </w:tabs>
        <w:spacing w:line="256" w:lineRule="auto" w:before="72" w:after="0"/>
        <w:ind w:left="1160" w:right="1166" w:firstLine="0"/>
        <w:jc w:val="left"/>
        <w:rPr>
          <w:sz w:val="18"/>
        </w:rPr>
      </w:pPr>
      <w:r>
        <w:rPr>
          <w:sz w:val="18"/>
          <w:u w:val="single"/>
        </w:rPr>
        <w:t>Sun Microsystems, Inc. v. Electronic Services, Inc.</w:t>
      </w:r>
      <w:r>
        <w:rPr>
          <w:sz w:val="18"/>
        </w:rPr>
        <w:t>, 2009 WL 987336 (Mass. Super 2009).</w:t>
      </w:r>
    </w:p>
    <w:p>
      <w:pPr>
        <w:pStyle w:val="ListParagraph"/>
        <w:numPr>
          <w:ilvl w:val="0"/>
          <w:numId w:val="15"/>
        </w:numPr>
        <w:tabs>
          <w:tab w:pos="1445" w:val="left" w:leader="none"/>
        </w:tabs>
        <w:spacing w:line="256" w:lineRule="auto" w:before="12" w:after="0"/>
        <w:ind w:left="1160" w:right="1174" w:firstLine="0"/>
        <w:jc w:val="left"/>
        <w:rPr>
          <w:sz w:val="18"/>
        </w:rPr>
      </w:pPr>
      <w:r>
        <w:rPr>
          <w:sz w:val="18"/>
          <w:u w:val="single"/>
        </w:rPr>
        <w:t>In re Texas Windstorm Ins. Ass’n</w:t>
      </w:r>
      <w:r>
        <w:rPr>
          <w:sz w:val="18"/>
        </w:rPr>
        <w:t>, 2013 WL 4806996 (Tex. App.-Houston</w:t>
      </w:r>
      <w:r>
        <w:rPr>
          <w:spacing w:val="-13"/>
          <w:sz w:val="18"/>
        </w:rPr>
        <w:t> </w:t>
      </w:r>
      <w:r>
        <w:rPr>
          <w:sz w:val="18"/>
        </w:rPr>
        <w:t>[14</w:t>
      </w:r>
      <w:r>
        <w:rPr>
          <w:position w:val="7"/>
          <w:sz w:val="10"/>
        </w:rPr>
        <w:t>th </w:t>
      </w:r>
      <w:r>
        <w:rPr>
          <w:sz w:val="18"/>
        </w:rPr>
        <w:t>Dist.] 2013)</w:t>
      </w:r>
    </w:p>
    <w:p>
      <w:pPr>
        <w:spacing w:after="0" w:line="256"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21"/>
        <w:jc w:val="both"/>
      </w:pPr>
      <w:bookmarkStart w:name="Law and Procedure 151" w:id="62"/>
      <w:bookmarkEnd w:id="62"/>
      <w:r>
        <w:rPr/>
      </w:r>
      <w:r>
        <w:rPr/>
        <w:t>coverage</w:t>
      </w:r>
      <w:r>
        <w:rPr>
          <w:spacing w:val="-29"/>
        </w:rPr>
        <w:t> </w:t>
      </w:r>
      <w:r>
        <w:rPr/>
        <w:t>and</w:t>
      </w:r>
      <w:r>
        <w:rPr>
          <w:spacing w:val="-29"/>
        </w:rPr>
        <w:t> </w:t>
      </w:r>
      <w:r>
        <w:rPr/>
        <w:t>liability.</w:t>
      </w:r>
      <w:r>
        <w:rPr>
          <w:spacing w:val="11"/>
        </w:rPr>
        <w:t> </w:t>
      </w:r>
      <w:r>
        <w:rPr>
          <w:spacing w:val="-3"/>
        </w:rPr>
        <w:t>The</w:t>
      </w:r>
      <w:r>
        <w:rPr>
          <w:spacing w:val="-30"/>
        </w:rPr>
        <w:t> </w:t>
      </w:r>
      <w:r>
        <w:rPr/>
        <w:t>Court</w:t>
      </w:r>
      <w:r>
        <w:rPr>
          <w:spacing w:val="-30"/>
        </w:rPr>
        <w:t> </w:t>
      </w:r>
      <w:r>
        <w:rPr/>
        <w:t>stated</w:t>
      </w:r>
      <w:r>
        <w:rPr>
          <w:spacing w:val="-32"/>
        </w:rPr>
        <w:t> </w:t>
      </w:r>
      <w:r>
        <w:rPr/>
        <w:t>clearly the most logical and appropriate resolution</w:t>
      </w:r>
      <w:r>
        <w:rPr>
          <w:spacing w:val="-36"/>
        </w:rPr>
        <w:t> </w:t>
      </w:r>
      <w:r>
        <w:rPr>
          <w:spacing w:val="-8"/>
        </w:rPr>
        <w:t>to </w:t>
      </w:r>
      <w:r>
        <w:rPr/>
        <w:t>this common misconception about</w:t>
      </w:r>
      <w:r>
        <w:rPr>
          <w:spacing w:val="-7"/>
        </w:rPr>
        <w:t> </w:t>
      </w:r>
      <w:r>
        <w:rPr/>
        <w:t>appraisal:</w:t>
      </w:r>
    </w:p>
    <w:p>
      <w:pPr>
        <w:pStyle w:val="BodyText"/>
        <w:spacing w:before="1"/>
      </w:pPr>
    </w:p>
    <w:p>
      <w:pPr>
        <w:pStyle w:val="BodyText"/>
        <w:spacing w:line="242" w:lineRule="auto"/>
        <w:ind w:left="2240" w:right="2235"/>
        <w:jc w:val="both"/>
      </w:pPr>
      <w:r>
        <w:rPr/>
        <w:t>“If the parties had to first agree on </w:t>
      </w:r>
      <w:r>
        <w:rPr>
          <w:spacing w:val="3"/>
        </w:rPr>
        <w:t>which </w:t>
      </w:r>
      <w:r>
        <w:rPr>
          <w:spacing w:val="5"/>
        </w:rPr>
        <w:t>specific </w:t>
      </w:r>
      <w:r>
        <w:rPr>
          <w:spacing w:val="4"/>
        </w:rPr>
        <w:t>shingles </w:t>
      </w:r>
      <w:r>
        <w:rPr/>
        <w:t>were damaged and approach </w:t>
      </w:r>
      <w:r>
        <w:rPr>
          <w:spacing w:val="-4"/>
        </w:rPr>
        <w:t>every </w:t>
      </w:r>
      <w:r>
        <w:rPr>
          <w:spacing w:val="12"/>
        </w:rPr>
        <w:t>disagreement </w:t>
      </w:r>
      <w:r>
        <w:rPr>
          <w:spacing w:val="6"/>
        </w:rPr>
        <w:t>on </w:t>
      </w:r>
      <w:r>
        <w:rPr>
          <w:spacing w:val="9"/>
        </w:rPr>
        <w:t>extent </w:t>
      </w:r>
      <w:r>
        <w:rPr>
          <w:spacing w:val="6"/>
        </w:rPr>
        <w:t>of </w:t>
      </w:r>
      <w:r>
        <w:rPr/>
        <w:t>damage</w:t>
      </w:r>
      <w:r>
        <w:rPr>
          <w:spacing w:val="-29"/>
        </w:rPr>
        <w:t> </w:t>
      </w:r>
      <w:r>
        <w:rPr/>
        <w:t>as</w:t>
      </w:r>
      <w:r>
        <w:rPr>
          <w:spacing w:val="-28"/>
        </w:rPr>
        <w:t> </w:t>
      </w:r>
      <w:r>
        <w:rPr/>
        <w:t>a</w:t>
      </w:r>
      <w:r>
        <w:rPr>
          <w:spacing w:val="-26"/>
        </w:rPr>
        <w:t> </w:t>
      </w:r>
      <w:r>
        <w:rPr/>
        <w:t>causation,</w:t>
      </w:r>
      <w:r>
        <w:rPr>
          <w:spacing w:val="-28"/>
        </w:rPr>
        <w:t> </w:t>
      </w:r>
      <w:r>
        <w:rPr>
          <w:spacing w:val="-3"/>
        </w:rPr>
        <w:t>coverage </w:t>
      </w:r>
      <w:r>
        <w:rPr/>
        <w:t>or liability issue, either party could defeat</w:t>
      </w:r>
      <w:r>
        <w:rPr>
          <w:spacing w:val="-24"/>
        </w:rPr>
        <w:t> </w:t>
      </w:r>
      <w:r>
        <w:rPr/>
        <w:t>the</w:t>
      </w:r>
      <w:r>
        <w:rPr>
          <w:spacing w:val="-21"/>
        </w:rPr>
        <w:t> </w:t>
      </w:r>
      <w:r>
        <w:rPr/>
        <w:t>other</w:t>
      </w:r>
      <w:r>
        <w:rPr>
          <w:spacing w:val="-23"/>
        </w:rPr>
        <w:t> </w:t>
      </w:r>
      <w:r>
        <w:rPr/>
        <w:t>party’s</w:t>
      </w:r>
      <w:r>
        <w:rPr>
          <w:spacing w:val="-21"/>
        </w:rPr>
        <w:t> </w:t>
      </w:r>
      <w:r>
        <w:rPr/>
        <w:t>request</w:t>
      </w:r>
      <w:r>
        <w:rPr>
          <w:spacing w:val="-23"/>
        </w:rPr>
        <w:t> </w:t>
      </w:r>
      <w:r>
        <w:rPr/>
        <w:t>for </w:t>
      </w:r>
      <w:r>
        <w:rPr>
          <w:spacing w:val="3"/>
        </w:rPr>
        <w:t>an </w:t>
      </w:r>
      <w:r>
        <w:rPr>
          <w:spacing w:val="6"/>
        </w:rPr>
        <w:t>appraisal </w:t>
      </w:r>
      <w:r>
        <w:rPr>
          <w:spacing w:val="2"/>
        </w:rPr>
        <w:t>by </w:t>
      </w:r>
      <w:r>
        <w:rPr>
          <w:spacing w:val="4"/>
        </w:rPr>
        <w:t>labeling </w:t>
      </w:r>
      <w:r>
        <w:rPr/>
        <w:t>a disagreement as a coverage dispute. Instead, as the process is designed, once it is determined that there is a covered loss and a dispute exists about the amount</w:t>
      </w:r>
      <w:r>
        <w:rPr>
          <w:spacing w:val="-43"/>
        </w:rPr>
        <w:t> </w:t>
      </w:r>
      <w:r>
        <w:rPr/>
        <w:t>of that loss, the appraisal process determines</w:t>
      </w:r>
      <w:r>
        <w:rPr>
          <w:spacing w:val="-32"/>
        </w:rPr>
        <w:t> </w:t>
      </w:r>
      <w:r>
        <w:rPr/>
        <w:t>the</w:t>
      </w:r>
      <w:r>
        <w:rPr>
          <w:spacing w:val="-32"/>
        </w:rPr>
        <w:t> </w:t>
      </w:r>
      <w:r>
        <w:rPr/>
        <w:t>amount</w:t>
      </w:r>
      <w:r>
        <w:rPr>
          <w:spacing w:val="-32"/>
        </w:rPr>
        <w:t> </w:t>
      </w:r>
      <w:r>
        <w:rPr/>
        <w:t>that</w:t>
      </w:r>
      <w:r>
        <w:rPr>
          <w:spacing w:val="-30"/>
        </w:rPr>
        <w:t> </w:t>
      </w:r>
      <w:r>
        <w:rPr/>
        <w:t>should be paid because of loss from a covered</w:t>
      </w:r>
      <w:r>
        <w:rPr>
          <w:spacing w:val="-2"/>
        </w:rPr>
        <w:t> </w:t>
      </w:r>
      <w:r>
        <w:rPr/>
        <w:t>peril.”</w:t>
      </w:r>
      <w:r>
        <w:rPr>
          <w:vertAlign w:val="superscript"/>
        </w:rPr>
        <w:t>208</w:t>
      </w:r>
    </w:p>
    <w:p>
      <w:pPr>
        <w:pStyle w:val="BodyText"/>
        <w:spacing w:before="9"/>
        <w:rPr>
          <w:sz w:val="25"/>
        </w:rPr>
      </w:pPr>
    </w:p>
    <w:p>
      <w:pPr>
        <w:pStyle w:val="BodyText"/>
        <w:spacing w:line="242" w:lineRule="auto"/>
        <w:ind w:left="1520" w:right="1520" w:firstLine="720"/>
        <w:jc w:val="both"/>
      </w:pPr>
      <w:r>
        <w:rPr/>
        <w:t>This Court’s approach represents a fundamentally fair and reasonable interpretation of the appraisal provision and gives life to the process.</w:t>
      </w:r>
    </w:p>
    <w:p>
      <w:pPr>
        <w:pStyle w:val="BodyText"/>
        <w:rPr>
          <w:sz w:val="20"/>
        </w:rPr>
      </w:pPr>
    </w:p>
    <w:p>
      <w:pPr>
        <w:pStyle w:val="BodyText"/>
        <w:rPr>
          <w:sz w:val="20"/>
        </w:rPr>
      </w:pPr>
    </w:p>
    <w:p>
      <w:pPr>
        <w:pStyle w:val="BodyText"/>
        <w:rPr>
          <w:sz w:val="20"/>
        </w:rPr>
      </w:pPr>
    </w:p>
    <w:p>
      <w:pPr>
        <w:pStyle w:val="BodyText"/>
        <w:spacing w:before="8"/>
        <w:rPr>
          <w:sz w:val="20"/>
        </w:rPr>
      </w:pPr>
      <w:r>
        <w:rPr/>
        <w:pict>
          <v:shape style="position:absolute;margin-left:162pt;margin-top:15.061523pt;width:143.9pt;height:.1pt;mso-position-horizontal-relative:page;mso-position-vertical-relative:paragraph;z-index:-251576320;mso-wrap-distance-left:0;mso-wrap-distance-right:0" coordorigin="3240,301" coordsize="2878,0" path="m3240,301l6118,301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5"/>
        </w:numPr>
        <w:tabs>
          <w:tab w:pos="1452" w:val="left" w:leader="none"/>
        </w:tabs>
        <w:spacing w:line="249" w:lineRule="auto" w:before="71" w:after="0"/>
        <w:ind w:left="1160" w:right="1165" w:firstLine="0"/>
        <w:jc w:val="both"/>
        <w:rPr>
          <w:sz w:val="18"/>
        </w:rPr>
      </w:pPr>
      <w:r>
        <w:rPr>
          <w:sz w:val="18"/>
          <w:u w:val="single"/>
        </w:rPr>
        <w:t>Johnson v. State Farm Lloyds</w:t>
      </w:r>
      <w:r>
        <w:rPr>
          <w:sz w:val="18"/>
        </w:rPr>
        <w:t>, 204 S.W.3d 897 (Tex. App-Dallas, 2006); </w:t>
      </w:r>
      <w:r>
        <w:rPr>
          <w:i/>
          <w:sz w:val="18"/>
        </w:rPr>
        <w:t>See also</w:t>
      </w:r>
      <w:r>
        <w:rPr>
          <w:sz w:val="18"/>
        </w:rPr>
        <w:t>,</w:t>
      </w:r>
      <w:r>
        <w:rPr>
          <w:sz w:val="18"/>
          <w:u w:val="single"/>
        </w:rPr>
        <w:t> Carbonneau v. American Family Ins. Co.</w:t>
      </w:r>
      <w:r>
        <w:rPr>
          <w:sz w:val="18"/>
        </w:rPr>
        <w:t>, 2006 WL 325724 (D. Ariz. 2006) (“Were such doubts not resolved in favor of appraisal, insurance companies could avoid appraisal obligations merely by claiming that the dispute concerned</w:t>
      </w:r>
      <w:r>
        <w:rPr>
          <w:spacing w:val="-15"/>
          <w:sz w:val="18"/>
        </w:rPr>
        <w:t> </w:t>
      </w:r>
      <w:r>
        <w:rPr>
          <w:sz w:val="18"/>
        </w:rPr>
        <w:t>coverage.”).</w:t>
      </w:r>
    </w:p>
    <w:p>
      <w:pPr>
        <w:spacing w:after="0" w:line="249" w:lineRule="auto"/>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firstLine="720"/>
        <w:jc w:val="both"/>
      </w:pPr>
      <w:bookmarkStart w:name="Law and Procedure 152" w:id="63"/>
      <w:bookmarkEnd w:id="63"/>
      <w:r>
        <w:rPr/>
      </w:r>
      <w:r>
        <w:rPr/>
        <w:t>As stated above, the 2014 change in New York law which clarifies that issues of “extent of loss” are appraisable, establishes that issues of causation as to specific items within an otherwise covered claim would be appraisable as part of the determination of “the amount of loss and damage”.</w:t>
      </w:r>
      <w:r>
        <w:rPr>
          <w:vertAlign w:val="superscript"/>
        </w:rPr>
        <w:t>209</w:t>
      </w:r>
    </w:p>
    <w:p>
      <w:pPr>
        <w:pStyle w:val="BodyText"/>
      </w:pPr>
    </w:p>
    <w:p>
      <w:pPr>
        <w:pStyle w:val="BodyText"/>
        <w:spacing w:line="242" w:lineRule="auto"/>
        <w:ind w:left="1520" w:right="1517" w:firstLine="720"/>
        <w:jc w:val="both"/>
      </w:pPr>
      <w:r>
        <w:rPr/>
        <w:t>While the cases generally hold </w:t>
      </w:r>
      <w:r>
        <w:rPr>
          <w:spacing w:val="-4"/>
        </w:rPr>
        <w:t>that </w:t>
      </w:r>
      <w:r>
        <w:rPr/>
        <w:t>questions of liability are reserved for review </w:t>
      </w:r>
      <w:r>
        <w:rPr>
          <w:spacing w:val="2"/>
        </w:rPr>
        <w:t>in </w:t>
      </w:r>
      <w:r>
        <w:rPr/>
        <w:t>court, when the insurer alleges fraud in the submission of the claim, it should not be assumed that the liability issue must be decided prior to appraisal. </w:t>
      </w:r>
      <w:r>
        <w:rPr>
          <w:spacing w:val="3"/>
        </w:rPr>
        <w:t>In </w:t>
      </w:r>
      <w:r>
        <w:rPr/>
        <w:t>fact, in </w:t>
      </w:r>
      <w:r>
        <w:rPr>
          <w:u w:val="single"/>
        </w:rPr>
        <w:t>Dock</w:t>
      </w:r>
      <w:r>
        <w:rPr/>
        <w:t> </w:t>
      </w:r>
      <w:r>
        <w:rPr>
          <w:u w:val="single"/>
        </w:rPr>
        <w:t>Resins</w:t>
      </w:r>
      <w:r>
        <w:rPr>
          <w:spacing w:val="-23"/>
          <w:u w:val="single"/>
        </w:rPr>
        <w:t> </w:t>
      </w:r>
      <w:r>
        <w:rPr>
          <w:u w:val="single"/>
        </w:rPr>
        <w:t>Corp.</w:t>
      </w:r>
      <w:r>
        <w:rPr>
          <w:spacing w:val="-24"/>
          <w:u w:val="single"/>
        </w:rPr>
        <w:t> </w:t>
      </w:r>
      <w:r>
        <w:rPr>
          <w:u w:val="single"/>
        </w:rPr>
        <w:t>v.</w:t>
      </w:r>
      <w:r>
        <w:rPr>
          <w:spacing w:val="-27"/>
          <w:u w:val="single"/>
        </w:rPr>
        <w:t> </w:t>
      </w:r>
      <w:r>
        <w:rPr>
          <w:u w:val="single"/>
        </w:rPr>
        <w:t>Sorema</w:t>
      </w:r>
      <w:r>
        <w:rPr>
          <w:spacing w:val="-27"/>
          <w:u w:val="single"/>
        </w:rPr>
        <w:t> </w:t>
      </w:r>
      <w:r>
        <w:rPr>
          <w:u w:val="single"/>
        </w:rPr>
        <w:t>N.A.</w:t>
      </w:r>
      <w:r>
        <w:rPr>
          <w:spacing w:val="-27"/>
          <w:u w:val="single"/>
        </w:rPr>
        <w:t> </w:t>
      </w:r>
      <w:r>
        <w:rPr>
          <w:u w:val="single"/>
        </w:rPr>
        <w:t>Reinsurance</w:t>
      </w:r>
      <w:r>
        <w:rPr>
          <w:spacing w:val="-22"/>
          <w:u w:val="single"/>
        </w:rPr>
        <w:t> </w:t>
      </w:r>
      <w:r>
        <w:rPr>
          <w:spacing w:val="-8"/>
          <w:u w:val="single"/>
        </w:rPr>
        <w:t>Co.</w:t>
      </w:r>
      <w:r>
        <w:rPr>
          <w:spacing w:val="-8"/>
        </w:rPr>
        <w:t>,</w:t>
      </w:r>
      <w:r>
        <w:rPr>
          <w:spacing w:val="-8"/>
          <w:vertAlign w:val="superscript"/>
        </w:rPr>
        <w:t>210</w:t>
      </w:r>
      <w:r>
        <w:rPr>
          <w:spacing w:val="-8"/>
          <w:vertAlign w:val="baseline"/>
        </w:rPr>
        <w:t> </w:t>
      </w:r>
      <w:r>
        <w:rPr>
          <w:vertAlign w:val="baseline"/>
        </w:rPr>
        <w:t>the</w:t>
      </w:r>
      <w:r>
        <w:rPr>
          <w:spacing w:val="-32"/>
          <w:vertAlign w:val="baseline"/>
        </w:rPr>
        <w:t> </w:t>
      </w:r>
      <w:r>
        <w:rPr>
          <w:vertAlign w:val="baseline"/>
        </w:rPr>
        <w:t>court</w:t>
      </w:r>
      <w:r>
        <w:rPr>
          <w:spacing w:val="-35"/>
          <w:vertAlign w:val="baseline"/>
        </w:rPr>
        <w:t> </w:t>
      </w:r>
      <w:r>
        <w:rPr>
          <w:vertAlign w:val="baseline"/>
        </w:rPr>
        <w:t>pointed</w:t>
      </w:r>
      <w:r>
        <w:rPr>
          <w:spacing w:val="-35"/>
          <w:vertAlign w:val="baseline"/>
        </w:rPr>
        <w:t> </w:t>
      </w:r>
      <w:r>
        <w:rPr>
          <w:vertAlign w:val="baseline"/>
        </w:rPr>
        <w:t>out</w:t>
      </w:r>
      <w:r>
        <w:rPr>
          <w:spacing w:val="-32"/>
          <w:vertAlign w:val="baseline"/>
        </w:rPr>
        <w:t> </w:t>
      </w:r>
      <w:r>
        <w:rPr>
          <w:vertAlign w:val="baseline"/>
        </w:rPr>
        <w:t>that</w:t>
      </w:r>
      <w:r>
        <w:rPr>
          <w:spacing w:val="-32"/>
          <w:vertAlign w:val="baseline"/>
        </w:rPr>
        <w:t> </w:t>
      </w:r>
      <w:r>
        <w:rPr>
          <w:vertAlign w:val="baseline"/>
        </w:rPr>
        <w:t>while</w:t>
      </w:r>
      <w:r>
        <w:rPr>
          <w:spacing w:val="-32"/>
          <w:vertAlign w:val="baseline"/>
        </w:rPr>
        <w:t> </w:t>
      </w:r>
      <w:r>
        <w:rPr>
          <w:u w:val="single"/>
          <w:vertAlign w:val="baseline"/>
        </w:rPr>
        <w:t>Elberon</w:t>
      </w:r>
      <w:r>
        <w:rPr>
          <w:vertAlign w:val="superscript"/>
        </w:rPr>
        <w:t>211</w:t>
      </w:r>
      <w:r>
        <w:rPr>
          <w:vertAlign w:val="baseline"/>
        </w:rPr>
        <w:t>,</w:t>
      </w:r>
      <w:r>
        <w:rPr>
          <w:spacing w:val="-34"/>
          <w:vertAlign w:val="baseline"/>
        </w:rPr>
        <w:t> </w:t>
      </w:r>
      <w:r>
        <w:rPr>
          <w:spacing w:val="-8"/>
          <w:vertAlign w:val="baseline"/>
        </w:rPr>
        <w:t>held </w:t>
      </w:r>
      <w:r>
        <w:rPr>
          <w:vertAlign w:val="baseline"/>
        </w:rPr>
        <w:t>that under a fire appraisal the question of liability is preserved for a reviewing court, nothing in the opinion supports the insured’s assertion</w:t>
      </w:r>
      <w:r>
        <w:rPr>
          <w:spacing w:val="-8"/>
          <w:vertAlign w:val="baseline"/>
        </w:rPr>
        <w:t> </w:t>
      </w:r>
      <w:r>
        <w:rPr>
          <w:vertAlign w:val="baseline"/>
        </w:rPr>
        <w:t>that</w:t>
      </w:r>
      <w:r>
        <w:rPr>
          <w:spacing w:val="-9"/>
          <w:vertAlign w:val="baseline"/>
        </w:rPr>
        <w:t> </w:t>
      </w:r>
      <w:r>
        <w:rPr>
          <w:vertAlign w:val="baseline"/>
        </w:rPr>
        <w:t>when</w:t>
      </w:r>
      <w:r>
        <w:rPr>
          <w:spacing w:val="-8"/>
          <w:vertAlign w:val="baseline"/>
        </w:rPr>
        <w:t> </w:t>
      </w:r>
      <w:r>
        <w:rPr>
          <w:vertAlign w:val="baseline"/>
        </w:rPr>
        <w:t>the</w:t>
      </w:r>
      <w:r>
        <w:rPr>
          <w:spacing w:val="-7"/>
          <w:vertAlign w:val="baseline"/>
        </w:rPr>
        <w:t> </w:t>
      </w:r>
      <w:r>
        <w:rPr>
          <w:vertAlign w:val="baseline"/>
        </w:rPr>
        <w:t>insurer</w:t>
      </w:r>
      <w:r>
        <w:rPr>
          <w:spacing w:val="-10"/>
          <w:vertAlign w:val="baseline"/>
        </w:rPr>
        <w:t> </w:t>
      </w:r>
      <w:r>
        <w:rPr>
          <w:vertAlign w:val="baseline"/>
        </w:rPr>
        <w:t>alleges</w:t>
      </w:r>
      <w:r>
        <w:rPr>
          <w:spacing w:val="-6"/>
          <w:vertAlign w:val="baseline"/>
        </w:rPr>
        <w:t> </w:t>
      </w:r>
      <w:r>
        <w:rPr>
          <w:vertAlign w:val="baseline"/>
        </w:rPr>
        <w:t>fraud</w:t>
      </w:r>
      <w:r>
        <w:rPr>
          <w:spacing w:val="-8"/>
          <w:vertAlign w:val="baseline"/>
        </w:rPr>
        <w:t> </w:t>
      </w:r>
      <w:r>
        <w:rPr>
          <w:vertAlign w:val="baseline"/>
        </w:rPr>
        <w:t>in the submission of the claim, the liability issue must be decided prior to</w:t>
      </w:r>
      <w:r>
        <w:rPr>
          <w:spacing w:val="-8"/>
          <w:vertAlign w:val="baseline"/>
        </w:rPr>
        <w:t> </w:t>
      </w:r>
      <w:r>
        <w:rPr>
          <w:vertAlign w:val="baseline"/>
        </w:rPr>
        <w:t>appraisal.</w:t>
      </w:r>
    </w:p>
    <w:p>
      <w:pPr>
        <w:pStyle w:val="BodyText"/>
        <w:spacing w:before="5"/>
        <w:rPr>
          <w:sz w:val="22"/>
        </w:rPr>
      </w:pPr>
    </w:p>
    <w:p>
      <w:pPr>
        <w:pStyle w:val="BodyText"/>
        <w:spacing w:line="242" w:lineRule="auto" w:before="42"/>
        <w:ind w:left="1520" w:right="1518" w:firstLine="720"/>
        <w:jc w:val="both"/>
      </w:pPr>
      <w:r>
        <w:rPr>
          <w:spacing w:val="4"/>
        </w:rPr>
        <w:t>In </w:t>
      </w:r>
      <w:r>
        <w:rPr>
          <w:u w:val="single"/>
        </w:rPr>
        <w:t>201 N. Wells LLC v. Fidelity </w:t>
      </w:r>
      <w:r>
        <w:rPr>
          <w:spacing w:val="-3"/>
          <w:u w:val="single"/>
        </w:rPr>
        <w:t>and</w:t>
      </w:r>
      <w:r>
        <w:rPr>
          <w:spacing w:val="-3"/>
        </w:rPr>
        <w:t> </w:t>
      </w:r>
      <w:r>
        <w:rPr>
          <w:u w:val="single"/>
        </w:rPr>
        <w:t>Guaranty Ins. Co.</w:t>
      </w:r>
      <w:r>
        <w:rPr/>
        <w:t>,</w:t>
      </w:r>
      <w:r>
        <w:rPr>
          <w:vertAlign w:val="superscript"/>
        </w:rPr>
        <w:t>212</w:t>
      </w:r>
      <w:r>
        <w:rPr>
          <w:vertAlign w:val="baseline"/>
        </w:rPr>
        <w:t> the court was</w:t>
      </w:r>
      <w:r>
        <w:rPr>
          <w:spacing w:val="-35"/>
          <w:vertAlign w:val="baseline"/>
        </w:rPr>
        <w:t> </w:t>
      </w:r>
      <w:r>
        <w:rPr>
          <w:spacing w:val="-5"/>
          <w:vertAlign w:val="baseline"/>
        </w:rPr>
        <w:t>confronted </w:t>
      </w:r>
      <w:r>
        <w:rPr>
          <w:vertAlign w:val="baseline"/>
        </w:rPr>
        <w:t>with</w:t>
      </w:r>
      <w:r>
        <w:rPr>
          <w:spacing w:val="-19"/>
          <w:vertAlign w:val="baseline"/>
        </w:rPr>
        <w:t> </w:t>
      </w:r>
      <w:r>
        <w:rPr>
          <w:vertAlign w:val="baseline"/>
        </w:rPr>
        <w:t>a</w:t>
      </w:r>
      <w:r>
        <w:rPr>
          <w:spacing w:val="-18"/>
          <w:vertAlign w:val="baseline"/>
        </w:rPr>
        <w:t> </w:t>
      </w:r>
      <w:r>
        <w:rPr>
          <w:vertAlign w:val="baseline"/>
        </w:rPr>
        <w:t>situation</w:t>
      </w:r>
      <w:r>
        <w:rPr>
          <w:spacing w:val="-16"/>
          <w:vertAlign w:val="baseline"/>
        </w:rPr>
        <w:t> </w:t>
      </w:r>
      <w:r>
        <w:rPr>
          <w:vertAlign w:val="baseline"/>
        </w:rPr>
        <w:t>where</w:t>
      </w:r>
      <w:r>
        <w:rPr>
          <w:spacing w:val="-19"/>
          <w:vertAlign w:val="baseline"/>
        </w:rPr>
        <w:t> </w:t>
      </w:r>
      <w:r>
        <w:rPr>
          <w:vertAlign w:val="baseline"/>
        </w:rPr>
        <w:t>the</w:t>
      </w:r>
      <w:r>
        <w:rPr>
          <w:spacing w:val="-19"/>
          <w:vertAlign w:val="baseline"/>
        </w:rPr>
        <w:t> </w:t>
      </w:r>
      <w:r>
        <w:rPr>
          <w:vertAlign w:val="baseline"/>
        </w:rPr>
        <w:t>insured</w:t>
      </w:r>
      <w:r>
        <w:rPr>
          <w:spacing w:val="-19"/>
          <w:vertAlign w:val="baseline"/>
        </w:rPr>
        <w:t> </w:t>
      </w:r>
      <w:r>
        <w:rPr>
          <w:vertAlign w:val="baseline"/>
        </w:rPr>
        <w:t>had</w:t>
      </w:r>
      <w:r>
        <w:rPr>
          <w:spacing w:val="-18"/>
          <w:vertAlign w:val="baseline"/>
        </w:rPr>
        <w:t> </w:t>
      </w:r>
      <w:r>
        <w:rPr>
          <w:vertAlign w:val="baseline"/>
        </w:rPr>
        <w:t>suffered an</w:t>
      </w:r>
      <w:r>
        <w:rPr>
          <w:spacing w:val="-11"/>
          <w:vertAlign w:val="baseline"/>
        </w:rPr>
        <w:t> </w:t>
      </w:r>
      <w:r>
        <w:rPr>
          <w:vertAlign w:val="baseline"/>
        </w:rPr>
        <w:t>extensive</w:t>
      </w:r>
      <w:r>
        <w:rPr>
          <w:spacing w:val="-12"/>
          <w:vertAlign w:val="baseline"/>
        </w:rPr>
        <w:t> </w:t>
      </w:r>
      <w:r>
        <w:rPr>
          <w:vertAlign w:val="baseline"/>
        </w:rPr>
        <w:t>water</w:t>
      </w:r>
      <w:r>
        <w:rPr>
          <w:spacing w:val="-13"/>
          <w:vertAlign w:val="baseline"/>
        </w:rPr>
        <w:t> </w:t>
      </w:r>
      <w:r>
        <w:rPr>
          <w:vertAlign w:val="baseline"/>
        </w:rPr>
        <w:t>damage</w:t>
      </w:r>
      <w:r>
        <w:rPr>
          <w:spacing w:val="-11"/>
          <w:vertAlign w:val="baseline"/>
        </w:rPr>
        <w:t> </w:t>
      </w:r>
      <w:r>
        <w:rPr>
          <w:vertAlign w:val="baseline"/>
        </w:rPr>
        <w:t>and</w:t>
      </w:r>
      <w:r>
        <w:rPr>
          <w:spacing w:val="-11"/>
          <w:vertAlign w:val="baseline"/>
        </w:rPr>
        <w:t> </w:t>
      </w:r>
      <w:r>
        <w:rPr>
          <w:vertAlign w:val="baseline"/>
        </w:rPr>
        <w:t>the</w:t>
      </w:r>
      <w:r>
        <w:rPr>
          <w:spacing w:val="-12"/>
          <w:vertAlign w:val="baseline"/>
        </w:rPr>
        <w:t> </w:t>
      </w:r>
      <w:r>
        <w:rPr>
          <w:vertAlign w:val="baseline"/>
        </w:rPr>
        <w:t>principal</w:t>
      </w:r>
    </w:p>
    <w:p>
      <w:pPr>
        <w:pStyle w:val="BodyText"/>
        <w:rPr>
          <w:sz w:val="20"/>
        </w:rPr>
      </w:pPr>
    </w:p>
    <w:p>
      <w:pPr>
        <w:pStyle w:val="BodyText"/>
        <w:spacing w:before="9"/>
        <w:rPr>
          <w:sz w:val="16"/>
        </w:rPr>
      </w:pPr>
      <w:r>
        <w:rPr/>
        <w:pict>
          <v:shape style="position:absolute;margin-left:162pt;margin-top:12.673764pt;width:143.9pt;height:.1pt;mso-position-horizontal-relative:page;mso-position-vertical-relative:paragraph;z-index:-251575296;mso-wrap-distance-left:0;mso-wrap-distance-right:0" coordorigin="3240,253" coordsize="2878,0" path="m3240,253l6118,253e" filled="false" stroked="true" strokeweight=".84pt" strokecolor="#000000">
            <v:path arrowok="t"/>
            <v:stroke dashstyle="solid"/>
            <w10:wrap type="topAndBottom"/>
          </v:shape>
        </w:pict>
      </w:r>
    </w:p>
    <w:p>
      <w:pPr>
        <w:pStyle w:val="BodyText"/>
        <w:spacing w:before="4"/>
        <w:rPr>
          <w:sz w:val="10"/>
        </w:rPr>
      </w:pPr>
    </w:p>
    <w:p>
      <w:pPr>
        <w:spacing w:before="71"/>
        <w:ind w:left="1160" w:right="0" w:firstLine="0"/>
        <w:jc w:val="left"/>
        <w:rPr>
          <w:rFonts w:ascii="Times New Roman" w:hAnsi="Times New Roman"/>
          <w:sz w:val="18"/>
        </w:rPr>
      </w:pPr>
      <w:r>
        <w:rPr>
          <w:rFonts w:ascii="Times New Roman" w:hAnsi="Times New Roman"/>
          <w:position w:val="10"/>
          <w:sz w:val="14"/>
        </w:rPr>
        <w:t>209 </w:t>
      </w:r>
      <w:r>
        <w:rPr>
          <w:rFonts w:ascii="Times New Roman" w:hAnsi="Times New Roman"/>
          <w:sz w:val="18"/>
        </w:rPr>
        <w:t>N.Y. Ins. Law </w:t>
      </w:r>
      <w:r>
        <w:rPr>
          <w:sz w:val="18"/>
        </w:rPr>
        <w:t>§</w:t>
      </w:r>
      <w:r>
        <w:rPr>
          <w:rFonts w:ascii="Times New Roman" w:hAnsi="Times New Roman"/>
          <w:sz w:val="18"/>
        </w:rPr>
        <w:t>3804, amended L.2014. C 451 </w:t>
      </w:r>
      <w:r>
        <w:rPr>
          <w:sz w:val="18"/>
        </w:rPr>
        <w:t>§</w:t>
      </w:r>
      <w:r>
        <w:rPr>
          <w:rFonts w:ascii="Times New Roman" w:hAnsi="Times New Roman"/>
          <w:sz w:val="18"/>
        </w:rPr>
        <w:t>1. Eff. Nov. 21, 2014.</w:t>
      </w:r>
    </w:p>
    <w:p>
      <w:pPr>
        <w:pStyle w:val="ListParagraph"/>
        <w:numPr>
          <w:ilvl w:val="0"/>
          <w:numId w:val="16"/>
        </w:numPr>
        <w:tabs>
          <w:tab w:pos="1435" w:val="left" w:leader="none"/>
        </w:tabs>
        <w:spacing w:line="240" w:lineRule="auto" w:before="18" w:after="0"/>
        <w:ind w:left="1434" w:right="0" w:hanging="275"/>
        <w:jc w:val="left"/>
        <w:rPr>
          <w:sz w:val="24"/>
        </w:rPr>
      </w:pPr>
      <w:r>
        <w:rPr>
          <w:sz w:val="18"/>
        </w:rPr>
        <w:t>Unpublished opinion, Index No. Civ. 01-3975 U.S.D.C. D.NJ.,</w:t>
      </w:r>
      <w:r>
        <w:rPr>
          <w:spacing w:val="2"/>
          <w:sz w:val="18"/>
        </w:rPr>
        <w:t> </w:t>
      </w:r>
      <w:r>
        <w:rPr>
          <w:sz w:val="18"/>
        </w:rPr>
        <w:t>2003</w:t>
      </w:r>
      <w:r>
        <w:rPr>
          <w:sz w:val="24"/>
        </w:rPr>
        <w:t>.</w:t>
      </w:r>
    </w:p>
    <w:p>
      <w:pPr>
        <w:pStyle w:val="ListParagraph"/>
        <w:numPr>
          <w:ilvl w:val="0"/>
          <w:numId w:val="16"/>
        </w:numPr>
        <w:tabs>
          <w:tab w:pos="1435" w:val="left" w:leader="none"/>
        </w:tabs>
        <w:spacing w:line="240" w:lineRule="auto" w:before="2" w:after="0"/>
        <w:ind w:left="1434" w:right="0" w:hanging="275"/>
        <w:jc w:val="left"/>
        <w:rPr>
          <w:sz w:val="24"/>
        </w:rPr>
      </w:pPr>
      <w:r>
        <w:rPr>
          <w:sz w:val="18"/>
          <w:u w:val="single"/>
        </w:rPr>
        <w:t>Elberon Bathing Co., Inc. v. Ambassador Ins. Co.</w:t>
      </w:r>
      <w:r>
        <w:rPr>
          <w:sz w:val="18"/>
        </w:rPr>
        <w:t>, 77 N.J. 1, 389 A.2d 439</w:t>
      </w:r>
      <w:r>
        <w:rPr>
          <w:spacing w:val="5"/>
          <w:sz w:val="18"/>
        </w:rPr>
        <w:t> </w:t>
      </w:r>
      <w:r>
        <w:rPr>
          <w:sz w:val="18"/>
        </w:rPr>
        <w:t>(1978)</w:t>
      </w:r>
      <w:r>
        <w:rPr>
          <w:sz w:val="24"/>
        </w:rPr>
        <w:t>.</w:t>
      </w:r>
    </w:p>
    <w:p>
      <w:pPr>
        <w:pStyle w:val="ListParagraph"/>
        <w:numPr>
          <w:ilvl w:val="0"/>
          <w:numId w:val="16"/>
        </w:numPr>
        <w:tabs>
          <w:tab w:pos="1435" w:val="left" w:leader="none"/>
        </w:tabs>
        <w:spacing w:line="240" w:lineRule="auto" w:before="1" w:after="0"/>
        <w:ind w:left="1434" w:right="0" w:hanging="275"/>
        <w:jc w:val="left"/>
        <w:rPr>
          <w:sz w:val="18"/>
        </w:rPr>
      </w:pPr>
      <w:r>
        <w:rPr>
          <w:sz w:val="18"/>
        </w:rPr>
        <w:t>C.V.03855 (N.D. Ill. Feb. 2, 2001), </w:t>
      </w:r>
      <w:r>
        <w:rPr>
          <w:i/>
          <w:sz w:val="18"/>
        </w:rPr>
        <w:t>as amended, </w:t>
      </w:r>
      <w:r>
        <w:rPr>
          <w:sz w:val="18"/>
        </w:rPr>
        <w:t>(Feb. 7, 2001) (Minute</w:t>
      </w:r>
      <w:r>
        <w:rPr>
          <w:spacing w:val="8"/>
          <w:sz w:val="18"/>
        </w:rPr>
        <w:t> </w:t>
      </w:r>
      <w:r>
        <w:rPr>
          <w:sz w:val="18"/>
        </w:rPr>
        <w:t>Order).</w:t>
      </w:r>
    </w:p>
    <w:p>
      <w:pPr>
        <w:spacing w:after="0" w:line="240"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153" w:id="64"/>
      <w:bookmarkEnd w:id="64"/>
      <w:r>
        <w:rPr/>
      </w:r>
      <w:r>
        <w:rPr/>
        <w:t>dispute was over what portion of the loss was caused</w:t>
      </w:r>
      <w:r>
        <w:rPr>
          <w:spacing w:val="-26"/>
        </w:rPr>
        <w:t> </w:t>
      </w:r>
      <w:r>
        <w:rPr/>
        <w:t>by</w:t>
      </w:r>
      <w:r>
        <w:rPr>
          <w:spacing w:val="-26"/>
        </w:rPr>
        <w:t> </w:t>
      </w:r>
      <w:r>
        <w:rPr/>
        <w:t>water</w:t>
      </w:r>
      <w:r>
        <w:rPr>
          <w:spacing w:val="-28"/>
        </w:rPr>
        <w:t> </w:t>
      </w:r>
      <w:r>
        <w:rPr/>
        <w:t>damage</w:t>
      </w:r>
      <w:r>
        <w:rPr>
          <w:spacing w:val="-23"/>
        </w:rPr>
        <w:t> </w:t>
      </w:r>
      <w:r>
        <w:rPr/>
        <w:t>and</w:t>
      </w:r>
      <w:r>
        <w:rPr>
          <w:spacing w:val="-24"/>
        </w:rPr>
        <w:t> </w:t>
      </w:r>
      <w:r>
        <w:rPr/>
        <w:t>what</w:t>
      </w:r>
      <w:r>
        <w:rPr>
          <w:spacing w:val="-24"/>
        </w:rPr>
        <w:t> </w:t>
      </w:r>
      <w:r>
        <w:rPr/>
        <w:t>portion</w:t>
      </w:r>
      <w:r>
        <w:rPr>
          <w:spacing w:val="-23"/>
        </w:rPr>
        <w:t> </w:t>
      </w:r>
      <w:r>
        <w:rPr/>
        <w:t>of the loss, if any, was caused by the insured’s failure to dry out the building, leading to</w:t>
      </w:r>
      <w:r>
        <w:rPr>
          <w:spacing w:val="-23"/>
        </w:rPr>
        <w:t> </w:t>
      </w:r>
      <w:r>
        <w:rPr/>
        <w:t>mold and asbestos problems. </w:t>
      </w:r>
      <w:r>
        <w:rPr>
          <w:spacing w:val="4"/>
        </w:rPr>
        <w:t>In </w:t>
      </w:r>
      <w:r>
        <w:rPr/>
        <w:t>commenting that the</w:t>
      </w:r>
      <w:r>
        <w:rPr>
          <w:spacing w:val="-28"/>
        </w:rPr>
        <w:t> </w:t>
      </w:r>
      <w:r>
        <w:rPr/>
        <w:t>appraisal</w:t>
      </w:r>
      <w:r>
        <w:rPr>
          <w:spacing w:val="-26"/>
        </w:rPr>
        <w:t> </w:t>
      </w:r>
      <w:r>
        <w:rPr/>
        <w:t>provision</w:t>
      </w:r>
      <w:r>
        <w:rPr>
          <w:spacing w:val="-26"/>
        </w:rPr>
        <w:t> </w:t>
      </w:r>
      <w:r>
        <w:rPr/>
        <w:t>is</w:t>
      </w:r>
      <w:r>
        <w:rPr>
          <w:spacing w:val="-28"/>
        </w:rPr>
        <w:t> </w:t>
      </w:r>
      <w:r>
        <w:rPr/>
        <w:t>used</w:t>
      </w:r>
      <w:r>
        <w:rPr>
          <w:spacing w:val="-28"/>
        </w:rPr>
        <w:t> </w:t>
      </w:r>
      <w:r>
        <w:rPr/>
        <w:t>to</w:t>
      </w:r>
      <w:r>
        <w:rPr>
          <w:spacing w:val="-26"/>
        </w:rPr>
        <w:t> </w:t>
      </w:r>
      <w:r>
        <w:rPr/>
        <w:t>determine</w:t>
      </w:r>
      <w:r>
        <w:rPr>
          <w:spacing w:val="-28"/>
        </w:rPr>
        <w:t> </w:t>
      </w:r>
      <w:r>
        <w:rPr/>
        <w:t>the amount of damages, and not coverage, </w:t>
      </w:r>
      <w:r>
        <w:rPr>
          <w:spacing w:val="-3"/>
        </w:rPr>
        <w:t>the </w:t>
      </w:r>
      <w:r>
        <w:rPr/>
        <w:t>court nevertheless found the appraisal provision applicable to this situation. The</w:t>
      </w:r>
      <w:r>
        <w:rPr>
          <w:spacing w:val="-44"/>
        </w:rPr>
        <w:t> </w:t>
      </w:r>
      <w:r>
        <w:rPr/>
        <w:t>court noted that the insurance company could </w:t>
      </w:r>
      <w:r>
        <w:rPr>
          <w:spacing w:val="-4"/>
        </w:rPr>
        <w:t>not </w:t>
      </w:r>
      <w:r>
        <w:rPr/>
        <w:t>direct its appraiser to ignore certain types of damage to the building because it had already decided that it was not liable for the specific</w:t>
      </w:r>
      <w:r>
        <w:rPr>
          <w:spacing w:val="-22"/>
        </w:rPr>
        <w:t> </w:t>
      </w:r>
      <w:r>
        <w:rPr/>
        <w:t>type</w:t>
      </w:r>
      <w:r>
        <w:rPr>
          <w:spacing w:val="-24"/>
        </w:rPr>
        <w:t> </w:t>
      </w:r>
      <w:r>
        <w:rPr/>
        <w:t>of</w:t>
      </w:r>
      <w:r>
        <w:rPr>
          <w:spacing w:val="-22"/>
        </w:rPr>
        <w:t> </w:t>
      </w:r>
      <w:r>
        <w:rPr/>
        <w:t>damage.</w:t>
      </w:r>
      <w:r>
        <w:rPr>
          <w:spacing w:val="26"/>
        </w:rPr>
        <w:t> </w:t>
      </w:r>
      <w:r>
        <w:rPr/>
        <w:t>The</w:t>
      </w:r>
      <w:r>
        <w:rPr>
          <w:spacing w:val="-23"/>
        </w:rPr>
        <w:t> </w:t>
      </w:r>
      <w:r>
        <w:rPr/>
        <w:t>court</w:t>
      </w:r>
      <w:r>
        <w:rPr>
          <w:spacing w:val="-25"/>
        </w:rPr>
        <w:t> </w:t>
      </w:r>
      <w:r>
        <w:rPr/>
        <w:t>went</w:t>
      </w:r>
      <w:r>
        <w:rPr>
          <w:spacing w:val="-24"/>
        </w:rPr>
        <w:t> </w:t>
      </w:r>
      <w:r>
        <w:rPr/>
        <w:t>on</w:t>
      </w:r>
      <w:r>
        <w:rPr>
          <w:spacing w:val="-21"/>
        </w:rPr>
        <w:t> </w:t>
      </w:r>
      <w:r>
        <w:rPr/>
        <w:t>to state:</w:t>
      </w:r>
    </w:p>
    <w:p>
      <w:pPr>
        <w:pStyle w:val="BodyText"/>
        <w:spacing w:before="9"/>
        <w:rPr>
          <w:sz w:val="25"/>
        </w:rPr>
      </w:pPr>
    </w:p>
    <w:p>
      <w:pPr>
        <w:pStyle w:val="BodyText"/>
        <w:spacing w:line="242" w:lineRule="auto"/>
        <w:ind w:left="2240" w:right="2237"/>
        <w:jc w:val="both"/>
      </w:pPr>
      <w:r>
        <w:rPr/>
        <w:t>“[S]uch</w:t>
      </w:r>
      <w:r>
        <w:rPr>
          <w:spacing w:val="-32"/>
        </w:rPr>
        <w:t> </w:t>
      </w:r>
      <w:r>
        <w:rPr/>
        <w:t>behavior</w:t>
      </w:r>
      <w:r>
        <w:rPr>
          <w:spacing w:val="-33"/>
        </w:rPr>
        <w:t> </w:t>
      </w:r>
      <w:r>
        <w:rPr/>
        <w:t>would</w:t>
      </w:r>
      <w:r>
        <w:rPr>
          <w:spacing w:val="-30"/>
        </w:rPr>
        <w:t> </w:t>
      </w:r>
      <w:r>
        <w:rPr/>
        <w:t>also</w:t>
      </w:r>
      <w:r>
        <w:rPr>
          <w:spacing w:val="-32"/>
        </w:rPr>
        <w:t> </w:t>
      </w:r>
      <w:r>
        <w:rPr>
          <w:spacing w:val="-3"/>
        </w:rPr>
        <w:t>render </w:t>
      </w:r>
      <w:r>
        <w:rPr>
          <w:spacing w:val="3"/>
        </w:rPr>
        <w:t>an </w:t>
      </w:r>
      <w:r>
        <w:rPr>
          <w:spacing w:val="6"/>
        </w:rPr>
        <w:t>appraisal </w:t>
      </w:r>
      <w:r>
        <w:rPr>
          <w:spacing w:val="4"/>
        </w:rPr>
        <w:t>(and </w:t>
      </w:r>
      <w:r>
        <w:rPr>
          <w:spacing w:val="5"/>
        </w:rPr>
        <w:t>therefore </w:t>
      </w:r>
      <w:r>
        <w:rPr/>
        <w:t>appraisal</w:t>
      </w:r>
      <w:r>
        <w:rPr>
          <w:spacing w:val="-21"/>
        </w:rPr>
        <w:t> </w:t>
      </w:r>
      <w:r>
        <w:rPr/>
        <w:t>provisions)</w:t>
      </w:r>
      <w:r>
        <w:rPr>
          <w:spacing w:val="-26"/>
        </w:rPr>
        <w:t> </w:t>
      </w:r>
      <w:r>
        <w:rPr/>
        <w:t>largely</w:t>
      </w:r>
      <w:r>
        <w:rPr>
          <w:spacing w:val="-24"/>
        </w:rPr>
        <w:t> </w:t>
      </w:r>
      <w:r>
        <w:rPr/>
        <w:t>useless if a court subsequently decides that liability does exist for the type of damage the insurer excluded from the appraisal</w:t>
      </w:r>
      <w:r>
        <w:rPr>
          <w:spacing w:val="-6"/>
        </w:rPr>
        <w:t> </w:t>
      </w:r>
      <w:r>
        <w:rPr/>
        <w:t>process.”</w:t>
      </w:r>
    </w:p>
    <w:p>
      <w:pPr>
        <w:pStyle w:val="BodyText"/>
      </w:pPr>
    </w:p>
    <w:p>
      <w:pPr>
        <w:pStyle w:val="BodyText"/>
        <w:spacing w:line="242" w:lineRule="auto"/>
        <w:ind w:left="1520" w:right="1518" w:firstLine="720"/>
        <w:jc w:val="both"/>
      </w:pPr>
      <w:r>
        <w:rPr/>
        <w:t>The District Court concluded that an appraiser’s proper duty </w:t>
      </w:r>
      <w:r>
        <w:rPr>
          <w:spacing w:val="2"/>
        </w:rPr>
        <w:t>is </w:t>
      </w:r>
      <w:r>
        <w:rPr/>
        <w:t>to evaluate the amount</w:t>
      </w:r>
      <w:r>
        <w:rPr>
          <w:spacing w:val="-9"/>
        </w:rPr>
        <w:t> </w:t>
      </w:r>
      <w:r>
        <w:rPr/>
        <w:t>of</w:t>
      </w:r>
      <w:r>
        <w:rPr>
          <w:spacing w:val="-7"/>
        </w:rPr>
        <w:t> </w:t>
      </w:r>
      <w:r>
        <w:rPr/>
        <w:t>damage</w:t>
      </w:r>
      <w:r>
        <w:rPr>
          <w:spacing w:val="-10"/>
        </w:rPr>
        <w:t> </w:t>
      </w:r>
      <w:r>
        <w:rPr/>
        <w:t>to</w:t>
      </w:r>
      <w:r>
        <w:rPr>
          <w:spacing w:val="-10"/>
        </w:rPr>
        <w:t> </w:t>
      </w:r>
      <w:r>
        <w:rPr/>
        <w:t>covered</w:t>
      </w:r>
      <w:r>
        <w:rPr>
          <w:spacing w:val="-11"/>
        </w:rPr>
        <w:t> </w:t>
      </w:r>
      <w:r>
        <w:rPr/>
        <w:t>property</w:t>
      </w:r>
      <w:r>
        <w:rPr>
          <w:spacing w:val="-12"/>
        </w:rPr>
        <w:t> </w:t>
      </w:r>
      <w:r>
        <w:rPr/>
        <w:t>after which</w:t>
      </w:r>
      <w:r>
        <w:rPr>
          <w:spacing w:val="-16"/>
        </w:rPr>
        <w:t> </w:t>
      </w:r>
      <w:r>
        <w:rPr/>
        <w:t>the</w:t>
      </w:r>
      <w:r>
        <w:rPr>
          <w:spacing w:val="-17"/>
        </w:rPr>
        <w:t> </w:t>
      </w:r>
      <w:r>
        <w:rPr/>
        <w:t>insurance</w:t>
      </w:r>
      <w:r>
        <w:rPr>
          <w:spacing w:val="-16"/>
        </w:rPr>
        <w:t> </w:t>
      </w:r>
      <w:r>
        <w:rPr/>
        <w:t>company</w:t>
      </w:r>
      <w:r>
        <w:rPr>
          <w:spacing w:val="-17"/>
        </w:rPr>
        <w:t> </w:t>
      </w:r>
      <w:r>
        <w:rPr/>
        <w:t>can</w:t>
      </w:r>
      <w:r>
        <w:rPr>
          <w:spacing w:val="-17"/>
        </w:rPr>
        <w:t> </w:t>
      </w:r>
      <w:r>
        <w:rPr/>
        <w:t>attempt</w:t>
      </w:r>
      <w:r>
        <w:rPr>
          <w:spacing w:val="-18"/>
        </w:rPr>
        <w:t> </w:t>
      </w:r>
      <w:r>
        <w:rPr/>
        <w:t>to apply</w:t>
      </w:r>
      <w:r>
        <w:rPr>
          <w:spacing w:val="-22"/>
        </w:rPr>
        <w:t> </w:t>
      </w:r>
      <w:r>
        <w:rPr/>
        <w:t>any</w:t>
      </w:r>
      <w:r>
        <w:rPr>
          <w:spacing w:val="-23"/>
        </w:rPr>
        <w:t> </w:t>
      </w:r>
      <w:r>
        <w:rPr/>
        <w:t>alleged</w:t>
      </w:r>
      <w:r>
        <w:rPr>
          <w:spacing w:val="-19"/>
        </w:rPr>
        <w:t> </w:t>
      </w:r>
      <w:r>
        <w:rPr/>
        <w:t>mitigating</w:t>
      </w:r>
      <w:r>
        <w:rPr>
          <w:spacing w:val="-18"/>
        </w:rPr>
        <w:t> </w:t>
      </w:r>
      <w:r>
        <w:rPr/>
        <w:t>factors,</w:t>
      </w:r>
      <w:r>
        <w:rPr>
          <w:spacing w:val="-20"/>
        </w:rPr>
        <w:t> </w:t>
      </w:r>
      <w:r>
        <w:rPr/>
        <w:t>leaving</w:t>
      </w:r>
      <w:r>
        <w:rPr>
          <w:spacing w:val="-18"/>
        </w:rPr>
        <w:t> </w:t>
      </w:r>
      <w:r>
        <w:rPr/>
        <w:t>it to the parties to litigate these issues when</w:t>
      </w:r>
      <w:r>
        <w:rPr>
          <w:spacing w:val="-43"/>
        </w:rPr>
        <w:t> </w:t>
      </w:r>
      <w:r>
        <w:rPr/>
        <w:t>and if they arise. </w:t>
      </w:r>
      <w:r>
        <w:rPr>
          <w:spacing w:val="-3"/>
        </w:rPr>
        <w:t>The </w:t>
      </w:r>
      <w:r>
        <w:rPr/>
        <w:t>court</w:t>
      </w:r>
      <w:r>
        <w:rPr>
          <w:spacing w:val="-56"/>
        </w:rPr>
        <w:t> </w:t>
      </w:r>
      <w:r>
        <w:rPr/>
        <w:t>analogized this situation to</w:t>
      </w:r>
      <w:r>
        <w:rPr>
          <w:spacing w:val="-11"/>
        </w:rPr>
        <w:t> </w:t>
      </w:r>
      <w:r>
        <w:rPr/>
        <w:t>a</w:t>
      </w:r>
      <w:r>
        <w:rPr>
          <w:spacing w:val="-12"/>
        </w:rPr>
        <w:t> </w:t>
      </w:r>
      <w:r>
        <w:rPr/>
        <w:t>situation</w:t>
      </w:r>
      <w:r>
        <w:rPr>
          <w:spacing w:val="-12"/>
        </w:rPr>
        <w:t> </w:t>
      </w:r>
      <w:r>
        <w:rPr/>
        <w:t>where</w:t>
      </w:r>
      <w:r>
        <w:rPr>
          <w:spacing w:val="-12"/>
        </w:rPr>
        <w:t> </w:t>
      </w:r>
      <w:r>
        <w:rPr/>
        <w:t>a</w:t>
      </w:r>
      <w:r>
        <w:rPr>
          <w:spacing w:val="-12"/>
        </w:rPr>
        <w:t> </w:t>
      </w:r>
      <w:r>
        <w:rPr/>
        <w:t>building</w:t>
      </w:r>
      <w:r>
        <w:rPr>
          <w:spacing w:val="-12"/>
        </w:rPr>
        <w:t> </w:t>
      </w:r>
      <w:r>
        <w:rPr/>
        <w:t>has</w:t>
      </w:r>
      <w:r>
        <w:rPr>
          <w:spacing w:val="-10"/>
        </w:rPr>
        <w:t> </w:t>
      </w:r>
      <w:r>
        <w:rPr/>
        <w:t>pre-existing</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1520" w:right="1518"/>
        <w:jc w:val="both"/>
      </w:pPr>
      <w:bookmarkStart w:name="Law and Procedure 154" w:id="65"/>
      <w:bookmarkEnd w:id="65"/>
      <w:r>
        <w:rPr/>
      </w:r>
      <w:r>
        <w:rPr/>
        <w:t>damage</w:t>
      </w:r>
      <w:r>
        <w:rPr>
          <w:spacing w:val="-10"/>
        </w:rPr>
        <w:t> </w:t>
      </w:r>
      <w:r>
        <w:rPr/>
        <w:t>and</w:t>
      </w:r>
      <w:r>
        <w:rPr>
          <w:spacing w:val="-9"/>
        </w:rPr>
        <w:t> </w:t>
      </w:r>
      <w:r>
        <w:rPr/>
        <w:t>the</w:t>
      </w:r>
      <w:r>
        <w:rPr>
          <w:spacing w:val="-14"/>
        </w:rPr>
        <w:t> </w:t>
      </w:r>
      <w:r>
        <w:rPr/>
        <w:t>appraiser</w:t>
      </w:r>
      <w:r>
        <w:rPr>
          <w:spacing w:val="-15"/>
        </w:rPr>
        <w:t> </w:t>
      </w:r>
      <w:r>
        <w:rPr/>
        <w:t>cannot</w:t>
      </w:r>
      <w:r>
        <w:rPr>
          <w:spacing w:val="-10"/>
        </w:rPr>
        <w:t> </w:t>
      </w:r>
      <w:r>
        <w:rPr>
          <w:spacing w:val="-3"/>
        </w:rPr>
        <w:t>determine </w:t>
      </w:r>
      <w:r>
        <w:rPr/>
        <w:t>the amount of loss without evaluating what damage was caused by the covered event and</w:t>
      </w:r>
      <w:r>
        <w:rPr>
          <w:spacing w:val="-11"/>
        </w:rPr>
        <w:t> </w:t>
      </w:r>
      <w:r>
        <w:rPr/>
        <w:t>which</w:t>
      </w:r>
      <w:r>
        <w:rPr>
          <w:spacing w:val="-9"/>
        </w:rPr>
        <w:t> </w:t>
      </w:r>
      <w:r>
        <w:rPr/>
        <w:t>damage</w:t>
      </w:r>
      <w:r>
        <w:rPr>
          <w:spacing w:val="-9"/>
        </w:rPr>
        <w:t> </w:t>
      </w:r>
      <w:r>
        <w:rPr/>
        <w:t>was</w:t>
      </w:r>
      <w:r>
        <w:rPr>
          <w:spacing w:val="-10"/>
        </w:rPr>
        <w:t> </w:t>
      </w:r>
      <w:r>
        <w:rPr/>
        <w:t>caused,</w:t>
      </w:r>
      <w:r>
        <w:rPr>
          <w:spacing w:val="-12"/>
        </w:rPr>
        <w:t> </w:t>
      </w:r>
      <w:r>
        <w:rPr/>
        <w:t>for</w:t>
      </w:r>
      <w:r>
        <w:rPr>
          <w:spacing w:val="-11"/>
        </w:rPr>
        <w:t> </w:t>
      </w:r>
      <w:r>
        <w:rPr/>
        <w:t>instance, by previous wear and tear. The court</w:t>
      </w:r>
      <w:r>
        <w:rPr>
          <w:spacing w:val="-27"/>
        </w:rPr>
        <w:t> </w:t>
      </w:r>
      <w:r>
        <w:rPr/>
        <w:t>required the</w:t>
      </w:r>
      <w:r>
        <w:rPr>
          <w:spacing w:val="-29"/>
        </w:rPr>
        <w:t> </w:t>
      </w:r>
      <w:r>
        <w:rPr/>
        <w:t>appraisers</w:t>
      </w:r>
      <w:r>
        <w:rPr>
          <w:spacing w:val="-27"/>
        </w:rPr>
        <w:t> </w:t>
      </w:r>
      <w:r>
        <w:rPr/>
        <w:t>to</w:t>
      </w:r>
      <w:r>
        <w:rPr>
          <w:spacing w:val="-27"/>
        </w:rPr>
        <w:t> </w:t>
      </w:r>
      <w:r>
        <w:rPr/>
        <w:t>evaluate</w:t>
      </w:r>
      <w:r>
        <w:rPr>
          <w:spacing w:val="-30"/>
        </w:rPr>
        <w:t> </w:t>
      </w:r>
      <w:r>
        <w:rPr/>
        <w:t>not</w:t>
      </w:r>
      <w:r>
        <w:rPr>
          <w:spacing w:val="-30"/>
        </w:rPr>
        <w:t> </w:t>
      </w:r>
      <w:r>
        <w:rPr/>
        <w:t>only</w:t>
      </w:r>
      <w:r>
        <w:rPr>
          <w:spacing w:val="-30"/>
        </w:rPr>
        <w:t> </w:t>
      </w:r>
      <w:r>
        <w:rPr/>
        <w:t>the</w:t>
      </w:r>
      <w:r>
        <w:rPr>
          <w:spacing w:val="-29"/>
        </w:rPr>
        <w:t> </w:t>
      </w:r>
      <w:r>
        <w:rPr/>
        <w:t>amount of damage to the building, but also </w:t>
      </w:r>
      <w:r>
        <w:rPr>
          <w:spacing w:val="-8"/>
        </w:rPr>
        <w:t>to </w:t>
      </w:r>
      <w:r>
        <w:rPr/>
        <w:t>determine</w:t>
      </w:r>
      <w:r>
        <w:rPr>
          <w:spacing w:val="-19"/>
        </w:rPr>
        <w:t> </w:t>
      </w:r>
      <w:r>
        <w:rPr/>
        <w:t>the</w:t>
      </w:r>
      <w:r>
        <w:rPr>
          <w:spacing w:val="-21"/>
        </w:rPr>
        <w:t> </w:t>
      </w:r>
      <w:r>
        <w:rPr/>
        <w:t>amount</w:t>
      </w:r>
      <w:r>
        <w:rPr>
          <w:spacing w:val="-19"/>
        </w:rPr>
        <w:t> </w:t>
      </w:r>
      <w:r>
        <w:rPr/>
        <w:t>of</w:t>
      </w:r>
      <w:r>
        <w:rPr>
          <w:spacing w:val="-18"/>
        </w:rPr>
        <w:t> </w:t>
      </w:r>
      <w:r>
        <w:rPr/>
        <w:t>loss</w:t>
      </w:r>
      <w:r>
        <w:rPr>
          <w:spacing w:val="-15"/>
        </w:rPr>
        <w:t> </w:t>
      </w:r>
      <w:r>
        <w:rPr/>
        <w:t>caused</w:t>
      </w:r>
      <w:r>
        <w:rPr>
          <w:spacing w:val="-15"/>
        </w:rPr>
        <w:t> </w:t>
      </w:r>
      <w:r>
        <w:rPr/>
        <w:t>by</w:t>
      </w:r>
      <w:r>
        <w:rPr>
          <w:spacing w:val="-21"/>
        </w:rPr>
        <w:t> </w:t>
      </w:r>
      <w:r>
        <w:rPr>
          <w:spacing w:val="-5"/>
        </w:rPr>
        <w:t>water </w:t>
      </w:r>
      <w:r>
        <w:rPr/>
        <w:t>damage, asbestos, mold and fungi. This will avoid</w:t>
      </w:r>
      <w:r>
        <w:rPr>
          <w:spacing w:val="-17"/>
        </w:rPr>
        <w:t> </w:t>
      </w:r>
      <w:r>
        <w:rPr/>
        <w:t>the</w:t>
      </w:r>
      <w:r>
        <w:rPr>
          <w:spacing w:val="-16"/>
        </w:rPr>
        <w:t> </w:t>
      </w:r>
      <w:r>
        <w:rPr/>
        <w:t>necessity</w:t>
      </w:r>
      <w:r>
        <w:rPr>
          <w:spacing w:val="-17"/>
        </w:rPr>
        <w:t> </w:t>
      </w:r>
      <w:r>
        <w:rPr/>
        <w:t>of</w:t>
      </w:r>
      <w:r>
        <w:rPr>
          <w:spacing w:val="-14"/>
        </w:rPr>
        <w:t> </w:t>
      </w:r>
      <w:r>
        <w:rPr/>
        <w:t>litigating</w:t>
      </w:r>
      <w:r>
        <w:rPr>
          <w:spacing w:val="-16"/>
        </w:rPr>
        <w:t> </w:t>
      </w:r>
      <w:r>
        <w:rPr/>
        <w:t>these</w:t>
      </w:r>
      <w:r>
        <w:rPr>
          <w:spacing w:val="-17"/>
        </w:rPr>
        <w:t> </w:t>
      </w:r>
      <w:r>
        <w:rPr/>
        <w:t>damage issues should the court subsequently decide that coverage existed for some of these categories.</w:t>
      </w:r>
    </w:p>
    <w:p>
      <w:pPr>
        <w:pStyle w:val="BodyText"/>
        <w:spacing w:before="6"/>
        <w:rPr>
          <w:sz w:val="22"/>
        </w:rPr>
      </w:pPr>
    </w:p>
    <w:p>
      <w:pPr>
        <w:pStyle w:val="BodyText"/>
        <w:spacing w:line="242" w:lineRule="auto" w:before="41"/>
        <w:ind w:left="1520" w:right="1516" w:firstLine="720"/>
        <w:jc w:val="both"/>
      </w:pPr>
      <w:r>
        <w:rPr/>
        <w:t>A</w:t>
      </w:r>
      <w:r>
        <w:rPr>
          <w:spacing w:val="-4"/>
        </w:rPr>
        <w:t> </w:t>
      </w:r>
      <w:r>
        <w:rPr/>
        <w:t>similar</w:t>
      </w:r>
      <w:r>
        <w:rPr>
          <w:spacing w:val="-7"/>
        </w:rPr>
        <w:t> </w:t>
      </w:r>
      <w:r>
        <w:rPr/>
        <w:t>result</w:t>
      </w:r>
      <w:r>
        <w:rPr>
          <w:spacing w:val="-9"/>
        </w:rPr>
        <w:t> </w:t>
      </w:r>
      <w:r>
        <w:rPr/>
        <w:t>was</w:t>
      </w:r>
      <w:r>
        <w:rPr>
          <w:spacing w:val="-7"/>
        </w:rPr>
        <w:t> </w:t>
      </w:r>
      <w:r>
        <w:rPr/>
        <w:t>seen</w:t>
      </w:r>
      <w:r>
        <w:rPr>
          <w:spacing w:val="-9"/>
        </w:rPr>
        <w:t> </w:t>
      </w:r>
      <w:r>
        <w:rPr/>
        <w:t>in</w:t>
      </w:r>
      <w:r>
        <w:rPr>
          <w:spacing w:val="-9"/>
        </w:rPr>
        <w:t> </w:t>
      </w:r>
      <w:r>
        <w:rPr>
          <w:u w:val="single"/>
        </w:rPr>
        <w:t>Cigna</w:t>
      </w:r>
      <w:r>
        <w:rPr>
          <w:spacing w:val="-7"/>
          <w:u w:val="single"/>
        </w:rPr>
        <w:t> </w:t>
      </w:r>
      <w:r>
        <w:rPr>
          <w:u w:val="single"/>
        </w:rPr>
        <w:t>Ins.</w:t>
      </w:r>
      <w:r>
        <w:rPr>
          <w:spacing w:val="-9"/>
          <w:u w:val="single"/>
        </w:rPr>
        <w:t> </w:t>
      </w:r>
      <w:r>
        <w:rPr>
          <w:u w:val="single"/>
        </w:rPr>
        <w:t>Co.</w:t>
      </w:r>
      <w:r>
        <w:rPr/>
        <w:t> </w:t>
      </w:r>
      <w:r>
        <w:rPr>
          <w:u w:val="single"/>
        </w:rPr>
        <w:t>v. Didimoi Prop. Holdings, N.V.</w:t>
      </w:r>
      <w:r>
        <w:rPr>
          <w:vertAlign w:val="superscript"/>
        </w:rPr>
        <w:t>213</w:t>
      </w:r>
      <w:r>
        <w:rPr>
          <w:vertAlign w:val="baseline"/>
        </w:rPr>
        <w:t> where </w:t>
      </w:r>
      <w:r>
        <w:rPr>
          <w:spacing w:val="-12"/>
          <w:vertAlign w:val="baseline"/>
        </w:rPr>
        <w:t>the </w:t>
      </w:r>
      <w:r>
        <w:rPr>
          <w:vertAlign w:val="baseline"/>
        </w:rPr>
        <w:t>court determined that the appraisers </w:t>
      </w:r>
      <w:r>
        <w:rPr>
          <w:spacing w:val="-3"/>
          <w:vertAlign w:val="baseline"/>
        </w:rPr>
        <w:t>were </w:t>
      </w:r>
      <w:r>
        <w:rPr>
          <w:vertAlign w:val="baseline"/>
        </w:rPr>
        <w:t>authorized</w:t>
      </w:r>
      <w:r>
        <w:rPr>
          <w:spacing w:val="-20"/>
          <w:vertAlign w:val="baseline"/>
        </w:rPr>
        <w:t> </w:t>
      </w:r>
      <w:r>
        <w:rPr>
          <w:vertAlign w:val="baseline"/>
        </w:rPr>
        <w:t>to</w:t>
      </w:r>
      <w:r>
        <w:rPr>
          <w:spacing w:val="-20"/>
          <w:vertAlign w:val="baseline"/>
        </w:rPr>
        <w:t> </w:t>
      </w:r>
      <w:r>
        <w:rPr>
          <w:vertAlign w:val="baseline"/>
        </w:rPr>
        <w:t>determine</w:t>
      </w:r>
      <w:r>
        <w:rPr>
          <w:spacing w:val="-24"/>
          <w:vertAlign w:val="baseline"/>
        </w:rPr>
        <w:t> </w:t>
      </w:r>
      <w:r>
        <w:rPr>
          <w:vertAlign w:val="baseline"/>
        </w:rPr>
        <w:t>the</w:t>
      </w:r>
      <w:r>
        <w:rPr>
          <w:spacing w:val="-19"/>
          <w:vertAlign w:val="baseline"/>
        </w:rPr>
        <w:t> </w:t>
      </w:r>
      <w:r>
        <w:rPr>
          <w:vertAlign w:val="baseline"/>
        </w:rPr>
        <w:t>amount</w:t>
      </w:r>
      <w:r>
        <w:rPr>
          <w:spacing w:val="-20"/>
          <w:vertAlign w:val="baseline"/>
        </w:rPr>
        <w:t> </w:t>
      </w:r>
      <w:r>
        <w:rPr>
          <w:vertAlign w:val="baseline"/>
        </w:rPr>
        <w:t>of</w:t>
      </w:r>
      <w:r>
        <w:rPr>
          <w:spacing w:val="-19"/>
          <w:vertAlign w:val="baseline"/>
        </w:rPr>
        <w:t> </w:t>
      </w:r>
      <w:r>
        <w:rPr>
          <w:spacing w:val="-3"/>
          <w:vertAlign w:val="baseline"/>
        </w:rPr>
        <w:t>money </w:t>
      </w:r>
      <w:r>
        <w:rPr>
          <w:vertAlign w:val="baseline"/>
        </w:rPr>
        <w:t>necessary</w:t>
      </w:r>
      <w:r>
        <w:rPr>
          <w:spacing w:val="-10"/>
          <w:vertAlign w:val="baseline"/>
        </w:rPr>
        <w:t> </w:t>
      </w:r>
      <w:r>
        <w:rPr>
          <w:vertAlign w:val="baseline"/>
        </w:rPr>
        <w:t>to</w:t>
      </w:r>
      <w:r>
        <w:rPr>
          <w:spacing w:val="-8"/>
          <w:vertAlign w:val="baseline"/>
        </w:rPr>
        <w:t> </w:t>
      </w:r>
      <w:r>
        <w:rPr>
          <w:vertAlign w:val="baseline"/>
        </w:rPr>
        <w:t>repair</w:t>
      </w:r>
      <w:r>
        <w:rPr>
          <w:spacing w:val="-9"/>
          <w:vertAlign w:val="baseline"/>
        </w:rPr>
        <w:t> </w:t>
      </w:r>
      <w:r>
        <w:rPr>
          <w:vertAlign w:val="baseline"/>
        </w:rPr>
        <w:t>or</w:t>
      </w:r>
      <w:r>
        <w:rPr>
          <w:spacing w:val="-9"/>
          <w:vertAlign w:val="baseline"/>
        </w:rPr>
        <w:t> </w:t>
      </w:r>
      <w:r>
        <w:rPr>
          <w:vertAlign w:val="baseline"/>
        </w:rPr>
        <w:t>replace</w:t>
      </w:r>
      <w:r>
        <w:rPr>
          <w:spacing w:val="-7"/>
          <w:vertAlign w:val="baseline"/>
        </w:rPr>
        <w:t> </w:t>
      </w:r>
      <w:r>
        <w:rPr>
          <w:vertAlign w:val="baseline"/>
        </w:rPr>
        <w:t>the</w:t>
      </w:r>
      <w:r>
        <w:rPr>
          <w:spacing w:val="-8"/>
          <w:vertAlign w:val="baseline"/>
        </w:rPr>
        <w:t> </w:t>
      </w:r>
      <w:r>
        <w:rPr>
          <w:vertAlign w:val="baseline"/>
        </w:rPr>
        <w:t>damage</w:t>
      </w:r>
      <w:r>
        <w:rPr>
          <w:spacing w:val="-8"/>
          <w:vertAlign w:val="baseline"/>
        </w:rPr>
        <w:t> </w:t>
      </w:r>
      <w:r>
        <w:rPr>
          <w:vertAlign w:val="baseline"/>
        </w:rPr>
        <w:t>as well</w:t>
      </w:r>
      <w:r>
        <w:rPr>
          <w:spacing w:val="-29"/>
          <w:vertAlign w:val="baseline"/>
        </w:rPr>
        <w:t> </w:t>
      </w:r>
      <w:r>
        <w:rPr>
          <w:vertAlign w:val="baseline"/>
        </w:rPr>
        <w:t>as</w:t>
      </w:r>
      <w:r>
        <w:rPr>
          <w:spacing w:val="-30"/>
          <w:vertAlign w:val="baseline"/>
        </w:rPr>
        <w:t> </w:t>
      </w:r>
      <w:r>
        <w:rPr>
          <w:vertAlign w:val="baseline"/>
        </w:rPr>
        <w:t>the</w:t>
      </w:r>
      <w:r>
        <w:rPr>
          <w:spacing w:val="-29"/>
          <w:vertAlign w:val="baseline"/>
        </w:rPr>
        <w:t> </w:t>
      </w:r>
      <w:r>
        <w:rPr>
          <w:vertAlign w:val="baseline"/>
        </w:rPr>
        <w:t>amount</w:t>
      </w:r>
      <w:r>
        <w:rPr>
          <w:spacing w:val="-27"/>
          <w:vertAlign w:val="baseline"/>
        </w:rPr>
        <w:t> </w:t>
      </w:r>
      <w:r>
        <w:rPr>
          <w:vertAlign w:val="baseline"/>
        </w:rPr>
        <w:t>of</w:t>
      </w:r>
      <w:r>
        <w:rPr>
          <w:spacing w:val="-28"/>
          <w:vertAlign w:val="baseline"/>
        </w:rPr>
        <w:t> </w:t>
      </w:r>
      <w:r>
        <w:rPr>
          <w:vertAlign w:val="baseline"/>
        </w:rPr>
        <w:t>“covered”</w:t>
      </w:r>
      <w:r>
        <w:rPr>
          <w:spacing w:val="-29"/>
          <w:vertAlign w:val="baseline"/>
        </w:rPr>
        <w:t> </w:t>
      </w:r>
      <w:r>
        <w:rPr>
          <w:vertAlign w:val="baseline"/>
        </w:rPr>
        <w:t>loss.</w:t>
      </w:r>
      <w:r>
        <w:rPr>
          <w:spacing w:val="14"/>
          <w:vertAlign w:val="baseline"/>
        </w:rPr>
        <w:t> </w:t>
      </w:r>
      <w:r>
        <w:rPr>
          <w:vertAlign w:val="baseline"/>
        </w:rPr>
        <w:t>The</w:t>
      </w:r>
      <w:r>
        <w:rPr>
          <w:spacing w:val="-29"/>
          <w:vertAlign w:val="baseline"/>
        </w:rPr>
        <w:t> </w:t>
      </w:r>
      <w:r>
        <w:rPr>
          <w:vertAlign w:val="baseline"/>
        </w:rPr>
        <w:t>court stated: “[A]n appraiser’s assessment of the ‘amount of loss’ necessarily includes the determination of the cause of the loss as well as the amount it would cost to repair that which was</w:t>
      </w:r>
      <w:r>
        <w:rPr>
          <w:spacing w:val="-3"/>
          <w:vertAlign w:val="baseline"/>
        </w:rPr>
        <w:t> </w:t>
      </w:r>
      <w:r>
        <w:rPr>
          <w:vertAlign w:val="baseline"/>
        </w:rPr>
        <w:t>lost.”</w:t>
      </w:r>
      <w:r>
        <w:rPr>
          <w:vertAlign w:val="superscript"/>
        </w:rPr>
        <w:t>214</w:t>
      </w:r>
    </w:p>
    <w:p>
      <w:pPr>
        <w:pStyle w:val="BodyText"/>
        <w:spacing w:before="11"/>
        <w:rPr>
          <w:sz w:val="25"/>
        </w:rPr>
      </w:pPr>
    </w:p>
    <w:p>
      <w:pPr>
        <w:pStyle w:val="BodyText"/>
        <w:spacing w:line="242" w:lineRule="auto"/>
        <w:ind w:left="1520" w:right="1519" w:firstLine="720"/>
        <w:jc w:val="both"/>
      </w:pPr>
      <w:r>
        <w:rPr>
          <w:spacing w:val="3"/>
        </w:rPr>
        <w:t>In</w:t>
      </w:r>
      <w:r>
        <w:rPr>
          <w:spacing w:val="-10"/>
        </w:rPr>
        <w:t> </w:t>
      </w:r>
      <w:r>
        <w:rPr/>
        <w:t>order</w:t>
      </w:r>
      <w:r>
        <w:rPr>
          <w:spacing w:val="-9"/>
        </w:rPr>
        <w:t> </w:t>
      </w:r>
      <w:r>
        <w:rPr/>
        <w:t>to</w:t>
      </w:r>
      <w:r>
        <w:rPr>
          <w:spacing w:val="-7"/>
        </w:rPr>
        <w:t> </w:t>
      </w:r>
      <w:r>
        <w:rPr/>
        <w:t>maintain</w:t>
      </w:r>
      <w:r>
        <w:rPr>
          <w:spacing w:val="-7"/>
        </w:rPr>
        <w:t> </w:t>
      </w:r>
      <w:r>
        <w:rPr/>
        <w:t>the</w:t>
      </w:r>
      <w:r>
        <w:rPr>
          <w:spacing w:val="-11"/>
        </w:rPr>
        <w:t> </w:t>
      </w:r>
      <w:r>
        <w:rPr/>
        <w:t>efficiency</w:t>
      </w:r>
      <w:r>
        <w:rPr>
          <w:spacing w:val="-11"/>
        </w:rPr>
        <w:t> </w:t>
      </w:r>
      <w:r>
        <w:rPr/>
        <w:t>of</w:t>
      </w:r>
      <w:r>
        <w:rPr>
          <w:spacing w:val="-9"/>
        </w:rPr>
        <w:t> </w:t>
      </w:r>
      <w:r>
        <w:rPr/>
        <w:t>the process</w:t>
      </w:r>
      <w:r>
        <w:rPr>
          <w:spacing w:val="-24"/>
        </w:rPr>
        <w:t> </w:t>
      </w:r>
      <w:r>
        <w:rPr/>
        <w:t>as</w:t>
      </w:r>
      <w:r>
        <w:rPr>
          <w:spacing w:val="-23"/>
        </w:rPr>
        <w:t> </w:t>
      </w:r>
      <w:r>
        <w:rPr/>
        <w:t>intended</w:t>
      </w:r>
      <w:r>
        <w:rPr>
          <w:spacing w:val="-26"/>
        </w:rPr>
        <w:t> </w:t>
      </w:r>
      <w:r>
        <w:rPr/>
        <w:t>by</w:t>
      </w:r>
      <w:r>
        <w:rPr>
          <w:spacing w:val="-28"/>
        </w:rPr>
        <w:t> </w:t>
      </w:r>
      <w:r>
        <w:rPr/>
        <w:t>the</w:t>
      </w:r>
      <w:r>
        <w:rPr>
          <w:spacing w:val="-27"/>
        </w:rPr>
        <w:t> </w:t>
      </w:r>
      <w:r>
        <w:rPr/>
        <w:t>policy</w:t>
      </w:r>
      <w:r>
        <w:rPr>
          <w:spacing w:val="-30"/>
        </w:rPr>
        <w:t> </w:t>
      </w:r>
      <w:r>
        <w:rPr/>
        <w:t>and</w:t>
      </w:r>
      <w:r>
        <w:rPr>
          <w:spacing w:val="-26"/>
        </w:rPr>
        <w:t> </w:t>
      </w:r>
      <w:r>
        <w:rPr/>
        <w:t>to</w:t>
      </w:r>
      <w:r>
        <w:rPr>
          <w:spacing w:val="-26"/>
        </w:rPr>
        <w:t> </w:t>
      </w:r>
      <w:r>
        <w:rPr/>
        <w:t>avoid the necessity of litigating these issues, the parties may wish to consider clarifying</w:t>
      </w:r>
      <w:r>
        <w:rPr>
          <w:spacing w:val="70"/>
        </w:rPr>
        <w:t> </w:t>
      </w:r>
      <w:r>
        <w:rPr/>
        <w:t>the</w:t>
      </w:r>
    </w:p>
    <w:p>
      <w:pPr>
        <w:pStyle w:val="BodyText"/>
        <w:rPr>
          <w:sz w:val="16"/>
        </w:rPr>
      </w:pPr>
      <w:r>
        <w:rPr/>
        <w:pict>
          <v:shape style="position:absolute;margin-left:162pt;margin-top:12.250361pt;width:143.9pt;height:.1pt;mso-position-horizontal-relative:page;mso-position-vertical-relative:paragraph;z-index:-251574272;mso-wrap-distance-left:0;mso-wrap-distance-right:0" coordorigin="3240,245" coordsize="2878,0" path="m3240,245l6118,245e" filled="false" stroked="true" strokeweight=".84pt" strokecolor="#000000">
            <v:path arrowok="t"/>
            <v:stroke dashstyle="solid"/>
            <w10:wrap type="topAndBottom"/>
          </v:shape>
        </w:pict>
      </w:r>
    </w:p>
    <w:p>
      <w:pPr>
        <w:spacing w:line="245" w:lineRule="exact" w:before="140"/>
        <w:ind w:left="1160" w:right="0" w:firstLine="0"/>
        <w:jc w:val="left"/>
        <w:rPr>
          <w:rFonts w:ascii="Times New Roman"/>
          <w:sz w:val="18"/>
        </w:rPr>
      </w:pPr>
      <w:r>
        <w:rPr>
          <w:rFonts w:ascii="Times New Roman"/>
          <w:position w:val="10"/>
          <w:sz w:val="14"/>
        </w:rPr>
        <w:t>213 </w:t>
      </w:r>
      <w:r>
        <w:rPr>
          <w:rFonts w:ascii="Times New Roman"/>
          <w:sz w:val="18"/>
        </w:rPr>
        <w:t>110 F. Supp.2d 259, 265-69 (D. Del. 2000).</w:t>
      </w:r>
    </w:p>
    <w:p>
      <w:pPr>
        <w:spacing w:line="235" w:lineRule="exact" w:before="0"/>
        <w:ind w:left="1160" w:right="0" w:firstLine="0"/>
        <w:jc w:val="left"/>
        <w:rPr>
          <w:rFonts w:ascii="Times New Roman"/>
          <w:sz w:val="18"/>
        </w:rPr>
      </w:pPr>
      <w:r>
        <w:rPr>
          <w:rFonts w:ascii="Times New Roman"/>
          <w:position w:val="9"/>
          <w:sz w:val="14"/>
        </w:rPr>
        <w:t>214 </w:t>
      </w:r>
      <w:r>
        <w:rPr>
          <w:rFonts w:ascii="Times New Roman"/>
          <w:sz w:val="18"/>
          <w:u w:val="single"/>
        </w:rPr>
        <w:t>Id</w:t>
      </w:r>
      <w:r>
        <w:rPr>
          <w:rFonts w:ascii="Times New Roman"/>
          <w:sz w:val="18"/>
        </w:rPr>
        <w:t>. at 264.</w:t>
      </w:r>
    </w:p>
    <w:p>
      <w:pPr>
        <w:spacing w:after="0" w:line="235" w:lineRule="exact"/>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155" w:id="66"/>
      <w:bookmarkEnd w:id="66"/>
      <w:r>
        <w:rPr/>
      </w:r>
      <w:r>
        <w:rPr/>
        <w:t>powers of the umpire and appraisers by a written agreement signed by the parties authorizing the appraisal team to make such determinations.</w:t>
      </w:r>
      <w:r>
        <w:rPr>
          <w:vertAlign w:val="superscript"/>
        </w:rPr>
        <w:t>215</w:t>
      </w:r>
      <w:r>
        <w:rPr>
          <w:spacing w:val="60"/>
          <w:vertAlign w:val="baseline"/>
        </w:rPr>
        <w:t> </w:t>
      </w:r>
      <w:r>
        <w:rPr>
          <w:vertAlign w:val="baseline"/>
        </w:rPr>
        <w:t>This</w:t>
      </w:r>
      <w:r>
        <w:rPr>
          <w:spacing w:val="-29"/>
          <w:vertAlign w:val="baseline"/>
        </w:rPr>
        <w:t> </w:t>
      </w:r>
      <w:r>
        <w:rPr>
          <w:vertAlign w:val="baseline"/>
        </w:rPr>
        <w:t>grant</w:t>
      </w:r>
      <w:r>
        <w:rPr>
          <w:spacing w:val="-31"/>
          <w:vertAlign w:val="baseline"/>
        </w:rPr>
        <w:t> </w:t>
      </w:r>
      <w:r>
        <w:rPr>
          <w:vertAlign w:val="baseline"/>
        </w:rPr>
        <w:t>of</w:t>
      </w:r>
      <w:r>
        <w:rPr>
          <w:spacing w:val="-28"/>
          <w:vertAlign w:val="baseline"/>
        </w:rPr>
        <w:t> </w:t>
      </w:r>
      <w:r>
        <w:rPr>
          <w:vertAlign w:val="baseline"/>
        </w:rPr>
        <w:t>authority</w:t>
      </w:r>
      <w:r>
        <w:rPr>
          <w:spacing w:val="-31"/>
          <w:vertAlign w:val="baseline"/>
        </w:rPr>
        <w:t> </w:t>
      </w:r>
      <w:r>
        <w:rPr>
          <w:vertAlign w:val="baseline"/>
        </w:rPr>
        <w:t>by</w:t>
      </w:r>
      <w:r>
        <w:rPr>
          <w:spacing w:val="-31"/>
          <w:vertAlign w:val="baseline"/>
        </w:rPr>
        <w:t> </w:t>
      </w:r>
      <w:r>
        <w:rPr>
          <w:spacing w:val="-10"/>
          <w:vertAlign w:val="baseline"/>
        </w:rPr>
        <w:t>the </w:t>
      </w:r>
      <w:r>
        <w:rPr>
          <w:vertAlign w:val="baseline"/>
        </w:rPr>
        <w:t>parties to the umpire may be beyond the scope of an insurance appraisal. </w:t>
      </w:r>
      <w:r>
        <w:rPr>
          <w:spacing w:val="3"/>
          <w:vertAlign w:val="baseline"/>
        </w:rPr>
        <w:t>If </w:t>
      </w:r>
      <w:r>
        <w:rPr>
          <w:vertAlign w:val="baseline"/>
        </w:rPr>
        <w:t>the parties should</w:t>
      </w:r>
      <w:r>
        <w:rPr>
          <w:spacing w:val="-27"/>
          <w:vertAlign w:val="baseline"/>
        </w:rPr>
        <w:t> </w:t>
      </w:r>
      <w:r>
        <w:rPr>
          <w:vertAlign w:val="baseline"/>
        </w:rPr>
        <w:t>agree</w:t>
      </w:r>
      <w:r>
        <w:rPr>
          <w:spacing w:val="-30"/>
          <w:vertAlign w:val="baseline"/>
        </w:rPr>
        <w:t> </w:t>
      </w:r>
      <w:r>
        <w:rPr>
          <w:vertAlign w:val="baseline"/>
        </w:rPr>
        <w:t>to</w:t>
      </w:r>
      <w:r>
        <w:rPr>
          <w:spacing w:val="-28"/>
          <w:vertAlign w:val="baseline"/>
        </w:rPr>
        <w:t> </w:t>
      </w:r>
      <w:r>
        <w:rPr>
          <w:vertAlign w:val="baseline"/>
        </w:rPr>
        <w:t>make</w:t>
      </w:r>
      <w:r>
        <w:rPr>
          <w:spacing w:val="-31"/>
          <w:vertAlign w:val="baseline"/>
        </w:rPr>
        <w:t> </w:t>
      </w:r>
      <w:r>
        <w:rPr>
          <w:vertAlign w:val="baseline"/>
        </w:rPr>
        <w:t>such</w:t>
      </w:r>
      <w:r>
        <w:rPr>
          <w:spacing w:val="-27"/>
          <w:vertAlign w:val="baseline"/>
        </w:rPr>
        <w:t> </w:t>
      </w:r>
      <w:r>
        <w:rPr>
          <w:vertAlign w:val="baseline"/>
        </w:rPr>
        <w:t>an</w:t>
      </w:r>
      <w:r>
        <w:rPr>
          <w:spacing w:val="-30"/>
          <w:vertAlign w:val="baseline"/>
        </w:rPr>
        <w:t> </w:t>
      </w:r>
      <w:r>
        <w:rPr>
          <w:vertAlign w:val="baseline"/>
        </w:rPr>
        <w:t>additional</w:t>
      </w:r>
      <w:r>
        <w:rPr>
          <w:spacing w:val="-28"/>
          <w:vertAlign w:val="baseline"/>
        </w:rPr>
        <w:t> </w:t>
      </w:r>
      <w:r>
        <w:rPr>
          <w:vertAlign w:val="baseline"/>
        </w:rPr>
        <w:t>grant of authority, the matter becomes, </w:t>
      </w:r>
      <w:r>
        <w:rPr>
          <w:spacing w:val="2"/>
          <w:vertAlign w:val="baseline"/>
        </w:rPr>
        <w:t>in </w:t>
      </w:r>
      <w:r>
        <w:rPr>
          <w:vertAlign w:val="baseline"/>
        </w:rPr>
        <w:t>essence, an</w:t>
      </w:r>
      <w:r>
        <w:rPr>
          <w:spacing w:val="-2"/>
          <w:vertAlign w:val="baseline"/>
        </w:rPr>
        <w:t> </w:t>
      </w:r>
      <w:r>
        <w:rPr>
          <w:vertAlign w:val="baseline"/>
        </w:rPr>
        <w:t>arbitration.</w:t>
      </w:r>
    </w:p>
    <w:p>
      <w:pPr>
        <w:pStyle w:val="BodyText"/>
        <w:spacing w:before="11"/>
        <w:rPr>
          <w:sz w:val="25"/>
        </w:rPr>
      </w:pPr>
    </w:p>
    <w:p>
      <w:pPr>
        <w:pStyle w:val="BodyText"/>
        <w:spacing w:line="242" w:lineRule="auto"/>
        <w:ind w:left="1520" w:right="1519" w:firstLine="720"/>
        <w:jc w:val="both"/>
      </w:pPr>
      <w:r>
        <w:rPr>
          <w:spacing w:val="3"/>
        </w:rPr>
        <w:t>If </w:t>
      </w:r>
      <w:r>
        <w:rPr/>
        <w:t>the parties are unable to agree on whether to resolve these issues through appraisal, disputes of this nature may </w:t>
      </w:r>
      <w:r>
        <w:rPr>
          <w:spacing w:val="-6"/>
        </w:rPr>
        <w:t>be </w:t>
      </w:r>
      <w:r>
        <w:rPr/>
        <w:t>determined by a court of</w:t>
      </w:r>
      <w:r>
        <w:rPr>
          <w:spacing w:val="55"/>
        </w:rPr>
        <w:t> </w:t>
      </w:r>
      <w:r>
        <w:rPr/>
        <w:t>competent jurisdiction on a motion for declaratory or summary judgment, sometimes avoiding the necessity of expensive and time consuming discovery and a trial.</w:t>
      </w:r>
    </w:p>
    <w:p>
      <w:pPr>
        <w:pStyle w:val="BodyText"/>
      </w:pPr>
    </w:p>
    <w:p>
      <w:pPr>
        <w:pStyle w:val="BodyText"/>
        <w:spacing w:line="242" w:lineRule="auto"/>
        <w:ind w:left="1520" w:right="1518" w:firstLine="720"/>
        <w:jc w:val="both"/>
      </w:pPr>
      <w:r>
        <w:rPr/>
        <w:t>The difficulty is that in many claims, the line</w:t>
      </w:r>
      <w:r>
        <w:rPr>
          <w:spacing w:val="-14"/>
        </w:rPr>
        <w:t> </w:t>
      </w:r>
      <w:r>
        <w:rPr/>
        <w:t>between</w:t>
      </w:r>
      <w:r>
        <w:rPr>
          <w:spacing w:val="-15"/>
        </w:rPr>
        <w:t> </w:t>
      </w:r>
      <w:r>
        <w:rPr/>
        <w:t>permissible</w:t>
      </w:r>
      <w:r>
        <w:rPr>
          <w:spacing w:val="-13"/>
        </w:rPr>
        <w:t> </w:t>
      </w:r>
      <w:r>
        <w:rPr/>
        <w:t>policy</w:t>
      </w:r>
      <w:r>
        <w:rPr>
          <w:spacing w:val="-16"/>
        </w:rPr>
        <w:t> </w:t>
      </w:r>
      <w:r>
        <w:rPr/>
        <w:t>interpretations and those deemed beyond the scope </w:t>
      </w:r>
      <w:r>
        <w:rPr>
          <w:spacing w:val="-7"/>
        </w:rPr>
        <w:t>of </w:t>
      </w:r>
      <w:r>
        <w:rPr/>
        <w:t>appraisal </w:t>
      </w:r>
      <w:r>
        <w:rPr>
          <w:spacing w:val="2"/>
        </w:rPr>
        <w:t>is </w:t>
      </w:r>
      <w:r>
        <w:rPr/>
        <w:t>often a blurry</w:t>
      </w:r>
      <w:r>
        <w:rPr>
          <w:spacing w:val="-10"/>
        </w:rPr>
        <w:t> </w:t>
      </w:r>
      <w:r>
        <w:rPr/>
        <w:t>one.</w:t>
      </w:r>
    </w:p>
    <w:p>
      <w:pPr>
        <w:pStyle w:val="BodyText"/>
        <w:spacing w:before="1"/>
      </w:pPr>
    </w:p>
    <w:p>
      <w:pPr>
        <w:pStyle w:val="BodyText"/>
        <w:spacing w:line="242" w:lineRule="auto" w:before="1"/>
        <w:ind w:left="1520" w:right="1519" w:firstLine="720"/>
        <w:jc w:val="both"/>
      </w:pPr>
      <w:r>
        <w:rPr/>
        <w:t>Indeed,</w:t>
      </w:r>
      <w:r>
        <w:rPr>
          <w:spacing w:val="-29"/>
        </w:rPr>
        <w:t> </w:t>
      </w:r>
      <w:r>
        <w:rPr/>
        <w:t>it</w:t>
      </w:r>
      <w:r>
        <w:rPr>
          <w:spacing w:val="-25"/>
        </w:rPr>
        <w:t> </w:t>
      </w:r>
      <w:r>
        <w:rPr/>
        <w:t>is</w:t>
      </w:r>
      <w:r>
        <w:rPr>
          <w:spacing w:val="-25"/>
        </w:rPr>
        <w:t> </w:t>
      </w:r>
      <w:r>
        <w:rPr/>
        <w:t>hypocritical</w:t>
      </w:r>
      <w:r>
        <w:rPr>
          <w:spacing w:val="-25"/>
        </w:rPr>
        <w:t> </w:t>
      </w:r>
      <w:r>
        <w:rPr/>
        <w:t>to</w:t>
      </w:r>
      <w:r>
        <w:rPr>
          <w:spacing w:val="-25"/>
        </w:rPr>
        <w:t> </w:t>
      </w:r>
      <w:r>
        <w:rPr/>
        <w:t>assert</w:t>
      </w:r>
      <w:r>
        <w:rPr>
          <w:spacing w:val="-28"/>
        </w:rPr>
        <w:t> </w:t>
      </w:r>
      <w:r>
        <w:rPr/>
        <w:t>this</w:t>
      </w:r>
      <w:r>
        <w:rPr>
          <w:spacing w:val="-26"/>
        </w:rPr>
        <w:t> </w:t>
      </w:r>
      <w:r>
        <w:rPr/>
        <w:t>type of limitation on the appropriate scope of </w:t>
      </w:r>
      <w:r>
        <w:rPr>
          <w:spacing w:val="-5"/>
        </w:rPr>
        <w:t>the </w:t>
      </w:r>
      <w:r>
        <w:rPr/>
        <w:t>appraisal process as a coverage or “legal” issue, when </w:t>
      </w:r>
      <w:r>
        <w:rPr>
          <w:spacing w:val="2"/>
        </w:rPr>
        <w:t>in </w:t>
      </w:r>
      <w:r>
        <w:rPr/>
        <w:t>most every appraisal,</w:t>
      </w:r>
      <w:r>
        <w:rPr>
          <w:spacing w:val="60"/>
        </w:rPr>
        <w:t> </w:t>
      </w:r>
      <w:r>
        <w:rPr/>
        <w:t>the</w:t>
      </w:r>
    </w:p>
    <w:p>
      <w:pPr>
        <w:pStyle w:val="BodyText"/>
        <w:spacing w:before="1"/>
        <w:rPr>
          <w:sz w:val="28"/>
        </w:rPr>
      </w:pPr>
      <w:r>
        <w:rPr/>
        <w:pict>
          <v:shape style="position:absolute;margin-left:162pt;margin-top:19.656431pt;width:143.9pt;height:.1pt;mso-position-horizontal-relative:page;mso-position-vertical-relative:paragraph;z-index:-251573248;mso-wrap-distance-left:0;mso-wrap-distance-right:0" coordorigin="3240,393" coordsize="2878,0" path="m3240,393l6118,393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7"/>
        </w:numPr>
        <w:tabs>
          <w:tab w:pos="1433" w:val="left" w:leader="none"/>
        </w:tabs>
        <w:spacing w:line="261" w:lineRule="auto" w:before="71" w:after="0"/>
        <w:ind w:left="1160" w:right="1163" w:firstLine="0"/>
        <w:jc w:val="left"/>
        <w:rPr>
          <w:sz w:val="18"/>
        </w:rPr>
      </w:pPr>
      <w:r>
        <w:rPr>
          <w:sz w:val="18"/>
          <w:u w:val="single"/>
        </w:rPr>
        <w:t>Visselli v. American Fidelity Co.</w:t>
      </w:r>
      <w:r>
        <w:rPr>
          <w:sz w:val="18"/>
        </w:rPr>
        <w:t>, 155 Conn. 622, 237 A.2d 561 (1967), </w:t>
      </w:r>
      <w:r>
        <w:rPr>
          <w:i/>
          <w:sz w:val="18"/>
        </w:rPr>
        <w:t>over-ruled</w:t>
      </w:r>
      <w:r>
        <w:rPr>
          <w:i/>
          <w:spacing w:val="-22"/>
          <w:sz w:val="18"/>
        </w:rPr>
        <w:t> </w:t>
      </w:r>
      <w:r>
        <w:rPr>
          <w:i/>
          <w:sz w:val="18"/>
        </w:rPr>
        <w:t>by </w:t>
      </w:r>
      <w:r>
        <w:rPr>
          <w:i/>
          <w:sz w:val="18"/>
        </w:rPr>
        <w:t>statute</w:t>
      </w:r>
      <w:r>
        <w:rPr>
          <w:i/>
          <w:spacing w:val="-17"/>
          <w:sz w:val="18"/>
        </w:rPr>
        <w:t> </w:t>
      </w:r>
      <w:r>
        <w:rPr>
          <w:i/>
          <w:sz w:val="18"/>
        </w:rPr>
        <w:t>on</w:t>
      </w:r>
      <w:r>
        <w:rPr>
          <w:i/>
          <w:spacing w:val="-19"/>
          <w:sz w:val="18"/>
        </w:rPr>
        <w:t> </w:t>
      </w:r>
      <w:r>
        <w:rPr>
          <w:i/>
          <w:sz w:val="18"/>
        </w:rPr>
        <w:t>other</w:t>
      </w:r>
      <w:r>
        <w:rPr>
          <w:i/>
          <w:spacing w:val="-19"/>
          <w:sz w:val="18"/>
        </w:rPr>
        <w:t> </w:t>
      </w:r>
      <w:r>
        <w:rPr>
          <w:i/>
          <w:sz w:val="18"/>
        </w:rPr>
        <w:t>grounds,</w:t>
      </w:r>
      <w:r>
        <w:rPr>
          <w:i/>
          <w:spacing w:val="-19"/>
          <w:sz w:val="18"/>
        </w:rPr>
        <w:t> </w:t>
      </w:r>
      <w:r>
        <w:rPr>
          <w:sz w:val="18"/>
        </w:rPr>
        <w:t>Uninsured</w:t>
      </w:r>
      <w:r>
        <w:rPr>
          <w:spacing w:val="-19"/>
          <w:sz w:val="18"/>
        </w:rPr>
        <w:t> </w:t>
      </w:r>
      <w:r>
        <w:rPr>
          <w:sz w:val="18"/>
        </w:rPr>
        <w:t>and</w:t>
      </w:r>
      <w:r>
        <w:rPr>
          <w:spacing w:val="-17"/>
          <w:sz w:val="18"/>
        </w:rPr>
        <w:t> </w:t>
      </w:r>
      <w:r>
        <w:rPr>
          <w:sz w:val="18"/>
        </w:rPr>
        <w:t>Under-Insured</w:t>
      </w:r>
      <w:r>
        <w:rPr>
          <w:spacing w:val="-16"/>
          <w:sz w:val="18"/>
        </w:rPr>
        <w:t> </w:t>
      </w:r>
      <w:r>
        <w:rPr>
          <w:sz w:val="18"/>
        </w:rPr>
        <w:t>Motorist</w:t>
      </w:r>
      <w:r>
        <w:rPr>
          <w:spacing w:val="-16"/>
          <w:sz w:val="18"/>
        </w:rPr>
        <w:t> </w:t>
      </w:r>
      <w:r>
        <w:rPr>
          <w:sz w:val="18"/>
        </w:rPr>
        <w:t>Coverage,</w:t>
      </w:r>
      <w:r>
        <w:rPr>
          <w:spacing w:val="-16"/>
          <w:sz w:val="18"/>
        </w:rPr>
        <w:t> </w:t>
      </w:r>
      <w:r>
        <w:rPr>
          <w:sz w:val="18"/>
        </w:rPr>
        <w:t>Conn.</w:t>
      </w:r>
      <w:r>
        <w:rPr>
          <w:spacing w:val="-16"/>
          <w:sz w:val="18"/>
        </w:rPr>
        <w:t> </w:t>
      </w:r>
      <w:r>
        <w:rPr>
          <w:sz w:val="18"/>
        </w:rPr>
        <w:t>Gen</w:t>
      </w:r>
      <w:r>
        <w:rPr>
          <w:spacing w:val="-17"/>
          <w:sz w:val="18"/>
        </w:rPr>
        <w:t> </w:t>
      </w:r>
      <w:r>
        <w:rPr>
          <w:sz w:val="18"/>
        </w:rPr>
        <w:t>Stat.</w:t>
      </w:r>
    </w:p>
    <w:p>
      <w:pPr>
        <w:spacing w:line="193" w:lineRule="exact" w:before="0"/>
        <w:ind w:left="1160" w:right="0" w:firstLine="0"/>
        <w:jc w:val="left"/>
        <w:rPr>
          <w:rFonts w:ascii="Times New Roman" w:hAnsi="Times New Roman"/>
          <w:sz w:val="18"/>
        </w:rPr>
      </w:pPr>
      <w:r>
        <w:rPr>
          <w:rFonts w:ascii="Times New Roman" w:hAnsi="Times New Roman"/>
          <w:sz w:val="18"/>
        </w:rPr>
        <w:t>§38a-336 (2003); </w:t>
      </w:r>
      <w:r>
        <w:rPr>
          <w:rFonts w:ascii="Times New Roman" w:hAnsi="Times New Roman"/>
          <w:sz w:val="18"/>
          <w:u w:val="single"/>
        </w:rPr>
        <w:t>Connecticut Union of Tel. Workers v. Southern New England Tel. Co.</w:t>
      </w:r>
      <w:r>
        <w:rPr>
          <w:rFonts w:ascii="Times New Roman" w:hAnsi="Times New Roman"/>
          <w:sz w:val="18"/>
        </w:rPr>
        <w:t>,</w:t>
      </w:r>
    </w:p>
    <w:p>
      <w:pPr>
        <w:spacing w:before="4"/>
        <w:ind w:left="1160" w:right="0" w:firstLine="0"/>
        <w:jc w:val="left"/>
        <w:rPr>
          <w:rFonts w:ascii="Times New Roman"/>
          <w:sz w:val="18"/>
        </w:rPr>
      </w:pPr>
      <w:r>
        <w:rPr>
          <w:rFonts w:ascii="Times New Roman"/>
          <w:sz w:val="18"/>
        </w:rPr>
        <w:t>148 Conn. 192, 169 A.2d 626 (1961).</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156" w:id="67"/>
      <w:bookmarkEnd w:id="67"/>
      <w:r>
        <w:rPr/>
      </w:r>
      <w:r>
        <w:rPr/>
        <w:t>appraisers</w:t>
      </w:r>
      <w:r>
        <w:rPr>
          <w:spacing w:val="-30"/>
        </w:rPr>
        <w:t> </w:t>
      </w:r>
      <w:r>
        <w:rPr/>
        <w:t>and</w:t>
      </w:r>
      <w:r>
        <w:rPr>
          <w:spacing w:val="-28"/>
        </w:rPr>
        <w:t> </w:t>
      </w:r>
      <w:r>
        <w:rPr/>
        <w:t>the</w:t>
      </w:r>
      <w:r>
        <w:rPr>
          <w:spacing w:val="-29"/>
        </w:rPr>
        <w:t> </w:t>
      </w:r>
      <w:r>
        <w:rPr/>
        <w:t>umpire</w:t>
      </w:r>
      <w:r>
        <w:rPr>
          <w:spacing w:val="-28"/>
        </w:rPr>
        <w:t> </w:t>
      </w:r>
      <w:r>
        <w:rPr/>
        <w:t>are</w:t>
      </w:r>
      <w:r>
        <w:rPr>
          <w:spacing w:val="-27"/>
        </w:rPr>
        <w:t> </w:t>
      </w:r>
      <w:r>
        <w:rPr/>
        <w:t>left</w:t>
      </w:r>
      <w:r>
        <w:rPr>
          <w:spacing w:val="-27"/>
        </w:rPr>
        <w:t> </w:t>
      </w:r>
      <w:r>
        <w:rPr/>
        <w:t>to</w:t>
      </w:r>
      <w:r>
        <w:rPr>
          <w:spacing w:val="-27"/>
        </w:rPr>
        <w:t> </w:t>
      </w:r>
      <w:r>
        <w:rPr/>
        <w:t>define</w:t>
      </w:r>
      <w:r>
        <w:rPr>
          <w:spacing w:val="-27"/>
        </w:rPr>
        <w:t> </w:t>
      </w:r>
      <w:r>
        <w:rPr/>
        <w:t>the phrase “actual cash value.” Many policies do not</w:t>
      </w:r>
      <w:r>
        <w:rPr>
          <w:spacing w:val="-20"/>
        </w:rPr>
        <w:t> </w:t>
      </w:r>
      <w:r>
        <w:rPr/>
        <w:t>offer</w:t>
      </w:r>
      <w:r>
        <w:rPr>
          <w:spacing w:val="-19"/>
        </w:rPr>
        <w:t> </w:t>
      </w:r>
      <w:r>
        <w:rPr/>
        <w:t>a</w:t>
      </w:r>
      <w:r>
        <w:rPr>
          <w:spacing w:val="-18"/>
        </w:rPr>
        <w:t> </w:t>
      </w:r>
      <w:r>
        <w:rPr/>
        <w:t>definition</w:t>
      </w:r>
      <w:r>
        <w:rPr>
          <w:spacing w:val="-17"/>
        </w:rPr>
        <w:t> </w:t>
      </w:r>
      <w:r>
        <w:rPr/>
        <w:t>or</w:t>
      </w:r>
      <w:r>
        <w:rPr>
          <w:spacing w:val="-20"/>
        </w:rPr>
        <w:t> </w:t>
      </w:r>
      <w:r>
        <w:rPr/>
        <w:t>other</w:t>
      </w:r>
      <w:r>
        <w:rPr>
          <w:spacing w:val="-20"/>
        </w:rPr>
        <w:t> </w:t>
      </w:r>
      <w:r>
        <w:rPr/>
        <w:t>guidance</w:t>
      </w:r>
      <w:r>
        <w:rPr>
          <w:spacing w:val="-18"/>
        </w:rPr>
        <w:t> </w:t>
      </w:r>
      <w:r>
        <w:rPr/>
        <w:t>as</w:t>
      </w:r>
      <w:r>
        <w:rPr>
          <w:spacing w:val="-16"/>
        </w:rPr>
        <w:t> </w:t>
      </w:r>
      <w:r>
        <w:rPr/>
        <w:t>to</w:t>
      </w:r>
      <w:r>
        <w:rPr>
          <w:spacing w:val="-19"/>
        </w:rPr>
        <w:t> </w:t>
      </w:r>
      <w:r>
        <w:rPr/>
        <w:t>its meaning. </w:t>
      </w:r>
      <w:r>
        <w:rPr>
          <w:spacing w:val="2"/>
        </w:rPr>
        <w:t>At </w:t>
      </w:r>
      <w:r>
        <w:rPr/>
        <w:t>best, the participants are left to draw upon legal interpretations to assist them in drawing conclusions; at worst, they muddle through based on past experience </w:t>
      </w:r>
      <w:r>
        <w:rPr>
          <w:spacing w:val="-4"/>
        </w:rPr>
        <w:t>and </w:t>
      </w:r>
      <w:r>
        <w:rPr/>
        <w:t>negotiation. Couldn’t </w:t>
      </w:r>
      <w:r>
        <w:rPr>
          <w:spacing w:val="2"/>
        </w:rPr>
        <w:t>it </w:t>
      </w:r>
      <w:r>
        <w:rPr/>
        <w:t>be said then, that in each and every appraisal that takes place </w:t>
      </w:r>
      <w:r>
        <w:rPr>
          <w:spacing w:val="7"/>
        </w:rPr>
        <w:t>under </w:t>
      </w:r>
      <w:r>
        <w:rPr>
          <w:spacing w:val="8"/>
        </w:rPr>
        <w:t>these </w:t>
      </w:r>
      <w:r>
        <w:rPr>
          <w:spacing w:val="10"/>
        </w:rPr>
        <w:t>circumstances, </w:t>
      </w:r>
      <w:r>
        <w:rPr>
          <w:spacing w:val="6"/>
        </w:rPr>
        <w:t>that </w:t>
      </w:r>
      <w:r>
        <w:rPr>
          <w:spacing w:val="5"/>
        </w:rPr>
        <w:t>the </w:t>
      </w:r>
      <w:r>
        <w:rPr/>
        <w:t>participants are resolving issues of law and coverage in order to reach their conclusion? </w:t>
      </w:r>
      <w:r>
        <w:rPr>
          <w:spacing w:val="-3"/>
        </w:rPr>
        <w:t>To </w:t>
      </w:r>
      <w:r>
        <w:rPr/>
        <w:t>the contrary, the proper resolution of this issue</w:t>
      </w:r>
      <w:r>
        <w:rPr>
          <w:spacing w:val="-18"/>
        </w:rPr>
        <w:t> </w:t>
      </w:r>
      <w:r>
        <w:rPr/>
        <w:t>is</w:t>
      </w:r>
      <w:r>
        <w:rPr>
          <w:spacing w:val="-19"/>
        </w:rPr>
        <w:t> </w:t>
      </w:r>
      <w:r>
        <w:rPr/>
        <w:t>to</w:t>
      </w:r>
      <w:r>
        <w:rPr>
          <w:spacing w:val="-17"/>
        </w:rPr>
        <w:t> </w:t>
      </w:r>
      <w:r>
        <w:rPr/>
        <w:t>give</w:t>
      </w:r>
      <w:r>
        <w:rPr>
          <w:spacing w:val="-18"/>
        </w:rPr>
        <w:t> </w:t>
      </w:r>
      <w:r>
        <w:rPr/>
        <w:t>life</w:t>
      </w:r>
      <w:r>
        <w:rPr>
          <w:spacing w:val="-16"/>
        </w:rPr>
        <w:t> </w:t>
      </w:r>
      <w:r>
        <w:rPr/>
        <w:t>to</w:t>
      </w:r>
      <w:r>
        <w:rPr>
          <w:spacing w:val="-17"/>
        </w:rPr>
        <w:t> </w:t>
      </w:r>
      <w:r>
        <w:rPr/>
        <w:t>the</w:t>
      </w:r>
      <w:r>
        <w:rPr>
          <w:spacing w:val="-16"/>
        </w:rPr>
        <w:t> </w:t>
      </w:r>
      <w:r>
        <w:rPr/>
        <w:t>intent</w:t>
      </w:r>
      <w:r>
        <w:rPr>
          <w:spacing w:val="-18"/>
        </w:rPr>
        <w:t> </w:t>
      </w:r>
      <w:r>
        <w:rPr/>
        <w:t>of</w:t>
      </w:r>
      <w:r>
        <w:rPr>
          <w:spacing w:val="-18"/>
        </w:rPr>
        <w:t> </w:t>
      </w:r>
      <w:r>
        <w:rPr/>
        <w:t>the</w:t>
      </w:r>
      <w:r>
        <w:rPr>
          <w:spacing w:val="-18"/>
        </w:rPr>
        <w:t> </w:t>
      </w:r>
      <w:r>
        <w:rPr/>
        <w:t>drafters</w:t>
      </w:r>
      <w:r>
        <w:rPr>
          <w:spacing w:val="-18"/>
        </w:rPr>
        <w:t> </w:t>
      </w:r>
      <w:r>
        <w:rPr/>
        <w:t>of the Standard Fire Policy and allow for a</w:t>
      </w:r>
      <w:r>
        <w:rPr>
          <w:spacing w:val="-39"/>
        </w:rPr>
        <w:t> </w:t>
      </w:r>
      <w:r>
        <w:rPr/>
        <w:t>broad degree of discretion on the part of the appraisers and the umpire in making their good faith effort at doing justice to the policy of</w:t>
      </w:r>
      <w:r>
        <w:rPr>
          <w:spacing w:val="-2"/>
        </w:rPr>
        <w:t> </w:t>
      </w:r>
      <w:r>
        <w:rPr/>
        <w:t>insurance.</w:t>
      </w:r>
    </w:p>
    <w:p>
      <w:pPr>
        <w:pStyle w:val="BodyText"/>
        <w:spacing w:before="7"/>
        <w:rPr>
          <w:sz w:val="25"/>
        </w:rPr>
      </w:pPr>
    </w:p>
    <w:p>
      <w:pPr>
        <w:pStyle w:val="BodyText"/>
        <w:spacing w:line="242" w:lineRule="auto" w:before="1"/>
        <w:ind w:left="1520" w:right="1518" w:firstLine="720"/>
        <w:jc w:val="both"/>
      </w:pPr>
      <w:r>
        <w:rPr>
          <w:spacing w:val="3"/>
        </w:rPr>
        <w:t>It </w:t>
      </w:r>
      <w:r>
        <w:rPr/>
        <w:t>is not unusual during the appraisal process for issues to arise that present mixed questions</w:t>
      </w:r>
      <w:r>
        <w:rPr>
          <w:spacing w:val="-20"/>
        </w:rPr>
        <w:t> </w:t>
      </w:r>
      <w:r>
        <w:rPr/>
        <w:t>of</w:t>
      </w:r>
      <w:r>
        <w:rPr>
          <w:spacing w:val="-20"/>
        </w:rPr>
        <w:t> </w:t>
      </w:r>
      <w:r>
        <w:rPr/>
        <w:t>coverage</w:t>
      </w:r>
      <w:r>
        <w:rPr>
          <w:spacing w:val="-21"/>
        </w:rPr>
        <w:t> </w:t>
      </w:r>
      <w:r>
        <w:rPr/>
        <w:t>and</w:t>
      </w:r>
      <w:r>
        <w:rPr>
          <w:spacing w:val="-20"/>
        </w:rPr>
        <w:t> </w:t>
      </w:r>
      <w:r>
        <w:rPr/>
        <w:t>damage</w:t>
      </w:r>
      <w:r>
        <w:rPr>
          <w:spacing w:val="-21"/>
        </w:rPr>
        <w:t> </w:t>
      </w:r>
      <w:r>
        <w:rPr/>
        <w:t>which</w:t>
      </w:r>
      <w:r>
        <w:rPr>
          <w:spacing w:val="-20"/>
        </w:rPr>
        <w:t> </w:t>
      </w:r>
      <w:r>
        <w:rPr/>
        <w:t>will require the appraisers to make quantitative decisions as to causation. For example, appraisers have been upheld where </w:t>
      </w:r>
      <w:r>
        <w:rPr>
          <w:spacing w:val="-5"/>
        </w:rPr>
        <w:t>they </w:t>
      </w:r>
      <w:r>
        <w:rPr/>
        <w:t>determined </w:t>
      </w:r>
      <w:r>
        <w:rPr>
          <w:spacing w:val="3"/>
        </w:rPr>
        <w:t>which part </w:t>
      </w:r>
      <w:r>
        <w:rPr>
          <w:spacing w:val="2"/>
        </w:rPr>
        <w:t>of </w:t>
      </w:r>
      <w:r>
        <w:rPr/>
        <w:t>a </w:t>
      </w:r>
      <w:r>
        <w:rPr>
          <w:spacing w:val="2"/>
        </w:rPr>
        <w:t>business </w:t>
      </w:r>
      <w:r>
        <w:rPr/>
        <w:t>interruption loss had been caused by a covered</w:t>
      </w:r>
      <w:r>
        <w:rPr>
          <w:spacing w:val="-17"/>
        </w:rPr>
        <w:t> </w:t>
      </w:r>
      <w:r>
        <w:rPr/>
        <w:t>peril</w:t>
      </w:r>
      <w:r>
        <w:rPr>
          <w:spacing w:val="-15"/>
        </w:rPr>
        <w:t> </w:t>
      </w:r>
      <w:r>
        <w:rPr/>
        <w:t>on</w:t>
      </w:r>
      <w:r>
        <w:rPr>
          <w:spacing w:val="-12"/>
        </w:rPr>
        <w:t> </w:t>
      </w:r>
      <w:r>
        <w:rPr/>
        <w:t>the</w:t>
      </w:r>
      <w:r>
        <w:rPr>
          <w:spacing w:val="-13"/>
        </w:rPr>
        <w:t> </w:t>
      </w:r>
      <w:r>
        <w:rPr/>
        <w:t>one</w:t>
      </w:r>
      <w:r>
        <w:rPr>
          <w:spacing w:val="-14"/>
        </w:rPr>
        <w:t> </w:t>
      </w:r>
      <w:r>
        <w:rPr/>
        <w:t>hand</w:t>
      </w:r>
      <w:r>
        <w:rPr>
          <w:spacing w:val="-12"/>
        </w:rPr>
        <w:t> </w:t>
      </w:r>
      <w:r>
        <w:rPr/>
        <w:t>and</w:t>
      </w:r>
      <w:r>
        <w:rPr>
          <w:spacing w:val="-12"/>
        </w:rPr>
        <w:t> </w:t>
      </w:r>
      <w:r>
        <w:rPr/>
        <w:t>which</w:t>
      </w:r>
      <w:r>
        <w:rPr>
          <w:spacing w:val="-13"/>
        </w:rPr>
        <w:t> </w:t>
      </w:r>
      <w:r>
        <w:rPr/>
        <w:t>was</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tabs>
          <w:tab w:pos="2719" w:val="left" w:leader="none"/>
          <w:tab w:pos="3283" w:val="left" w:leader="none"/>
          <w:tab w:pos="3711" w:val="left" w:leader="none"/>
          <w:tab w:pos="4615" w:val="left" w:leader="none"/>
          <w:tab w:pos="5788" w:val="left" w:leader="none"/>
          <w:tab w:pos="6786" w:val="left" w:leader="none"/>
        </w:tabs>
        <w:spacing w:line="242" w:lineRule="auto" w:before="41"/>
        <w:ind w:left="1520" w:right="1522"/>
      </w:pPr>
      <w:bookmarkStart w:name="Law and Procedure 157" w:id="68"/>
      <w:bookmarkEnd w:id="68"/>
      <w:r>
        <w:rPr/>
      </w:r>
      <w:r>
        <w:rPr/>
        <w:t>caused</w:t>
        <w:tab/>
        <w:t>by</w:t>
        <w:tab/>
        <w:t>a</w:t>
        <w:tab/>
        <w:t>labor</w:t>
        <w:tab/>
        <w:t>dispute</w:t>
        <w:tab/>
        <w:t>which</w:t>
        <w:tab/>
      </w:r>
      <w:r>
        <w:rPr>
          <w:spacing w:val="-8"/>
        </w:rPr>
        <w:t>was </w:t>
      </w:r>
      <w:r>
        <w:rPr/>
        <w:t>excluded.</w:t>
      </w:r>
      <w:r>
        <w:rPr>
          <w:vertAlign w:val="superscript"/>
        </w:rPr>
        <w:t>216</w:t>
      </w:r>
    </w:p>
    <w:p>
      <w:pPr>
        <w:pStyle w:val="BodyText"/>
        <w:spacing w:before="2"/>
      </w:pPr>
    </w:p>
    <w:p>
      <w:pPr>
        <w:pStyle w:val="BodyText"/>
        <w:spacing w:line="242" w:lineRule="auto"/>
        <w:ind w:left="1520" w:right="1519" w:firstLine="720"/>
        <w:jc w:val="both"/>
      </w:pPr>
      <w:r>
        <w:rPr/>
        <w:t>Appraisers have similarly been</w:t>
      </w:r>
      <w:r>
        <w:rPr>
          <w:spacing w:val="-16"/>
        </w:rPr>
        <w:t> </w:t>
      </w:r>
      <w:r>
        <w:rPr/>
        <w:t>sustained when determining what damage was</w:t>
      </w:r>
      <w:r>
        <w:rPr>
          <w:spacing w:val="-41"/>
        </w:rPr>
        <w:t> </w:t>
      </w:r>
      <w:r>
        <w:rPr/>
        <w:t>caused by lightning as opposed to wind </w:t>
      </w:r>
      <w:r>
        <w:rPr>
          <w:spacing w:val="2"/>
        </w:rPr>
        <w:t>in </w:t>
      </w:r>
      <w:r>
        <w:rPr/>
        <w:t>a claim where coverage was affected by the outcome.</w:t>
      </w:r>
      <w:r>
        <w:rPr>
          <w:vertAlign w:val="superscript"/>
        </w:rPr>
        <w:t>217</w:t>
      </w:r>
    </w:p>
    <w:p>
      <w:pPr>
        <w:pStyle w:val="BodyText"/>
        <w:spacing w:before="1"/>
      </w:pPr>
    </w:p>
    <w:p>
      <w:pPr>
        <w:pStyle w:val="BodyText"/>
        <w:spacing w:line="242" w:lineRule="auto"/>
        <w:ind w:left="1520" w:right="1517" w:firstLine="720"/>
        <w:jc w:val="both"/>
      </w:pPr>
      <w:r>
        <w:rPr>
          <w:spacing w:val="3"/>
        </w:rPr>
        <w:t>In </w:t>
      </w:r>
      <w:r>
        <w:rPr/>
        <w:t>Texas, </w:t>
      </w:r>
      <w:r>
        <w:rPr>
          <w:spacing w:val="2"/>
        </w:rPr>
        <w:t>it </w:t>
      </w:r>
      <w:r>
        <w:rPr/>
        <w:t>has been stated that an appraisal award that assesses causation, coverage</w:t>
      </w:r>
      <w:r>
        <w:rPr>
          <w:spacing w:val="-7"/>
        </w:rPr>
        <w:t> </w:t>
      </w:r>
      <w:r>
        <w:rPr/>
        <w:t>or</w:t>
      </w:r>
      <w:r>
        <w:rPr>
          <w:spacing w:val="-9"/>
        </w:rPr>
        <w:t> </w:t>
      </w:r>
      <w:r>
        <w:rPr/>
        <w:t>liability</w:t>
      </w:r>
      <w:r>
        <w:rPr>
          <w:spacing w:val="-13"/>
        </w:rPr>
        <w:t> </w:t>
      </w:r>
      <w:r>
        <w:rPr/>
        <w:t>is</w:t>
      </w:r>
      <w:r>
        <w:rPr>
          <w:spacing w:val="-10"/>
        </w:rPr>
        <w:t> </w:t>
      </w:r>
      <w:r>
        <w:rPr/>
        <w:t>made</w:t>
      </w:r>
      <w:r>
        <w:rPr>
          <w:spacing w:val="-11"/>
        </w:rPr>
        <w:t> </w:t>
      </w:r>
      <w:r>
        <w:rPr/>
        <w:t>without</w:t>
      </w:r>
      <w:r>
        <w:rPr>
          <w:spacing w:val="-9"/>
        </w:rPr>
        <w:t> </w:t>
      </w:r>
      <w:r>
        <w:rPr/>
        <w:t>authority. </w:t>
      </w:r>
      <w:r>
        <w:rPr>
          <w:spacing w:val="3"/>
        </w:rPr>
        <w:t>In</w:t>
      </w:r>
      <w:r>
        <w:rPr>
          <w:spacing w:val="-25"/>
        </w:rPr>
        <w:t> </w:t>
      </w:r>
      <w:r>
        <w:rPr/>
        <w:t>this</w:t>
      </w:r>
      <w:r>
        <w:rPr>
          <w:spacing w:val="-24"/>
        </w:rPr>
        <w:t> </w:t>
      </w:r>
      <w:r>
        <w:rPr/>
        <w:t>case,</w:t>
      </w:r>
      <w:r>
        <w:rPr>
          <w:spacing w:val="-26"/>
        </w:rPr>
        <w:t> </w:t>
      </w:r>
      <w:r>
        <w:rPr/>
        <w:t>the</w:t>
      </w:r>
      <w:r>
        <w:rPr>
          <w:spacing w:val="-24"/>
        </w:rPr>
        <w:t> </w:t>
      </w:r>
      <w:r>
        <w:rPr/>
        <w:t>issue</w:t>
      </w:r>
      <w:r>
        <w:rPr>
          <w:spacing w:val="-22"/>
        </w:rPr>
        <w:t> </w:t>
      </w:r>
      <w:r>
        <w:rPr/>
        <w:t>arose</w:t>
      </w:r>
      <w:r>
        <w:rPr>
          <w:spacing w:val="-21"/>
        </w:rPr>
        <w:t> </w:t>
      </w:r>
      <w:r>
        <w:rPr/>
        <w:t>as</w:t>
      </w:r>
      <w:r>
        <w:rPr>
          <w:spacing w:val="-22"/>
        </w:rPr>
        <w:t> </w:t>
      </w:r>
      <w:r>
        <w:rPr/>
        <w:t>to</w:t>
      </w:r>
      <w:r>
        <w:rPr>
          <w:spacing w:val="-23"/>
        </w:rPr>
        <w:t> </w:t>
      </w:r>
      <w:r>
        <w:rPr/>
        <w:t>allowances</w:t>
      </w:r>
      <w:r>
        <w:rPr>
          <w:spacing w:val="-23"/>
        </w:rPr>
        <w:t> </w:t>
      </w:r>
      <w:r>
        <w:rPr/>
        <w:t>for mold</w:t>
      </w:r>
      <w:r>
        <w:rPr>
          <w:spacing w:val="-29"/>
        </w:rPr>
        <w:t> </w:t>
      </w:r>
      <w:r>
        <w:rPr/>
        <w:t>remediation</w:t>
      </w:r>
      <w:r>
        <w:rPr>
          <w:spacing w:val="-29"/>
        </w:rPr>
        <w:t> </w:t>
      </w:r>
      <w:r>
        <w:rPr/>
        <w:t>in</w:t>
      </w:r>
      <w:r>
        <w:rPr>
          <w:spacing w:val="-30"/>
        </w:rPr>
        <w:t> </w:t>
      </w:r>
      <w:r>
        <w:rPr/>
        <w:t>areas</w:t>
      </w:r>
      <w:r>
        <w:rPr>
          <w:spacing w:val="-34"/>
        </w:rPr>
        <w:t> </w:t>
      </w:r>
      <w:r>
        <w:rPr/>
        <w:t>not</w:t>
      </w:r>
      <w:r>
        <w:rPr>
          <w:spacing w:val="-35"/>
        </w:rPr>
        <w:t> </w:t>
      </w:r>
      <w:r>
        <w:rPr>
          <w:spacing w:val="-3"/>
        </w:rPr>
        <w:t>directly</w:t>
      </w:r>
      <w:r>
        <w:rPr>
          <w:spacing w:val="-35"/>
        </w:rPr>
        <w:t> </w:t>
      </w:r>
      <w:r>
        <w:rPr>
          <w:spacing w:val="-3"/>
        </w:rPr>
        <w:t>affected </w:t>
      </w:r>
      <w:r>
        <w:rPr/>
        <w:t>by water and the parties vigorously disputed whether items not physically damaged </w:t>
      </w:r>
      <w:r>
        <w:rPr>
          <w:spacing w:val="-5"/>
        </w:rPr>
        <w:t>by </w:t>
      </w:r>
      <w:r>
        <w:rPr/>
        <w:t>water are covered by the</w:t>
      </w:r>
      <w:r>
        <w:rPr>
          <w:spacing w:val="-11"/>
        </w:rPr>
        <w:t> </w:t>
      </w:r>
      <w:r>
        <w:rPr/>
        <w:t>policy.</w:t>
      </w:r>
      <w:r>
        <w:rPr>
          <w:vertAlign w:val="superscript"/>
        </w:rPr>
        <w:t>218</w:t>
      </w:r>
    </w:p>
    <w:p>
      <w:pPr>
        <w:pStyle w:val="BodyText"/>
      </w:pPr>
    </w:p>
    <w:p>
      <w:pPr>
        <w:pStyle w:val="BodyText"/>
        <w:spacing w:line="242" w:lineRule="auto"/>
        <w:ind w:left="1520" w:right="1517" w:firstLine="720"/>
        <w:jc w:val="both"/>
      </w:pPr>
      <w:r>
        <w:rPr>
          <w:spacing w:val="3"/>
        </w:rPr>
        <w:t>In </w:t>
      </w:r>
      <w:r>
        <w:rPr/>
        <w:t>a matter litigated in a New York Federal Court determining Connecticut law,</w:t>
      </w:r>
      <w:r>
        <w:rPr>
          <w:spacing w:val="-33"/>
        </w:rPr>
        <w:t> </w:t>
      </w:r>
      <w:r>
        <w:rPr>
          <w:spacing w:val="-5"/>
        </w:rPr>
        <w:t>it </w:t>
      </w:r>
      <w:r>
        <w:rPr/>
        <w:t>has been held that appraisers will be able to determine an amount of loss only after the covered</w:t>
      </w:r>
      <w:r>
        <w:rPr>
          <w:spacing w:val="-28"/>
        </w:rPr>
        <w:t> </w:t>
      </w:r>
      <w:r>
        <w:rPr/>
        <w:t>losses</w:t>
      </w:r>
      <w:r>
        <w:rPr>
          <w:spacing w:val="-22"/>
        </w:rPr>
        <w:t> </w:t>
      </w:r>
      <w:r>
        <w:rPr/>
        <w:t>are</w:t>
      </w:r>
      <w:r>
        <w:rPr>
          <w:spacing w:val="-24"/>
        </w:rPr>
        <w:t> </w:t>
      </w:r>
      <w:r>
        <w:rPr/>
        <w:t>separated</w:t>
      </w:r>
      <w:r>
        <w:rPr>
          <w:spacing w:val="-25"/>
        </w:rPr>
        <w:t> </w:t>
      </w:r>
      <w:r>
        <w:rPr/>
        <w:t>from</w:t>
      </w:r>
      <w:r>
        <w:rPr>
          <w:spacing w:val="-24"/>
        </w:rPr>
        <w:t> </w:t>
      </w:r>
      <w:r>
        <w:rPr/>
        <w:t>those</w:t>
      </w:r>
      <w:r>
        <w:rPr>
          <w:spacing w:val="-23"/>
        </w:rPr>
        <w:t> </w:t>
      </w:r>
      <w:r>
        <w:rPr/>
        <w:t>losses which are not covered. </w:t>
      </w:r>
      <w:r>
        <w:rPr>
          <w:spacing w:val="3"/>
        </w:rPr>
        <w:t>It </w:t>
      </w:r>
      <w:r>
        <w:rPr/>
        <w:t>was held that in the state of Connecticut directing the parties to proceed with an appraisal prior to the determination</w:t>
      </w:r>
      <w:r>
        <w:rPr>
          <w:spacing w:val="-18"/>
        </w:rPr>
        <w:t> </w:t>
      </w:r>
      <w:r>
        <w:rPr/>
        <w:t>of</w:t>
      </w:r>
      <w:r>
        <w:rPr>
          <w:spacing w:val="-18"/>
        </w:rPr>
        <w:t> </w:t>
      </w:r>
      <w:r>
        <w:rPr/>
        <w:t>the</w:t>
      </w:r>
      <w:r>
        <w:rPr>
          <w:spacing w:val="-22"/>
        </w:rPr>
        <w:t> </w:t>
      </w:r>
      <w:r>
        <w:rPr/>
        <w:t>contours</w:t>
      </w:r>
      <w:r>
        <w:rPr>
          <w:spacing w:val="-19"/>
        </w:rPr>
        <w:t> </w:t>
      </w:r>
      <w:r>
        <w:rPr/>
        <w:t>of</w:t>
      </w:r>
      <w:r>
        <w:rPr>
          <w:spacing w:val="-18"/>
        </w:rPr>
        <w:t> </w:t>
      </w:r>
      <w:r>
        <w:rPr/>
        <w:t>insurer</w:t>
      </w:r>
      <w:r>
        <w:rPr>
          <w:spacing w:val="-20"/>
        </w:rPr>
        <w:t> </w:t>
      </w:r>
      <w:r>
        <w:rPr/>
        <w:t>liability would be premature. Moreover, an</w:t>
      </w:r>
      <w:r>
        <w:rPr>
          <w:spacing w:val="-30"/>
        </w:rPr>
        <w:t> </w:t>
      </w:r>
      <w:r>
        <w:rPr/>
        <w:t>insured</w:t>
      </w:r>
    </w:p>
    <w:p>
      <w:pPr>
        <w:pStyle w:val="BodyText"/>
        <w:spacing w:before="1"/>
        <w:rPr>
          <w:sz w:val="22"/>
        </w:rPr>
      </w:pPr>
      <w:r>
        <w:rPr/>
        <w:pict>
          <v:shape style="position:absolute;margin-left:162pt;margin-top:15.971274pt;width:143.9pt;height:.1pt;mso-position-horizontal-relative:page;mso-position-vertical-relative:paragraph;z-index:-251572224;mso-wrap-distance-left:0;mso-wrap-distance-right:0" coordorigin="3240,319" coordsize="2878,0" path="m3240,319l6118,319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7"/>
        </w:numPr>
        <w:tabs>
          <w:tab w:pos="1430" w:val="left" w:leader="none"/>
        </w:tabs>
        <w:spacing w:line="264" w:lineRule="auto" w:before="80" w:after="0"/>
        <w:ind w:left="1160" w:right="1167" w:firstLine="0"/>
        <w:jc w:val="left"/>
        <w:rPr>
          <w:sz w:val="18"/>
        </w:rPr>
      </w:pPr>
      <w:r>
        <w:rPr>
          <w:sz w:val="18"/>
          <w:u w:val="single"/>
        </w:rPr>
        <w:t>Lakewood Mfg. Co., Inc. v. Home Ins. Co.</w:t>
      </w:r>
      <w:r>
        <w:rPr>
          <w:sz w:val="18"/>
        </w:rPr>
        <w:t>, 422 F.2d 796, 24 Ohio Misc. 244 (6</w:t>
      </w:r>
      <w:r>
        <w:rPr>
          <w:position w:val="7"/>
          <w:sz w:val="10"/>
        </w:rPr>
        <w:t>th </w:t>
      </w:r>
      <w:r>
        <w:rPr>
          <w:sz w:val="18"/>
        </w:rPr>
        <w:t>Cir. 1970).</w:t>
      </w:r>
    </w:p>
    <w:p>
      <w:pPr>
        <w:pStyle w:val="ListParagraph"/>
        <w:numPr>
          <w:ilvl w:val="0"/>
          <w:numId w:val="17"/>
        </w:numPr>
        <w:tabs>
          <w:tab w:pos="1421" w:val="left" w:leader="none"/>
        </w:tabs>
        <w:spacing w:line="189" w:lineRule="exact" w:before="0" w:after="0"/>
        <w:ind w:left="1421" w:right="0" w:hanging="261"/>
        <w:jc w:val="left"/>
        <w:rPr>
          <w:sz w:val="18"/>
        </w:rPr>
      </w:pPr>
      <w:r>
        <w:rPr>
          <w:sz w:val="18"/>
          <w:u w:val="single"/>
        </w:rPr>
        <w:t>Fox v. Employer’s Fire Ins. Co.</w:t>
      </w:r>
      <w:r>
        <w:rPr>
          <w:sz w:val="18"/>
        </w:rPr>
        <w:t>, 330 Mass. 283, 113 N.E.2d 63</w:t>
      </w:r>
      <w:r>
        <w:rPr>
          <w:spacing w:val="4"/>
          <w:sz w:val="18"/>
        </w:rPr>
        <w:t> </w:t>
      </w:r>
      <w:r>
        <w:rPr>
          <w:sz w:val="18"/>
        </w:rPr>
        <w:t>(1953).</w:t>
      </w:r>
    </w:p>
    <w:p>
      <w:pPr>
        <w:pStyle w:val="ListParagraph"/>
        <w:numPr>
          <w:ilvl w:val="0"/>
          <w:numId w:val="17"/>
        </w:numPr>
        <w:tabs>
          <w:tab w:pos="1435" w:val="left" w:leader="none"/>
        </w:tabs>
        <w:spacing w:line="269" w:lineRule="exact" w:before="0" w:after="0"/>
        <w:ind w:left="1434" w:right="0" w:hanging="275"/>
        <w:jc w:val="left"/>
        <w:rPr>
          <w:sz w:val="18"/>
        </w:rPr>
      </w:pPr>
      <w:r>
        <w:rPr>
          <w:sz w:val="18"/>
          <w:u w:val="single"/>
        </w:rPr>
        <w:t>Hartford Lloyds Ins. Co. v. Yarbrough</w:t>
      </w:r>
      <w:r>
        <w:rPr>
          <w:sz w:val="18"/>
        </w:rPr>
        <w:t>, 2006 WL 1469705 (S.D. Tex.</w:t>
      </w:r>
      <w:r>
        <w:rPr>
          <w:spacing w:val="2"/>
          <w:sz w:val="18"/>
        </w:rPr>
        <w:t> </w:t>
      </w:r>
      <w:r>
        <w:rPr>
          <w:sz w:val="18"/>
        </w:rPr>
        <w:t>2006).</w:t>
      </w:r>
    </w:p>
    <w:p>
      <w:pPr>
        <w:spacing w:after="0" w:line="269" w:lineRule="exact"/>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9"/>
        <w:jc w:val="both"/>
      </w:pPr>
      <w:bookmarkStart w:name="Law and Procedure 158" w:id="69"/>
      <w:bookmarkEnd w:id="69"/>
      <w:r>
        <w:rPr/>
      </w:r>
      <w:r>
        <w:rPr/>
        <w:t>must file a proof of loss and await </w:t>
      </w:r>
      <w:r>
        <w:rPr>
          <w:spacing w:val="-11"/>
        </w:rPr>
        <w:t>a </w:t>
      </w:r>
      <w:r>
        <w:rPr/>
        <w:t>determination</w:t>
      </w:r>
      <w:r>
        <w:rPr>
          <w:spacing w:val="-12"/>
        </w:rPr>
        <w:t> </w:t>
      </w:r>
      <w:r>
        <w:rPr/>
        <w:t>of</w:t>
      </w:r>
      <w:r>
        <w:rPr>
          <w:spacing w:val="-11"/>
        </w:rPr>
        <w:t> </w:t>
      </w:r>
      <w:r>
        <w:rPr/>
        <w:t>the</w:t>
      </w:r>
      <w:r>
        <w:rPr>
          <w:spacing w:val="-11"/>
        </w:rPr>
        <w:t> </w:t>
      </w:r>
      <w:r>
        <w:rPr/>
        <w:t>amount</w:t>
      </w:r>
      <w:r>
        <w:rPr>
          <w:spacing w:val="-11"/>
        </w:rPr>
        <w:t> </w:t>
      </w:r>
      <w:r>
        <w:rPr/>
        <w:t>of</w:t>
      </w:r>
      <w:r>
        <w:rPr>
          <w:spacing w:val="-10"/>
        </w:rPr>
        <w:t> </w:t>
      </w:r>
      <w:r>
        <w:rPr/>
        <w:t>loss</w:t>
      </w:r>
      <w:r>
        <w:rPr>
          <w:spacing w:val="-9"/>
        </w:rPr>
        <w:t> </w:t>
      </w:r>
      <w:r>
        <w:rPr/>
        <w:t>even</w:t>
      </w:r>
      <w:r>
        <w:rPr>
          <w:spacing w:val="-11"/>
        </w:rPr>
        <w:t> </w:t>
      </w:r>
      <w:r>
        <w:rPr/>
        <w:t>prior to commencement of appraisal. Thus, </w:t>
      </w:r>
      <w:r>
        <w:rPr>
          <w:spacing w:val="-6"/>
        </w:rPr>
        <w:t>an </w:t>
      </w:r>
      <w:r>
        <w:rPr/>
        <w:t>insured cannot initiate an action against an insurer prior to the insurer ascertaining at least an</w:t>
      </w:r>
      <w:r>
        <w:rPr>
          <w:spacing w:val="-15"/>
        </w:rPr>
        <w:t> </w:t>
      </w:r>
      <w:r>
        <w:rPr/>
        <w:t>initial</w:t>
      </w:r>
      <w:r>
        <w:rPr>
          <w:spacing w:val="-13"/>
        </w:rPr>
        <w:t> </w:t>
      </w:r>
      <w:r>
        <w:rPr/>
        <w:t>amount</w:t>
      </w:r>
      <w:r>
        <w:rPr>
          <w:spacing w:val="-16"/>
        </w:rPr>
        <w:t> </w:t>
      </w:r>
      <w:r>
        <w:rPr/>
        <w:t>of</w:t>
      </w:r>
      <w:r>
        <w:rPr>
          <w:spacing w:val="-15"/>
        </w:rPr>
        <w:t> </w:t>
      </w:r>
      <w:r>
        <w:rPr/>
        <w:t>loss</w:t>
      </w:r>
      <w:r>
        <w:rPr>
          <w:spacing w:val="-13"/>
        </w:rPr>
        <w:t> </w:t>
      </w:r>
      <w:r>
        <w:rPr/>
        <w:t>or</w:t>
      </w:r>
      <w:r>
        <w:rPr>
          <w:spacing w:val="-19"/>
        </w:rPr>
        <w:t> </w:t>
      </w:r>
      <w:r>
        <w:rPr/>
        <w:t>denying</w:t>
      </w:r>
      <w:r>
        <w:rPr>
          <w:spacing w:val="-16"/>
        </w:rPr>
        <w:t> </w:t>
      </w:r>
      <w:r>
        <w:rPr/>
        <w:t>the</w:t>
      </w:r>
      <w:r>
        <w:rPr>
          <w:spacing w:val="-15"/>
        </w:rPr>
        <w:t> </w:t>
      </w:r>
      <w:r>
        <w:rPr/>
        <w:t>claim</w:t>
      </w:r>
      <w:r>
        <w:rPr>
          <w:spacing w:val="-16"/>
        </w:rPr>
        <w:t> </w:t>
      </w:r>
      <w:r>
        <w:rPr/>
        <w:t>in its</w:t>
      </w:r>
      <w:r>
        <w:rPr>
          <w:spacing w:val="-2"/>
        </w:rPr>
        <w:t> </w:t>
      </w:r>
      <w:r>
        <w:rPr/>
        <w:t>entirety.</w:t>
      </w:r>
      <w:r>
        <w:rPr>
          <w:vertAlign w:val="superscript"/>
        </w:rPr>
        <w:t>219</w:t>
      </w:r>
    </w:p>
    <w:p>
      <w:pPr>
        <w:pStyle w:val="BodyText"/>
      </w:pPr>
    </w:p>
    <w:p>
      <w:pPr>
        <w:pStyle w:val="BodyText"/>
        <w:spacing w:line="242" w:lineRule="auto"/>
        <w:ind w:left="1520" w:right="1517" w:firstLine="720"/>
        <w:jc w:val="both"/>
      </w:pPr>
      <w:r>
        <w:rPr/>
        <w:t>The issue of what caused or did not cause a loss so as to trigger coverage under an insurance policy often is a question to be decided by a court and are not appropriate for appraisal.</w:t>
      </w:r>
      <w:r>
        <w:rPr>
          <w:vertAlign w:val="superscript"/>
        </w:rPr>
        <w:t>220</w:t>
      </w:r>
    </w:p>
    <w:p>
      <w:pPr>
        <w:pStyle w:val="BodyText"/>
        <w:spacing w:before="1"/>
      </w:pPr>
    </w:p>
    <w:p>
      <w:pPr>
        <w:pStyle w:val="BodyText"/>
        <w:spacing w:line="242" w:lineRule="auto"/>
        <w:ind w:left="1520" w:right="1518" w:firstLine="720"/>
        <w:jc w:val="both"/>
      </w:pPr>
      <w:r>
        <w:rPr>
          <w:spacing w:val="3"/>
        </w:rPr>
        <w:t>In </w:t>
      </w:r>
      <w:r>
        <w:rPr/>
        <w:t>Arizona, which seems to favor the minority</w:t>
      </w:r>
      <w:r>
        <w:rPr>
          <w:spacing w:val="-35"/>
        </w:rPr>
        <w:t> </w:t>
      </w:r>
      <w:r>
        <w:rPr/>
        <w:t>view,</w:t>
      </w:r>
      <w:r>
        <w:rPr>
          <w:spacing w:val="-33"/>
        </w:rPr>
        <w:t> </w:t>
      </w:r>
      <w:r>
        <w:rPr/>
        <w:t>a</w:t>
      </w:r>
      <w:r>
        <w:rPr>
          <w:spacing w:val="-31"/>
        </w:rPr>
        <w:t> </w:t>
      </w:r>
      <w:r>
        <w:rPr/>
        <w:t>hail</w:t>
      </w:r>
      <w:r>
        <w:rPr>
          <w:spacing w:val="-30"/>
        </w:rPr>
        <w:t> </w:t>
      </w:r>
      <w:r>
        <w:rPr/>
        <w:t>claim</w:t>
      </w:r>
      <w:r>
        <w:rPr>
          <w:spacing w:val="-32"/>
        </w:rPr>
        <w:t> </w:t>
      </w:r>
      <w:r>
        <w:rPr/>
        <w:t>presented</w:t>
      </w:r>
      <w:r>
        <w:rPr>
          <w:spacing w:val="-29"/>
        </w:rPr>
        <w:t> </w:t>
      </w:r>
      <w:r>
        <w:rPr/>
        <w:t>a</w:t>
      </w:r>
      <w:r>
        <w:rPr>
          <w:spacing w:val="-29"/>
        </w:rPr>
        <w:t> </w:t>
      </w:r>
      <w:r>
        <w:rPr/>
        <w:t>situation where the issue was whether a “significant portion” of plaintiff’s roof claim is covered under the </w:t>
      </w:r>
      <w:r>
        <w:rPr>
          <w:spacing w:val="2"/>
        </w:rPr>
        <w:t>policy </w:t>
      </w:r>
      <w:r>
        <w:rPr/>
        <w:t>as questions of causation were raised. This was held to not be a dispute about the amount of loss that all parties agreed were covered and was beyond the scope of</w:t>
      </w:r>
      <w:r>
        <w:rPr>
          <w:spacing w:val="-2"/>
        </w:rPr>
        <w:t> </w:t>
      </w:r>
      <w:r>
        <w:rPr/>
        <w:t>appraisal.</w:t>
      </w:r>
      <w:r>
        <w:rPr>
          <w:vertAlign w:val="superscript"/>
        </w:rPr>
        <w:t>221</w:t>
      </w:r>
    </w:p>
    <w:p>
      <w:pPr>
        <w:pStyle w:val="BodyText"/>
        <w:spacing w:before="11"/>
        <w:rPr>
          <w:sz w:val="25"/>
        </w:rPr>
      </w:pPr>
    </w:p>
    <w:p>
      <w:pPr>
        <w:pStyle w:val="BodyText"/>
        <w:spacing w:line="242" w:lineRule="auto" w:before="1"/>
        <w:ind w:left="1520" w:right="1520" w:firstLine="720"/>
        <w:jc w:val="both"/>
      </w:pPr>
      <w:r>
        <w:rPr/>
        <w:t>Specifically,</w:t>
      </w:r>
      <w:r>
        <w:rPr>
          <w:spacing w:val="-23"/>
        </w:rPr>
        <w:t> </w:t>
      </w:r>
      <w:r>
        <w:rPr/>
        <w:t>in</w:t>
      </w:r>
      <w:r>
        <w:rPr>
          <w:spacing w:val="-19"/>
        </w:rPr>
        <w:t> </w:t>
      </w:r>
      <w:r>
        <w:rPr/>
        <w:t>a</w:t>
      </w:r>
      <w:r>
        <w:rPr>
          <w:spacing w:val="-18"/>
        </w:rPr>
        <w:t> </w:t>
      </w:r>
      <w:r>
        <w:rPr/>
        <w:t>North</w:t>
      </w:r>
      <w:r>
        <w:rPr>
          <w:spacing w:val="-21"/>
        </w:rPr>
        <w:t> </w:t>
      </w:r>
      <w:r>
        <w:rPr/>
        <w:t>Carolina</w:t>
      </w:r>
      <w:r>
        <w:rPr>
          <w:spacing w:val="-20"/>
        </w:rPr>
        <w:t> </w:t>
      </w:r>
      <w:r>
        <w:rPr/>
        <w:t>Supreme Court case, the court explained that the insurance policy both provides for </w:t>
      </w:r>
      <w:r>
        <w:rPr>
          <w:spacing w:val="-4"/>
        </w:rPr>
        <w:t>and </w:t>
      </w:r>
      <w:r>
        <w:rPr/>
        <w:t>constrains the appraisal process and that</w:t>
      </w:r>
      <w:r>
        <w:rPr>
          <w:spacing w:val="71"/>
        </w:rPr>
        <w:t> </w:t>
      </w:r>
      <w:r>
        <w:rPr/>
        <w:t>the</w:t>
      </w:r>
    </w:p>
    <w:p>
      <w:pPr>
        <w:pStyle w:val="BodyText"/>
        <w:spacing w:before="4"/>
        <w:rPr>
          <w:sz w:val="16"/>
        </w:rPr>
      </w:pPr>
      <w:r>
        <w:rPr/>
        <w:pict>
          <v:shape style="position:absolute;margin-left:162pt;margin-top:12.45643pt;width:143.9pt;height:.1pt;mso-position-horizontal-relative:page;mso-position-vertical-relative:paragraph;z-index:-251571200;mso-wrap-distance-left:0;mso-wrap-distance-right:0" coordorigin="3240,249" coordsize="2878,0" path="m3240,249l6118,249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7"/>
        </w:numPr>
        <w:tabs>
          <w:tab w:pos="1435" w:val="left" w:leader="none"/>
        </w:tabs>
        <w:spacing w:line="240" w:lineRule="auto" w:before="71" w:after="0"/>
        <w:ind w:left="1434" w:right="0" w:hanging="275"/>
        <w:jc w:val="left"/>
        <w:rPr>
          <w:sz w:val="18"/>
        </w:rPr>
      </w:pPr>
      <w:r>
        <w:rPr>
          <w:sz w:val="18"/>
          <w:u w:val="single"/>
        </w:rPr>
        <w:t>Secord v. Chartis Inc.</w:t>
      </w:r>
      <w:r>
        <w:rPr>
          <w:sz w:val="18"/>
        </w:rPr>
        <w:t>, 2011 WL 814743</w:t>
      </w:r>
      <w:r>
        <w:rPr>
          <w:spacing w:val="1"/>
          <w:sz w:val="18"/>
        </w:rPr>
        <w:t> </w:t>
      </w:r>
      <w:r>
        <w:rPr>
          <w:sz w:val="18"/>
        </w:rPr>
        <w:t>(S.D.N.Y.).</w:t>
      </w:r>
    </w:p>
    <w:p>
      <w:pPr>
        <w:pStyle w:val="ListParagraph"/>
        <w:numPr>
          <w:ilvl w:val="0"/>
          <w:numId w:val="17"/>
        </w:numPr>
        <w:tabs>
          <w:tab w:pos="1423" w:val="left" w:leader="none"/>
        </w:tabs>
        <w:spacing w:line="240" w:lineRule="auto" w:before="14" w:after="0"/>
        <w:ind w:left="1422" w:right="0" w:hanging="263"/>
        <w:jc w:val="left"/>
        <w:rPr>
          <w:sz w:val="18"/>
        </w:rPr>
      </w:pPr>
      <w:r>
        <w:rPr>
          <w:sz w:val="18"/>
          <w:u w:val="single"/>
        </w:rPr>
        <w:t>Kawa</w:t>
      </w:r>
      <w:r>
        <w:rPr>
          <w:spacing w:val="-13"/>
          <w:sz w:val="18"/>
          <w:u w:val="single"/>
        </w:rPr>
        <w:t> </w:t>
      </w:r>
      <w:r>
        <w:rPr>
          <w:sz w:val="18"/>
          <w:u w:val="single"/>
        </w:rPr>
        <w:t>v.</w:t>
      </w:r>
      <w:r>
        <w:rPr>
          <w:spacing w:val="-14"/>
          <w:sz w:val="18"/>
          <w:u w:val="single"/>
        </w:rPr>
        <w:t> </w:t>
      </w:r>
      <w:r>
        <w:rPr>
          <w:sz w:val="18"/>
          <w:u w:val="single"/>
        </w:rPr>
        <w:t>Nationwide</w:t>
      </w:r>
      <w:r>
        <w:rPr>
          <w:spacing w:val="-16"/>
          <w:sz w:val="18"/>
          <w:u w:val="single"/>
        </w:rPr>
        <w:t> </w:t>
      </w:r>
      <w:r>
        <w:rPr>
          <w:sz w:val="18"/>
          <w:u w:val="single"/>
        </w:rPr>
        <w:t>Mut.</w:t>
      </w:r>
      <w:r>
        <w:rPr>
          <w:spacing w:val="-13"/>
          <w:sz w:val="18"/>
          <w:u w:val="single"/>
        </w:rPr>
        <w:t> </w:t>
      </w:r>
      <w:r>
        <w:rPr>
          <w:sz w:val="18"/>
          <w:u w:val="single"/>
        </w:rPr>
        <w:t>Ins.</w:t>
      </w:r>
      <w:r>
        <w:rPr>
          <w:spacing w:val="-14"/>
          <w:sz w:val="18"/>
          <w:u w:val="single"/>
        </w:rPr>
        <w:t> </w:t>
      </w:r>
      <w:r>
        <w:rPr>
          <w:sz w:val="18"/>
          <w:u w:val="single"/>
        </w:rPr>
        <w:t>Co.</w:t>
      </w:r>
      <w:r>
        <w:rPr>
          <w:sz w:val="18"/>
        </w:rPr>
        <w:t>,</w:t>
      </w:r>
      <w:r>
        <w:rPr>
          <w:spacing w:val="-13"/>
          <w:sz w:val="18"/>
        </w:rPr>
        <w:t> </w:t>
      </w:r>
      <w:r>
        <w:rPr>
          <w:sz w:val="18"/>
        </w:rPr>
        <w:t>664</w:t>
      </w:r>
      <w:r>
        <w:rPr>
          <w:spacing w:val="-13"/>
          <w:sz w:val="18"/>
        </w:rPr>
        <w:t> </w:t>
      </w:r>
      <w:r>
        <w:rPr>
          <w:sz w:val="18"/>
        </w:rPr>
        <w:t>N.Y.S.2d</w:t>
      </w:r>
      <w:r>
        <w:rPr>
          <w:spacing w:val="-12"/>
          <w:sz w:val="18"/>
        </w:rPr>
        <w:t> </w:t>
      </w:r>
      <w:r>
        <w:rPr>
          <w:sz w:val="18"/>
        </w:rPr>
        <w:t>430,</w:t>
      </w:r>
      <w:r>
        <w:rPr>
          <w:spacing w:val="-14"/>
          <w:sz w:val="18"/>
        </w:rPr>
        <w:t> </w:t>
      </w:r>
      <w:r>
        <w:rPr>
          <w:sz w:val="18"/>
        </w:rPr>
        <w:t>174</w:t>
      </w:r>
      <w:r>
        <w:rPr>
          <w:spacing w:val="-13"/>
          <w:sz w:val="18"/>
        </w:rPr>
        <w:t> </w:t>
      </w:r>
      <w:r>
        <w:rPr>
          <w:sz w:val="18"/>
        </w:rPr>
        <w:t>Misc.2d</w:t>
      </w:r>
      <w:r>
        <w:rPr>
          <w:spacing w:val="-11"/>
          <w:sz w:val="18"/>
        </w:rPr>
        <w:t> </w:t>
      </w:r>
      <w:r>
        <w:rPr>
          <w:sz w:val="18"/>
        </w:rPr>
        <w:t>407,</w:t>
      </w:r>
      <w:r>
        <w:rPr>
          <w:spacing w:val="-11"/>
          <w:sz w:val="18"/>
        </w:rPr>
        <w:t> </w:t>
      </w:r>
      <w:r>
        <w:rPr>
          <w:sz w:val="18"/>
        </w:rPr>
        <w:t>1997</w:t>
      </w:r>
      <w:r>
        <w:rPr>
          <w:spacing w:val="-11"/>
          <w:sz w:val="18"/>
        </w:rPr>
        <w:t> </w:t>
      </w:r>
      <w:r>
        <w:rPr>
          <w:sz w:val="18"/>
        </w:rPr>
        <w:t>N.Y.</w:t>
      </w:r>
      <w:r>
        <w:rPr>
          <w:spacing w:val="-11"/>
          <w:sz w:val="18"/>
        </w:rPr>
        <w:t> </w:t>
      </w:r>
      <w:r>
        <w:rPr>
          <w:sz w:val="18"/>
        </w:rPr>
        <w:t>Slip</w:t>
      </w:r>
    </w:p>
    <w:p>
      <w:pPr>
        <w:spacing w:line="207" w:lineRule="exact" w:before="18"/>
        <w:ind w:left="1160" w:right="0" w:firstLine="0"/>
        <w:jc w:val="left"/>
        <w:rPr>
          <w:rFonts w:ascii="Times New Roman"/>
          <w:sz w:val="18"/>
        </w:rPr>
      </w:pPr>
      <w:r>
        <w:rPr>
          <w:rFonts w:ascii="Times New Roman"/>
          <w:sz w:val="18"/>
        </w:rPr>
        <w:t>Op. 97580 (1997).</w:t>
      </w:r>
    </w:p>
    <w:p>
      <w:pPr>
        <w:pStyle w:val="ListParagraph"/>
        <w:numPr>
          <w:ilvl w:val="0"/>
          <w:numId w:val="17"/>
        </w:numPr>
        <w:tabs>
          <w:tab w:pos="1435" w:val="left" w:leader="none"/>
        </w:tabs>
        <w:spacing w:line="269" w:lineRule="exact" w:before="0" w:after="0"/>
        <w:ind w:left="1434" w:right="0" w:hanging="275"/>
        <w:jc w:val="left"/>
        <w:rPr>
          <w:sz w:val="18"/>
        </w:rPr>
      </w:pPr>
      <w:r>
        <w:rPr>
          <w:sz w:val="18"/>
          <w:u w:val="single"/>
        </w:rPr>
        <w:t>San Souci Apts. v. National Surety Corp</w:t>
      </w:r>
      <w:r>
        <w:rPr>
          <w:sz w:val="18"/>
        </w:rPr>
        <w:t>., 2013 WL 428091 (D.</w:t>
      </w:r>
      <w:r>
        <w:rPr>
          <w:spacing w:val="-4"/>
          <w:sz w:val="18"/>
        </w:rPr>
        <w:t> </w:t>
      </w:r>
      <w:r>
        <w:rPr>
          <w:sz w:val="18"/>
        </w:rPr>
        <w:t>Ariz).</w:t>
      </w:r>
    </w:p>
    <w:p>
      <w:pPr>
        <w:spacing w:after="0" w:line="269" w:lineRule="exact"/>
        <w:jc w:val="left"/>
        <w:rPr>
          <w:sz w:val="18"/>
        </w:rPr>
        <w:sectPr>
          <w:footerReference w:type="default" r:id="rId11"/>
          <w:pgSz w:w="12240" w:h="15840"/>
          <w:pgMar w:footer="2273" w:header="0"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6"/>
        <w:jc w:val="both"/>
      </w:pPr>
      <w:bookmarkStart w:name="Law and Procedure 159" w:id="70"/>
      <w:bookmarkEnd w:id="70"/>
      <w:r>
        <w:rPr/>
      </w:r>
      <w:r>
        <w:rPr/>
        <w:t>“process cannot exceed the scope of the contractual provisions authorizing it.”</w:t>
      </w:r>
      <w:r>
        <w:rPr>
          <w:vertAlign w:val="superscript"/>
        </w:rPr>
        <w:t>222</w:t>
      </w:r>
      <w:r>
        <w:rPr>
          <w:vertAlign w:val="baseline"/>
        </w:rPr>
        <w:t> </w:t>
      </w:r>
      <w:r>
        <w:rPr>
          <w:spacing w:val="-15"/>
          <w:vertAlign w:val="baseline"/>
        </w:rPr>
        <w:t>The </w:t>
      </w:r>
      <w:r>
        <w:rPr>
          <w:vertAlign w:val="baseline"/>
        </w:rPr>
        <w:t>court elaborated that while it is the job of the appraisal process to assess the value of the loss,</w:t>
      </w:r>
      <w:r>
        <w:rPr>
          <w:spacing w:val="-30"/>
          <w:vertAlign w:val="baseline"/>
        </w:rPr>
        <w:t> </w:t>
      </w:r>
      <w:r>
        <w:rPr>
          <w:vertAlign w:val="baseline"/>
        </w:rPr>
        <w:t>the</w:t>
      </w:r>
      <w:r>
        <w:rPr>
          <w:spacing w:val="-29"/>
          <w:vertAlign w:val="baseline"/>
        </w:rPr>
        <w:t> </w:t>
      </w:r>
      <w:r>
        <w:rPr>
          <w:vertAlign w:val="baseline"/>
        </w:rPr>
        <w:t>insurer</w:t>
      </w:r>
      <w:r>
        <w:rPr>
          <w:spacing w:val="-32"/>
          <w:vertAlign w:val="baseline"/>
        </w:rPr>
        <w:t> </w:t>
      </w:r>
      <w:r>
        <w:rPr>
          <w:vertAlign w:val="baseline"/>
        </w:rPr>
        <w:t>“retains</w:t>
      </w:r>
      <w:r>
        <w:rPr>
          <w:spacing w:val="-30"/>
          <w:vertAlign w:val="baseline"/>
        </w:rPr>
        <w:t> </w:t>
      </w:r>
      <w:r>
        <w:rPr>
          <w:vertAlign w:val="baseline"/>
        </w:rPr>
        <w:t>the</w:t>
      </w:r>
      <w:r>
        <w:rPr>
          <w:spacing w:val="-30"/>
          <w:vertAlign w:val="baseline"/>
        </w:rPr>
        <w:t> </w:t>
      </w:r>
      <w:r>
        <w:rPr>
          <w:vertAlign w:val="baseline"/>
        </w:rPr>
        <w:t>right</w:t>
      </w:r>
      <w:r>
        <w:rPr>
          <w:spacing w:val="-29"/>
          <w:vertAlign w:val="baseline"/>
        </w:rPr>
        <w:t> </w:t>
      </w:r>
      <w:r>
        <w:rPr>
          <w:vertAlign w:val="baseline"/>
        </w:rPr>
        <w:t>to</w:t>
      </w:r>
      <w:r>
        <w:rPr>
          <w:spacing w:val="-27"/>
          <w:vertAlign w:val="baseline"/>
        </w:rPr>
        <w:t> </w:t>
      </w:r>
      <w:r>
        <w:rPr>
          <w:vertAlign w:val="baseline"/>
        </w:rPr>
        <w:t>determine</w:t>
      </w:r>
      <w:r>
        <w:rPr>
          <w:spacing w:val="-27"/>
          <w:vertAlign w:val="baseline"/>
        </w:rPr>
        <w:t> </w:t>
      </w:r>
      <w:r>
        <w:rPr>
          <w:vertAlign w:val="baseline"/>
        </w:rPr>
        <w:t>in the first instance what portion of that loss is covered</w:t>
      </w:r>
      <w:r>
        <w:rPr>
          <w:spacing w:val="-25"/>
          <w:vertAlign w:val="baseline"/>
        </w:rPr>
        <w:t> </w:t>
      </w:r>
      <w:r>
        <w:rPr>
          <w:vertAlign w:val="baseline"/>
        </w:rPr>
        <w:t>by</w:t>
      </w:r>
      <w:r>
        <w:rPr>
          <w:spacing w:val="-25"/>
          <w:vertAlign w:val="baseline"/>
        </w:rPr>
        <w:t> </w:t>
      </w:r>
      <w:r>
        <w:rPr>
          <w:vertAlign w:val="baseline"/>
        </w:rPr>
        <w:t>the</w:t>
      </w:r>
      <w:r>
        <w:rPr>
          <w:spacing w:val="-24"/>
          <w:vertAlign w:val="baseline"/>
        </w:rPr>
        <w:t> </w:t>
      </w:r>
      <w:r>
        <w:rPr>
          <w:vertAlign w:val="baseline"/>
        </w:rPr>
        <w:t>policy.”</w:t>
      </w:r>
      <w:r>
        <w:rPr>
          <w:vertAlign w:val="superscript"/>
        </w:rPr>
        <w:t>223</w:t>
      </w:r>
      <w:r>
        <w:rPr>
          <w:spacing w:val="22"/>
          <w:vertAlign w:val="baseline"/>
        </w:rPr>
        <w:t> </w:t>
      </w:r>
      <w:r>
        <w:rPr>
          <w:vertAlign w:val="baseline"/>
        </w:rPr>
        <w:t>Thus,</w:t>
      </w:r>
      <w:r>
        <w:rPr>
          <w:spacing w:val="-25"/>
          <w:vertAlign w:val="baseline"/>
        </w:rPr>
        <w:t> </w:t>
      </w:r>
      <w:r>
        <w:rPr>
          <w:vertAlign w:val="baseline"/>
        </w:rPr>
        <w:t>on</w:t>
      </w:r>
      <w:r>
        <w:rPr>
          <w:spacing w:val="-24"/>
          <w:vertAlign w:val="baseline"/>
        </w:rPr>
        <w:t> </w:t>
      </w:r>
      <w:r>
        <w:rPr>
          <w:vertAlign w:val="baseline"/>
        </w:rPr>
        <w:t>an</w:t>
      </w:r>
      <w:r>
        <w:rPr>
          <w:spacing w:val="-22"/>
          <w:vertAlign w:val="baseline"/>
        </w:rPr>
        <w:t> </w:t>
      </w:r>
      <w:r>
        <w:rPr>
          <w:spacing w:val="-4"/>
          <w:vertAlign w:val="baseline"/>
        </w:rPr>
        <w:t>insured’s </w:t>
      </w:r>
      <w:r>
        <w:rPr>
          <w:vertAlign w:val="baseline"/>
        </w:rPr>
        <w:t>motion for summary judgment, there existed issues of fact as to: (1) the causation of the damages; and (2) what part of the</w:t>
      </w:r>
      <w:r>
        <w:rPr>
          <w:spacing w:val="-20"/>
          <w:vertAlign w:val="baseline"/>
        </w:rPr>
        <w:t> </w:t>
      </w:r>
      <w:r>
        <w:rPr>
          <w:vertAlign w:val="baseline"/>
        </w:rPr>
        <w:t>damages, </w:t>
      </w:r>
      <w:r>
        <w:rPr>
          <w:spacing w:val="2"/>
          <w:vertAlign w:val="baseline"/>
        </w:rPr>
        <w:t>if </w:t>
      </w:r>
      <w:r>
        <w:rPr>
          <w:vertAlign w:val="baseline"/>
        </w:rPr>
        <w:t>any, are limited to a specific maximum amount under the policy. Causation issues in North</w:t>
      </w:r>
      <w:r>
        <w:rPr>
          <w:spacing w:val="-11"/>
          <w:vertAlign w:val="baseline"/>
        </w:rPr>
        <w:t> </w:t>
      </w:r>
      <w:r>
        <w:rPr>
          <w:vertAlign w:val="baseline"/>
        </w:rPr>
        <w:t>Carolina,</w:t>
      </w:r>
      <w:r>
        <w:rPr>
          <w:spacing w:val="-11"/>
          <w:vertAlign w:val="baseline"/>
        </w:rPr>
        <w:t> </w:t>
      </w:r>
      <w:r>
        <w:rPr>
          <w:vertAlign w:val="baseline"/>
        </w:rPr>
        <w:t>therefore,</w:t>
      </w:r>
      <w:r>
        <w:rPr>
          <w:spacing w:val="-12"/>
          <w:vertAlign w:val="baseline"/>
        </w:rPr>
        <w:t> </w:t>
      </w:r>
      <w:r>
        <w:rPr>
          <w:vertAlign w:val="baseline"/>
        </w:rPr>
        <w:t>must</w:t>
      </w:r>
      <w:r>
        <w:rPr>
          <w:spacing w:val="-11"/>
          <w:vertAlign w:val="baseline"/>
        </w:rPr>
        <w:t> </w:t>
      </w:r>
      <w:r>
        <w:rPr>
          <w:vertAlign w:val="baseline"/>
        </w:rPr>
        <w:t>be</w:t>
      </w:r>
      <w:r>
        <w:rPr>
          <w:spacing w:val="-11"/>
          <w:vertAlign w:val="baseline"/>
        </w:rPr>
        <w:t> </w:t>
      </w:r>
      <w:r>
        <w:rPr>
          <w:vertAlign w:val="baseline"/>
        </w:rPr>
        <w:t>resolved</w:t>
      </w:r>
      <w:r>
        <w:rPr>
          <w:spacing w:val="-12"/>
          <w:vertAlign w:val="baseline"/>
        </w:rPr>
        <w:t> </w:t>
      </w:r>
      <w:r>
        <w:rPr>
          <w:vertAlign w:val="baseline"/>
        </w:rPr>
        <w:t>by a court before the loss covered by the policy can be</w:t>
      </w:r>
      <w:r>
        <w:rPr>
          <w:spacing w:val="-3"/>
          <w:vertAlign w:val="baseline"/>
        </w:rPr>
        <w:t> </w:t>
      </w:r>
      <w:r>
        <w:rPr>
          <w:vertAlign w:val="baseline"/>
        </w:rPr>
        <w:t>determined.</w:t>
      </w:r>
    </w:p>
    <w:p>
      <w:pPr>
        <w:pStyle w:val="BodyText"/>
        <w:spacing w:before="9"/>
        <w:rPr>
          <w:sz w:val="25"/>
        </w:rPr>
      </w:pPr>
    </w:p>
    <w:p>
      <w:pPr>
        <w:pStyle w:val="BodyText"/>
        <w:spacing w:line="242" w:lineRule="auto"/>
        <w:ind w:left="1520" w:right="1520" w:firstLine="720"/>
        <w:jc w:val="both"/>
      </w:pPr>
      <w:r>
        <w:rPr>
          <w:spacing w:val="3"/>
        </w:rPr>
        <w:t>In</w:t>
      </w:r>
      <w:r>
        <w:rPr>
          <w:spacing w:val="-19"/>
        </w:rPr>
        <w:t> </w:t>
      </w:r>
      <w:r>
        <w:rPr/>
        <w:t>a</w:t>
      </w:r>
      <w:r>
        <w:rPr>
          <w:spacing w:val="-20"/>
        </w:rPr>
        <w:t> </w:t>
      </w:r>
      <w:r>
        <w:rPr/>
        <w:t>case</w:t>
      </w:r>
      <w:r>
        <w:rPr>
          <w:spacing w:val="-20"/>
        </w:rPr>
        <w:t> </w:t>
      </w:r>
      <w:r>
        <w:rPr/>
        <w:t>of</w:t>
      </w:r>
      <w:r>
        <w:rPr>
          <w:spacing w:val="-18"/>
        </w:rPr>
        <w:t> </w:t>
      </w:r>
      <w:r>
        <w:rPr/>
        <w:t>first</w:t>
      </w:r>
      <w:r>
        <w:rPr>
          <w:spacing w:val="-20"/>
        </w:rPr>
        <w:t> </w:t>
      </w:r>
      <w:r>
        <w:rPr/>
        <w:t>impression,</w:t>
      </w:r>
      <w:r>
        <w:rPr>
          <w:spacing w:val="-20"/>
        </w:rPr>
        <w:t> </w:t>
      </w:r>
      <w:r>
        <w:rPr/>
        <w:t>the</w:t>
      </w:r>
      <w:r>
        <w:rPr>
          <w:spacing w:val="-19"/>
        </w:rPr>
        <w:t> </w:t>
      </w:r>
      <w:r>
        <w:rPr/>
        <w:t>Alabama Supreme Court concluded that a trial </w:t>
      </w:r>
      <w:r>
        <w:rPr>
          <w:spacing w:val="-3"/>
        </w:rPr>
        <w:t>court </w:t>
      </w:r>
      <w:r>
        <w:rPr/>
        <w:t>which had directed issues of causation to be resolved by appraisal was in error. </w:t>
      </w:r>
      <w:r>
        <w:rPr>
          <w:spacing w:val="3"/>
        </w:rPr>
        <w:t>It </w:t>
      </w:r>
      <w:r>
        <w:rPr/>
        <w:t>determined that the issue of whether the loss was</w:t>
      </w:r>
      <w:r>
        <w:rPr>
          <w:spacing w:val="-24"/>
        </w:rPr>
        <w:t> </w:t>
      </w:r>
      <w:r>
        <w:rPr/>
        <w:t>caused</w:t>
      </w:r>
      <w:r>
        <w:rPr>
          <w:spacing w:val="-23"/>
        </w:rPr>
        <w:t> </w:t>
      </w:r>
      <w:r>
        <w:rPr/>
        <w:t>by</w:t>
      </w:r>
      <w:r>
        <w:rPr>
          <w:spacing w:val="-25"/>
        </w:rPr>
        <w:t> </w:t>
      </w:r>
      <w:r>
        <w:rPr/>
        <w:t>settlement</w:t>
      </w:r>
      <w:r>
        <w:rPr>
          <w:spacing w:val="-26"/>
        </w:rPr>
        <w:t> </w:t>
      </w:r>
      <w:r>
        <w:rPr/>
        <w:t>or</w:t>
      </w:r>
      <w:r>
        <w:rPr>
          <w:spacing w:val="-22"/>
        </w:rPr>
        <w:t> </w:t>
      </w:r>
      <w:r>
        <w:rPr/>
        <w:t>a</w:t>
      </w:r>
      <w:r>
        <w:rPr>
          <w:spacing w:val="-22"/>
        </w:rPr>
        <w:t> </w:t>
      </w:r>
      <w:r>
        <w:rPr/>
        <w:t>tornado</w:t>
      </w:r>
      <w:r>
        <w:rPr>
          <w:spacing w:val="-23"/>
        </w:rPr>
        <w:t> </w:t>
      </w:r>
      <w:r>
        <w:rPr/>
        <w:t>was</w:t>
      </w:r>
      <w:r>
        <w:rPr>
          <w:spacing w:val="-23"/>
        </w:rPr>
        <w:t> </w:t>
      </w:r>
      <w:r>
        <w:rPr/>
        <w:t>for the lower court to</w:t>
      </w:r>
      <w:r>
        <w:rPr>
          <w:spacing w:val="-10"/>
        </w:rPr>
        <w:t> </w:t>
      </w:r>
      <w:r>
        <w:rPr/>
        <w:t>determine.</w:t>
      </w:r>
      <w:r>
        <w:rPr>
          <w:vertAlign w:val="superscript"/>
        </w:rPr>
        <w:t>224</w:t>
      </w:r>
    </w:p>
    <w:p>
      <w:pPr>
        <w:pStyle w:val="BodyText"/>
      </w:pPr>
    </w:p>
    <w:p>
      <w:pPr>
        <w:pStyle w:val="BodyText"/>
        <w:spacing w:line="242" w:lineRule="auto"/>
        <w:ind w:left="1520" w:right="1519" w:firstLine="720"/>
        <w:jc w:val="both"/>
      </w:pPr>
      <w:r>
        <w:rPr/>
        <w:t>However, in Ohio, the Court of Appeals has</w:t>
      </w:r>
      <w:r>
        <w:rPr>
          <w:spacing w:val="-17"/>
        </w:rPr>
        <w:t> </w:t>
      </w:r>
      <w:r>
        <w:rPr/>
        <w:t>found</w:t>
      </w:r>
      <w:r>
        <w:rPr>
          <w:spacing w:val="-16"/>
        </w:rPr>
        <w:t> </w:t>
      </w:r>
      <w:r>
        <w:rPr/>
        <w:t>that</w:t>
      </w:r>
      <w:r>
        <w:rPr>
          <w:spacing w:val="-19"/>
        </w:rPr>
        <w:t> </w:t>
      </w:r>
      <w:r>
        <w:rPr/>
        <w:t>an</w:t>
      </w:r>
      <w:r>
        <w:rPr>
          <w:spacing w:val="-17"/>
        </w:rPr>
        <w:t> </w:t>
      </w:r>
      <w:r>
        <w:rPr/>
        <w:t>action</w:t>
      </w:r>
      <w:r>
        <w:rPr>
          <w:spacing w:val="-16"/>
        </w:rPr>
        <w:t> </w:t>
      </w:r>
      <w:r>
        <w:rPr/>
        <w:t>to</w:t>
      </w:r>
      <w:r>
        <w:rPr>
          <w:spacing w:val="-18"/>
        </w:rPr>
        <w:t> </w:t>
      </w:r>
      <w:r>
        <w:rPr/>
        <w:t>appoint</w:t>
      </w:r>
      <w:r>
        <w:rPr>
          <w:spacing w:val="-19"/>
        </w:rPr>
        <w:t> </w:t>
      </w:r>
      <w:r>
        <w:rPr/>
        <w:t>an</w:t>
      </w:r>
      <w:r>
        <w:rPr>
          <w:spacing w:val="-17"/>
        </w:rPr>
        <w:t> </w:t>
      </w:r>
      <w:r>
        <w:rPr>
          <w:spacing w:val="-3"/>
        </w:rPr>
        <w:t>umpire </w:t>
      </w:r>
      <w:r>
        <w:rPr/>
        <w:t>is not the appropriate vehicle to</w:t>
      </w:r>
      <w:r>
        <w:rPr>
          <w:spacing w:val="-1"/>
        </w:rPr>
        <w:t> </w:t>
      </w:r>
      <w:r>
        <w:rPr/>
        <w:t>challenge</w:t>
      </w:r>
    </w:p>
    <w:p>
      <w:pPr>
        <w:pStyle w:val="BodyText"/>
        <w:rPr>
          <w:sz w:val="20"/>
        </w:rPr>
      </w:pPr>
    </w:p>
    <w:p>
      <w:pPr>
        <w:pStyle w:val="BodyText"/>
        <w:rPr>
          <w:sz w:val="20"/>
        </w:rPr>
      </w:pPr>
    </w:p>
    <w:p>
      <w:pPr>
        <w:pStyle w:val="BodyText"/>
        <w:rPr>
          <w:sz w:val="20"/>
        </w:rPr>
      </w:pPr>
    </w:p>
    <w:p>
      <w:pPr>
        <w:pStyle w:val="ListParagraph"/>
        <w:numPr>
          <w:ilvl w:val="0"/>
          <w:numId w:val="17"/>
        </w:numPr>
        <w:tabs>
          <w:tab w:pos="1435" w:val="left" w:leader="none"/>
        </w:tabs>
        <w:spacing w:line="240" w:lineRule="auto" w:before="0" w:after="0"/>
        <w:ind w:left="1434" w:right="0" w:hanging="275"/>
        <w:jc w:val="left"/>
        <w:rPr>
          <w:sz w:val="18"/>
        </w:rPr>
      </w:pPr>
      <w:r>
        <w:rPr>
          <w:sz w:val="18"/>
          <w:u w:val="single"/>
        </w:rPr>
        <w:t>North Carolina Farm Bureau Mut. Ins. Co., Inc.</w:t>
      </w:r>
      <w:r>
        <w:rPr>
          <w:sz w:val="18"/>
        </w:rPr>
        <w:t>,711 S.E.2d 114, 117</w:t>
      </w:r>
      <w:r>
        <w:rPr>
          <w:spacing w:val="3"/>
          <w:sz w:val="18"/>
        </w:rPr>
        <w:t> </w:t>
      </w:r>
      <w:r>
        <w:rPr>
          <w:sz w:val="18"/>
        </w:rPr>
        <w:t>(2011).</w:t>
      </w:r>
    </w:p>
    <w:p>
      <w:pPr>
        <w:pStyle w:val="ListParagraph"/>
        <w:numPr>
          <w:ilvl w:val="0"/>
          <w:numId w:val="17"/>
        </w:numPr>
        <w:tabs>
          <w:tab w:pos="1435" w:val="left" w:leader="none"/>
        </w:tabs>
        <w:spacing w:line="240" w:lineRule="auto" w:before="18" w:after="0"/>
        <w:ind w:left="1434" w:right="0" w:hanging="275"/>
        <w:jc w:val="left"/>
        <w:rPr>
          <w:sz w:val="18"/>
        </w:rPr>
      </w:pPr>
      <w:r>
        <w:rPr>
          <w:position w:val="-8"/>
          <w:sz w:val="18"/>
          <w:u w:val="single"/>
        </w:rPr>
        <w:t>Id.</w:t>
      </w:r>
    </w:p>
    <w:p>
      <w:pPr>
        <w:pStyle w:val="ListParagraph"/>
        <w:numPr>
          <w:ilvl w:val="0"/>
          <w:numId w:val="17"/>
        </w:numPr>
        <w:tabs>
          <w:tab w:pos="1430" w:val="left" w:leader="none"/>
        </w:tabs>
        <w:spacing w:line="264" w:lineRule="auto" w:before="19" w:after="0"/>
        <w:ind w:left="1160" w:right="1169" w:firstLine="0"/>
        <w:jc w:val="left"/>
        <w:rPr>
          <w:sz w:val="24"/>
        </w:rPr>
      </w:pPr>
      <w:r>
        <w:rPr>
          <w:sz w:val="18"/>
          <w:u w:val="single"/>
        </w:rPr>
        <w:t>Rogers</w:t>
      </w:r>
      <w:r>
        <w:rPr>
          <w:spacing w:val="-6"/>
          <w:sz w:val="18"/>
          <w:u w:val="single"/>
        </w:rPr>
        <w:t> </w:t>
      </w:r>
      <w:r>
        <w:rPr>
          <w:sz w:val="18"/>
          <w:u w:val="single"/>
        </w:rPr>
        <w:t>v.</w:t>
      </w:r>
      <w:r>
        <w:rPr>
          <w:spacing w:val="-4"/>
          <w:sz w:val="18"/>
          <w:u w:val="single"/>
        </w:rPr>
        <w:t> </w:t>
      </w:r>
      <w:r>
        <w:rPr>
          <w:sz w:val="18"/>
          <w:u w:val="single"/>
        </w:rPr>
        <w:t>State</w:t>
      </w:r>
      <w:r>
        <w:rPr>
          <w:spacing w:val="-6"/>
          <w:sz w:val="18"/>
          <w:u w:val="single"/>
        </w:rPr>
        <w:t> </w:t>
      </w:r>
      <w:r>
        <w:rPr>
          <w:sz w:val="18"/>
          <w:u w:val="single"/>
        </w:rPr>
        <w:t>Farm</w:t>
      </w:r>
      <w:r>
        <w:rPr>
          <w:spacing w:val="-10"/>
          <w:sz w:val="18"/>
          <w:u w:val="single"/>
        </w:rPr>
        <w:t> </w:t>
      </w:r>
      <w:r>
        <w:rPr>
          <w:sz w:val="18"/>
          <w:u w:val="single"/>
        </w:rPr>
        <w:t>Fire</w:t>
      </w:r>
      <w:r>
        <w:rPr>
          <w:spacing w:val="-4"/>
          <w:sz w:val="18"/>
          <w:u w:val="single"/>
        </w:rPr>
        <w:t> </w:t>
      </w:r>
      <w:r>
        <w:rPr>
          <w:sz w:val="18"/>
          <w:u w:val="single"/>
        </w:rPr>
        <w:t>&amp;</w:t>
      </w:r>
      <w:r>
        <w:rPr>
          <w:spacing w:val="-3"/>
          <w:sz w:val="18"/>
          <w:u w:val="single"/>
        </w:rPr>
        <w:t> </w:t>
      </w:r>
      <w:r>
        <w:rPr>
          <w:sz w:val="18"/>
          <w:u w:val="single"/>
        </w:rPr>
        <w:t>Cas.</w:t>
      </w:r>
      <w:r>
        <w:rPr>
          <w:spacing w:val="-3"/>
          <w:sz w:val="18"/>
          <w:u w:val="single"/>
        </w:rPr>
        <w:t> </w:t>
      </w:r>
      <w:r>
        <w:rPr>
          <w:sz w:val="18"/>
          <w:u w:val="single"/>
        </w:rPr>
        <w:t>Co</w:t>
      </w:r>
      <w:r>
        <w:rPr>
          <w:sz w:val="18"/>
        </w:rPr>
        <w:t>., 984</w:t>
      </w:r>
      <w:r>
        <w:rPr>
          <w:spacing w:val="-1"/>
          <w:sz w:val="18"/>
        </w:rPr>
        <w:t> </w:t>
      </w:r>
      <w:r>
        <w:rPr>
          <w:sz w:val="18"/>
        </w:rPr>
        <w:t>22d</w:t>
      </w:r>
      <w:r>
        <w:rPr>
          <w:spacing w:val="-1"/>
          <w:sz w:val="18"/>
        </w:rPr>
        <w:t> </w:t>
      </w:r>
      <w:r>
        <w:rPr>
          <w:sz w:val="18"/>
        </w:rPr>
        <w:t>382</w:t>
      </w:r>
      <w:r>
        <w:rPr>
          <w:spacing w:val="-1"/>
          <w:sz w:val="18"/>
        </w:rPr>
        <w:t> </w:t>
      </w:r>
      <w:r>
        <w:rPr>
          <w:sz w:val="18"/>
        </w:rPr>
        <w:t>(Ala.</w:t>
      </w:r>
      <w:r>
        <w:rPr>
          <w:spacing w:val="-4"/>
          <w:sz w:val="18"/>
        </w:rPr>
        <w:t> </w:t>
      </w:r>
      <w:r>
        <w:rPr>
          <w:sz w:val="18"/>
        </w:rPr>
        <w:t>2007);</w:t>
      </w:r>
      <w:r>
        <w:rPr>
          <w:spacing w:val="-4"/>
          <w:sz w:val="18"/>
        </w:rPr>
        <w:t> </w:t>
      </w:r>
      <w:r>
        <w:rPr>
          <w:i/>
          <w:sz w:val="18"/>
        </w:rPr>
        <w:t>See</w:t>
      </w:r>
      <w:r>
        <w:rPr>
          <w:i/>
          <w:spacing w:val="-6"/>
          <w:sz w:val="18"/>
        </w:rPr>
        <w:t> </w:t>
      </w:r>
      <w:r>
        <w:rPr>
          <w:i/>
          <w:sz w:val="18"/>
        </w:rPr>
        <w:t>also</w:t>
      </w:r>
      <w:r>
        <w:rPr>
          <w:sz w:val="18"/>
        </w:rPr>
        <w:t>,</w:t>
      </w:r>
      <w:r>
        <w:rPr>
          <w:spacing w:val="-4"/>
          <w:sz w:val="18"/>
        </w:rPr>
        <w:t> </w:t>
      </w:r>
      <w:r>
        <w:rPr>
          <w:sz w:val="18"/>
          <w:u w:val="single"/>
        </w:rPr>
        <w:t>Laird</w:t>
      </w:r>
      <w:r>
        <w:rPr>
          <w:spacing w:val="-4"/>
          <w:sz w:val="18"/>
          <w:u w:val="single"/>
        </w:rPr>
        <w:t> </w:t>
      </w:r>
      <w:r>
        <w:rPr>
          <w:sz w:val="18"/>
          <w:u w:val="single"/>
        </w:rPr>
        <w:t>v</w:t>
      </w:r>
      <w:r>
        <w:rPr>
          <w:spacing w:val="-7"/>
          <w:sz w:val="18"/>
          <w:u w:val="single"/>
        </w:rPr>
        <w:t> </w:t>
      </w:r>
      <w:r>
        <w:rPr>
          <w:sz w:val="18"/>
          <w:u w:val="single"/>
        </w:rPr>
        <w:t>CMI Lloyds</w:t>
      </w:r>
      <w:r>
        <w:rPr>
          <w:sz w:val="18"/>
        </w:rPr>
        <w:t>, 261 S.W.3d 322 (Tex. Ct. App.</w:t>
      </w:r>
      <w:r>
        <w:rPr>
          <w:spacing w:val="2"/>
          <w:sz w:val="18"/>
        </w:rPr>
        <w:t> </w:t>
      </w:r>
      <w:r>
        <w:rPr>
          <w:sz w:val="18"/>
        </w:rPr>
        <w:t>2008)</w:t>
      </w:r>
      <w:r>
        <w:rPr>
          <w:sz w:val="24"/>
        </w:rPr>
        <w:t>.</w:t>
      </w:r>
    </w:p>
    <w:p>
      <w:pPr>
        <w:spacing w:after="0" w:line="264" w:lineRule="auto"/>
        <w:jc w:val="left"/>
        <w:rPr>
          <w:sz w:val="24"/>
        </w:rPr>
        <w:sectPr>
          <w:footerReference w:type="default" r:id="rId12"/>
          <w:pgSz w:w="12240" w:h="15840"/>
          <w:pgMar w:footer="2476" w:header="0" w:top="1500" w:bottom="26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5"/>
        <w:jc w:val="both"/>
      </w:pPr>
      <w:bookmarkStart w:name="Law and Procedure 160" w:id="71"/>
      <w:bookmarkEnd w:id="71"/>
      <w:r>
        <w:rPr/>
      </w:r>
      <w:r>
        <w:rPr/>
        <w:t>causation. </w:t>
      </w:r>
      <w:r>
        <w:rPr>
          <w:spacing w:val="3"/>
        </w:rPr>
        <w:t>In </w:t>
      </w:r>
      <w:r>
        <w:rPr>
          <w:u w:val="single"/>
        </w:rPr>
        <w:t>Hull v. Motorists Ins. Group</w:t>
      </w:r>
      <w:r>
        <w:rPr/>
        <w:t>, the court found because the parties had only agreed in the insurance policy to let the</w:t>
      </w:r>
      <w:r>
        <w:rPr>
          <w:spacing w:val="-26"/>
        </w:rPr>
        <w:t> </w:t>
      </w:r>
      <w:r>
        <w:rPr/>
        <w:t>court select an umpire, and not to instruct the appraisers</w:t>
      </w:r>
      <w:r>
        <w:rPr>
          <w:spacing w:val="-19"/>
        </w:rPr>
        <w:t> </w:t>
      </w:r>
      <w:r>
        <w:rPr/>
        <w:t>on</w:t>
      </w:r>
      <w:r>
        <w:rPr>
          <w:spacing w:val="-17"/>
        </w:rPr>
        <w:t> </w:t>
      </w:r>
      <w:r>
        <w:rPr/>
        <w:t>causation</w:t>
      </w:r>
      <w:r>
        <w:rPr>
          <w:spacing w:val="-17"/>
        </w:rPr>
        <w:t> </w:t>
      </w:r>
      <w:r>
        <w:rPr/>
        <w:t>issues,</w:t>
      </w:r>
      <w:r>
        <w:rPr>
          <w:spacing w:val="-20"/>
        </w:rPr>
        <w:t> </w:t>
      </w:r>
      <w:r>
        <w:rPr/>
        <w:t>such</w:t>
      </w:r>
      <w:r>
        <w:rPr>
          <w:spacing w:val="-17"/>
        </w:rPr>
        <w:t> </w:t>
      </w:r>
      <w:r>
        <w:rPr/>
        <w:t>instruction went</w:t>
      </w:r>
      <w:r>
        <w:rPr>
          <w:spacing w:val="-33"/>
        </w:rPr>
        <w:t> </w:t>
      </w:r>
      <w:r>
        <w:rPr/>
        <w:t>beyond</w:t>
      </w:r>
      <w:r>
        <w:rPr>
          <w:spacing w:val="-29"/>
        </w:rPr>
        <w:t> </w:t>
      </w:r>
      <w:r>
        <w:rPr/>
        <w:t>the</w:t>
      </w:r>
      <w:r>
        <w:rPr>
          <w:spacing w:val="-29"/>
        </w:rPr>
        <w:t> </w:t>
      </w:r>
      <w:r>
        <w:rPr/>
        <w:t>scope</w:t>
      </w:r>
      <w:r>
        <w:rPr>
          <w:spacing w:val="-27"/>
        </w:rPr>
        <w:t> </w:t>
      </w:r>
      <w:r>
        <w:rPr/>
        <w:t>of</w:t>
      </w:r>
      <w:r>
        <w:rPr>
          <w:spacing w:val="-30"/>
        </w:rPr>
        <w:t> </w:t>
      </w:r>
      <w:r>
        <w:rPr/>
        <w:t>the</w:t>
      </w:r>
      <w:r>
        <w:rPr>
          <w:spacing w:val="-31"/>
        </w:rPr>
        <w:t> </w:t>
      </w:r>
      <w:r>
        <w:rPr/>
        <w:t>court’s</w:t>
      </w:r>
      <w:r>
        <w:rPr>
          <w:spacing w:val="-31"/>
        </w:rPr>
        <w:t> </w:t>
      </w:r>
      <w:r>
        <w:rPr/>
        <w:t>authority under the contract. </w:t>
      </w:r>
      <w:r>
        <w:rPr>
          <w:spacing w:val="2"/>
        </w:rPr>
        <w:t>As </w:t>
      </w:r>
      <w:r>
        <w:rPr/>
        <w:t>the contract did not call for the court to limit the way in which the appraisers and umpire determine the value</w:t>
      </w:r>
      <w:r>
        <w:rPr>
          <w:spacing w:val="-36"/>
        </w:rPr>
        <w:t> </w:t>
      </w:r>
      <w:r>
        <w:rPr/>
        <w:t>of the insured’s property and the amount of loss he suffered, no instruction on causation could be</w:t>
      </w:r>
      <w:r>
        <w:rPr>
          <w:spacing w:val="-1"/>
        </w:rPr>
        <w:t> </w:t>
      </w:r>
      <w:r>
        <w:rPr/>
        <w:t>given.</w:t>
      </w:r>
      <w:r>
        <w:rPr>
          <w:vertAlign w:val="superscript"/>
        </w:rPr>
        <w:t>225</w:t>
      </w:r>
    </w:p>
    <w:p>
      <w:pPr>
        <w:pStyle w:val="BodyText"/>
        <w:spacing w:before="10"/>
        <w:rPr>
          <w:sz w:val="25"/>
        </w:rPr>
      </w:pPr>
    </w:p>
    <w:p>
      <w:pPr>
        <w:pStyle w:val="BodyText"/>
        <w:spacing w:line="242" w:lineRule="auto"/>
        <w:ind w:left="1520" w:right="1518" w:firstLine="720"/>
        <w:jc w:val="both"/>
      </w:pPr>
      <w:r>
        <w:rPr/>
        <w:t>Some courts have drawn a very fine line with</w:t>
      </w:r>
      <w:r>
        <w:rPr>
          <w:spacing w:val="-28"/>
        </w:rPr>
        <w:t> </w:t>
      </w:r>
      <w:r>
        <w:rPr/>
        <w:t>respect</w:t>
      </w:r>
      <w:r>
        <w:rPr>
          <w:spacing w:val="-29"/>
        </w:rPr>
        <w:t> </w:t>
      </w:r>
      <w:r>
        <w:rPr/>
        <w:t>to</w:t>
      </w:r>
      <w:r>
        <w:rPr>
          <w:spacing w:val="-29"/>
        </w:rPr>
        <w:t> </w:t>
      </w:r>
      <w:r>
        <w:rPr/>
        <w:t>whether</w:t>
      </w:r>
      <w:r>
        <w:rPr>
          <w:spacing w:val="-31"/>
        </w:rPr>
        <w:t> </w:t>
      </w:r>
      <w:r>
        <w:rPr/>
        <w:t>appraisers</w:t>
      </w:r>
      <w:r>
        <w:rPr>
          <w:spacing w:val="-30"/>
        </w:rPr>
        <w:t> </w:t>
      </w:r>
      <w:r>
        <w:rPr/>
        <w:t>may</w:t>
      </w:r>
      <w:r>
        <w:rPr>
          <w:spacing w:val="-31"/>
        </w:rPr>
        <w:t> </w:t>
      </w:r>
      <w:r>
        <w:rPr/>
        <w:t>resolve the issue of causation. </w:t>
      </w:r>
      <w:r>
        <w:rPr>
          <w:spacing w:val="-3"/>
        </w:rPr>
        <w:t>The </w:t>
      </w:r>
      <w:r>
        <w:rPr/>
        <w:t>Federal District Court</w:t>
      </w:r>
      <w:r>
        <w:rPr>
          <w:spacing w:val="-36"/>
        </w:rPr>
        <w:t> </w:t>
      </w:r>
      <w:r>
        <w:rPr/>
        <w:t>of</w:t>
      </w:r>
      <w:r>
        <w:rPr>
          <w:spacing w:val="-33"/>
        </w:rPr>
        <w:t> </w:t>
      </w:r>
      <w:r>
        <w:rPr/>
        <w:t>Maryland</w:t>
      </w:r>
      <w:r>
        <w:rPr>
          <w:spacing w:val="-32"/>
        </w:rPr>
        <w:t> </w:t>
      </w:r>
      <w:r>
        <w:rPr/>
        <w:t>for</w:t>
      </w:r>
      <w:r>
        <w:rPr>
          <w:spacing w:val="-35"/>
        </w:rPr>
        <w:t> </w:t>
      </w:r>
      <w:r>
        <w:rPr/>
        <w:t>example</w:t>
      </w:r>
      <w:r>
        <w:rPr>
          <w:spacing w:val="-31"/>
        </w:rPr>
        <w:t> </w:t>
      </w:r>
      <w:r>
        <w:rPr/>
        <w:t>was</w:t>
      </w:r>
      <w:r>
        <w:rPr>
          <w:spacing w:val="-32"/>
        </w:rPr>
        <w:t> </w:t>
      </w:r>
      <w:r>
        <w:rPr/>
        <w:t>confronted with</w:t>
      </w:r>
      <w:r>
        <w:rPr>
          <w:spacing w:val="-12"/>
        </w:rPr>
        <w:t> </w:t>
      </w:r>
      <w:r>
        <w:rPr/>
        <w:t>a</w:t>
      </w:r>
      <w:r>
        <w:rPr>
          <w:spacing w:val="-13"/>
        </w:rPr>
        <w:t> </w:t>
      </w:r>
      <w:r>
        <w:rPr/>
        <w:t>roof</w:t>
      </w:r>
      <w:r>
        <w:rPr>
          <w:spacing w:val="-11"/>
        </w:rPr>
        <w:t> </w:t>
      </w:r>
      <w:r>
        <w:rPr/>
        <w:t>collapse</w:t>
      </w:r>
      <w:r>
        <w:rPr>
          <w:spacing w:val="-10"/>
        </w:rPr>
        <w:t> </w:t>
      </w:r>
      <w:r>
        <w:rPr/>
        <w:t>where</w:t>
      </w:r>
      <w:r>
        <w:rPr>
          <w:spacing w:val="-14"/>
        </w:rPr>
        <w:t> </w:t>
      </w:r>
      <w:r>
        <w:rPr/>
        <w:t>the</w:t>
      </w:r>
      <w:r>
        <w:rPr>
          <w:spacing w:val="-12"/>
        </w:rPr>
        <w:t> </w:t>
      </w:r>
      <w:r>
        <w:rPr/>
        <w:t>carrier</w:t>
      </w:r>
      <w:r>
        <w:rPr>
          <w:spacing w:val="-14"/>
        </w:rPr>
        <w:t> </w:t>
      </w:r>
      <w:r>
        <w:rPr/>
        <w:t>asserted a portion of the loss was due to rotted and decayed framing members from long </w:t>
      </w:r>
      <w:r>
        <w:rPr>
          <w:spacing w:val="-5"/>
        </w:rPr>
        <w:t>term </w:t>
      </w:r>
      <w:r>
        <w:rPr/>
        <w:t>exposure</w:t>
      </w:r>
      <w:r>
        <w:rPr>
          <w:spacing w:val="-31"/>
        </w:rPr>
        <w:t> </w:t>
      </w:r>
      <w:r>
        <w:rPr/>
        <w:t>to</w:t>
      </w:r>
      <w:r>
        <w:rPr>
          <w:spacing w:val="-31"/>
        </w:rPr>
        <w:t> </w:t>
      </w:r>
      <w:r>
        <w:rPr/>
        <w:t>water.</w:t>
      </w:r>
      <w:r>
        <w:rPr>
          <w:spacing w:val="7"/>
        </w:rPr>
        <w:t> </w:t>
      </w:r>
      <w:r>
        <w:rPr/>
        <w:t>Nevertheless,</w:t>
      </w:r>
      <w:r>
        <w:rPr>
          <w:spacing w:val="-33"/>
        </w:rPr>
        <w:t> </w:t>
      </w:r>
      <w:r>
        <w:rPr/>
        <w:t>the</w:t>
      </w:r>
      <w:r>
        <w:rPr>
          <w:spacing w:val="-31"/>
        </w:rPr>
        <w:t> </w:t>
      </w:r>
      <w:r>
        <w:rPr/>
        <w:t>insurance carrier offered a substantial sum in</w:t>
      </w:r>
      <w:r>
        <w:rPr>
          <w:spacing w:val="-53"/>
        </w:rPr>
        <w:t> </w:t>
      </w:r>
      <w:r>
        <w:rPr/>
        <w:t>satisfaction of the insured’s claim based on its evaluation of the value of the immediate and direct damage</w:t>
      </w:r>
      <w:r>
        <w:rPr>
          <w:spacing w:val="-26"/>
        </w:rPr>
        <w:t> </w:t>
      </w:r>
      <w:r>
        <w:rPr/>
        <w:t>resulting</w:t>
      </w:r>
      <w:r>
        <w:rPr>
          <w:spacing w:val="-25"/>
        </w:rPr>
        <w:t> </w:t>
      </w:r>
      <w:r>
        <w:rPr/>
        <w:t>from</w:t>
      </w:r>
      <w:r>
        <w:rPr>
          <w:spacing w:val="-29"/>
        </w:rPr>
        <w:t> </w:t>
      </w:r>
      <w:r>
        <w:rPr/>
        <w:t>the</w:t>
      </w:r>
      <w:r>
        <w:rPr>
          <w:spacing w:val="-30"/>
        </w:rPr>
        <w:t> </w:t>
      </w:r>
      <w:r>
        <w:rPr/>
        <w:t>collapse</w:t>
      </w:r>
      <w:r>
        <w:rPr>
          <w:spacing w:val="-25"/>
        </w:rPr>
        <w:t> </w:t>
      </w:r>
      <w:r>
        <w:rPr/>
        <w:t>of</w:t>
      </w:r>
      <w:r>
        <w:rPr>
          <w:spacing w:val="-28"/>
        </w:rPr>
        <w:t> </w:t>
      </w:r>
      <w:r>
        <w:rPr/>
        <w:t>the</w:t>
      </w:r>
      <w:r>
        <w:rPr>
          <w:spacing w:val="-28"/>
        </w:rPr>
        <w:t> </w:t>
      </w:r>
      <w:r>
        <w:rPr>
          <w:spacing w:val="-4"/>
        </w:rPr>
        <w:t>roof. </w:t>
      </w:r>
      <w:r>
        <w:rPr>
          <w:spacing w:val="3"/>
        </w:rPr>
        <w:t>In</w:t>
      </w:r>
      <w:r>
        <w:rPr>
          <w:spacing w:val="-10"/>
        </w:rPr>
        <w:t> </w:t>
      </w:r>
      <w:r>
        <w:rPr/>
        <w:t>these</w:t>
      </w:r>
      <w:r>
        <w:rPr>
          <w:spacing w:val="-11"/>
        </w:rPr>
        <w:t> </w:t>
      </w:r>
      <w:r>
        <w:rPr/>
        <w:t>circumstances,</w:t>
      </w:r>
      <w:r>
        <w:rPr>
          <w:spacing w:val="-11"/>
        </w:rPr>
        <w:t> </w:t>
      </w:r>
      <w:r>
        <w:rPr/>
        <w:t>the</w:t>
      </w:r>
      <w:r>
        <w:rPr>
          <w:spacing w:val="-10"/>
        </w:rPr>
        <w:t> </w:t>
      </w:r>
      <w:r>
        <w:rPr/>
        <w:t>court</w:t>
      </w:r>
      <w:r>
        <w:rPr>
          <w:spacing w:val="-13"/>
        </w:rPr>
        <w:t> </w:t>
      </w:r>
      <w:r>
        <w:rPr/>
        <w:t>rejected</w:t>
      </w:r>
      <w:r>
        <w:rPr>
          <w:spacing w:val="-10"/>
        </w:rPr>
        <w:t> </w:t>
      </w:r>
      <w:r>
        <w:rPr/>
        <w:t>the insurance company’s assertion that appraisal was limited only to the monetary valuation of areas</w:t>
      </w:r>
      <w:r>
        <w:rPr>
          <w:spacing w:val="-25"/>
        </w:rPr>
        <w:t> </w:t>
      </w:r>
      <w:r>
        <w:rPr/>
        <w:t>of</w:t>
      </w:r>
      <w:r>
        <w:rPr>
          <w:spacing w:val="-24"/>
        </w:rPr>
        <w:t> </w:t>
      </w:r>
      <w:r>
        <w:rPr/>
        <w:t>damage</w:t>
      </w:r>
      <w:r>
        <w:rPr>
          <w:spacing w:val="-24"/>
        </w:rPr>
        <w:t> </w:t>
      </w:r>
      <w:r>
        <w:rPr/>
        <w:t>that</w:t>
      </w:r>
      <w:r>
        <w:rPr>
          <w:spacing w:val="-26"/>
        </w:rPr>
        <w:t> </w:t>
      </w:r>
      <w:r>
        <w:rPr/>
        <w:t>the</w:t>
      </w:r>
      <w:r>
        <w:rPr>
          <w:spacing w:val="-23"/>
        </w:rPr>
        <w:t> </w:t>
      </w:r>
      <w:r>
        <w:rPr/>
        <w:t>parties</w:t>
      </w:r>
      <w:r>
        <w:rPr>
          <w:spacing w:val="-23"/>
        </w:rPr>
        <w:t> </w:t>
      </w:r>
      <w:r>
        <w:rPr/>
        <w:t>agreed</w:t>
      </w:r>
      <w:r>
        <w:rPr>
          <w:spacing w:val="-26"/>
        </w:rPr>
        <w:t> </w:t>
      </w:r>
      <w:r>
        <w:rPr>
          <w:spacing w:val="-3"/>
        </w:rPr>
        <w:t>were </w:t>
      </w:r>
      <w:r>
        <w:rPr/>
        <w:t>covered by the policy. The court stated:</w:t>
      </w:r>
      <w:r>
        <w:rPr>
          <w:spacing w:val="-39"/>
        </w:rPr>
        <w:t> </w:t>
      </w:r>
      <w:r>
        <w:rPr/>
        <w:t>“[T]o</w:t>
      </w:r>
    </w:p>
    <w:p>
      <w:pPr>
        <w:pStyle w:val="BodyText"/>
        <w:rPr>
          <w:sz w:val="27"/>
        </w:rPr>
      </w:pPr>
      <w:r>
        <w:rPr/>
        <w:pict>
          <v:shape style="position:absolute;margin-left:162pt;margin-top:18.970942pt;width:143.9pt;height:.1pt;mso-position-horizontal-relative:page;mso-position-vertical-relative:paragraph;z-index:-251570176;mso-wrap-distance-left:0;mso-wrap-distance-right:0" coordorigin="3240,379" coordsize="2878,0" path="m3240,379l6118,379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7"/>
        </w:numPr>
        <w:tabs>
          <w:tab w:pos="1421" w:val="left" w:leader="none"/>
        </w:tabs>
        <w:spacing w:line="240" w:lineRule="auto" w:before="71" w:after="0"/>
        <w:ind w:left="1420" w:right="0" w:hanging="261"/>
        <w:jc w:val="left"/>
        <w:rPr>
          <w:sz w:val="24"/>
        </w:rPr>
      </w:pPr>
      <w:r>
        <w:rPr>
          <w:i/>
          <w:sz w:val="18"/>
        </w:rPr>
        <w:t>See </w:t>
      </w:r>
      <w:r>
        <w:rPr>
          <w:sz w:val="18"/>
          <w:u w:val="single"/>
        </w:rPr>
        <w:t>Hull v. Motorists Ins. Group</w:t>
      </w:r>
      <w:r>
        <w:rPr>
          <w:sz w:val="18"/>
        </w:rPr>
        <w:t>, 2011 WL 2040958 (Ohio Ct. App.</w:t>
      </w:r>
      <w:r>
        <w:rPr>
          <w:spacing w:val="3"/>
          <w:sz w:val="18"/>
        </w:rPr>
        <w:t> </w:t>
      </w:r>
      <w:r>
        <w:rPr>
          <w:sz w:val="18"/>
        </w:rPr>
        <w:t>2011)</w:t>
      </w:r>
      <w:r>
        <w:rPr>
          <w:sz w:val="24"/>
        </w:rPr>
        <w:t>.</w:t>
      </w:r>
    </w:p>
    <w:p>
      <w:pPr>
        <w:spacing w:after="0" w:line="240" w:lineRule="auto"/>
        <w:jc w:val="left"/>
        <w:rPr>
          <w:sz w:val="24"/>
        </w:rPr>
        <w:sectPr>
          <w:footerReference w:type="default" r:id="rId13"/>
          <w:pgSz w:w="12240" w:h="15840"/>
          <w:pgMar w:footer="2273" w:header="0" w:top="1500" w:bottom="2460" w:left="1720" w:right="1720"/>
          <w:pgNumType w:start="136"/>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161" w:id="72"/>
      <w:bookmarkEnd w:id="72"/>
      <w:r>
        <w:rPr/>
      </w:r>
      <w:r>
        <w:rPr/>
        <w:t>so read the appraisal clause would make the term ‘amount of loss’ simply redundant to the term ‘actual cash value’.”</w:t>
      </w:r>
      <w:r>
        <w:rPr>
          <w:vertAlign w:val="superscript"/>
        </w:rPr>
        <w:t>226</w:t>
      </w:r>
      <w:r>
        <w:rPr>
          <w:vertAlign w:val="baseline"/>
        </w:rPr>
        <w:t> The </w:t>
      </w:r>
      <w:r>
        <w:rPr>
          <w:spacing w:val="-8"/>
          <w:vertAlign w:val="baseline"/>
        </w:rPr>
        <w:t>court </w:t>
      </w:r>
      <w:r>
        <w:rPr>
          <w:vertAlign w:val="baseline"/>
        </w:rPr>
        <w:t>nevertheless concluded that the appraisal provision did not apply to these facts. The court reasoned that the appraisal provision would apply only if the insurance company had disputed the factual issue of whether a larger area than that immediately damaged by collapse had to be repaired in order to restore the damage. The court determined instead, that the insurance company </w:t>
      </w:r>
      <w:r>
        <w:rPr>
          <w:spacing w:val="-4"/>
          <w:vertAlign w:val="baseline"/>
        </w:rPr>
        <w:t>had</w:t>
      </w:r>
      <w:r>
        <w:rPr>
          <w:spacing w:val="63"/>
          <w:vertAlign w:val="baseline"/>
        </w:rPr>
        <w:t> </w:t>
      </w:r>
      <w:r>
        <w:rPr>
          <w:vertAlign w:val="baseline"/>
        </w:rPr>
        <w:t>contested the legal causation of the collapse on the grounds that certain policy exclusions applied to limit the scope of coverage. The court concluded as follows:</w:t>
      </w:r>
    </w:p>
    <w:p>
      <w:pPr>
        <w:pStyle w:val="BodyText"/>
        <w:spacing w:before="9"/>
        <w:rPr>
          <w:sz w:val="25"/>
        </w:rPr>
      </w:pPr>
    </w:p>
    <w:p>
      <w:pPr>
        <w:pStyle w:val="BodyText"/>
        <w:spacing w:line="242" w:lineRule="auto"/>
        <w:ind w:left="2240" w:right="2237"/>
        <w:jc w:val="both"/>
      </w:pPr>
      <w:r>
        <w:rPr/>
        <w:t>“This issue is one of </w:t>
      </w:r>
      <w:r>
        <w:rPr>
          <w:spacing w:val="-3"/>
        </w:rPr>
        <w:t>contract </w:t>
      </w:r>
      <w:r>
        <w:rPr/>
        <w:t>interpretation which is within the competence of the court, not </w:t>
      </w:r>
      <w:r>
        <w:rPr>
          <w:spacing w:val="-6"/>
        </w:rPr>
        <w:t>an </w:t>
      </w:r>
      <w:r>
        <w:rPr/>
        <w:t>appraiser, to resolve. Of course, to the</w:t>
      </w:r>
      <w:r>
        <w:rPr>
          <w:spacing w:val="-23"/>
        </w:rPr>
        <w:t> </w:t>
      </w:r>
      <w:r>
        <w:rPr/>
        <w:t>extent</w:t>
      </w:r>
      <w:r>
        <w:rPr>
          <w:spacing w:val="-23"/>
        </w:rPr>
        <w:t> </w:t>
      </w:r>
      <w:r>
        <w:rPr/>
        <w:t>that</w:t>
      </w:r>
      <w:r>
        <w:rPr>
          <w:spacing w:val="-21"/>
        </w:rPr>
        <w:t> </w:t>
      </w:r>
      <w:r>
        <w:rPr/>
        <w:t>issues</w:t>
      </w:r>
      <w:r>
        <w:rPr>
          <w:spacing w:val="-19"/>
        </w:rPr>
        <w:t> </w:t>
      </w:r>
      <w:r>
        <w:rPr/>
        <w:t>of</w:t>
      </w:r>
      <w:r>
        <w:rPr>
          <w:spacing w:val="-22"/>
        </w:rPr>
        <w:t> </w:t>
      </w:r>
      <w:r>
        <w:rPr/>
        <w:t>design</w:t>
      </w:r>
      <w:r>
        <w:rPr>
          <w:spacing w:val="-22"/>
        </w:rPr>
        <w:t> </w:t>
      </w:r>
      <w:r>
        <w:rPr/>
        <w:t>and </w:t>
      </w:r>
      <w:r>
        <w:rPr>
          <w:spacing w:val="6"/>
        </w:rPr>
        <w:t>construction</w:t>
      </w:r>
      <w:r>
        <w:rPr>
          <w:spacing w:val="83"/>
        </w:rPr>
        <w:t> </w:t>
      </w:r>
      <w:r>
        <w:rPr>
          <w:spacing w:val="4"/>
        </w:rPr>
        <w:t>relating ‘to the </w:t>
      </w:r>
      <w:r>
        <w:rPr/>
        <w:t>amount of loss’ are ultimately presented, these will be properly </w:t>
      </w:r>
      <w:r>
        <w:rPr>
          <w:spacing w:val="16"/>
        </w:rPr>
        <w:t>referable </w:t>
      </w:r>
      <w:r>
        <w:rPr>
          <w:spacing w:val="8"/>
        </w:rPr>
        <w:t>to </w:t>
      </w:r>
      <w:r>
        <w:rPr>
          <w:spacing w:val="11"/>
        </w:rPr>
        <w:t>the </w:t>
      </w:r>
      <w:r>
        <w:rPr>
          <w:spacing w:val="15"/>
        </w:rPr>
        <w:t>appraisal </w:t>
      </w:r>
      <w:r>
        <w:rPr/>
        <w:t>process.”</w:t>
      </w:r>
      <w:r>
        <w:rPr>
          <w:vertAlign w:val="superscript"/>
        </w:rPr>
        <w:t>227</w:t>
      </w:r>
    </w:p>
    <w:p>
      <w:pPr>
        <w:pStyle w:val="BodyText"/>
        <w:spacing w:before="11"/>
        <w:rPr>
          <w:sz w:val="25"/>
        </w:rPr>
      </w:pPr>
    </w:p>
    <w:p>
      <w:pPr>
        <w:pStyle w:val="BodyText"/>
        <w:tabs>
          <w:tab w:pos="3281" w:val="left" w:leader="none"/>
          <w:tab w:pos="4281" w:val="left" w:leader="none"/>
          <w:tab w:pos="5178" w:val="left" w:leader="none"/>
          <w:tab w:pos="6102" w:val="left" w:leader="none"/>
          <w:tab w:pos="6949" w:val="left" w:leader="none"/>
        </w:tabs>
        <w:spacing w:line="242" w:lineRule="auto"/>
        <w:ind w:left="1520" w:right="1518" w:firstLine="720"/>
      </w:pPr>
      <w:r>
        <w:rPr/>
        <w:t>Similar</w:t>
        <w:tab/>
        <w:t>results</w:t>
        <w:tab/>
        <w:t>have</w:t>
        <w:tab/>
        <w:t>been</w:t>
        <w:tab/>
        <w:t>seen</w:t>
        <w:tab/>
      </w:r>
      <w:r>
        <w:rPr>
          <w:spacing w:val="-6"/>
        </w:rPr>
        <w:t>for </w:t>
      </w:r>
      <w:r>
        <w:rPr/>
        <w:t>example in Illinois, where the Northern</w:t>
      </w:r>
      <w:r>
        <w:rPr>
          <w:spacing w:val="29"/>
        </w:rPr>
        <w:t> </w:t>
      </w:r>
      <w:r>
        <w:rPr/>
        <w:t>District</w:t>
      </w:r>
    </w:p>
    <w:p>
      <w:pPr>
        <w:pStyle w:val="BodyText"/>
        <w:spacing w:before="1"/>
        <w:rPr>
          <w:sz w:val="16"/>
        </w:rPr>
      </w:pPr>
      <w:r>
        <w:rPr/>
        <w:pict>
          <v:shape style="position:absolute;margin-left:162pt;margin-top:12.283369pt;width:143.9pt;height:.1pt;mso-position-horizontal-relative:page;mso-position-vertical-relative:paragraph;z-index:-251569152;mso-wrap-distance-left:0;mso-wrap-distance-right:0" coordorigin="3240,246" coordsize="2878,0" path="m3240,246l6118,246e" filled="false" stroked="true" strokeweight=".84pt" strokecolor="#000000">
            <v:path arrowok="t"/>
            <v:stroke dashstyle="solid"/>
            <w10:wrap type="topAndBottom"/>
          </v:shape>
        </w:pict>
      </w:r>
    </w:p>
    <w:p>
      <w:pPr>
        <w:pStyle w:val="ListParagraph"/>
        <w:numPr>
          <w:ilvl w:val="0"/>
          <w:numId w:val="17"/>
        </w:numPr>
        <w:tabs>
          <w:tab w:pos="1421" w:val="left" w:leader="none"/>
        </w:tabs>
        <w:spacing w:line="245" w:lineRule="exact" w:before="140" w:after="0"/>
        <w:ind w:left="1421" w:right="0" w:hanging="261"/>
        <w:jc w:val="left"/>
        <w:rPr>
          <w:sz w:val="18"/>
        </w:rPr>
      </w:pPr>
      <w:r>
        <w:rPr>
          <w:sz w:val="18"/>
          <w:u w:val="single"/>
        </w:rPr>
        <w:t>Wausau Ins. Co. v. Herbert Halporin Dist. Corp.</w:t>
      </w:r>
      <w:r>
        <w:rPr>
          <w:sz w:val="18"/>
        </w:rPr>
        <w:t>, 664 F.Supp. 987 (D. Md.</w:t>
      </w:r>
      <w:r>
        <w:rPr>
          <w:spacing w:val="8"/>
          <w:sz w:val="18"/>
        </w:rPr>
        <w:t> </w:t>
      </w:r>
      <w:r>
        <w:rPr>
          <w:sz w:val="18"/>
        </w:rPr>
        <w:t>1987).</w:t>
      </w:r>
    </w:p>
    <w:p>
      <w:pPr>
        <w:spacing w:line="235" w:lineRule="exact" w:before="0"/>
        <w:ind w:left="1160" w:right="0" w:firstLine="0"/>
        <w:jc w:val="left"/>
        <w:rPr>
          <w:rFonts w:ascii="Times New Roman"/>
          <w:sz w:val="18"/>
        </w:rPr>
      </w:pPr>
      <w:r>
        <w:rPr>
          <w:rFonts w:ascii="Times New Roman"/>
          <w:position w:val="9"/>
          <w:sz w:val="14"/>
        </w:rPr>
        <w:t>227 </w:t>
      </w:r>
      <w:r>
        <w:rPr>
          <w:rFonts w:ascii="Times New Roman"/>
          <w:sz w:val="18"/>
          <w:u w:val="single"/>
        </w:rPr>
        <w:t>Id</w:t>
      </w:r>
      <w:r>
        <w:rPr>
          <w:rFonts w:ascii="Times New Roman"/>
          <w:sz w:val="18"/>
        </w:rPr>
        <w:t>. at 989.</w:t>
      </w:r>
    </w:p>
    <w:p>
      <w:pPr>
        <w:spacing w:after="0" w:line="235" w:lineRule="exact"/>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5"/>
      </w:pPr>
      <w:bookmarkStart w:name="Law and Procedure 162" w:id="73"/>
      <w:bookmarkEnd w:id="73"/>
      <w:r>
        <w:rPr/>
      </w:r>
      <w:r>
        <w:rPr/>
        <w:t>Court held that causation is a matter for the courts, not an appraiser.</w:t>
      </w:r>
      <w:r>
        <w:rPr>
          <w:vertAlign w:val="superscript"/>
        </w:rPr>
        <w:t>228</w:t>
      </w:r>
    </w:p>
    <w:p>
      <w:pPr>
        <w:pStyle w:val="BodyText"/>
        <w:spacing w:before="1"/>
      </w:pPr>
    </w:p>
    <w:p>
      <w:pPr>
        <w:pStyle w:val="BodyText"/>
        <w:spacing w:line="242" w:lineRule="auto" w:before="1"/>
        <w:ind w:left="1520" w:right="1518" w:firstLine="720"/>
        <w:jc w:val="both"/>
      </w:pPr>
      <w:r>
        <w:rPr/>
        <w:t>The</w:t>
      </w:r>
      <w:r>
        <w:rPr>
          <w:spacing w:val="-16"/>
        </w:rPr>
        <w:t> </w:t>
      </w:r>
      <w:r>
        <w:rPr/>
        <w:t>Texas</w:t>
      </w:r>
      <w:r>
        <w:rPr>
          <w:spacing w:val="-11"/>
        </w:rPr>
        <w:t> </w:t>
      </w:r>
      <w:r>
        <w:rPr/>
        <w:t>Court</w:t>
      </w:r>
      <w:r>
        <w:rPr>
          <w:spacing w:val="-16"/>
        </w:rPr>
        <w:t> </w:t>
      </w:r>
      <w:r>
        <w:rPr/>
        <w:t>of</w:t>
      </w:r>
      <w:r>
        <w:rPr>
          <w:spacing w:val="-16"/>
        </w:rPr>
        <w:t> </w:t>
      </w:r>
      <w:r>
        <w:rPr/>
        <w:t>Appeals</w:t>
      </w:r>
      <w:r>
        <w:rPr>
          <w:spacing w:val="-12"/>
        </w:rPr>
        <w:t> </w:t>
      </w:r>
      <w:r>
        <w:rPr/>
        <w:t>has</w:t>
      </w:r>
      <w:r>
        <w:rPr>
          <w:spacing w:val="-13"/>
        </w:rPr>
        <w:t> </w:t>
      </w:r>
      <w:r>
        <w:rPr/>
        <w:t>held</w:t>
      </w:r>
      <w:r>
        <w:rPr>
          <w:spacing w:val="-15"/>
        </w:rPr>
        <w:t> </w:t>
      </w:r>
      <w:r>
        <w:rPr>
          <w:spacing w:val="-4"/>
        </w:rPr>
        <w:t>that </w:t>
      </w:r>
      <w:r>
        <w:rPr/>
        <w:t>“[A]ppraisers</w:t>
      </w:r>
      <w:r>
        <w:rPr>
          <w:spacing w:val="-11"/>
        </w:rPr>
        <w:t> </w:t>
      </w:r>
      <w:r>
        <w:rPr/>
        <w:t>have</w:t>
      </w:r>
      <w:r>
        <w:rPr>
          <w:spacing w:val="-12"/>
        </w:rPr>
        <w:t> </w:t>
      </w:r>
      <w:r>
        <w:rPr/>
        <w:t>no</w:t>
      </w:r>
      <w:r>
        <w:rPr>
          <w:spacing w:val="-11"/>
        </w:rPr>
        <w:t> </w:t>
      </w:r>
      <w:r>
        <w:rPr/>
        <w:t>power</w:t>
      </w:r>
      <w:r>
        <w:rPr>
          <w:spacing w:val="-12"/>
        </w:rPr>
        <w:t> </w:t>
      </w:r>
      <w:r>
        <w:rPr/>
        <w:t>to</w:t>
      </w:r>
      <w:r>
        <w:rPr>
          <w:spacing w:val="-11"/>
        </w:rPr>
        <w:t> </w:t>
      </w:r>
      <w:r>
        <w:rPr/>
        <w:t>determine</w:t>
      </w:r>
      <w:r>
        <w:rPr>
          <w:spacing w:val="-11"/>
        </w:rPr>
        <w:t> </w:t>
      </w:r>
      <w:r>
        <w:rPr/>
        <w:t>the cause</w:t>
      </w:r>
      <w:r>
        <w:rPr>
          <w:spacing w:val="-20"/>
        </w:rPr>
        <w:t> </w:t>
      </w:r>
      <w:r>
        <w:rPr/>
        <w:t>of</w:t>
      </w:r>
      <w:r>
        <w:rPr>
          <w:spacing w:val="-17"/>
        </w:rPr>
        <w:t> </w:t>
      </w:r>
      <w:r>
        <w:rPr/>
        <w:t>damages;</w:t>
      </w:r>
      <w:r>
        <w:rPr>
          <w:spacing w:val="-21"/>
        </w:rPr>
        <w:t> </w:t>
      </w:r>
      <w:r>
        <w:rPr/>
        <w:t>their</w:t>
      </w:r>
      <w:r>
        <w:rPr>
          <w:spacing w:val="-19"/>
        </w:rPr>
        <w:t> </w:t>
      </w:r>
      <w:r>
        <w:rPr/>
        <w:t>power</w:t>
      </w:r>
      <w:r>
        <w:rPr>
          <w:spacing w:val="-20"/>
        </w:rPr>
        <w:t> </w:t>
      </w:r>
      <w:r>
        <w:rPr/>
        <w:t>is</w:t>
      </w:r>
      <w:r>
        <w:rPr>
          <w:spacing w:val="-19"/>
        </w:rPr>
        <w:t> </w:t>
      </w:r>
      <w:r>
        <w:rPr/>
        <w:t>limited</w:t>
      </w:r>
      <w:r>
        <w:rPr>
          <w:spacing w:val="-21"/>
        </w:rPr>
        <w:t> </w:t>
      </w:r>
      <w:r>
        <w:rPr/>
        <w:t>to</w:t>
      </w:r>
      <w:r>
        <w:rPr>
          <w:spacing w:val="-20"/>
        </w:rPr>
        <w:t> </w:t>
      </w:r>
      <w:r>
        <w:rPr>
          <w:spacing w:val="-5"/>
        </w:rPr>
        <w:t>the </w:t>
      </w:r>
      <w:r>
        <w:rPr/>
        <w:t>function</w:t>
      </w:r>
      <w:r>
        <w:rPr>
          <w:spacing w:val="-31"/>
        </w:rPr>
        <w:t> </w:t>
      </w:r>
      <w:r>
        <w:rPr/>
        <w:t>of</w:t>
      </w:r>
      <w:r>
        <w:rPr>
          <w:spacing w:val="-32"/>
        </w:rPr>
        <w:t> </w:t>
      </w:r>
      <w:r>
        <w:rPr/>
        <w:t>determining</w:t>
      </w:r>
      <w:r>
        <w:rPr>
          <w:spacing w:val="-33"/>
        </w:rPr>
        <w:t> </w:t>
      </w:r>
      <w:r>
        <w:rPr/>
        <w:t>the</w:t>
      </w:r>
      <w:r>
        <w:rPr>
          <w:spacing w:val="-33"/>
        </w:rPr>
        <w:t> </w:t>
      </w:r>
      <w:r>
        <w:rPr/>
        <w:t>money</w:t>
      </w:r>
      <w:r>
        <w:rPr>
          <w:spacing w:val="-35"/>
        </w:rPr>
        <w:t> </w:t>
      </w:r>
      <w:r>
        <w:rPr/>
        <w:t>value</w:t>
      </w:r>
      <w:r>
        <w:rPr>
          <w:spacing w:val="-31"/>
        </w:rPr>
        <w:t> </w:t>
      </w:r>
      <w:r>
        <w:rPr/>
        <w:t>of</w:t>
      </w:r>
      <w:r>
        <w:rPr>
          <w:spacing w:val="-34"/>
        </w:rPr>
        <w:t> </w:t>
      </w:r>
      <w:r>
        <w:rPr/>
        <w:t>the property damage.”</w:t>
      </w:r>
      <w:r>
        <w:rPr>
          <w:vertAlign w:val="superscript"/>
        </w:rPr>
        <w:t>229</w:t>
      </w:r>
      <w:r>
        <w:rPr>
          <w:vertAlign w:val="baseline"/>
        </w:rPr>
        <w:t> </w:t>
      </w:r>
      <w:r>
        <w:rPr>
          <w:spacing w:val="3"/>
          <w:vertAlign w:val="baseline"/>
        </w:rPr>
        <w:t>In </w:t>
      </w:r>
      <w:r>
        <w:rPr>
          <w:u w:val="single"/>
          <w:vertAlign w:val="baseline"/>
        </w:rPr>
        <w:t>Wells v. </w:t>
      </w:r>
      <w:r>
        <w:rPr>
          <w:spacing w:val="-5"/>
          <w:u w:val="single"/>
          <w:vertAlign w:val="baseline"/>
        </w:rPr>
        <w:t>American</w:t>
      </w:r>
      <w:r>
        <w:rPr>
          <w:spacing w:val="-5"/>
          <w:vertAlign w:val="baseline"/>
        </w:rPr>
        <w:t> </w:t>
      </w:r>
      <w:r>
        <w:rPr>
          <w:u w:val="single"/>
          <w:vertAlign w:val="baseline"/>
        </w:rPr>
        <w:t>States</w:t>
      </w:r>
      <w:r>
        <w:rPr>
          <w:spacing w:val="-21"/>
          <w:u w:val="single"/>
          <w:vertAlign w:val="baseline"/>
        </w:rPr>
        <w:t> </w:t>
      </w:r>
      <w:r>
        <w:rPr>
          <w:u w:val="single"/>
          <w:vertAlign w:val="baseline"/>
        </w:rPr>
        <w:t>Preferred</w:t>
      </w:r>
      <w:r>
        <w:rPr>
          <w:spacing w:val="-20"/>
          <w:u w:val="single"/>
          <w:vertAlign w:val="baseline"/>
        </w:rPr>
        <w:t> </w:t>
      </w:r>
      <w:r>
        <w:rPr>
          <w:u w:val="single"/>
          <w:vertAlign w:val="baseline"/>
        </w:rPr>
        <w:t>Ins.</w:t>
      </w:r>
      <w:r>
        <w:rPr>
          <w:spacing w:val="-22"/>
          <w:u w:val="single"/>
          <w:vertAlign w:val="baseline"/>
        </w:rPr>
        <w:t> </w:t>
      </w:r>
      <w:r>
        <w:rPr>
          <w:u w:val="single"/>
          <w:vertAlign w:val="baseline"/>
        </w:rPr>
        <w:t>Co.</w:t>
      </w:r>
      <w:r>
        <w:rPr>
          <w:vertAlign w:val="baseline"/>
        </w:rPr>
        <w:t>,</w:t>
      </w:r>
      <w:r>
        <w:rPr>
          <w:spacing w:val="-23"/>
          <w:vertAlign w:val="baseline"/>
        </w:rPr>
        <w:t> </w:t>
      </w:r>
      <w:r>
        <w:rPr>
          <w:vertAlign w:val="baseline"/>
        </w:rPr>
        <w:t>the</w:t>
      </w:r>
      <w:r>
        <w:rPr>
          <w:spacing w:val="-21"/>
          <w:vertAlign w:val="baseline"/>
        </w:rPr>
        <w:t> </w:t>
      </w:r>
      <w:r>
        <w:rPr>
          <w:vertAlign w:val="baseline"/>
        </w:rPr>
        <w:t>Texas</w:t>
      </w:r>
      <w:r>
        <w:rPr>
          <w:spacing w:val="-19"/>
          <w:vertAlign w:val="baseline"/>
        </w:rPr>
        <w:t> </w:t>
      </w:r>
      <w:r>
        <w:rPr>
          <w:vertAlign w:val="baseline"/>
        </w:rPr>
        <w:t>court</w:t>
      </w:r>
      <w:r>
        <w:rPr>
          <w:spacing w:val="-22"/>
          <w:vertAlign w:val="baseline"/>
        </w:rPr>
        <w:t> </w:t>
      </w:r>
      <w:r>
        <w:rPr>
          <w:vertAlign w:val="baseline"/>
        </w:rPr>
        <w:t>stated that “the weight of authority from other jurisdictions</w:t>
      </w:r>
      <w:r>
        <w:rPr>
          <w:spacing w:val="-10"/>
          <w:vertAlign w:val="baseline"/>
        </w:rPr>
        <w:t> </w:t>
      </w:r>
      <w:r>
        <w:rPr>
          <w:vertAlign w:val="baseline"/>
        </w:rPr>
        <w:t>discussing</w:t>
      </w:r>
      <w:r>
        <w:rPr>
          <w:spacing w:val="-8"/>
          <w:vertAlign w:val="baseline"/>
        </w:rPr>
        <w:t> </w:t>
      </w:r>
      <w:r>
        <w:rPr>
          <w:vertAlign w:val="baseline"/>
        </w:rPr>
        <w:t>the</w:t>
      </w:r>
      <w:r>
        <w:rPr>
          <w:spacing w:val="-9"/>
          <w:vertAlign w:val="baseline"/>
        </w:rPr>
        <w:t> </w:t>
      </w:r>
      <w:r>
        <w:rPr>
          <w:vertAlign w:val="baseline"/>
        </w:rPr>
        <w:t>issue</w:t>
      </w:r>
      <w:r>
        <w:rPr>
          <w:spacing w:val="-8"/>
          <w:vertAlign w:val="baseline"/>
        </w:rPr>
        <w:t> </w:t>
      </w:r>
      <w:r>
        <w:rPr>
          <w:vertAlign w:val="baseline"/>
        </w:rPr>
        <w:t>follows</w:t>
      </w:r>
      <w:r>
        <w:rPr>
          <w:spacing w:val="-10"/>
          <w:vertAlign w:val="baseline"/>
        </w:rPr>
        <w:t> </w:t>
      </w:r>
      <w:r>
        <w:rPr>
          <w:vertAlign w:val="baseline"/>
        </w:rPr>
        <w:t>the</w:t>
      </w:r>
      <w:r>
        <w:rPr>
          <w:spacing w:val="-9"/>
          <w:vertAlign w:val="baseline"/>
        </w:rPr>
        <w:t> </w:t>
      </w:r>
      <w:r>
        <w:rPr>
          <w:vertAlign w:val="baseline"/>
        </w:rPr>
        <w:t>rule that appraisers have no power or authority to determine</w:t>
      </w:r>
      <w:r>
        <w:rPr>
          <w:spacing w:val="-33"/>
          <w:vertAlign w:val="baseline"/>
        </w:rPr>
        <w:t> </w:t>
      </w:r>
      <w:r>
        <w:rPr>
          <w:vertAlign w:val="baseline"/>
        </w:rPr>
        <w:t>questions</w:t>
      </w:r>
      <w:r>
        <w:rPr>
          <w:spacing w:val="-31"/>
          <w:vertAlign w:val="baseline"/>
        </w:rPr>
        <w:t> </w:t>
      </w:r>
      <w:r>
        <w:rPr>
          <w:vertAlign w:val="baseline"/>
        </w:rPr>
        <w:t>of</w:t>
      </w:r>
      <w:r>
        <w:rPr>
          <w:spacing w:val="-31"/>
          <w:vertAlign w:val="baseline"/>
        </w:rPr>
        <w:t> </w:t>
      </w:r>
      <w:r>
        <w:rPr>
          <w:vertAlign w:val="baseline"/>
        </w:rPr>
        <w:t>causation,</w:t>
      </w:r>
      <w:r>
        <w:rPr>
          <w:spacing w:val="-35"/>
          <w:vertAlign w:val="baseline"/>
        </w:rPr>
        <w:t> </w:t>
      </w:r>
      <w:r>
        <w:rPr>
          <w:vertAlign w:val="baseline"/>
        </w:rPr>
        <w:t>coverage</w:t>
      </w:r>
      <w:r>
        <w:rPr>
          <w:spacing w:val="-31"/>
          <w:vertAlign w:val="baseline"/>
        </w:rPr>
        <w:t> </w:t>
      </w:r>
      <w:r>
        <w:rPr>
          <w:spacing w:val="-6"/>
          <w:vertAlign w:val="baseline"/>
        </w:rPr>
        <w:t>or </w:t>
      </w:r>
      <w:r>
        <w:rPr>
          <w:vertAlign w:val="baseline"/>
        </w:rPr>
        <w:t>liability.” However, a detailed review of this chapter leads to a different conclusion on these issues, even back in</w:t>
      </w:r>
      <w:r>
        <w:rPr>
          <w:spacing w:val="-7"/>
          <w:vertAlign w:val="baseline"/>
        </w:rPr>
        <w:t> </w:t>
      </w:r>
      <w:r>
        <w:rPr>
          <w:vertAlign w:val="baseline"/>
        </w:rPr>
        <w:t>2008.</w:t>
      </w:r>
      <w:r>
        <w:rPr>
          <w:vertAlign w:val="superscript"/>
        </w:rPr>
        <w:t>230</w:t>
      </w:r>
    </w:p>
    <w:p>
      <w:pPr>
        <w:pStyle w:val="BodyText"/>
        <w:spacing w:before="10"/>
        <w:rPr>
          <w:sz w:val="25"/>
        </w:rPr>
      </w:pPr>
    </w:p>
    <w:p>
      <w:pPr>
        <w:pStyle w:val="BodyText"/>
        <w:spacing w:line="242" w:lineRule="auto"/>
        <w:ind w:left="1520" w:right="1517" w:firstLine="720"/>
        <w:jc w:val="both"/>
      </w:pPr>
      <w:r>
        <w:rPr>
          <w:spacing w:val="3"/>
        </w:rPr>
        <w:t>In </w:t>
      </w:r>
      <w:r>
        <w:rPr/>
        <w:t>the state of Minnesota, the Court of Appeals was confronted with a claim for hail damage</w:t>
      </w:r>
      <w:r>
        <w:rPr>
          <w:spacing w:val="-25"/>
        </w:rPr>
        <w:t> </w:t>
      </w:r>
      <w:r>
        <w:rPr/>
        <w:t>which</w:t>
      </w:r>
      <w:r>
        <w:rPr>
          <w:spacing w:val="-27"/>
        </w:rPr>
        <w:t> </w:t>
      </w:r>
      <w:r>
        <w:rPr/>
        <w:t>was</w:t>
      </w:r>
      <w:r>
        <w:rPr>
          <w:spacing w:val="-25"/>
        </w:rPr>
        <w:t> </w:t>
      </w:r>
      <w:r>
        <w:rPr/>
        <w:t>said</w:t>
      </w:r>
      <w:r>
        <w:rPr>
          <w:spacing w:val="-26"/>
        </w:rPr>
        <w:t> </w:t>
      </w:r>
      <w:r>
        <w:rPr/>
        <w:t>to</w:t>
      </w:r>
      <w:r>
        <w:rPr>
          <w:spacing w:val="-27"/>
        </w:rPr>
        <w:t> </w:t>
      </w:r>
      <w:r>
        <w:rPr/>
        <w:t>have</w:t>
      </w:r>
      <w:r>
        <w:rPr>
          <w:spacing w:val="-29"/>
        </w:rPr>
        <w:t> </w:t>
      </w:r>
      <w:r>
        <w:rPr/>
        <w:t>caused</w:t>
      </w:r>
      <w:r>
        <w:rPr>
          <w:spacing w:val="-26"/>
        </w:rPr>
        <w:t> </w:t>
      </w:r>
      <w:r>
        <w:rPr/>
        <w:t>dents in the home’s siding whereas the insurer claimed the hail merely caused marks on the siding, but no dents. </w:t>
      </w:r>
      <w:r>
        <w:rPr>
          <w:spacing w:val="3"/>
        </w:rPr>
        <w:t>In </w:t>
      </w:r>
      <w:r>
        <w:rPr/>
        <w:t>concluding that the </w:t>
      </w:r>
      <w:r>
        <w:rPr>
          <w:spacing w:val="-3"/>
        </w:rPr>
        <w:t>matter</w:t>
      </w:r>
      <w:r>
        <w:rPr>
          <w:spacing w:val="-38"/>
        </w:rPr>
        <w:t> </w:t>
      </w:r>
      <w:r>
        <w:rPr>
          <w:spacing w:val="-3"/>
        </w:rPr>
        <w:t>was</w:t>
      </w:r>
      <w:r>
        <w:rPr>
          <w:spacing w:val="-35"/>
        </w:rPr>
        <w:t> </w:t>
      </w:r>
      <w:r>
        <w:rPr/>
        <w:t>appropriate</w:t>
      </w:r>
      <w:r>
        <w:rPr>
          <w:spacing w:val="-35"/>
        </w:rPr>
        <w:t> </w:t>
      </w:r>
      <w:r>
        <w:rPr/>
        <w:t>for</w:t>
      </w:r>
      <w:r>
        <w:rPr>
          <w:spacing w:val="-35"/>
        </w:rPr>
        <w:t> </w:t>
      </w:r>
      <w:r>
        <w:rPr/>
        <w:t>appraisal,</w:t>
      </w:r>
      <w:r>
        <w:rPr>
          <w:spacing w:val="-34"/>
        </w:rPr>
        <w:t> </w:t>
      </w:r>
      <w:r>
        <w:rPr/>
        <w:t>the</w:t>
      </w:r>
      <w:r>
        <w:rPr>
          <w:spacing w:val="-34"/>
        </w:rPr>
        <w:t> </w:t>
      </w:r>
      <w:r>
        <w:rPr/>
        <w:t>Court stated that the insurer’s claim that this</w:t>
      </w:r>
      <w:r>
        <w:rPr>
          <w:spacing w:val="15"/>
        </w:rPr>
        <w:t> </w:t>
      </w:r>
      <w:r>
        <w:rPr/>
        <w:t>factual</w:t>
      </w:r>
    </w:p>
    <w:p>
      <w:pPr>
        <w:pStyle w:val="BodyText"/>
        <w:spacing w:before="7"/>
        <w:rPr>
          <w:sz w:val="20"/>
        </w:rPr>
      </w:pPr>
      <w:r>
        <w:rPr/>
        <w:pict>
          <v:shape style="position:absolute;margin-left:162pt;margin-top:15.042105pt;width:143.9pt;height:.1pt;mso-position-horizontal-relative:page;mso-position-vertical-relative:paragraph;z-index:-251568128;mso-wrap-distance-left:0;mso-wrap-distance-right:0" coordorigin="3240,301" coordsize="2878,0" path="m3240,301l6118,301e" filled="false" stroked="true" strokeweight=".84pt" strokecolor="#000000">
            <v:path arrowok="t"/>
            <v:stroke dashstyle="solid"/>
            <w10:wrap type="topAndBottom"/>
          </v:shape>
        </w:pict>
      </w:r>
    </w:p>
    <w:p>
      <w:pPr>
        <w:pStyle w:val="ListParagraph"/>
        <w:numPr>
          <w:ilvl w:val="0"/>
          <w:numId w:val="18"/>
        </w:numPr>
        <w:tabs>
          <w:tab w:pos="1423" w:val="left" w:leader="none"/>
        </w:tabs>
        <w:spacing w:line="244" w:lineRule="auto" w:before="140" w:after="0"/>
        <w:ind w:left="1160" w:right="1164" w:firstLine="0"/>
        <w:jc w:val="both"/>
        <w:rPr>
          <w:sz w:val="18"/>
        </w:rPr>
      </w:pPr>
      <w:r>
        <w:rPr>
          <w:sz w:val="18"/>
          <w:u w:val="single"/>
        </w:rPr>
        <w:t>Spearman Ind. Inc. v. St. </w:t>
      </w:r>
      <w:r>
        <w:rPr>
          <w:spacing w:val="2"/>
          <w:sz w:val="18"/>
          <w:u w:val="single"/>
        </w:rPr>
        <w:t>Paul </w:t>
      </w:r>
      <w:r>
        <w:rPr>
          <w:sz w:val="18"/>
          <w:u w:val="single"/>
        </w:rPr>
        <w:t>Fire &amp; Marine Ins. Co.</w:t>
      </w:r>
      <w:r>
        <w:rPr>
          <w:sz w:val="18"/>
        </w:rPr>
        <w:t>, 109 F. Supp.2d 905 (N.D. Ill. 2000).</w:t>
      </w:r>
    </w:p>
    <w:p>
      <w:pPr>
        <w:pStyle w:val="ListParagraph"/>
        <w:numPr>
          <w:ilvl w:val="0"/>
          <w:numId w:val="18"/>
        </w:numPr>
        <w:tabs>
          <w:tab w:pos="1416" w:val="left" w:leader="none"/>
        </w:tabs>
        <w:spacing w:line="207" w:lineRule="exact" w:before="0" w:after="0"/>
        <w:ind w:left="1415" w:right="0" w:hanging="256"/>
        <w:jc w:val="both"/>
        <w:rPr>
          <w:sz w:val="18"/>
        </w:rPr>
      </w:pPr>
      <w:r>
        <w:rPr>
          <w:sz w:val="18"/>
          <w:u w:val="single"/>
        </w:rPr>
        <w:t>Wells</w:t>
      </w:r>
      <w:r>
        <w:rPr>
          <w:spacing w:val="-6"/>
          <w:sz w:val="18"/>
          <w:u w:val="single"/>
        </w:rPr>
        <w:t> </w:t>
      </w:r>
      <w:r>
        <w:rPr>
          <w:sz w:val="18"/>
          <w:u w:val="single"/>
        </w:rPr>
        <w:t>v.</w:t>
      </w:r>
      <w:r>
        <w:rPr>
          <w:spacing w:val="-4"/>
          <w:sz w:val="18"/>
          <w:u w:val="single"/>
        </w:rPr>
        <w:t> </w:t>
      </w:r>
      <w:r>
        <w:rPr>
          <w:sz w:val="18"/>
          <w:u w:val="single"/>
        </w:rPr>
        <w:t>American</w:t>
      </w:r>
      <w:r>
        <w:rPr>
          <w:spacing w:val="-6"/>
          <w:sz w:val="18"/>
          <w:u w:val="single"/>
        </w:rPr>
        <w:t> </w:t>
      </w:r>
      <w:r>
        <w:rPr>
          <w:sz w:val="18"/>
          <w:u w:val="single"/>
        </w:rPr>
        <w:t>States</w:t>
      </w:r>
      <w:r>
        <w:rPr>
          <w:spacing w:val="-5"/>
          <w:sz w:val="18"/>
          <w:u w:val="single"/>
        </w:rPr>
        <w:t> </w:t>
      </w:r>
      <w:r>
        <w:rPr>
          <w:sz w:val="18"/>
          <w:u w:val="single"/>
        </w:rPr>
        <w:t>Preferred</w:t>
      </w:r>
      <w:r>
        <w:rPr>
          <w:spacing w:val="-9"/>
          <w:sz w:val="18"/>
          <w:u w:val="single"/>
        </w:rPr>
        <w:t> </w:t>
      </w:r>
      <w:r>
        <w:rPr>
          <w:sz w:val="18"/>
          <w:u w:val="single"/>
        </w:rPr>
        <w:t>Ins.</w:t>
      </w:r>
      <w:r>
        <w:rPr>
          <w:spacing w:val="-7"/>
          <w:sz w:val="18"/>
          <w:u w:val="single"/>
        </w:rPr>
        <w:t> </w:t>
      </w:r>
      <w:r>
        <w:rPr>
          <w:sz w:val="18"/>
          <w:u w:val="single"/>
        </w:rPr>
        <w:t>Co.</w:t>
      </w:r>
      <w:r>
        <w:rPr>
          <w:sz w:val="18"/>
        </w:rPr>
        <w:t>,</w:t>
      </w:r>
      <w:r>
        <w:rPr>
          <w:spacing w:val="-6"/>
          <w:sz w:val="18"/>
        </w:rPr>
        <w:t> </w:t>
      </w:r>
      <w:r>
        <w:rPr>
          <w:sz w:val="18"/>
        </w:rPr>
        <w:t>919</w:t>
      </w:r>
      <w:r>
        <w:rPr>
          <w:spacing w:val="-6"/>
          <w:sz w:val="18"/>
        </w:rPr>
        <w:t> </w:t>
      </w:r>
      <w:r>
        <w:rPr>
          <w:sz w:val="18"/>
        </w:rPr>
        <w:t>S.W.2d</w:t>
      </w:r>
      <w:r>
        <w:rPr>
          <w:spacing w:val="-4"/>
          <w:sz w:val="18"/>
        </w:rPr>
        <w:t> </w:t>
      </w:r>
      <w:r>
        <w:rPr>
          <w:sz w:val="18"/>
        </w:rPr>
        <w:t>679</w:t>
      </w:r>
      <w:r>
        <w:rPr>
          <w:spacing w:val="-5"/>
          <w:sz w:val="18"/>
        </w:rPr>
        <w:t> </w:t>
      </w:r>
      <w:r>
        <w:rPr>
          <w:sz w:val="18"/>
        </w:rPr>
        <w:t>(Tex.</w:t>
      </w:r>
      <w:r>
        <w:rPr>
          <w:spacing w:val="-4"/>
          <w:sz w:val="18"/>
        </w:rPr>
        <w:t> </w:t>
      </w:r>
      <w:r>
        <w:rPr>
          <w:sz w:val="18"/>
        </w:rPr>
        <w:t>App.-Dallas</w:t>
      </w:r>
      <w:r>
        <w:rPr>
          <w:spacing w:val="-6"/>
          <w:sz w:val="18"/>
        </w:rPr>
        <w:t> </w:t>
      </w:r>
      <w:r>
        <w:rPr>
          <w:sz w:val="18"/>
        </w:rPr>
        <w:t>1996);</w:t>
      </w:r>
    </w:p>
    <w:p>
      <w:pPr>
        <w:spacing w:line="244" w:lineRule="auto" w:before="4"/>
        <w:ind w:left="1160" w:right="1162" w:firstLine="0"/>
        <w:jc w:val="both"/>
        <w:rPr>
          <w:rFonts w:ascii="Times New Roman"/>
          <w:sz w:val="18"/>
        </w:rPr>
      </w:pPr>
      <w:r>
        <w:rPr>
          <w:rFonts w:ascii="Times New Roman"/>
          <w:i/>
          <w:sz w:val="18"/>
        </w:rPr>
        <w:t>See also, </w:t>
      </w:r>
      <w:r>
        <w:rPr>
          <w:rFonts w:ascii="Times New Roman"/>
          <w:sz w:val="18"/>
          <w:u w:val="single"/>
        </w:rPr>
        <w:t>Holt v. State Farm Lloyds</w:t>
      </w:r>
      <w:r>
        <w:rPr>
          <w:rFonts w:ascii="Times New Roman"/>
          <w:sz w:val="18"/>
        </w:rPr>
        <w:t>, 1999 WL 261923 (N.D. Tex. 1999) (appraisers </w:t>
      </w:r>
      <w:r>
        <w:rPr>
          <w:rFonts w:ascii="Times New Roman"/>
          <w:spacing w:val="-2"/>
          <w:sz w:val="18"/>
        </w:rPr>
        <w:t>may </w:t>
      </w:r>
      <w:r>
        <w:rPr>
          <w:rFonts w:ascii="Times New Roman"/>
          <w:sz w:val="18"/>
        </w:rPr>
        <w:t>only</w:t>
      </w:r>
      <w:r>
        <w:rPr>
          <w:rFonts w:ascii="Times New Roman"/>
          <w:spacing w:val="-8"/>
          <w:sz w:val="18"/>
        </w:rPr>
        <w:t> </w:t>
      </w:r>
      <w:r>
        <w:rPr>
          <w:rFonts w:ascii="Times New Roman"/>
          <w:sz w:val="18"/>
        </w:rPr>
        <w:t>determine</w:t>
      </w:r>
      <w:r>
        <w:rPr>
          <w:rFonts w:ascii="Times New Roman"/>
          <w:spacing w:val="-4"/>
          <w:sz w:val="18"/>
        </w:rPr>
        <w:t> </w:t>
      </w:r>
      <w:r>
        <w:rPr>
          <w:rFonts w:ascii="Times New Roman"/>
          <w:sz w:val="18"/>
        </w:rPr>
        <w:t>the</w:t>
      </w:r>
      <w:r>
        <w:rPr>
          <w:rFonts w:ascii="Times New Roman"/>
          <w:spacing w:val="-4"/>
          <w:sz w:val="18"/>
        </w:rPr>
        <w:t> </w:t>
      </w:r>
      <w:r>
        <w:rPr>
          <w:rFonts w:ascii="Times New Roman"/>
          <w:sz w:val="18"/>
        </w:rPr>
        <w:t>amount</w:t>
      </w:r>
      <w:r>
        <w:rPr>
          <w:rFonts w:ascii="Times New Roman"/>
          <w:spacing w:val="-3"/>
          <w:sz w:val="18"/>
        </w:rPr>
        <w:t> </w:t>
      </w:r>
      <w:r>
        <w:rPr>
          <w:rFonts w:ascii="Times New Roman"/>
          <w:sz w:val="18"/>
        </w:rPr>
        <w:t>of</w:t>
      </w:r>
      <w:r>
        <w:rPr>
          <w:rFonts w:ascii="Times New Roman"/>
          <w:spacing w:val="-5"/>
          <w:sz w:val="18"/>
        </w:rPr>
        <w:t> </w:t>
      </w:r>
      <w:r>
        <w:rPr>
          <w:rFonts w:ascii="Times New Roman"/>
          <w:sz w:val="18"/>
        </w:rPr>
        <w:t>loss</w:t>
      </w:r>
      <w:r>
        <w:rPr>
          <w:rFonts w:ascii="Times New Roman"/>
          <w:spacing w:val="-4"/>
          <w:sz w:val="18"/>
        </w:rPr>
        <w:t> </w:t>
      </w:r>
      <w:r>
        <w:rPr>
          <w:rFonts w:ascii="Times New Roman"/>
          <w:sz w:val="18"/>
        </w:rPr>
        <w:t>and</w:t>
      </w:r>
      <w:r>
        <w:rPr>
          <w:rFonts w:ascii="Times New Roman"/>
          <w:spacing w:val="-2"/>
          <w:sz w:val="18"/>
        </w:rPr>
        <w:t> </w:t>
      </w:r>
      <w:r>
        <w:rPr>
          <w:rFonts w:ascii="Times New Roman"/>
          <w:sz w:val="18"/>
        </w:rPr>
        <w:t>may</w:t>
      </w:r>
      <w:r>
        <w:rPr>
          <w:rFonts w:ascii="Times New Roman"/>
          <w:spacing w:val="-8"/>
          <w:sz w:val="18"/>
        </w:rPr>
        <w:t> </w:t>
      </w:r>
      <w:r>
        <w:rPr>
          <w:rFonts w:ascii="Times New Roman"/>
          <w:sz w:val="18"/>
        </w:rPr>
        <w:t>not</w:t>
      </w:r>
      <w:r>
        <w:rPr>
          <w:rFonts w:ascii="Times New Roman"/>
          <w:spacing w:val="-4"/>
          <w:sz w:val="18"/>
        </w:rPr>
        <w:t> </w:t>
      </w:r>
      <w:r>
        <w:rPr>
          <w:rFonts w:ascii="Times New Roman"/>
          <w:sz w:val="18"/>
        </w:rPr>
        <w:t>determine</w:t>
      </w:r>
      <w:r>
        <w:rPr>
          <w:rFonts w:ascii="Times New Roman"/>
          <w:spacing w:val="-6"/>
          <w:sz w:val="18"/>
        </w:rPr>
        <w:t> </w:t>
      </w:r>
      <w:r>
        <w:rPr>
          <w:rFonts w:ascii="Times New Roman"/>
          <w:sz w:val="18"/>
        </w:rPr>
        <w:t>issues</w:t>
      </w:r>
      <w:r>
        <w:rPr>
          <w:rFonts w:ascii="Times New Roman"/>
          <w:spacing w:val="-7"/>
          <w:sz w:val="18"/>
        </w:rPr>
        <w:t> </w:t>
      </w:r>
      <w:r>
        <w:rPr>
          <w:rFonts w:ascii="Times New Roman"/>
          <w:sz w:val="18"/>
        </w:rPr>
        <w:t>of</w:t>
      </w:r>
      <w:r>
        <w:rPr>
          <w:rFonts w:ascii="Times New Roman"/>
          <w:spacing w:val="-8"/>
          <w:sz w:val="18"/>
        </w:rPr>
        <w:t> </w:t>
      </w:r>
      <w:r>
        <w:rPr>
          <w:rFonts w:ascii="Times New Roman"/>
          <w:sz w:val="18"/>
        </w:rPr>
        <w:t>causation,</w:t>
      </w:r>
      <w:r>
        <w:rPr>
          <w:rFonts w:ascii="Times New Roman"/>
          <w:spacing w:val="-4"/>
          <w:sz w:val="18"/>
        </w:rPr>
        <w:t> </w:t>
      </w:r>
      <w:r>
        <w:rPr>
          <w:rFonts w:ascii="Times New Roman"/>
          <w:sz w:val="18"/>
        </w:rPr>
        <w:t>coverage,</w:t>
      </w:r>
      <w:r>
        <w:rPr>
          <w:rFonts w:ascii="Times New Roman"/>
          <w:spacing w:val="-6"/>
          <w:sz w:val="18"/>
        </w:rPr>
        <w:t> </w:t>
      </w:r>
      <w:r>
        <w:rPr>
          <w:rFonts w:ascii="Times New Roman"/>
          <w:sz w:val="18"/>
        </w:rPr>
        <w:t>or liability for</w:t>
      </w:r>
      <w:r>
        <w:rPr>
          <w:rFonts w:ascii="Times New Roman"/>
          <w:spacing w:val="-4"/>
          <w:sz w:val="18"/>
        </w:rPr>
        <w:t> </w:t>
      </w:r>
      <w:r>
        <w:rPr>
          <w:rFonts w:ascii="Times New Roman"/>
          <w:sz w:val="18"/>
        </w:rPr>
        <w:t>damages).</w:t>
      </w:r>
    </w:p>
    <w:p>
      <w:pPr>
        <w:pStyle w:val="ListParagraph"/>
        <w:numPr>
          <w:ilvl w:val="0"/>
          <w:numId w:val="18"/>
        </w:numPr>
        <w:tabs>
          <w:tab w:pos="1423" w:val="left" w:leader="none"/>
        </w:tabs>
        <w:spacing w:line="254" w:lineRule="auto" w:before="0" w:after="0"/>
        <w:ind w:left="1160" w:right="1171" w:firstLine="0"/>
        <w:jc w:val="both"/>
        <w:rPr>
          <w:sz w:val="18"/>
        </w:rPr>
      </w:pPr>
      <w:r>
        <w:rPr>
          <w:sz w:val="18"/>
          <w:u w:val="single"/>
        </w:rPr>
        <w:t>Wells,</w:t>
      </w:r>
      <w:r>
        <w:rPr>
          <w:spacing w:val="-12"/>
          <w:sz w:val="18"/>
          <w:u w:val="single"/>
        </w:rPr>
        <w:t> </w:t>
      </w:r>
      <w:r>
        <w:rPr>
          <w:sz w:val="18"/>
          <w:u w:val="single"/>
        </w:rPr>
        <w:t>Id</w:t>
      </w:r>
      <w:r>
        <w:rPr>
          <w:sz w:val="18"/>
        </w:rPr>
        <w:t>.,</w:t>
      </w:r>
      <w:r>
        <w:rPr>
          <w:spacing w:val="-11"/>
          <w:sz w:val="18"/>
        </w:rPr>
        <w:t> </w:t>
      </w:r>
      <w:r>
        <w:rPr>
          <w:i/>
          <w:sz w:val="18"/>
        </w:rPr>
        <w:t>See</w:t>
      </w:r>
      <w:r>
        <w:rPr>
          <w:i/>
          <w:spacing w:val="-13"/>
          <w:sz w:val="18"/>
        </w:rPr>
        <w:t> </w:t>
      </w:r>
      <w:r>
        <w:rPr>
          <w:i/>
          <w:sz w:val="18"/>
        </w:rPr>
        <w:t>also</w:t>
      </w:r>
      <w:r>
        <w:rPr>
          <w:sz w:val="18"/>
        </w:rPr>
        <w:t>,</w:t>
      </w:r>
      <w:r>
        <w:rPr>
          <w:spacing w:val="-15"/>
          <w:sz w:val="18"/>
        </w:rPr>
        <w:t> </w:t>
      </w:r>
      <w:r>
        <w:rPr>
          <w:sz w:val="18"/>
          <w:u w:val="single"/>
        </w:rPr>
        <w:t>Salinas</w:t>
      </w:r>
      <w:r>
        <w:rPr>
          <w:spacing w:val="-14"/>
          <w:sz w:val="18"/>
          <w:u w:val="single"/>
        </w:rPr>
        <w:t> </w:t>
      </w:r>
      <w:r>
        <w:rPr>
          <w:sz w:val="18"/>
          <w:u w:val="single"/>
        </w:rPr>
        <w:t>v.</w:t>
      </w:r>
      <w:r>
        <w:rPr>
          <w:spacing w:val="-14"/>
          <w:sz w:val="18"/>
          <w:u w:val="single"/>
        </w:rPr>
        <w:t> </w:t>
      </w:r>
      <w:r>
        <w:rPr>
          <w:sz w:val="18"/>
          <w:u w:val="single"/>
        </w:rPr>
        <w:t>State</w:t>
      </w:r>
      <w:r>
        <w:rPr>
          <w:spacing w:val="-14"/>
          <w:sz w:val="18"/>
          <w:u w:val="single"/>
        </w:rPr>
        <w:t> </w:t>
      </w:r>
      <w:r>
        <w:rPr>
          <w:sz w:val="18"/>
          <w:u w:val="single"/>
        </w:rPr>
        <w:t>Farm</w:t>
      </w:r>
      <w:r>
        <w:rPr>
          <w:spacing w:val="-17"/>
          <w:sz w:val="18"/>
          <w:u w:val="single"/>
        </w:rPr>
        <w:t> </w:t>
      </w:r>
      <w:r>
        <w:rPr>
          <w:sz w:val="18"/>
          <w:u w:val="single"/>
        </w:rPr>
        <w:t>Lloyds</w:t>
      </w:r>
      <w:r>
        <w:rPr>
          <w:sz w:val="18"/>
        </w:rPr>
        <w:t>,</w:t>
      </w:r>
      <w:r>
        <w:rPr>
          <w:spacing w:val="-14"/>
          <w:sz w:val="18"/>
        </w:rPr>
        <w:t> </w:t>
      </w:r>
      <w:r>
        <w:rPr>
          <w:sz w:val="18"/>
        </w:rPr>
        <w:t>267</w:t>
      </w:r>
      <w:r>
        <w:rPr>
          <w:spacing w:val="-13"/>
          <w:sz w:val="18"/>
        </w:rPr>
        <w:t> </w:t>
      </w:r>
      <w:r>
        <w:rPr>
          <w:sz w:val="18"/>
        </w:rPr>
        <w:t>Fed.</w:t>
      </w:r>
      <w:r>
        <w:rPr>
          <w:spacing w:val="-14"/>
          <w:sz w:val="18"/>
        </w:rPr>
        <w:t> </w:t>
      </w:r>
      <w:r>
        <w:rPr>
          <w:sz w:val="18"/>
        </w:rPr>
        <w:t>Appx</w:t>
      </w:r>
      <w:r>
        <w:rPr>
          <w:spacing w:val="-18"/>
          <w:sz w:val="18"/>
        </w:rPr>
        <w:t> </w:t>
      </w:r>
      <w:r>
        <w:rPr>
          <w:sz w:val="18"/>
        </w:rPr>
        <w:t>381,</w:t>
      </w:r>
      <w:r>
        <w:rPr>
          <w:spacing w:val="-11"/>
          <w:sz w:val="18"/>
        </w:rPr>
        <w:t> </w:t>
      </w:r>
      <w:r>
        <w:rPr>
          <w:sz w:val="18"/>
        </w:rPr>
        <w:t>2008</w:t>
      </w:r>
      <w:r>
        <w:rPr>
          <w:spacing w:val="-10"/>
          <w:sz w:val="18"/>
        </w:rPr>
        <w:t> </w:t>
      </w:r>
      <w:r>
        <w:rPr>
          <w:sz w:val="18"/>
        </w:rPr>
        <w:t>WL</w:t>
      </w:r>
      <w:r>
        <w:rPr>
          <w:spacing w:val="-14"/>
          <w:sz w:val="18"/>
        </w:rPr>
        <w:t> </w:t>
      </w:r>
      <w:r>
        <w:rPr>
          <w:sz w:val="18"/>
        </w:rPr>
        <w:t>552498 (5</w:t>
      </w:r>
      <w:r>
        <w:rPr>
          <w:position w:val="7"/>
          <w:sz w:val="10"/>
        </w:rPr>
        <w:t>th</w:t>
      </w:r>
      <w:r>
        <w:rPr>
          <w:spacing w:val="15"/>
          <w:position w:val="7"/>
          <w:sz w:val="10"/>
        </w:rPr>
        <w:t> </w:t>
      </w:r>
      <w:r>
        <w:rPr>
          <w:sz w:val="18"/>
        </w:rPr>
        <w:t>Cir.</w:t>
      </w:r>
      <w:r>
        <w:rPr>
          <w:spacing w:val="-6"/>
          <w:sz w:val="18"/>
        </w:rPr>
        <w:t> </w:t>
      </w:r>
      <w:r>
        <w:rPr>
          <w:sz w:val="18"/>
        </w:rPr>
        <w:t>2008)</w:t>
      </w:r>
      <w:r>
        <w:rPr>
          <w:spacing w:val="-7"/>
          <w:sz w:val="18"/>
        </w:rPr>
        <w:t> </w:t>
      </w:r>
      <w:r>
        <w:rPr>
          <w:sz w:val="18"/>
        </w:rPr>
        <w:t>appraisal</w:t>
      </w:r>
      <w:r>
        <w:rPr>
          <w:spacing w:val="-8"/>
          <w:sz w:val="18"/>
        </w:rPr>
        <w:t> </w:t>
      </w:r>
      <w:r>
        <w:rPr>
          <w:sz w:val="18"/>
        </w:rPr>
        <w:t>panel</w:t>
      </w:r>
      <w:r>
        <w:rPr>
          <w:spacing w:val="-7"/>
          <w:sz w:val="18"/>
        </w:rPr>
        <w:t> </w:t>
      </w:r>
      <w:r>
        <w:rPr>
          <w:sz w:val="18"/>
        </w:rPr>
        <w:t>was</w:t>
      </w:r>
      <w:r>
        <w:rPr>
          <w:spacing w:val="-8"/>
          <w:sz w:val="18"/>
        </w:rPr>
        <w:t> </w:t>
      </w:r>
      <w:r>
        <w:rPr>
          <w:sz w:val="18"/>
        </w:rPr>
        <w:t>limited</w:t>
      </w:r>
      <w:r>
        <w:rPr>
          <w:spacing w:val="-6"/>
          <w:sz w:val="18"/>
        </w:rPr>
        <w:t> </w:t>
      </w:r>
      <w:r>
        <w:rPr>
          <w:sz w:val="18"/>
        </w:rPr>
        <w:t>to</w:t>
      </w:r>
      <w:r>
        <w:rPr>
          <w:spacing w:val="-4"/>
          <w:sz w:val="18"/>
        </w:rPr>
        <w:t> </w:t>
      </w:r>
      <w:r>
        <w:rPr>
          <w:sz w:val="18"/>
        </w:rPr>
        <w:t>determination</w:t>
      </w:r>
      <w:r>
        <w:rPr>
          <w:spacing w:val="-6"/>
          <w:sz w:val="18"/>
        </w:rPr>
        <w:t> </w:t>
      </w:r>
      <w:r>
        <w:rPr>
          <w:sz w:val="18"/>
        </w:rPr>
        <w:t>of</w:t>
      </w:r>
      <w:r>
        <w:rPr>
          <w:spacing w:val="-8"/>
          <w:sz w:val="18"/>
        </w:rPr>
        <w:t> </w:t>
      </w:r>
      <w:r>
        <w:rPr>
          <w:sz w:val="18"/>
        </w:rPr>
        <w:t>amount</w:t>
      </w:r>
      <w:r>
        <w:rPr>
          <w:spacing w:val="-8"/>
          <w:sz w:val="18"/>
        </w:rPr>
        <w:t> </w:t>
      </w:r>
      <w:r>
        <w:rPr>
          <w:sz w:val="18"/>
        </w:rPr>
        <w:t>of</w:t>
      </w:r>
      <w:r>
        <w:rPr>
          <w:spacing w:val="-12"/>
          <w:sz w:val="18"/>
        </w:rPr>
        <w:t> </w:t>
      </w:r>
      <w:r>
        <w:rPr>
          <w:sz w:val="18"/>
        </w:rPr>
        <w:t>loss</w:t>
      </w:r>
      <w:r>
        <w:rPr>
          <w:spacing w:val="-8"/>
          <w:sz w:val="18"/>
        </w:rPr>
        <w:t> </w:t>
      </w:r>
      <w:r>
        <w:rPr>
          <w:sz w:val="18"/>
        </w:rPr>
        <w:t>not</w:t>
      </w:r>
      <w:r>
        <w:rPr>
          <w:spacing w:val="-8"/>
          <w:sz w:val="18"/>
        </w:rPr>
        <w:t> </w:t>
      </w:r>
      <w:r>
        <w:rPr>
          <w:sz w:val="18"/>
        </w:rPr>
        <w:t>questions concerning cause, liability or questions of</w:t>
      </w:r>
      <w:r>
        <w:rPr>
          <w:spacing w:val="-8"/>
          <w:sz w:val="18"/>
        </w:rPr>
        <w:t> </w:t>
      </w:r>
      <w:r>
        <w:rPr>
          <w:sz w:val="18"/>
        </w:rPr>
        <w:t>coverage).</w:t>
      </w:r>
    </w:p>
    <w:p>
      <w:pPr>
        <w:spacing w:after="0" w:line="254" w:lineRule="auto"/>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163" w:id="74"/>
      <w:bookmarkEnd w:id="74"/>
      <w:r>
        <w:rPr/>
      </w:r>
      <w:r>
        <w:rPr/>
        <w:t>dispute is outside the scope of appraisal is unpersuasive. </w:t>
      </w:r>
      <w:r>
        <w:rPr>
          <w:spacing w:val="4"/>
        </w:rPr>
        <w:t>In </w:t>
      </w:r>
      <w:r>
        <w:rPr/>
        <w:t>the Court’s view, the dispute centered</w:t>
      </w:r>
      <w:r>
        <w:rPr>
          <w:spacing w:val="-29"/>
        </w:rPr>
        <w:t> </w:t>
      </w:r>
      <w:r>
        <w:rPr/>
        <w:t>around</w:t>
      </w:r>
      <w:r>
        <w:rPr>
          <w:spacing w:val="-28"/>
        </w:rPr>
        <w:t> </w:t>
      </w:r>
      <w:r>
        <w:rPr/>
        <w:t>the</w:t>
      </w:r>
      <w:r>
        <w:rPr>
          <w:spacing w:val="-29"/>
        </w:rPr>
        <w:t> </w:t>
      </w:r>
      <w:r>
        <w:rPr/>
        <w:t>“amount</w:t>
      </w:r>
      <w:r>
        <w:rPr>
          <w:spacing w:val="-28"/>
        </w:rPr>
        <w:t> </w:t>
      </w:r>
      <w:r>
        <w:rPr/>
        <w:t>of</w:t>
      </w:r>
      <w:r>
        <w:rPr>
          <w:spacing w:val="-31"/>
        </w:rPr>
        <w:t> </w:t>
      </w:r>
      <w:r>
        <w:rPr/>
        <w:t>the</w:t>
      </w:r>
      <w:r>
        <w:rPr>
          <w:spacing w:val="-30"/>
        </w:rPr>
        <w:t> </w:t>
      </w:r>
      <w:r>
        <w:rPr/>
        <w:t>loss</w:t>
      </w:r>
      <w:r>
        <w:rPr>
          <w:spacing w:val="-29"/>
        </w:rPr>
        <w:t> </w:t>
      </w:r>
      <w:r>
        <w:rPr/>
        <w:t>to</w:t>
      </w:r>
      <w:r>
        <w:rPr>
          <w:spacing w:val="-30"/>
        </w:rPr>
        <w:t> </w:t>
      </w:r>
      <w:r>
        <w:rPr/>
        <w:t>the siding” and also “the cost to repair or replace the siding.” This is precisely the type of factual dispute the policy’s appraisal process is designed for. Thus the dispute falls within the scope of the appraisal process contained in the insurance policy. The Court directed the appraisal team to determine the cost to put the siding back in the same condition it was before the hailstorm–whether it is dented or marked.</w:t>
      </w:r>
      <w:r>
        <w:rPr>
          <w:vertAlign w:val="superscript"/>
        </w:rPr>
        <w:t>231</w:t>
      </w:r>
    </w:p>
    <w:p>
      <w:pPr>
        <w:pStyle w:val="BodyText"/>
        <w:spacing w:before="10"/>
        <w:rPr>
          <w:sz w:val="25"/>
        </w:rPr>
      </w:pPr>
    </w:p>
    <w:p>
      <w:pPr>
        <w:pStyle w:val="BodyText"/>
        <w:spacing w:line="242" w:lineRule="auto"/>
        <w:ind w:left="1520" w:right="1518" w:firstLine="720"/>
        <w:jc w:val="both"/>
      </w:pPr>
      <w:r>
        <w:rPr/>
        <w:t>However, where there was found to be an issue of fact as to whether the damage occurred</w:t>
      </w:r>
      <w:r>
        <w:rPr>
          <w:spacing w:val="-8"/>
        </w:rPr>
        <w:t> </w:t>
      </w:r>
      <w:r>
        <w:rPr/>
        <w:t>before</w:t>
      </w:r>
      <w:r>
        <w:rPr>
          <w:spacing w:val="-10"/>
        </w:rPr>
        <w:t> </w:t>
      </w:r>
      <w:r>
        <w:rPr/>
        <w:t>or</w:t>
      </w:r>
      <w:r>
        <w:rPr>
          <w:spacing w:val="-10"/>
        </w:rPr>
        <w:t> </w:t>
      </w:r>
      <w:r>
        <w:rPr/>
        <w:t>during</w:t>
      </w:r>
      <w:r>
        <w:rPr>
          <w:spacing w:val="-10"/>
        </w:rPr>
        <w:t> </w:t>
      </w:r>
      <w:r>
        <w:rPr/>
        <w:t>the</w:t>
      </w:r>
      <w:r>
        <w:rPr>
          <w:spacing w:val="-9"/>
        </w:rPr>
        <w:t> </w:t>
      </w:r>
      <w:r>
        <w:rPr/>
        <w:t>policy</w:t>
      </w:r>
      <w:r>
        <w:rPr>
          <w:spacing w:val="-12"/>
        </w:rPr>
        <w:t> </w:t>
      </w:r>
      <w:r>
        <w:rPr/>
        <w:t>period,</w:t>
      </w:r>
      <w:r>
        <w:rPr>
          <w:spacing w:val="-9"/>
        </w:rPr>
        <w:t> </w:t>
      </w:r>
      <w:r>
        <w:rPr/>
        <w:t>a motion to compel an appraisal was</w:t>
      </w:r>
      <w:r>
        <w:rPr>
          <w:spacing w:val="-12"/>
        </w:rPr>
        <w:t> </w:t>
      </w:r>
      <w:r>
        <w:rPr>
          <w:spacing w:val="-6"/>
        </w:rPr>
        <w:t>denied.</w:t>
      </w:r>
      <w:r>
        <w:rPr>
          <w:spacing w:val="-6"/>
          <w:vertAlign w:val="superscript"/>
        </w:rPr>
        <w:t>232</w:t>
      </w:r>
    </w:p>
    <w:p>
      <w:pPr>
        <w:pStyle w:val="BodyText"/>
        <w:spacing w:before="1"/>
      </w:pPr>
    </w:p>
    <w:p>
      <w:pPr>
        <w:pStyle w:val="BodyText"/>
        <w:spacing w:line="242" w:lineRule="auto"/>
        <w:ind w:left="1520" w:right="1519" w:firstLine="720"/>
        <w:jc w:val="both"/>
      </w:pPr>
      <w:r>
        <w:rPr/>
        <w:t>The Supreme Court of </w:t>
      </w:r>
      <w:r>
        <w:rPr>
          <w:spacing w:val="-3"/>
        </w:rPr>
        <w:t>Minnesota </w:t>
      </w:r>
      <w:r>
        <w:rPr/>
        <w:t>undertook the issue of whether causation is appraisable.</w:t>
      </w:r>
      <w:r>
        <w:rPr>
          <w:spacing w:val="15"/>
        </w:rPr>
        <w:t> </w:t>
      </w:r>
      <w:r>
        <w:rPr>
          <w:spacing w:val="3"/>
        </w:rPr>
        <w:t>In</w:t>
      </w:r>
      <w:r>
        <w:rPr>
          <w:spacing w:val="-28"/>
        </w:rPr>
        <w:t> </w:t>
      </w:r>
      <w:r>
        <w:rPr/>
        <w:t>concluding</w:t>
      </w:r>
      <w:r>
        <w:rPr>
          <w:spacing w:val="-26"/>
        </w:rPr>
        <w:t> </w:t>
      </w:r>
      <w:r>
        <w:rPr/>
        <w:t>that</w:t>
      </w:r>
      <w:r>
        <w:rPr>
          <w:spacing w:val="-30"/>
        </w:rPr>
        <w:t> </w:t>
      </w:r>
      <w:r>
        <w:rPr/>
        <w:t>an</w:t>
      </w:r>
      <w:r>
        <w:rPr>
          <w:spacing w:val="-30"/>
        </w:rPr>
        <w:t> </w:t>
      </w:r>
      <w:r>
        <w:rPr/>
        <w:t>appraiser’s duty</w:t>
      </w:r>
      <w:r>
        <w:rPr>
          <w:spacing w:val="-34"/>
        </w:rPr>
        <w:t> </w:t>
      </w:r>
      <w:r>
        <w:rPr/>
        <w:t>to</w:t>
      </w:r>
      <w:r>
        <w:rPr>
          <w:spacing w:val="-30"/>
        </w:rPr>
        <w:t> </w:t>
      </w:r>
      <w:r>
        <w:rPr/>
        <w:t>determine</w:t>
      </w:r>
      <w:r>
        <w:rPr>
          <w:spacing w:val="-31"/>
        </w:rPr>
        <w:t> </w:t>
      </w:r>
      <w:r>
        <w:rPr/>
        <w:t>the</w:t>
      </w:r>
      <w:r>
        <w:rPr>
          <w:spacing w:val="-31"/>
        </w:rPr>
        <w:t> </w:t>
      </w:r>
      <w:r>
        <w:rPr/>
        <w:t>“amount</w:t>
      </w:r>
      <w:r>
        <w:rPr>
          <w:spacing w:val="-30"/>
        </w:rPr>
        <w:t> </w:t>
      </w:r>
      <w:r>
        <w:rPr/>
        <w:t>of</w:t>
      </w:r>
      <w:r>
        <w:rPr>
          <w:spacing w:val="-28"/>
        </w:rPr>
        <w:t> </w:t>
      </w:r>
      <w:r>
        <w:rPr/>
        <w:t>loss”</w:t>
      </w:r>
      <w:r>
        <w:rPr>
          <w:spacing w:val="-28"/>
        </w:rPr>
        <w:t> </w:t>
      </w:r>
      <w:r>
        <w:rPr/>
        <w:t>requires appraisers to determine causation. </w:t>
      </w:r>
      <w:r>
        <w:rPr>
          <w:spacing w:val="3"/>
        </w:rPr>
        <w:t>It</w:t>
      </w:r>
      <w:r>
        <w:rPr>
          <w:spacing w:val="-22"/>
        </w:rPr>
        <w:t> </w:t>
      </w:r>
      <w:r>
        <w:rPr/>
        <w:t>stated:</w:t>
      </w:r>
    </w:p>
    <w:p>
      <w:pPr>
        <w:pStyle w:val="BodyText"/>
        <w:spacing w:before="1"/>
      </w:pPr>
    </w:p>
    <w:p>
      <w:pPr>
        <w:pStyle w:val="BodyText"/>
        <w:spacing w:line="242" w:lineRule="auto"/>
        <w:ind w:left="2240" w:right="2238"/>
        <w:jc w:val="both"/>
      </w:pPr>
      <w:r>
        <w:rPr/>
        <w:t>“The parties’ disagreement concerning the scope of the appraisal process focuses on the</w:t>
      </w:r>
    </w:p>
    <w:p>
      <w:pPr>
        <w:pStyle w:val="BodyText"/>
        <w:rPr>
          <w:sz w:val="20"/>
        </w:rPr>
      </w:pPr>
    </w:p>
    <w:p>
      <w:pPr>
        <w:pStyle w:val="BodyText"/>
        <w:spacing w:before="7"/>
        <w:rPr>
          <w:sz w:val="19"/>
        </w:rPr>
      </w:pPr>
      <w:r>
        <w:rPr/>
        <w:pict>
          <v:shape style="position:absolute;margin-left:162pt;margin-top:14.405688pt;width:143.9pt;height:.1pt;mso-position-horizontal-relative:page;mso-position-vertical-relative:paragraph;z-index:-251567104;mso-wrap-distance-left:0;mso-wrap-distance-right:0" coordorigin="3240,288" coordsize="2878,0" path="m3240,288l6118,288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8"/>
        </w:numPr>
        <w:tabs>
          <w:tab w:pos="1435" w:val="left" w:leader="none"/>
        </w:tabs>
        <w:spacing w:line="240" w:lineRule="auto" w:before="71" w:after="0"/>
        <w:ind w:left="1434" w:right="0" w:hanging="275"/>
        <w:jc w:val="left"/>
        <w:rPr>
          <w:sz w:val="24"/>
        </w:rPr>
      </w:pPr>
      <w:r>
        <w:rPr>
          <w:sz w:val="18"/>
          <w:u w:val="single"/>
        </w:rPr>
        <w:t>Sampson v. Horace Mann Ins. Co.</w:t>
      </w:r>
      <w:r>
        <w:rPr>
          <w:sz w:val="18"/>
        </w:rPr>
        <w:t>, 2003 WL 22234692 (Minn. App.</w:t>
      </w:r>
      <w:r>
        <w:rPr>
          <w:spacing w:val="2"/>
          <w:sz w:val="18"/>
        </w:rPr>
        <w:t> </w:t>
      </w:r>
      <w:r>
        <w:rPr>
          <w:sz w:val="18"/>
        </w:rPr>
        <w:t>2003)</w:t>
      </w:r>
      <w:r>
        <w:rPr>
          <w:sz w:val="24"/>
        </w:rPr>
        <w:t>.</w:t>
      </w:r>
    </w:p>
    <w:p>
      <w:pPr>
        <w:pStyle w:val="ListParagraph"/>
        <w:numPr>
          <w:ilvl w:val="0"/>
          <w:numId w:val="18"/>
        </w:numPr>
        <w:tabs>
          <w:tab w:pos="1438" w:val="left" w:leader="none"/>
        </w:tabs>
        <w:spacing w:line="261" w:lineRule="auto" w:before="1" w:after="0"/>
        <w:ind w:left="1160" w:right="1168" w:firstLine="0"/>
        <w:jc w:val="left"/>
        <w:rPr>
          <w:sz w:val="18"/>
        </w:rPr>
      </w:pPr>
      <w:r>
        <w:rPr>
          <w:sz w:val="18"/>
          <w:u w:val="single"/>
        </w:rPr>
        <w:t>Natureview Vista Townhome Ass’n. v. Phoenix Ins. Co.</w:t>
      </w:r>
      <w:r>
        <w:rPr>
          <w:sz w:val="18"/>
        </w:rPr>
        <w:t>, 2011 WL 221616 (D.Minn. 2011)</w:t>
      </w:r>
    </w:p>
    <w:p>
      <w:pPr>
        <w:spacing w:after="0" w:line="261"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2240" w:right="2235"/>
        <w:jc w:val="both"/>
      </w:pPr>
      <w:bookmarkStart w:name="Law and Procedure 164" w:id="75"/>
      <w:bookmarkEnd w:id="75"/>
      <w:r>
        <w:rPr/>
      </w:r>
      <w:r>
        <w:rPr/>
        <w:t>meaning</w:t>
      </w:r>
      <w:r>
        <w:rPr>
          <w:spacing w:val="-16"/>
        </w:rPr>
        <w:t> </w:t>
      </w:r>
      <w:r>
        <w:rPr/>
        <w:t>of</w:t>
      </w:r>
      <w:r>
        <w:rPr>
          <w:spacing w:val="-16"/>
        </w:rPr>
        <w:t> </w:t>
      </w:r>
      <w:r>
        <w:rPr/>
        <w:t>the</w:t>
      </w:r>
      <w:r>
        <w:rPr>
          <w:spacing w:val="-19"/>
        </w:rPr>
        <w:t> </w:t>
      </w:r>
      <w:r>
        <w:rPr/>
        <w:t>phrase</w:t>
      </w:r>
      <w:r>
        <w:rPr>
          <w:spacing w:val="-17"/>
        </w:rPr>
        <w:t> </w:t>
      </w:r>
      <w:r>
        <w:rPr/>
        <w:t>“amount</w:t>
      </w:r>
      <w:r>
        <w:rPr>
          <w:spacing w:val="-17"/>
        </w:rPr>
        <w:t> </w:t>
      </w:r>
      <w:r>
        <w:rPr>
          <w:spacing w:val="-6"/>
        </w:rPr>
        <w:t>of </w:t>
      </w:r>
      <w:r>
        <w:rPr/>
        <w:t>loss.” After reading the appraisal clause in the context of the insurance policy as a whole, </w:t>
      </w:r>
      <w:r>
        <w:rPr>
          <w:spacing w:val="-3"/>
        </w:rPr>
        <w:t>we </w:t>
      </w:r>
      <w:r>
        <w:rPr/>
        <w:t>conclude</w:t>
      </w:r>
      <w:r>
        <w:rPr>
          <w:spacing w:val="-27"/>
        </w:rPr>
        <w:t> </w:t>
      </w:r>
      <w:r>
        <w:rPr/>
        <w:t>that</w:t>
      </w:r>
      <w:r>
        <w:rPr>
          <w:spacing w:val="-29"/>
        </w:rPr>
        <w:t> </w:t>
      </w:r>
      <w:r>
        <w:rPr/>
        <w:t>the</w:t>
      </w:r>
      <w:r>
        <w:rPr>
          <w:spacing w:val="-29"/>
        </w:rPr>
        <w:t> </w:t>
      </w:r>
      <w:r>
        <w:rPr/>
        <w:t>phrase</w:t>
      </w:r>
      <w:r>
        <w:rPr>
          <w:spacing w:val="-27"/>
        </w:rPr>
        <w:t> </w:t>
      </w:r>
      <w:r>
        <w:rPr/>
        <w:t>“amount of loss” is not ambiguous,</w:t>
      </w:r>
      <w:r>
        <w:rPr>
          <w:spacing w:val="-25"/>
        </w:rPr>
        <w:t> </w:t>
      </w:r>
      <w:r>
        <w:rPr/>
        <w:t>because it   is   susceptible   to   only   one   r</w:t>
      </w:r>
      <w:r>
        <w:rPr>
          <w:spacing w:val="-41"/>
        </w:rPr>
        <w:t> </w:t>
      </w:r>
      <w:r>
        <w:rPr/>
        <w:t>e</w:t>
      </w:r>
      <w:r>
        <w:rPr>
          <w:spacing w:val="-39"/>
        </w:rPr>
        <w:t> </w:t>
      </w:r>
      <w:r>
        <w:rPr/>
        <w:t>a</w:t>
      </w:r>
      <w:r>
        <w:rPr>
          <w:spacing w:val="-38"/>
        </w:rPr>
        <w:t> </w:t>
      </w:r>
      <w:r>
        <w:rPr>
          <w:spacing w:val="23"/>
        </w:rPr>
        <w:t>sona</w:t>
      </w:r>
      <w:r>
        <w:rPr>
          <w:spacing w:val="-39"/>
        </w:rPr>
        <w:t> </w:t>
      </w:r>
      <w:r>
        <w:rPr/>
        <w:t>b</w:t>
      </w:r>
      <w:r>
        <w:rPr>
          <w:spacing w:val="-38"/>
        </w:rPr>
        <w:t> </w:t>
      </w:r>
      <w:r>
        <w:rPr/>
        <w:t>l</w:t>
      </w:r>
      <w:r>
        <w:rPr>
          <w:spacing w:val="-38"/>
        </w:rPr>
        <w:t> </w:t>
      </w:r>
      <w:r>
        <w:rPr/>
        <w:t>e</w:t>
      </w:r>
      <w:r>
        <w:rPr>
          <w:spacing w:val="62"/>
        </w:rPr>
        <w:t> </w:t>
      </w:r>
      <w:r>
        <w:rPr/>
        <w:t>i</w:t>
      </w:r>
      <w:r>
        <w:rPr>
          <w:spacing w:val="-36"/>
        </w:rPr>
        <w:t> </w:t>
      </w:r>
      <w:r>
        <w:rPr/>
        <w:t>n</w:t>
      </w:r>
      <w:r>
        <w:rPr>
          <w:spacing w:val="-39"/>
        </w:rPr>
        <w:t> </w:t>
      </w:r>
      <w:r>
        <w:rPr>
          <w:spacing w:val="16"/>
        </w:rPr>
        <w:t>te</w:t>
      </w:r>
      <w:r>
        <w:rPr>
          <w:spacing w:val="-40"/>
        </w:rPr>
        <w:t> </w:t>
      </w:r>
      <w:r>
        <w:rPr>
          <w:spacing w:val="15"/>
        </w:rPr>
        <w:t>rp</w:t>
      </w:r>
      <w:r>
        <w:rPr>
          <w:spacing w:val="-38"/>
        </w:rPr>
        <w:t> </w:t>
      </w:r>
      <w:r>
        <w:rPr/>
        <w:t>r</w:t>
      </w:r>
      <w:r>
        <w:rPr>
          <w:spacing w:val="-40"/>
        </w:rPr>
        <w:t> </w:t>
      </w:r>
      <w:r>
        <w:rPr/>
        <w:t>e</w:t>
      </w:r>
      <w:r>
        <w:rPr>
          <w:spacing w:val="-39"/>
        </w:rPr>
        <w:t> </w:t>
      </w:r>
      <w:r>
        <w:rPr>
          <w:spacing w:val="16"/>
        </w:rPr>
        <w:t>ta</w:t>
      </w:r>
      <w:r>
        <w:rPr>
          <w:spacing w:val="-41"/>
        </w:rPr>
        <w:t> </w:t>
      </w:r>
      <w:r>
        <w:rPr/>
        <w:t>t</w:t>
      </w:r>
      <w:r>
        <w:rPr>
          <w:spacing w:val="-40"/>
        </w:rPr>
        <w:t> </w:t>
      </w:r>
      <w:r>
        <w:rPr/>
        <w:t>i</w:t>
      </w:r>
      <w:r>
        <w:rPr>
          <w:spacing w:val="-36"/>
        </w:rPr>
        <w:t> </w:t>
      </w:r>
      <w:r>
        <w:rPr/>
        <w:t>o</w:t>
      </w:r>
      <w:r>
        <w:rPr>
          <w:spacing w:val="-39"/>
        </w:rPr>
        <w:t> </w:t>
      </w:r>
      <w:r>
        <w:rPr/>
        <w:t>n</w:t>
      </w:r>
      <w:r>
        <w:rPr>
          <w:spacing w:val="-39"/>
        </w:rPr>
        <w:t> </w:t>
      </w:r>
      <w:r>
        <w:rPr/>
        <w:t>. </w:t>
      </w:r>
      <w:r>
        <w:rPr>
          <w:spacing w:val="3"/>
        </w:rPr>
        <w:t>Specifically, </w:t>
      </w:r>
      <w:r>
        <w:rPr>
          <w:spacing w:val="4"/>
        </w:rPr>
        <w:t>in </w:t>
      </w:r>
      <w:r>
        <w:rPr>
          <w:spacing w:val="2"/>
        </w:rPr>
        <w:t>the </w:t>
      </w:r>
      <w:r>
        <w:rPr>
          <w:spacing w:val="4"/>
        </w:rPr>
        <w:t>insurance </w:t>
      </w:r>
      <w:r>
        <w:rPr/>
        <w:t>context,</w:t>
      </w:r>
      <w:r>
        <w:rPr>
          <w:spacing w:val="-25"/>
        </w:rPr>
        <w:t> </w:t>
      </w:r>
      <w:r>
        <w:rPr/>
        <w:t>an</w:t>
      </w:r>
      <w:r>
        <w:rPr>
          <w:spacing w:val="-24"/>
        </w:rPr>
        <w:t> </w:t>
      </w:r>
      <w:r>
        <w:rPr/>
        <w:t>appraiser’s</w:t>
      </w:r>
      <w:r>
        <w:rPr>
          <w:spacing w:val="-25"/>
        </w:rPr>
        <w:t> </w:t>
      </w:r>
      <w:r>
        <w:rPr/>
        <w:t>assessment of the “amount of loss” necessarily includes determination of the cause of the loss, and the amount </w:t>
      </w:r>
      <w:r>
        <w:rPr>
          <w:spacing w:val="2"/>
        </w:rPr>
        <w:t>it </w:t>
      </w:r>
      <w:r>
        <w:rPr/>
        <w:t>would cost to repair that loss. With respect to insurance, “loss” is defined as “[t]he amount </w:t>
      </w:r>
      <w:r>
        <w:rPr>
          <w:spacing w:val="-6"/>
        </w:rPr>
        <w:t>of </w:t>
      </w:r>
      <w:r>
        <w:rPr/>
        <w:t>financial</w:t>
      </w:r>
      <w:r>
        <w:rPr>
          <w:spacing w:val="-25"/>
        </w:rPr>
        <w:t> </w:t>
      </w:r>
      <w:r>
        <w:rPr/>
        <w:t>detriment</w:t>
      </w:r>
      <w:r>
        <w:rPr>
          <w:spacing w:val="-30"/>
        </w:rPr>
        <w:t> </w:t>
      </w:r>
      <w:r>
        <w:rPr/>
        <w:t>caused</w:t>
      </w:r>
      <w:r>
        <w:rPr>
          <w:spacing w:val="-22"/>
        </w:rPr>
        <w:t> </w:t>
      </w:r>
      <w:r>
        <w:rPr/>
        <w:t>by</w:t>
      </w:r>
      <w:r>
        <w:rPr>
          <w:spacing w:val="-25"/>
        </w:rPr>
        <w:t> </w:t>
      </w:r>
      <w:r>
        <w:rPr/>
        <w:t>...an insured property’s damage, for which the insurer becomes</w:t>
      </w:r>
      <w:r>
        <w:rPr>
          <w:spacing w:val="-15"/>
        </w:rPr>
        <w:t> </w:t>
      </w:r>
      <w:r>
        <w:rPr/>
        <w:t>liable.” </w:t>
      </w:r>
      <w:r>
        <w:rPr>
          <w:i/>
        </w:rPr>
        <w:t>Blacks Law Dictionary </w:t>
      </w:r>
      <w:r>
        <w:rPr/>
        <w:t>1030 </w:t>
      </w:r>
      <w:r>
        <w:rPr>
          <w:spacing w:val="-3"/>
        </w:rPr>
        <w:t>(9</w:t>
      </w:r>
      <w:r>
        <w:rPr>
          <w:spacing w:val="-3"/>
          <w:vertAlign w:val="superscript"/>
        </w:rPr>
        <w:t>th</w:t>
      </w:r>
      <w:r>
        <w:rPr>
          <w:spacing w:val="-3"/>
          <w:vertAlign w:val="baseline"/>
        </w:rPr>
        <w:t> </w:t>
      </w:r>
      <w:r>
        <w:rPr>
          <w:spacing w:val="-10"/>
          <w:vertAlign w:val="baseline"/>
        </w:rPr>
        <w:t>ed. </w:t>
      </w:r>
      <w:r>
        <w:rPr>
          <w:spacing w:val="21"/>
          <w:vertAlign w:val="baseline"/>
        </w:rPr>
        <w:t>2009 </w:t>
      </w:r>
      <w:r>
        <w:rPr>
          <w:spacing w:val="12"/>
          <w:vertAlign w:val="baseline"/>
        </w:rPr>
        <w:t>).</w:t>
      </w:r>
      <w:r>
        <w:rPr>
          <w:spacing w:val="53"/>
          <w:vertAlign w:val="baseline"/>
        </w:rPr>
        <w:t> </w:t>
      </w:r>
      <w:r>
        <w:rPr>
          <w:i/>
          <w:spacing w:val="21"/>
          <w:vertAlign w:val="baseline"/>
        </w:rPr>
        <w:t>Merriam- </w:t>
      </w:r>
      <w:r>
        <w:rPr>
          <w:i/>
          <w:spacing w:val="24"/>
          <w:vertAlign w:val="baseline"/>
        </w:rPr>
        <w:t>Webster’ </w:t>
      </w:r>
      <w:r>
        <w:rPr>
          <w:i/>
          <w:vertAlign w:val="baseline"/>
        </w:rPr>
        <w:t>s </w:t>
      </w:r>
      <w:r>
        <w:rPr>
          <w:i/>
          <w:vertAlign w:val="baseline"/>
        </w:rPr>
        <w:t>Collegiate</w:t>
      </w:r>
      <w:r>
        <w:rPr>
          <w:i/>
          <w:spacing w:val="-31"/>
          <w:vertAlign w:val="baseline"/>
        </w:rPr>
        <w:t> </w:t>
      </w:r>
      <w:r>
        <w:rPr>
          <w:i/>
          <w:vertAlign w:val="baseline"/>
        </w:rPr>
        <w:t>Dictionary</w:t>
      </w:r>
      <w:r>
        <w:rPr>
          <w:i/>
          <w:spacing w:val="-28"/>
          <w:vertAlign w:val="baseline"/>
        </w:rPr>
        <w:t> </w:t>
      </w:r>
      <w:r>
        <w:rPr>
          <w:vertAlign w:val="baseline"/>
        </w:rPr>
        <w:t>defines</w:t>
      </w:r>
      <w:r>
        <w:rPr>
          <w:spacing w:val="-29"/>
          <w:vertAlign w:val="baseline"/>
        </w:rPr>
        <w:t> </w:t>
      </w:r>
      <w:r>
        <w:rPr>
          <w:vertAlign w:val="baseline"/>
        </w:rPr>
        <w:t>“loss” </w:t>
      </w:r>
      <w:r>
        <w:rPr>
          <w:spacing w:val="2"/>
          <w:vertAlign w:val="baseline"/>
        </w:rPr>
        <w:t>in </w:t>
      </w:r>
      <w:r>
        <w:rPr>
          <w:vertAlign w:val="baseline"/>
        </w:rPr>
        <w:t>the insurance context as “the amount of an insured’s</w:t>
      </w:r>
      <w:r>
        <w:rPr>
          <w:spacing w:val="60"/>
          <w:vertAlign w:val="baseline"/>
        </w:rPr>
        <w:t> </w:t>
      </w:r>
      <w:r>
        <w:rPr>
          <w:vertAlign w:val="baseline"/>
        </w:rPr>
        <w:t>financial detriment</w:t>
      </w:r>
      <w:r>
        <w:rPr>
          <w:spacing w:val="-18"/>
          <w:vertAlign w:val="baseline"/>
        </w:rPr>
        <w:t> </w:t>
      </w:r>
      <w:r>
        <w:rPr>
          <w:vertAlign w:val="baseline"/>
        </w:rPr>
        <w:t>by</w:t>
      </w:r>
      <w:r>
        <w:rPr>
          <w:spacing w:val="-17"/>
          <w:vertAlign w:val="baseline"/>
        </w:rPr>
        <w:t> </w:t>
      </w:r>
      <w:r>
        <w:rPr>
          <w:vertAlign w:val="baseline"/>
        </w:rPr>
        <w:t>debt</w:t>
      </w:r>
      <w:r>
        <w:rPr>
          <w:spacing w:val="-15"/>
          <w:vertAlign w:val="baseline"/>
        </w:rPr>
        <w:t> </w:t>
      </w:r>
      <w:r>
        <w:rPr>
          <w:vertAlign w:val="baseline"/>
        </w:rPr>
        <w:t>or</w:t>
      </w:r>
      <w:r>
        <w:rPr>
          <w:spacing w:val="-16"/>
          <w:vertAlign w:val="baseline"/>
        </w:rPr>
        <w:t> </w:t>
      </w:r>
      <w:r>
        <w:rPr>
          <w:vertAlign w:val="baseline"/>
        </w:rPr>
        <w:t>damage</w:t>
      </w:r>
      <w:r>
        <w:rPr>
          <w:spacing w:val="-15"/>
          <w:vertAlign w:val="baseline"/>
        </w:rPr>
        <w:t> </w:t>
      </w:r>
      <w:r>
        <w:rPr>
          <w:vertAlign w:val="baseline"/>
        </w:rPr>
        <w:t>that the insurer becomes liable </w:t>
      </w:r>
      <w:r>
        <w:rPr>
          <w:spacing w:val="-4"/>
          <w:vertAlign w:val="baseline"/>
        </w:rPr>
        <w:t>for.” </w:t>
      </w:r>
      <w:r>
        <w:rPr>
          <w:i/>
          <w:spacing w:val="12"/>
          <w:vertAlign w:val="baseline"/>
        </w:rPr>
        <w:t>Merriam-Webster’s Collegiate </w:t>
      </w:r>
      <w:r>
        <w:rPr>
          <w:i/>
          <w:vertAlign w:val="baseline"/>
        </w:rPr>
        <w:t>Dictionary 687 </w:t>
      </w:r>
      <w:r>
        <w:rPr>
          <w:vertAlign w:val="baseline"/>
        </w:rPr>
        <w:t>(10</w:t>
      </w:r>
      <w:r>
        <w:rPr>
          <w:vertAlign w:val="superscript"/>
        </w:rPr>
        <w:t>th</w:t>
      </w:r>
      <w:r>
        <w:rPr>
          <w:vertAlign w:val="baseline"/>
        </w:rPr>
        <w:t> ed. </w:t>
      </w:r>
      <w:r>
        <w:rPr>
          <w:spacing w:val="-6"/>
          <w:vertAlign w:val="baseline"/>
        </w:rPr>
        <w:t>2001). </w:t>
      </w:r>
      <w:r>
        <w:rPr>
          <w:vertAlign w:val="baseline"/>
        </w:rPr>
        <w:t>These definitions state that as a general matter the term “loss” refers to damages for which the insurer is responsible. Thus,</w:t>
      </w:r>
      <w:r>
        <w:rPr>
          <w:spacing w:val="8"/>
          <w:vertAlign w:val="baseline"/>
        </w:rPr>
        <w:t> </w:t>
      </w:r>
      <w:r>
        <w:rPr>
          <w:vertAlign w:val="baseline"/>
        </w:rPr>
        <w:t>the</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5"/>
        <w:rPr>
          <w:sz w:val="20"/>
        </w:rPr>
      </w:pPr>
    </w:p>
    <w:p>
      <w:pPr>
        <w:pStyle w:val="BodyText"/>
        <w:spacing w:line="242" w:lineRule="auto" w:before="41"/>
        <w:ind w:left="2240" w:right="2237"/>
        <w:jc w:val="both"/>
      </w:pPr>
      <w:bookmarkStart w:name="Law and Procedure 165" w:id="76"/>
      <w:bookmarkEnd w:id="76"/>
      <w:r>
        <w:rPr/>
      </w:r>
      <w:r>
        <w:rPr/>
        <w:t>dictionary definitions of “loss” </w:t>
      </w:r>
      <w:r>
        <w:rPr>
          <w:spacing w:val="-4"/>
        </w:rPr>
        <w:t>for </w:t>
      </w:r>
      <w:r>
        <w:rPr/>
        <w:t>purposes of insurance </w:t>
      </w:r>
      <w:r>
        <w:rPr>
          <w:spacing w:val="-3"/>
        </w:rPr>
        <w:t>expressly </w:t>
      </w:r>
      <w:r>
        <w:rPr>
          <w:spacing w:val="5"/>
        </w:rPr>
        <w:t>contemplate </w:t>
      </w:r>
      <w:r>
        <w:rPr>
          <w:spacing w:val="3"/>
        </w:rPr>
        <w:t>an </w:t>
      </w:r>
      <w:r>
        <w:rPr>
          <w:spacing w:val="5"/>
        </w:rPr>
        <w:t>element </w:t>
      </w:r>
      <w:r>
        <w:rPr>
          <w:spacing w:val="3"/>
        </w:rPr>
        <w:t>of </w:t>
      </w:r>
      <w:r>
        <w:rPr>
          <w:spacing w:val="8"/>
        </w:rPr>
        <w:t>causation. </w:t>
      </w:r>
      <w:r>
        <w:rPr>
          <w:spacing w:val="4"/>
        </w:rPr>
        <w:t>By </w:t>
      </w:r>
      <w:r>
        <w:rPr>
          <w:spacing w:val="8"/>
        </w:rPr>
        <w:t>extension, </w:t>
      </w:r>
      <w:r>
        <w:rPr>
          <w:spacing w:val="4"/>
        </w:rPr>
        <w:t>an </w:t>
      </w:r>
      <w:r>
        <w:rPr/>
        <w:t>appraiser’s duty to determine the “amount  of   loss”   requires   </w:t>
      </w:r>
      <w:r>
        <w:rPr>
          <w:spacing w:val="-5"/>
        </w:rPr>
        <w:t>the </w:t>
      </w:r>
      <w:r>
        <w:rPr/>
        <w:t>a</w:t>
      </w:r>
      <w:r>
        <w:rPr>
          <w:spacing w:val="-25"/>
        </w:rPr>
        <w:t> </w:t>
      </w:r>
      <w:r>
        <w:rPr/>
        <w:t>p</w:t>
      </w:r>
      <w:r>
        <w:rPr>
          <w:spacing w:val="-24"/>
        </w:rPr>
        <w:t> </w:t>
      </w:r>
      <w:r>
        <w:rPr/>
        <w:t>p</w:t>
      </w:r>
      <w:r>
        <w:rPr>
          <w:spacing w:val="-24"/>
        </w:rPr>
        <w:t> </w:t>
      </w:r>
      <w:r>
        <w:rPr/>
        <w:t>r</w:t>
      </w:r>
      <w:r>
        <w:rPr>
          <w:spacing w:val="-27"/>
        </w:rPr>
        <w:t> </w:t>
      </w:r>
      <w:r>
        <w:rPr/>
        <w:t>a</w:t>
      </w:r>
      <w:r>
        <w:rPr>
          <w:spacing w:val="-27"/>
        </w:rPr>
        <w:t> </w:t>
      </w:r>
      <w:r>
        <w:rPr/>
        <w:t>i</w:t>
      </w:r>
      <w:r>
        <w:rPr>
          <w:spacing w:val="-24"/>
        </w:rPr>
        <w:t> </w:t>
      </w:r>
      <w:r>
        <w:rPr/>
        <w:t>s</w:t>
      </w:r>
      <w:r>
        <w:rPr>
          <w:spacing w:val="-27"/>
        </w:rPr>
        <w:t> </w:t>
      </w:r>
      <w:r>
        <w:rPr/>
        <w:t>e</w:t>
      </w:r>
      <w:r>
        <w:rPr>
          <w:spacing w:val="-29"/>
        </w:rPr>
        <w:t> </w:t>
      </w:r>
      <w:r>
        <w:rPr/>
        <w:t>r</w:t>
      </w:r>
      <w:r>
        <w:rPr>
          <w:spacing w:val="20"/>
        </w:rPr>
        <w:t> </w:t>
      </w:r>
      <w:r>
        <w:rPr/>
        <w:t>t</w:t>
      </w:r>
      <w:r>
        <w:rPr>
          <w:spacing w:val="-27"/>
        </w:rPr>
        <w:t> </w:t>
      </w:r>
      <w:r>
        <w:rPr/>
        <w:t>o</w:t>
      </w:r>
      <w:r>
        <w:rPr>
          <w:spacing w:val="22"/>
        </w:rPr>
        <w:t> </w:t>
      </w:r>
      <w:r>
        <w:rPr/>
        <w:t>d</w:t>
      </w:r>
      <w:r>
        <w:rPr>
          <w:spacing w:val="-24"/>
        </w:rPr>
        <w:t> </w:t>
      </w:r>
      <w:r>
        <w:rPr/>
        <w:t>e</w:t>
      </w:r>
      <w:r>
        <w:rPr>
          <w:spacing w:val="-26"/>
        </w:rPr>
        <w:t> </w:t>
      </w:r>
      <w:r>
        <w:rPr/>
        <w:t>t</w:t>
      </w:r>
      <w:r>
        <w:rPr>
          <w:spacing w:val="-26"/>
        </w:rPr>
        <w:t> </w:t>
      </w:r>
      <w:r>
        <w:rPr/>
        <w:t>e</w:t>
      </w:r>
      <w:r>
        <w:rPr>
          <w:spacing w:val="-27"/>
        </w:rPr>
        <w:t> </w:t>
      </w:r>
      <w:r>
        <w:rPr/>
        <w:t>r</w:t>
      </w:r>
      <w:r>
        <w:rPr>
          <w:spacing w:val="-26"/>
        </w:rPr>
        <w:t> </w:t>
      </w:r>
      <w:r>
        <w:rPr/>
        <w:t>m</w:t>
      </w:r>
      <w:r>
        <w:rPr>
          <w:spacing w:val="-25"/>
        </w:rPr>
        <w:t> </w:t>
      </w:r>
      <w:r>
        <w:rPr/>
        <w:t>i</w:t>
      </w:r>
      <w:r>
        <w:rPr>
          <w:spacing w:val="-21"/>
        </w:rPr>
        <w:t> </w:t>
      </w:r>
      <w:r>
        <w:rPr/>
        <w:t>n</w:t>
      </w:r>
      <w:r>
        <w:rPr>
          <w:spacing w:val="-25"/>
        </w:rPr>
        <w:t> </w:t>
      </w:r>
      <w:r>
        <w:rPr/>
        <w:t>e causation.”</w:t>
      </w:r>
      <w:r>
        <w:rPr>
          <w:vertAlign w:val="superscript"/>
        </w:rPr>
        <w:t>233</w:t>
      </w:r>
    </w:p>
    <w:p>
      <w:pPr>
        <w:pStyle w:val="BodyText"/>
      </w:pPr>
    </w:p>
    <w:p>
      <w:pPr>
        <w:pStyle w:val="BodyText"/>
        <w:spacing w:line="242" w:lineRule="auto"/>
        <w:ind w:left="1520" w:right="1518" w:firstLine="720"/>
        <w:jc w:val="both"/>
      </w:pPr>
      <w:r>
        <w:rPr/>
        <w:t>A similar result was obtained in Texas where it was stated that once it is determined that there is a covered loss, the appraisal process determines the amount of loss that resulted from a covered peril. A dispute over the extent of damage to a roof from hail is a dispute concerning the amount of loss and is appraisable. Extent of loss is an appraisable issue. </w:t>
      </w:r>
      <w:r>
        <w:rPr>
          <w:vertAlign w:val="superscript"/>
        </w:rPr>
        <w:t>234</w:t>
      </w:r>
    </w:p>
    <w:p>
      <w:pPr>
        <w:pStyle w:val="BodyText"/>
        <w:spacing w:before="12"/>
        <w:rPr>
          <w:sz w:val="25"/>
        </w:rPr>
      </w:pPr>
    </w:p>
    <w:p>
      <w:pPr>
        <w:pStyle w:val="BodyText"/>
        <w:spacing w:line="242" w:lineRule="auto"/>
        <w:ind w:left="1520" w:right="1517" w:firstLine="720"/>
        <w:jc w:val="both"/>
      </w:pPr>
      <w:r>
        <w:rPr>
          <w:spacing w:val="3"/>
        </w:rPr>
        <w:t>In </w:t>
      </w:r>
      <w:r>
        <w:rPr/>
        <w:t>Arizona, the Federal District Court found the policy provision to be “not without ambiguity”. Given the state’s strong policy of construing policies in favor of the insured, where</w:t>
      </w:r>
      <w:r>
        <w:rPr>
          <w:spacing w:val="-28"/>
        </w:rPr>
        <w:t> </w:t>
      </w:r>
      <w:r>
        <w:rPr/>
        <w:t>the</w:t>
      </w:r>
      <w:r>
        <w:rPr>
          <w:spacing w:val="-28"/>
        </w:rPr>
        <w:t> </w:t>
      </w:r>
      <w:r>
        <w:rPr/>
        <w:t>dispute</w:t>
      </w:r>
      <w:r>
        <w:rPr>
          <w:spacing w:val="-29"/>
        </w:rPr>
        <w:t> </w:t>
      </w:r>
      <w:r>
        <w:rPr/>
        <w:t>concerns</w:t>
      </w:r>
      <w:r>
        <w:rPr>
          <w:spacing w:val="-29"/>
        </w:rPr>
        <w:t> </w:t>
      </w:r>
      <w:r>
        <w:rPr/>
        <w:t>issues</w:t>
      </w:r>
      <w:r>
        <w:rPr>
          <w:spacing w:val="-26"/>
        </w:rPr>
        <w:t> </w:t>
      </w:r>
      <w:r>
        <w:rPr/>
        <w:t>of</w:t>
      </w:r>
      <w:r>
        <w:rPr>
          <w:spacing w:val="-27"/>
        </w:rPr>
        <w:t> </w:t>
      </w:r>
      <w:r>
        <w:rPr/>
        <w:t>causation on specific portions of an otherwise covered event, “the disagreement focuses on the extent of the insurer’s liability, not over</w:t>
      </w:r>
      <w:r>
        <w:rPr>
          <w:spacing w:val="45"/>
        </w:rPr>
        <w:t> </w:t>
      </w:r>
      <w:r>
        <w:rPr/>
        <w:t>the</w:t>
      </w:r>
    </w:p>
    <w:p>
      <w:pPr>
        <w:pStyle w:val="BodyText"/>
        <w:rPr>
          <w:sz w:val="20"/>
        </w:rPr>
      </w:pPr>
    </w:p>
    <w:p>
      <w:pPr>
        <w:pStyle w:val="BodyText"/>
        <w:spacing w:before="2"/>
        <w:rPr>
          <w:sz w:val="11"/>
        </w:rPr>
      </w:pPr>
      <w:r>
        <w:rPr/>
        <w:pict>
          <v:shape style="position:absolute;margin-left:162pt;margin-top:9.252534pt;width:143.9pt;height:.1pt;mso-position-horizontal-relative:page;mso-position-vertical-relative:paragraph;z-index:-251566080;mso-wrap-distance-left:0;mso-wrap-distance-right:0" coordorigin="3240,185" coordsize="2878,0" path="m3240,185l6118,185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8"/>
        </w:numPr>
        <w:tabs>
          <w:tab w:pos="1435" w:val="left" w:leader="none"/>
        </w:tabs>
        <w:spacing w:line="240" w:lineRule="auto" w:before="71" w:after="0"/>
        <w:ind w:left="1434" w:right="0" w:hanging="275"/>
        <w:jc w:val="both"/>
        <w:rPr>
          <w:sz w:val="24"/>
        </w:rPr>
      </w:pPr>
      <w:r>
        <w:rPr>
          <w:sz w:val="18"/>
          <w:u w:val="single"/>
        </w:rPr>
        <w:t>Quade v. Secura Ins</w:t>
      </w:r>
      <w:r>
        <w:rPr>
          <w:sz w:val="18"/>
        </w:rPr>
        <w:t>., 814 N.W.2d 703 (Minn.</w:t>
      </w:r>
      <w:r>
        <w:rPr>
          <w:spacing w:val="3"/>
          <w:sz w:val="18"/>
        </w:rPr>
        <w:t> </w:t>
      </w:r>
      <w:r>
        <w:rPr>
          <w:sz w:val="18"/>
        </w:rPr>
        <w:t>2012)</w:t>
      </w:r>
      <w:r>
        <w:rPr>
          <w:sz w:val="24"/>
        </w:rPr>
        <w:t>.</w:t>
      </w:r>
    </w:p>
    <w:p>
      <w:pPr>
        <w:pStyle w:val="ListParagraph"/>
        <w:numPr>
          <w:ilvl w:val="0"/>
          <w:numId w:val="18"/>
        </w:numPr>
        <w:tabs>
          <w:tab w:pos="1430" w:val="left" w:leader="none"/>
        </w:tabs>
        <w:spacing w:line="249" w:lineRule="auto" w:before="1" w:after="0"/>
        <w:ind w:left="1160" w:right="1160" w:firstLine="0"/>
        <w:jc w:val="both"/>
        <w:rPr>
          <w:sz w:val="18"/>
        </w:rPr>
      </w:pPr>
      <w:r>
        <w:rPr>
          <w:sz w:val="18"/>
          <w:u w:val="single"/>
        </w:rPr>
        <w:t>Johnson</w:t>
      </w:r>
      <w:r>
        <w:rPr>
          <w:spacing w:val="-4"/>
          <w:sz w:val="18"/>
          <w:u w:val="single"/>
        </w:rPr>
        <w:t> </w:t>
      </w:r>
      <w:r>
        <w:rPr>
          <w:sz w:val="18"/>
          <w:u w:val="single"/>
        </w:rPr>
        <w:t>v.</w:t>
      </w:r>
      <w:r>
        <w:rPr>
          <w:spacing w:val="-6"/>
          <w:sz w:val="18"/>
          <w:u w:val="single"/>
        </w:rPr>
        <w:t> </w:t>
      </w:r>
      <w:r>
        <w:rPr>
          <w:sz w:val="18"/>
          <w:u w:val="single"/>
        </w:rPr>
        <w:t>State</w:t>
      </w:r>
      <w:r>
        <w:rPr>
          <w:spacing w:val="-6"/>
          <w:sz w:val="18"/>
          <w:u w:val="single"/>
        </w:rPr>
        <w:t> </w:t>
      </w:r>
      <w:r>
        <w:rPr>
          <w:sz w:val="18"/>
          <w:u w:val="single"/>
        </w:rPr>
        <w:t>Farm</w:t>
      </w:r>
      <w:r>
        <w:rPr>
          <w:spacing w:val="-9"/>
          <w:sz w:val="18"/>
          <w:u w:val="single"/>
        </w:rPr>
        <w:t> </w:t>
      </w:r>
      <w:r>
        <w:rPr>
          <w:sz w:val="18"/>
          <w:u w:val="single"/>
        </w:rPr>
        <w:t>Lloyds</w:t>
      </w:r>
      <w:r>
        <w:rPr>
          <w:sz w:val="18"/>
        </w:rPr>
        <w:t>,</w:t>
      </w:r>
      <w:r>
        <w:rPr>
          <w:spacing w:val="-5"/>
          <w:sz w:val="18"/>
        </w:rPr>
        <w:t> </w:t>
      </w:r>
      <w:r>
        <w:rPr>
          <w:sz w:val="18"/>
        </w:rPr>
        <w:t>204</w:t>
      </w:r>
      <w:r>
        <w:rPr>
          <w:spacing w:val="-4"/>
          <w:sz w:val="18"/>
        </w:rPr>
        <w:t> </w:t>
      </w:r>
      <w:r>
        <w:rPr>
          <w:sz w:val="18"/>
        </w:rPr>
        <w:t>S.W.3d</w:t>
      </w:r>
      <w:r>
        <w:rPr>
          <w:spacing w:val="-1"/>
          <w:sz w:val="18"/>
        </w:rPr>
        <w:t> </w:t>
      </w:r>
      <w:r>
        <w:rPr>
          <w:sz w:val="18"/>
        </w:rPr>
        <w:t>897</w:t>
      </w:r>
      <w:r>
        <w:rPr>
          <w:spacing w:val="-4"/>
          <w:sz w:val="18"/>
        </w:rPr>
        <w:t> </w:t>
      </w:r>
      <w:r>
        <w:rPr>
          <w:sz w:val="18"/>
        </w:rPr>
        <w:t>(Tex.</w:t>
      </w:r>
      <w:r>
        <w:rPr>
          <w:spacing w:val="-5"/>
          <w:sz w:val="18"/>
        </w:rPr>
        <w:t> </w:t>
      </w:r>
      <w:r>
        <w:rPr>
          <w:sz w:val="18"/>
        </w:rPr>
        <w:t>App-Dallas,</w:t>
      </w:r>
      <w:r>
        <w:rPr>
          <w:spacing w:val="-6"/>
          <w:sz w:val="18"/>
        </w:rPr>
        <w:t> </w:t>
      </w:r>
      <w:r>
        <w:rPr>
          <w:sz w:val="18"/>
        </w:rPr>
        <w:t>2006);</w:t>
      </w:r>
      <w:r>
        <w:rPr>
          <w:spacing w:val="-5"/>
          <w:sz w:val="18"/>
        </w:rPr>
        <w:t> </w:t>
      </w:r>
      <w:r>
        <w:rPr>
          <w:sz w:val="18"/>
          <w:u w:val="single"/>
        </w:rPr>
        <w:t>In</w:t>
      </w:r>
      <w:r>
        <w:rPr>
          <w:spacing w:val="-3"/>
          <w:sz w:val="18"/>
          <w:u w:val="single"/>
        </w:rPr>
        <w:t> </w:t>
      </w:r>
      <w:r>
        <w:rPr>
          <w:sz w:val="18"/>
          <w:u w:val="single"/>
        </w:rPr>
        <w:t>re</w:t>
      </w:r>
      <w:r>
        <w:rPr>
          <w:spacing w:val="-6"/>
          <w:sz w:val="18"/>
          <w:u w:val="single"/>
        </w:rPr>
        <w:t> </w:t>
      </w:r>
      <w:r>
        <w:rPr>
          <w:sz w:val="18"/>
          <w:u w:val="single"/>
        </w:rPr>
        <w:t>Allstate County</w:t>
      </w:r>
      <w:r>
        <w:rPr>
          <w:spacing w:val="-9"/>
          <w:sz w:val="18"/>
          <w:u w:val="single"/>
        </w:rPr>
        <w:t> </w:t>
      </w:r>
      <w:r>
        <w:rPr>
          <w:sz w:val="18"/>
          <w:u w:val="single"/>
        </w:rPr>
        <w:t>Mut.</w:t>
      </w:r>
      <w:r>
        <w:rPr>
          <w:spacing w:val="-4"/>
          <w:sz w:val="18"/>
          <w:u w:val="single"/>
        </w:rPr>
        <w:t> </w:t>
      </w:r>
      <w:r>
        <w:rPr>
          <w:sz w:val="18"/>
          <w:u w:val="single"/>
        </w:rPr>
        <w:t>Ins.</w:t>
      </w:r>
      <w:r>
        <w:rPr>
          <w:spacing w:val="-5"/>
          <w:sz w:val="18"/>
          <w:u w:val="single"/>
        </w:rPr>
        <w:t> </w:t>
      </w:r>
      <w:r>
        <w:rPr>
          <w:sz w:val="18"/>
          <w:u w:val="single"/>
        </w:rPr>
        <w:t>Co.</w:t>
      </w:r>
      <w:r>
        <w:rPr>
          <w:sz w:val="18"/>
        </w:rPr>
        <w:t>,</w:t>
      </w:r>
      <w:r>
        <w:rPr>
          <w:spacing w:val="-3"/>
          <w:sz w:val="18"/>
        </w:rPr>
        <w:t> </w:t>
      </w:r>
      <w:r>
        <w:rPr>
          <w:sz w:val="18"/>
        </w:rPr>
        <w:t>85</w:t>
      </w:r>
      <w:r>
        <w:rPr>
          <w:spacing w:val="-6"/>
          <w:sz w:val="18"/>
        </w:rPr>
        <w:t> </w:t>
      </w:r>
      <w:r>
        <w:rPr>
          <w:sz w:val="18"/>
        </w:rPr>
        <w:t>S.W.3d</w:t>
      </w:r>
      <w:r>
        <w:rPr>
          <w:spacing w:val="-6"/>
          <w:sz w:val="18"/>
        </w:rPr>
        <w:t> </w:t>
      </w:r>
      <w:r>
        <w:rPr>
          <w:sz w:val="18"/>
        </w:rPr>
        <w:t>193,</w:t>
      </w:r>
      <w:r>
        <w:rPr>
          <w:spacing w:val="-5"/>
          <w:sz w:val="18"/>
        </w:rPr>
        <w:t> </w:t>
      </w:r>
      <w:r>
        <w:rPr>
          <w:sz w:val="18"/>
        </w:rPr>
        <w:t>195</w:t>
      </w:r>
      <w:r>
        <w:rPr>
          <w:spacing w:val="-7"/>
          <w:sz w:val="18"/>
        </w:rPr>
        <w:t> </w:t>
      </w:r>
      <w:r>
        <w:rPr>
          <w:sz w:val="18"/>
        </w:rPr>
        <w:t>(Tex.</w:t>
      </w:r>
      <w:r>
        <w:rPr>
          <w:spacing w:val="-6"/>
          <w:sz w:val="18"/>
        </w:rPr>
        <w:t> </w:t>
      </w:r>
      <w:r>
        <w:rPr>
          <w:sz w:val="18"/>
        </w:rPr>
        <w:t>2002);</w:t>
      </w:r>
      <w:r>
        <w:rPr>
          <w:spacing w:val="-7"/>
          <w:sz w:val="18"/>
        </w:rPr>
        <w:t> </w:t>
      </w:r>
      <w:r>
        <w:rPr>
          <w:i/>
          <w:sz w:val="18"/>
        </w:rPr>
        <w:t>See</w:t>
      </w:r>
      <w:r>
        <w:rPr>
          <w:i/>
          <w:spacing w:val="-9"/>
          <w:sz w:val="18"/>
        </w:rPr>
        <w:t> </w:t>
      </w:r>
      <w:r>
        <w:rPr>
          <w:i/>
          <w:sz w:val="18"/>
        </w:rPr>
        <w:t>also</w:t>
      </w:r>
      <w:r>
        <w:rPr>
          <w:sz w:val="18"/>
        </w:rPr>
        <w:t>,</w:t>
      </w:r>
      <w:r>
        <w:rPr>
          <w:spacing w:val="-6"/>
          <w:sz w:val="18"/>
        </w:rPr>
        <w:t> </w:t>
      </w:r>
      <w:r>
        <w:rPr>
          <w:sz w:val="18"/>
          <w:u w:val="single"/>
        </w:rPr>
        <w:t>Carbonneau</w:t>
      </w:r>
      <w:r>
        <w:rPr>
          <w:spacing w:val="-6"/>
          <w:sz w:val="18"/>
          <w:u w:val="single"/>
        </w:rPr>
        <w:t> </w:t>
      </w:r>
      <w:r>
        <w:rPr>
          <w:sz w:val="18"/>
          <w:u w:val="single"/>
        </w:rPr>
        <w:t>v.</w:t>
      </w:r>
      <w:r>
        <w:rPr>
          <w:spacing w:val="-4"/>
          <w:sz w:val="18"/>
          <w:u w:val="single"/>
        </w:rPr>
        <w:t> </w:t>
      </w:r>
      <w:r>
        <w:rPr>
          <w:sz w:val="18"/>
          <w:u w:val="single"/>
        </w:rPr>
        <w:t>American Family</w:t>
      </w:r>
      <w:r>
        <w:rPr>
          <w:spacing w:val="-9"/>
          <w:sz w:val="18"/>
          <w:u w:val="single"/>
        </w:rPr>
        <w:t> </w:t>
      </w:r>
      <w:r>
        <w:rPr>
          <w:sz w:val="18"/>
          <w:u w:val="single"/>
        </w:rPr>
        <w:t>Ins.</w:t>
      </w:r>
      <w:r>
        <w:rPr>
          <w:spacing w:val="-5"/>
          <w:sz w:val="18"/>
          <w:u w:val="single"/>
        </w:rPr>
        <w:t> </w:t>
      </w:r>
      <w:r>
        <w:rPr>
          <w:sz w:val="18"/>
          <w:u w:val="single"/>
        </w:rPr>
        <w:t>Co.</w:t>
      </w:r>
      <w:r>
        <w:rPr>
          <w:sz w:val="18"/>
        </w:rPr>
        <w:t>,</w:t>
      </w:r>
      <w:r>
        <w:rPr>
          <w:spacing w:val="-6"/>
          <w:sz w:val="18"/>
        </w:rPr>
        <w:t> </w:t>
      </w:r>
      <w:r>
        <w:rPr>
          <w:sz w:val="18"/>
        </w:rPr>
        <w:t>2006</w:t>
      </w:r>
      <w:r>
        <w:rPr>
          <w:spacing w:val="-5"/>
          <w:sz w:val="18"/>
        </w:rPr>
        <w:t> </w:t>
      </w:r>
      <w:r>
        <w:rPr>
          <w:sz w:val="18"/>
        </w:rPr>
        <w:t>WL</w:t>
      </w:r>
      <w:r>
        <w:rPr>
          <w:spacing w:val="-9"/>
          <w:sz w:val="18"/>
        </w:rPr>
        <w:t> </w:t>
      </w:r>
      <w:r>
        <w:rPr>
          <w:sz w:val="18"/>
        </w:rPr>
        <w:t>325724</w:t>
      </w:r>
      <w:r>
        <w:rPr>
          <w:spacing w:val="-6"/>
          <w:sz w:val="18"/>
        </w:rPr>
        <w:t> </w:t>
      </w:r>
      <w:r>
        <w:rPr>
          <w:sz w:val="18"/>
        </w:rPr>
        <w:t>(D.</w:t>
      </w:r>
      <w:r>
        <w:rPr>
          <w:spacing w:val="-7"/>
          <w:sz w:val="18"/>
        </w:rPr>
        <w:t> </w:t>
      </w:r>
      <w:r>
        <w:rPr>
          <w:sz w:val="18"/>
        </w:rPr>
        <w:t>Ariz.</w:t>
      </w:r>
      <w:r>
        <w:rPr>
          <w:spacing w:val="-6"/>
          <w:sz w:val="18"/>
        </w:rPr>
        <w:t> </w:t>
      </w:r>
      <w:r>
        <w:rPr>
          <w:sz w:val="18"/>
        </w:rPr>
        <w:t>2006)</w:t>
      </w:r>
      <w:r>
        <w:rPr>
          <w:spacing w:val="-7"/>
          <w:sz w:val="18"/>
        </w:rPr>
        <w:t> </w:t>
      </w:r>
      <w:r>
        <w:rPr>
          <w:sz w:val="18"/>
        </w:rPr>
        <w:t>(holding</w:t>
      </w:r>
      <w:r>
        <w:rPr>
          <w:spacing w:val="-6"/>
          <w:sz w:val="18"/>
        </w:rPr>
        <w:t> </w:t>
      </w:r>
      <w:r>
        <w:rPr>
          <w:sz w:val="18"/>
        </w:rPr>
        <w:t>extent</w:t>
      </w:r>
      <w:r>
        <w:rPr>
          <w:spacing w:val="-4"/>
          <w:sz w:val="18"/>
        </w:rPr>
        <w:t> </w:t>
      </w:r>
      <w:r>
        <w:rPr>
          <w:sz w:val="18"/>
        </w:rPr>
        <w:t>of</w:t>
      </w:r>
      <w:r>
        <w:rPr>
          <w:spacing w:val="-6"/>
          <w:sz w:val="18"/>
        </w:rPr>
        <w:t> </w:t>
      </w:r>
      <w:r>
        <w:rPr>
          <w:sz w:val="18"/>
        </w:rPr>
        <w:t>loss</w:t>
      </w:r>
      <w:r>
        <w:rPr>
          <w:spacing w:val="-6"/>
          <w:sz w:val="18"/>
        </w:rPr>
        <w:t> </w:t>
      </w:r>
      <w:r>
        <w:rPr>
          <w:sz w:val="18"/>
        </w:rPr>
        <w:t>is</w:t>
      </w:r>
      <w:r>
        <w:rPr>
          <w:spacing w:val="-5"/>
          <w:sz w:val="18"/>
        </w:rPr>
        <w:t> </w:t>
      </w:r>
      <w:r>
        <w:rPr>
          <w:sz w:val="18"/>
        </w:rPr>
        <w:t>not</w:t>
      </w:r>
      <w:r>
        <w:rPr>
          <w:spacing w:val="-3"/>
          <w:sz w:val="18"/>
        </w:rPr>
        <w:t> </w:t>
      </w:r>
      <w:r>
        <w:rPr>
          <w:sz w:val="18"/>
        </w:rPr>
        <w:t>a</w:t>
      </w:r>
      <w:r>
        <w:rPr>
          <w:spacing w:val="-5"/>
          <w:sz w:val="18"/>
        </w:rPr>
        <w:t> </w:t>
      </w:r>
      <w:r>
        <w:rPr>
          <w:sz w:val="18"/>
        </w:rPr>
        <w:t>coverage issue.</w:t>
      </w:r>
    </w:p>
    <w:p>
      <w:pPr>
        <w:spacing w:after="0" w:line="249" w:lineRule="auto"/>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tabs>
          <w:tab w:pos="2961" w:val="left" w:leader="none"/>
          <w:tab w:pos="3507" w:val="left" w:leader="none"/>
          <w:tab w:pos="4216" w:val="left" w:leader="none"/>
          <w:tab w:pos="5281" w:val="left" w:leader="none"/>
          <w:tab w:pos="6311" w:val="left" w:leader="none"/>
          <w:tab w:pos="7117" w:val="left" w:leader="none"/>
        </w:tabs>
        <w:spacing w:line="242" w:lineRule="auto" w:before="42"/>
        <w:ind w:left="1520" w:right="1521"/>
      </w:pPr>
      <w:bookmarkStart w:name="Law and Procedure 166" w:id="77"/>
      <w:bookmarkEnd w:id="77"/>
      <w:r>
        <w:rPr/>
      </w:r>
      <w:r>
        <w:rPr/>
        <w:t>meaning</w:t>
        <w:tab/>
        <w:t>of</w:t>
        <w:tab/>
        <w:t>the</w:t>
        <w:tab/>
      </w:r>
      <w:r>
        <w:rPr>
          <w:spacing w:val="2"/>
        </w:rPr>
        <w:t>policy</w:t>
        <w:tab/>
      </w:r>
      <w:r>
        <w:rPr/>
        <w:t>itself,”</w:t>
        <w:tab/>
        <w:t>and</w:t>
        <w:tab/>
      </w:r>
      <w:r>
        <w:rPr>
          <w:spacing w:val="-6"/>
        </w:rPr>
        <w:t>is </w:t>
      </w:r>
      <w:r>
        <w:rPr/>
        <w:t>appraisable despite such causation</w:t>
      </w:r>
      <w:r>
        <w:rPr>
          <w:spacing w:val="1"/>
        </w:rPr>
        <w:t> </w:t>
      </w:r>
      <w:r>
        <w:rPr/>
        <w:t>issues.</w:t>
      </w:r>
      <w:r>
        <w:rPr>
          <w:vertAlign w:val="superscript"/>
        </w:rPr>
        <w:t>235</w:t>
      </w:r>
    </w:p>
    <w:p>
      <w:pPr>
        <w:pStyle w:val="BodyText"/>
        <w:spacing w:before="1"/>
      </w:pPr>
    </w:p>
    <w:p>
      <w:pPr>
        <w:pStyle w:val="BodyText"/>
        <w:spacing w:line="242" w:lineRule="auto" w:before="1"/>
        <w:ind w:left="1520" w:right="1519" w:firstLine="720"/>
        <w:jc w:val="both"/>
      </w:pPr>
      <w:r>
        <w:rPr>
          <w:spacing w:val="3"/>
        </w:rPr>
        <w:t>In </w:t>
      </w:r>
      <w:r>
        <w:rPr/>
        <w:t>Alabama, it has been held that as </w:t>
      </w:r>
      <w:r>
        <w:rPr>
          <w:spacing w:val="-12"/>
        </w:rPr>
        <w:t>a </w:t>
      </w:r>
      <w:r>
        <w:rPr/>
        <w:t>matter of law, the term “amount of loss” is not ambiguous as to whether it encompasses liability,</w:t>
      </w:r>
      <w:r>
        <w:rPr>
          <w:spacing w:val="-24"/>
        </w:rPr>
        <w:t> </w:t>
      </w:r>
      <w:r>
        <w:rPr/>
        <w:t>coverage</w:t>
      </w:r>
      <w:r>
        <w:rPr>
          <w:spacing w:val="-20"/>
        </w:rPr>
        <w:t> </w:t>
      </w:r>
      <w:r>
        <w:rPr/>
        <w:t>and</w:t>
      </w:r>
      <w:r>
        <w:rPr>
          <w:spacing w:val="-20"/>
        </w:rPr>
        <w:t> </w:t>
      </w:r>
      <w:r>
        <w:rPr/>
        <w:t>causation</w:t>
      </w:r>
      <w:r>
        <w:rPr>
          <w:spacing w:val="-21"/>
        </w:rPr>
        <w:t> </w:t>
      </w:r>
      <w:r>
        <w:rPr/>
        <w:t>issues,</w:t>
      </w:r>
      <w:r>
        <w:rPr>
          <w:spacing w:val="-22"/>
        </w:rPr>
        <w:t> </w:t>
      </w:r>
      <w:r>
        <w:rPr/>
        <w:t>it</w:t>
      </w:r>
      <w:r>
        <w:rPr>
          <w:spacing w:val="-22"/>
        </w:rPr>
        <w:t> </w:t>
      </w:r>
      <w:r>
        <w:rPr/>
        <w:t>does not.</w:t>
      </w:r>
      <w:r>
        <w:rPr>
          <w:vertAlign w:val="superscript"/>
        </w:rPr>
        <w:t>236</w:t>
      </w:r>
    </w:p>
    <w:p>
      <w:pPr>
        <w:pStyle w:val="BodyText"/>
      </w:pPr>
    </w:p>
    <w:p>
      <w:pPr>
        <w:pStyle w:val="BodyText"/>
        <w:spacing w:line="242" w:lineRule="auto" w:before="1"/>
        <w:ind w:left="1520" w:right="1519" w:firstLine="720"/>
        <w:jc w:val="both"/>
      </w:pPr>
      <w:r>
        <w:rPr/>
        <w:t>This conclusion is appropriate as long </w:t>
      </w:r>
      <w:r>
        <w:rPr>
          <w:spacing w:val="-6"/>
        </w:rPr>
        <w:t>as </w:t>
      </w:r>
      <w:r>
        <w:rPr/>
        <w:t>it would not tend to emasculate and frustrate the intent of the policy pursuant to standard rules</w:t>
      </w:r>
      <w:r>
        <w:rPr>
          <w:spacing w:val="-38"/>
        </w:rPr>
        <w:t> </w:t>
      </w:r>
      <w:r>
        <w:rPr/>
        <w:t>of</w:t>
      </w:r>
      <w:r>
        <w:rPr>
          <w:spacing w:val="-39"/>
        </w:rPr>
        <w:t> </w:t>
      </w:r>
      <w:r>
        <w:rPr>
          <w:spacing w:val="-4"/>
        </w:rPr>
        <w:t>contract</w:t>
      </w:r>
      <w:r>
        <w:rPr>
          <w:spacing w:val="-40"/>
        </w:rPr>
        <w:t> </w:t>
      </w:r>
      <w:r>
        <w:rPr/>
        <w:t>construction.</w:t>
      </w:r>
      <w:r>
        <w:rPr>
          <w:spacing w:val="-38"/>
        </w:rPr>
        <w:t> </w:t>
      </w:r>
      <w:r>
        <w:rPr>
          <w:spacing w:val="2"/>
        </w:rPr>
        <w:t>An</w:t>
      </w:r>
      <w:r>
        <w:rPr>
          <w:spacing w:val="-36"/>
        </w:rPr>
        <w:t> </w:t>
      </w:r>
      <w:r>
        <w:rPr/>
        <w:t>interpretation which has such an effect is not</w:t>
      </w:r>
      <w:r>
        <w:rPr>
          <w:spacing w:val="-23"/>
        </w:rPr>
        <w:t> </w:t>
      </w:r>
      <w:r>
        <w:rPr>
          <w:spacing w:val="-4"/>
        </w:rPr>
        <w:t>supportable.</w:t>
      </w:r>
      <w:r>
        <w:rPr>
          <w:spacing w:val="-4"/>
          <w:vertAlign w:val="superscript"/>
        </w:rPr>
        <w:t>237</w:t>
      </w:r>
    </w:p>
    <w:p>
      <w:pPr>
        <w:pStyle w:val="BodyText"/>
      </w:pPr>
    </w:p>
    <w:p>
      <w:pPr>
        <w:pStyle w:val="ListParagraph"/>
        <w:numPr>
          <w:ilvl w:val="0"/>
          <w:numId w:val="8"/>
        </w:numPr>
        <w:tabs>
          <w:tab w:pos="1878" w:val="left" w:leader="none"/>
        </w:tabs>
        <w:spacing w:line="240" w:lineRule="auto" w:before="1" w:after="0"/>
        <w:ind w:left="1877" w:right="0" w:hanging="358"/>
        <w:jc w:val="left"/>
        <w:rPr>
          <w:rFonts w:ascii="Century Gothic"/>
          <w:sz w:val="26"/>
        </w:rPr>
      </w:pPr>
      <w:r>
        <w:rPr>
          <w:rFonts w:ascii="Century Gothic"/>
          <w:sz w:val="26"/>
        </w:rPr>
        <w:t>Issues of</w:t>
      </w:r>
      <w:r>
        <w:rPr>
          <w:rFonts w:ascii="Century Gothic"/>
          <w:spacing w:val="-3"/>
          <w:sz w:val="26"/>
        </w:rPr>
        <w:t> </w:t>
      </w:r>
      <w:r>
        <w:rPr>
          <w:rFonts w:ascii="Century Gothic"/>
          <w:sz w:val="26"/>
        </w:rPr>
        <w:t>Coverage</w:t>
      </w:r>
    </w:p>
    <w:p>
      <w:pPr>
        <w:pStyle w:val="BodyText"/>
        <w:spacing w:before="5"/>
      </w:pPr>
    </w:p>
    <w:p>
      <w:pPr>
        <w:pStyle w:val="BodyText"/>
        <w:spacing w:line="242" w:lineRule="auto"/>
        <w:ind w:left="1520" w:right="1519" w:firstLine="720"/>
        <w:jc w:val="both"/>
      </w:pPr>
      <w:r>
        <w:rPr/>
        <w:t>Today, nearly all jurisdictions allow </w:t>
      </w:r>
      <w:r>
        <w:rPr>
          <w:spacing w:val="-6"/>
        </w:rPr>
        <w:t>or </w:t>
      </w:r>
      <w:r>
        <w:rPr/>
        <w:t>require</w:t>
      </w:r>
      <w:r>
        <w:rPr>
          <w:spacing w:val="-10"/>
        </w:rPr>
        <w:t> </w:t>
      </w:r>
      <w:r>
        <w:rPr/>
        <w:t>the</w:t>
      </w:r>
      <w:r>
        <w:rPr>
          <w:spacing w:val="-8"/>
        </w:rPr>
        <w:t> </w:t>
      </w:r>
      <w:r>
        <w:rPr/>
        <w:t>parties</w:t>
      </w:r>
      <w:r>
        <w:rPr>
          <w:spacing w:val="-9"/>
        </w:rPr>
        <w:t> </w:t>
      </w:r>
      <w:r>
        <w:rPr/>
        <w:t>to</w:t>
      </w:r>
      <w:r>
        <w:rPr>
          <w:spacing w:val="-11"/>
        </w:rPr>
        <w:t> </w:t>
      </w:r>
      <w:r>
        <w:rPr/>
        <w:t>an</w:t>
      </w:r>
      <w:r>
        <w:rPr>
          <w:spacing w:val="-10"/>
        </w:rPr>
        <w:t> </w:t>
      </w:r>
      <w:r>
        <w:rPr/>
        <w:t>insurance</w:t>
      </w:r>
      <w:r>
        <w:rPr>
          <w:spacing w:val="-10"/>
        </w:rPr>
        <w:t> </w:t>
      </w:r>
      <w:r>
        <w:rPr/>
        <w:t>contract</w:t>
      </w:r>
      <w:r>
        <w:rPr>
          <w:spacing w:val="-12"/>
        </w:rPr>
        <w:t> </w:t>
      </w:r>
      <w:r>
        <w:rPr/>
        <w:t>to provide</w:t>
      </w:r>
      <w:r>
        <w:rPr>
          <w:spacing w:val="-29"/>
        </w:rPr>
        <w:t> </w:t>
      </w:r>
      <w:r>
        <w:rPr/>
        <w:t>for</w:t>
      </w:r>
      <w:r>
        <w:rPr>
          <w:spacing w:val="-28"/>
        </w:rPr>
        <w:t> </w:t>
      </w:r>
      <w:r>
        <w:rPr/>
        <w:t>a</w:t>
      </w:r>
      <w:r>
        <w:rPr>
          <w:spacing w:val="-26"/>
        </w:rPr>
        <w:t> </w:t>
      </w:r>
      <w:r>
        <w:rPr/>
        <w:t>reasonable</w:t>
      </w:r>
      <w:r>
        <w:rPr>
          <w:spacing w:val="-23"/>
        </w:rPr>
        <w:t> </w:t>
      </w:r>
      <w:r>
        <w:rPr/>
        <w:t>method</w:t>
      </w:r>
      <w:r>
        <w:rPr>
          <w:spacing w:val="-24"/>
        </w:rPr>
        <w:t> </w:t>
      </w:r>
      <w:r>
        <w:rPr/>
        <w:t>of</w:t>
      </w:r>
      <w:r>
        <w:rPr>
          <w:spacing w:val="-26"/>
        </w:rPr>
        <w:t> </w:t>
      </w:r>
      <w:r>
        <w:rPr/>
        <w:t>estimating and ascertaining actual cash value and the amount of the loss. However, the appraisal provision in the insurance contract does not contemplate</w:t>
      </w:r>
      <w:r>
        <w:rPr>
          <w:spacing w:val="-24"/>
        </w:rPr>
        <w:t> </w:t>
      </w:r>
      <w:r>
        <w:rPr/>
        <w:t>the</w:t>
      </w:r>
      <w:r>
        <w:rPr>
          <w:spacing w:val="-24"/>
        </w:rPr>
        <w:t> </w:t>
      </w:r>
      <w:r>
        <w:rPr/>
        <w:t>determination</w:t>
      </w:r>
      <w:r>
        <w:rPr>
          <w:spacing w:val="-24"/>
        </w:rPr>
        <w:t> </w:t>
      </w:r>
      <w:r>
        <w:rPr/>
        <w:t>of</w:t>
      </w:r>
      <w:r>
        <w:rPr>
          <w:spacing w:val="-24"/>
        </w:rPr>
        <w:t> </w:t>
      </w:r>
      <w:r>
        <w:rPr/>
        <w:t>liability.</w:t>
      </w:r>
      <w:r>
        <w:rPr>
          <w:spacing w:val="19"/>
        </w:rPr>
        <w:t> </w:t>
      </w:r>
      <w:r>
        <w:rPr/>
        <w:t>The determination of liability is entirely within</w:t>
      </w:r>
      <w:r>
        <w:rPr>
          <w:spacing w:val="10"/>
        </w:rPr>
        <w:t> </w:t>
      </w:r>
      <w:r>
        <w:rPr/>
        <w:t>the</w:t>
      </w:r>
    </w:p>
    <w:p>
      <w:pPr>
        <w:pStyle w:val="BodyText"/>
        <w:spacing w:before="3"/>
        <w:rPr>
          <w:sz w:val="20"/>
        </w:rPr>
      </w:pPr>
      <w:r>
        <w:rPr/>
        <w:pict>
          <v:shape style="position:absolute;margin-left:162pt;margin-top:14.817236pt;width:143.9pt;height:.1pt;mso-position-horizontal-relative:page;mso-position-vertical-relative:paragraph;z-index:-251565056;mso-wrap-distance-left:0;mso-wrap-distance-right:0" coordorigin="3240,296" coordsize="2878,0" path="m3240,296l6118,296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8"/>
        </w:numPr>
        <w:tabs>
          <w:tab w:pos="1442" w:val="left" w:leader="none"/>
        </w:tabs>
        <w:spacing w:line="264" w:lineRule="auto" w:before="71" w:after="0"/>
        <w:ind w:left="1160" w:right="1167" w:firstLine="0"/>
        <w:jc w:val="both"/>
        <w:rPr>
          <w:sz w:val="24"/>
        </w:rPr>
      </w:pPr>
      <w:r>
        <w:rPr>
          <w:sz w:val="18"/>
          <w:u w:val="single"/>
        </w:rPr>
        <w:t>Harvey Property Mgt. Co., Inc. v. Travelers Indem. Co.</w:t>
      </w:r>
      <w:r>
        <w:rPr>
          <w:sz w:val="18"/>
        </w:rPr>
        <w:t>, 2012 WL 5488898 (D.Ariz. 2012)</w:t>
      </w:r>
      <w:r>
        <w:rPr>
          <w:sz w:val="24"/>
        </w:rPr>
        <w:t>.</w:t>
      </w:r>
    </w:p>
    <w:p>
      <w:pPr>
        <w:pStyle w:val="ListParagraph"/>
        <w:numPr>
          <w:ilvl w:val="0"/>
          <w:numId w:val="18"/>
        </w:numPr>
        <w:tabs>
          <w:tab w:pos="1442" w:val="left" w:leader="none"/>
        </w:tabs>
        <w:spacing w:line="242" w:lineRule="exact" w:before="0" w:after="0"/>
        <w:ind w:left="1442" w:right="0" w:hanging="282"/>
        <w:jc w:val="both"/>
        <w:rPr>
          <w:sz w:val="18"/>
        </w:rPr>
      </w:pPr>
      <w:r>
        <w:rPr>
          <w:sz w:val="18"/>
          <w:u w:val="single"/>
        </w:rPr>
        <w:t>Caribbean</w:t>
      </w:r>
      <w:r>
        <w:rPr>
          <w:spacing w:val="5"/>
          <w:sz w:val="18"/>
          <w:u w:val="single"/>
        </w:rPr>
        <w:t> </w:t>
      </w:r>
      <w:r>
        <w:rPr>
          <w:sz w:val="18"/>
          <w:u w:val="single"/>
        </w:rPr>
        <w:t>I</w:t>
      </w:r>
      <w:r>
        <w:rPr>
          <w:spacing w:val="7"/>
          <w:sz w:val="18"/>
          <w:u w:val="single"/>
        </w:rPr>
        <w:t> </w:t>
      </w:r>
      <w:r>
        <w:rPr>
          <w:sz w:val="18"/>
          <w:u w:val="single"/>
        </w:rPr>
        <w:t>Owners</w:t>
      </w:r>
      <w:r>
        <w:rPr>
          <w:spacing w:val="10"/>
          <w:sz w:val="18"/>
          <w:u w:val="single"/>
        </w:rPr>
        <w:t> </w:t>
      </w:r>
      <w:r>
        <w:rPr>
          <w:sz w:val="18"/>
          <w:u w:val="single"/>
        </w:rPr>
        <w:t>Ass’n.,</w:t>
      </w:r>
      <w:r>
        <w:rPr>
          <w:spacing w:val="9"/>
          <w:sz w:val="18"/>
          <w:u w:val="single"/>
        </w:rPr>
        <w:t> </w:t>
      </w:r>
      <w:r>
        <w:rPr>
          <w:sz w:val="18"/>
          <w:u w:val="single"/>
        </w:rPr>
        <w:t>Inc.</w:t>
      </w:r>
      <w:r>
        <w:rPr>
          <w:spacing w:val="6"/>
          <w:sz w:val="18"/>
          <w:u w:val="single"/>
        </w:rPr>
        <w:t> </w:t>
      </w:r>
      <w:r>
        <w:rPr>
          <w:sz w:val="18"/>
          <w:u w:val="single"/>
        </w:rPr>
        <w:t>v.</w:t>
      </w:r>
      <w:r>
        <w:rPr>
          <w:spacing w:val="8"/>
          <w:sz w:val="18"/>
          <w:u w:val="single"/>
        </w:rPr>
        <w:t> </w:t>
      </w:r>
      <w:r>
        <w:rPr>
          <w:sz w:val="18"/>
          <w:u w:val="single"/>
        </w:rPr>
        <w:t>Great</w:t>
      </w:r>
      <w:r>
        <w:rPr>
          <w:spacing w:val="6"/>
          <w:sz w:val="18"/>
          <w:u w:val="single"/>
        </w:rPr>
        <w:t> </w:t>
      </w:r>
      <w:r>
        <w:rPr>
          <w:sz w:val="18"/>
          <w:u w:val="single"/>
        </w:rPr>
        <w:t>American</w:t>
      </w:r>
      <w:r>
        <w:rPr>
          <w:spacing w:val="7"/>
          <w:sz w:val="18"/>
          <w:u w:val="single"/>
        </w:rPr>
        <w:t> </w:t>
      </w:r>
      <w:r>
        <w:rPr>
          <w:sz w:val="18"/>
          <w:u w:val="single"/>
        </w:rPr>
        <w:t>Ins.</w:t>
      </w:r>
      <w:r>
        <w:rPr>
          <w:spacing w:val="7"/>
          <w:sz w:val="18"/>
          <w:u w:val="single"/>
        </w:rPr>
        <w:t> </w:t>
      </w:r>
      <w:r>
        <w:rPr>
          <w:sz w:val="18"/>
          <w:u w:val="single"/>
        </w:rPr>
        <w:t>Co.</w:t>
      </w:r>
      <w:r>
        <w:rPr>
          <w:spacing w:val="7"/>
          <w:sz w:val="18"/>
          <w:u w:val="single"/>
        </w:rPr>
        <w:t> </w:t>
      </w:r>
      <w:r>
        <w:rPr>
          <w:sz w:val="18"/>
          <w:u w:val="single"/>
        </w:rPr>
        <w:t>of</w:t>
      </w:r>
      <w:r>
        <w:rPr>
          <w:spacing w:val="5"/>
          <w:sz w:val="18"/>
          <w:u w:val="single"/>
        </w:rPr>
        <w:t> </w:t>
      </w:r>
      <w:r>
        <w:rPr>
          <w:sz w:val="18"/>
          <w:u w:val="single"/>
        </w:rPr>
        <w:t>New</w:t>
      </w:r>
      <w:r>
        <w:rPr>
          <w:spacing w:val="4"/>
          <w:sz w:val="18"/>
          <w:u w:val="single"/>
        </w:rPr>
        <w:t> </w:t>
      </w:r>
      <w:r>
        <w:rPr>
          <w:sz w:val="18"/>
          <w:u w:val="single"/>
        </w:rPr>
        <w:t>York</w:t>
      </w:r>
      <w:r>
        <w:rPr>
          <w:sz w:val="18"/>
        </w:rPr>
        <w:t>,</w:t>
      </w:r>
      <w:r>
        <w:rPr>
          <w:spacing w:val="8"/>
          <w:sz w:val="18"/>
        </w:rPr>
        <w:t> </w:t>
      </w:r>
      <w:r>
        <w:rPr>
          <w:sz w:val="18"/>
        </w:rPr>
        <w:t>2008</w:t>
      </w:r>
      <w:r>
        <w:rPr>
          <w:spacing w:val="8"/>
          <w:sz w:val="18"/>
        </w:rPr>
        <w:t> </w:t>
      </w:r>
      <w:r>
        <w:rPr>
          <w:sz w:val="18"/>
        </w:rPr>
        <w:t>WL</w:t>
      </w:r>
    </w:p>
    <w:p>
      <w:pPr>
        <w:spacing w:line="244" w:lineRule="auto" w:before="19"/>
        <w:ind w:left="1160" w:right="1160" w:firstLine="0"/>
        <w:jc w:val="both"/>
        <w:rPr>
          <w:rFonts w:ascii="Times New Roman"/>
          <w:sz w:val="18"/>
        </w:rPr>
      </w:pPr>
      <w:r>
        <w:rPr>
          <w:rFonts w:ascii="Times New Roman"/>
          <w:sz w:val="18"/>
        </w:rPr>
        <w:t>687381 (S.D. Ala. 2008); </w:t>
      </w:r>
      <w:r>
        <w:rPr>
          <w:rFonts w:ascii="Times New Roman"/>
          <w:sz w:val="18"/>
          <w:u w:val="single"/>
        </w:rPr>
        <w:t>In re Cullman Bowling Center, LLC v. Tower Ins. Co of New</w:t>
      </w:r>
      <w:r>
        <w:rPr>
          <w:rFonts w:ascii="Times New Roman"/>
          <w:sz w:val="18"/>
        </w:rPr>
        <w:t> </w:t>
      </w:r>
      <w:r>
        <w:rPr>
          <w:rFonts w:ascii="Times New Roman"/>
          <w:sz w:val="18"/>
          <w:u w:val="single"/>
        </w:rPr>
        <w:t>York</w:t>
      </w:r>
      <w:r>
        <w:rPr>
          <w:rFonts w:ascii="Times New Roman"/>
          <w:sz w:val="18"/>
        </w:rPr>
        <w:t>,</w:t>
      </w:r>
      <w:r>
        <w:rPr>
          <w:rFonts w:ascii="Times New Roman"/>
          <w:spacing w:val="-14"/>
          <w:sz w:val="18"/>
        </w:rPr>
        <w:t> </w:t>
      </w:r>
      <w:r>
        <w:rPr>
          <w:rFonts w:ascii="Times New Roman"/>
          <w:sz w:val="18"/>
        </w:rPr>
        <w:t>2013</w:t>
      </w:r>
      <w:r>
        <w:rPr>
          <w:rFonts w:ascii="Times New Roman"/>
          <w:spacing w:val="-12"/>
          <w:sz w:val="18"/>
        </w:rPr>
        <w:t> </w:t>
      </w:r>
      <w:r>
        <w:rPr>
          <w:rFonts w:ascii="Times New Roman"/>
          <w:sz w:val="18"/>
        </w:rPr>
        <w:t>WL</w:t>
      </w:r>
      <w:r>
        <w:rPr>
          <w:rFonts w:ascii="Times New Roman"/>
          <w:spacing w:val="-16"/>
          <w:sz w:val="18"/>
        </w:rPr>
        <w:t> </w:t>
      </w:r>
      <w:r>
        <w:rPr>
          <w:rFonts w:ascii="Times New Roman"/>
          <w:sz w:val="18"/>
        </w:rPr>
        <w:t>4489961</w:t>
      </w:r>
      <w:r>
        <w:rPr>
          <w:rFonts w:ascii="Times New Roman"/>
          <w:spacing w:val="-10"/>
          <w:sz w:val="18"/>
        </w:rPr>
        <w:t> </w:t>
      </w:r>
      <w:r>
        <w:rPr>
          <w:rFonts w:ascii="Times New Roman"/>
          <w:sz w:val="18"/>
        </w:rPr>
        <w:t>(Ala.</w:t>
      </w:r>
      <w:r>
        <w:rPr>
          <w:rFonts w:ascii="Times New Roman"/>
          <w:spacing w:val="-14"/>
          <w:sz w:val="18"/>
        </w:rPr>
        <w:t> </w:t>
      </w:r>
      <w:r>
        <w:rPr>
          <w:rFonts w:ascii="Times New Roman"/>
          <w:sz w:val="18"/>
        </w:rPr>
        <w:t>2013);</w:t>
      </w:r>
      <w:r>
        <w:rPr>
          <w:rFonts w:ascii="Times New Roman"/>
          <w:spacing w:val="-13"/>
          <w:sz w:val="18"/>
        </w:rPr>
        <w:t> </w:t>
      </w:r>
      <w:r>
        <w:rPr>
          <w:rFonts w:ascii="Times New Roman"/>
          <w:sz w:val="18"/>
          <w:u w:val="single"/>
        </w:rPr>
        <w:t>White</w:t>
      </w:r>
      <w:r>
        <w:rPr>
          <w:rFonts w:ascii="Times New Roman"/>
          <w:spacing w:val="-14"/>
          <w:sz w:val="18"/>
          <w:u w:val="single"/>
        </w:rPr>
        <w:t> </w:t>
      </w:r>
      <w:r>
        <w:rPr>
          <w:rFonts w:ascii="Times New Roman"/>
          <w:sz w:val="18"/>
          <w:u w:val="single"/>
        </w:rPr>
        <w:t>v.</w:t>
      </w:r>
      <w:r>
        <w:rPr>
          <w:rFonts w:ascii="Times New Roman"/>
          <w:spacing w:val="-13"/>
          <w:sz w:val="18"/>
          <w:u w:val="single"/>
        </w:rPr>
        <w:t> </w:t>
      </w:r>
      <w:r>
        <w:rPr>
          <w:rFonts w:ascii="Times New Roman"/>
          <w:sz w:val="18"/>
          <w:u w:val="single"/>
        </w:rPr>
        <w:t>State</w:t>
      </w:r>
      <w:r>
        <w:rPr>
          <w:rFonts w:ascii="Times New Roman"/>
          <w:spacing w:val="-13"/>
          <w:sz w:val="18"/>
          <w:u w:val="single"/>
        </w:rPr>
        <w:t> </w:t>
      </w:r>
      <w:r>
        <w:rPr>
          <w:rFonts w:ascii="Times New Roman"/>
          <w:sz w:val="18"/>
          <w:u w:val="single"/>
        </w:rPr>
        <w:t>Farm</w:t>
      </w:r>
      <w:r>
        <w:rPr>
          <w:rFonts w:ascii="Times New Roman"/>
          <w:spacing w:val="-17"/>
          <w:sz w:val="18"/>
          <w:u w:val="single"/>
        </w:rPr>
        <w:t> </w:t>
      </w:r>
      <w:r>
        <w:rPr>
          <w:rFonts w:ascii="Times New Roman"/>
          <w:sz w:val="18"/>
          <w:u w:val="single"/>
        </w:rPr>
        <w:t>Fire</w:t>
      </w:r>
      <w:r>
        <w:rPr>
          <w:rFonts w:ascii="Times New Roman"/>
          <w:spacing w:val="-13"/>
          <w:sz w:val="18"/>
          <w:u w:val="single"/>
        </w:rPr>
        <w:t> </w:t>
      </w:r>
      <w:r>
        <w:rPr>
          <w:rFonts w:ascii="Times New Roman"/>
          <w:sz w:val="18"/>
          <w:u w:val="single"/>
        </w:rPr>
        <w:t>and</w:t>
      </w:r>
      <w:r>
        <w:rPr>
          <w:rFonts w:ascii="Times New Roman"/>
          <w:spacing w:val="-13"/>
          <w:sz w:val="18"/>
          <w:u w:val="single"/>
        </w:rPr>
        <w:t> </w:t>
      </w:r>
      <w:r>
        <w:rPr>
          <w:rFonts w:ascii="Times New Roman"/>
          <w:sz w:val="18"/>
          <w:u w:val="single"/>
        </w:rPr>
        <w:t>Cas.</w:t>
      </w:r>
      <w:r>
        <w:rPr>
          <w:rFonts w:ascii="Times New Roman"/>
          <w:spacing w:val="-14"/>
          <w:sz w:val="18"/>
          <w:u w:val="single"/>
        </w:rPr>
        <w:t> </w:t>
      </w:r>
      <w:r>
        <w:rPr>
          <w:rFonts w:ascii="Times New Roman"/>
          <w:sz w:val="18"/>
          <w:u w:val="single"/>
        </w:rPr>
        <w:t>Co.</w:t>
      </w:r>
      <w:r>
        <w:rPr>
          <w:rFonts w:ascii="Times New Roman"/>
          <w:sz w:val="18"/>
        </w:rPr>
        <w:t>,</w:t>
      </w:r>
      <w:r>
        <w:rPr>
          <w:rFonts w:ascii="Times New Roman"/>
          <w:spacing w:val="-13"/>
          <w:sz w:val="18"/>
        </w:rPr>
        <w:t> </w:t>
      </w:r>
      <w:r>
        <w:rPr>
          <w:rFonts w:ascii="Times New Roman"/>
          <w:sz w:val="18"/>
        </w:rPr>
        <w:t>984</w:t>
      </w:r>
      <w:r>
        <w:rPr>
          <w:rFonts w:ascii="Times New Roman"/>
          <w:spacing w:val="-12"/>
          <w:sz w:val="18"/>
        </w:rPr>
        <w:t> </w:t>
      </w:r>
      <w:r>
        <w:rPr>
          <w:rFonts w:ascii="Times New Roman"/>
          <w:sz w:val="18"/>
        </w:rPr>
        <w:t>So.2d</w:t>
      </w:r>
      <w:r>
        <w:rPr>
          <w:rFonts w:ascii="Times New Roman"/>
          <w:spacing w:val="-12"/>
          <w:sz w:val="18"/>
        </w:rPr>
        <w:t> </w:t>
      </w:r>
      <w:r>
        <w:rPr>
          <w:rFonts w:ascii="Times New Roman"/>
          <w:sz w:val="18"/>
        </w:rPr>
        <w:t>382 (La. Ct. App. 2007).</w:t>
      </w:r>
    </w:p>
    <w:p>
      <w:pPr>
        <w:pStyle w:val="ListParagraph"/>
        <w:numPr>
          <w:ilvl w:val="0"/>
          <w:numId w:val="18"/>
        </w:numPr>
        <w:tabs>
          <w:tab w:pos="1451" w:val="left" w:leader="none"/>
        </w:tabs>
        <w:spacing w:line="261" w:lineRule="auto" w:before="0" w:after="0"/>
        <w:ind w:left="1160" w:right="1165" w:firstLine="0"/>
        <w:jc w:val="both"/>
        <w:rPr>
          <w:sz w:val="18"/>
        </w:rPr>
      </w:pPr>
      <w:r>
        <w:rPr>
          <w:sz w:val="18"/>
          <w:u w:val="single"/>
        </w:rPr>
        <w:t>Commissioner of State Ins. Fund v. Ins. Co. of North America</w:t>
      </w:r>
      <w:r>
        <w:rPr>
          <w:sz w:val="18"/>
        </w:rPr>
        <w:t>, 80 N.Y.2d </w:t>
      </w:r>
      <w:r>
        <w:rPr>
          <w:spacing w:val="2"/>
          <w:sz w:val="18"/>
        </w:rPr>
        <w:t>992, </w:t>
      </w:r>
      <w:r>
        <w:rPr>
          <w:sz w:val="18"/>
        </w:rPr>
        <w:t>607 N.E.2d 795</w:t>
      </w:r>
      <w:r>
        <w:rPr>
          <w:spacing w:val="2"/>
          <w:sz w:val="18"/>
        </w:rPr>
        <w:t> </w:t>
      </w:r>
      <w:r>
        <w:rPr>
          <w:sz w:val="18"/>
        </w:rPr>
        <w:t>(1992).</w:t>
      </w:r>
    </w:p>
    <w:p>
      <w:pPr>
        <w:spacing w:after="0" w:line="261" w:lineRule="auto"/>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167" w:id="78"/>
      <w:bookmarkEnd w:id="78"/>
      <w:r>
        <w:rPr/>
      </w:r>
      <w:r>
        <w:rPr/>
        <w:t>jurisdiction of the courts. The courts have generally held that appraisers are limited to determining the amount of the loss sustained by the insured, and are without power to determine potential defenses to </w:t>
      </w:r>
      <w:r>
        <w:rPr>
          <w:spacing w:val="-5"/>
        </w:rPr>
        <w:t>coverage.</w:t>
      </w:r>
      <w:r>
        <w:rPr>
          <w:spacing w:val="-5"/>
          <w:vertAlign w:val="superscript"/>
        </w:rPr>
        <w:t>238</w:t>
      </w:r>
      <w:r>
        <w:rPr>
          <w:spacing w:val="-5"/>
          <w:vertAlign w:val="baseline"/>
        </w:rPr>
        <w:t> </w:t>
      </w:r>
      <w:r>
        <w:rPr>
          <w:vertAlign w:val="baseline"/>
        </w:rPr>
        <w:t>Accordingly, the appraisal may not consider whether an insured's claim is </w:t>
      </w:r>
      <w:r>
        <w:rPr>
          <w:spacing w:val="-4"/>
          <w:vertAlign w:val="baseline"/>
        </w:rPr>
        <w:t>fraudulent.</w:t>
      </w:r>
      <w:r>
        <w:rPr>
          <w:spacing w:val="-4"/>
          <w:vertAlign w:val="superscript"/>
        </w:rPr>
        <w:t>239</w:t>
      </w:r>
      <w:r>
        <w:rPr>
          <w:spacing w:val="63"/>
          <w:vertAlign w:val="baseline"/>
        </w:rPr>
        <w:t> </w:t>
      </w:r>
      <w:r>
        <w:rPr>
          <w:vertAlign w:val="baseline"/>
        </w:rPr>
        <w:t>Generally, the appraiser may not consider questions of law.</w:t>
      </w:r>
      <w:r>
        <w:rPr>
          <w:vertAlign w:val="superscript"/>
        </w:rPr>
        <w:t>240</w:t>
      </w:r>
      <w:r>
        <w:rPr>
          <w:vertAlign w:val="baseline"/>
        </w:rPr>
        <w:t> For example, the</w:t>
      </w:r>
      <w:r>
        <w:rPr>
          <w:spacing w:val="-21"/>
          <w:vertAlign w:val="baseline"/>
        </w:rPr>
        <w:t> </w:t>
      </w:r>
      <w:r>
        <w:rPr>
          <w:spacing w:val="-5"/>
          <w:vertAlign w:val="baseline"/>
        </w:rPr>
        <w:t>questions </w:t>
      </w:r>
      <w:r>
        <w:rPr>
          <w:vertAlign w:val="baseline"/>
        </w:rPr>
        <w:t>of whether damage caused by smoke and particulate matter were covered by an insurance policy and whether </w:t>
      </w:r>
      <w:r>
        <w:rPr>
          <w:spacing w:val="-3"/>
          <w:vertAlign w:val="baseline"/>
        </w:rPr>
        <w:t>replacement </w:t>
      </w:r>
      <w:r>
        <w:rPr>
          <w:vertAlign w:val="baseline"/>
        </w:rPr>
        <w:t>costs qualified as “Extra Expenses” in a contract</w:t>
      </w:r>
      <w:r>
        <w:rPr>
          <w:spacing w:val="-36"/>
          <w:vertAlign w:val="baseline"/>
        </w:rPr>
        <w:t> </w:t>
      </w:r>
      <w:r>
        <w:rPr>
          <w:vertAlign w:val="baseline"/>
        </w:rPr>
        <w:t>were</w:t>
      </w:r>
      <w:r>
        <w:rPr>
          <w:spacing w:val="-35"/>
          <w:vertAlign w:val="baseline"/>
        </w:rPr>
        <w:t> </w:t>
      </w:r>
      <w:r>
        <w:rPr>
          <w:vertAlign w:val="baseline"/>
        </w:rPr>
        <w:t>matters</w:t>
      </w:r>
      <w:r>
        <w:rPr>
          <w:spacing w:val="-34"/>
          <w:vertAlign w:val="baseline"/>
        </w:rPr>
        <w:t> </w:t>
      </w:r>
      <w:r>
        <w:rPr>
          <w:vertAlign w:val="baseline"/>
        </w:rPr>
        <w:t>of</w:t>
      </w:r>
      <w:r>
        <w:rPr>
          <w:spacing w:val="-33"/>
          <w:vertAlign w:val="baseline"/>
        </w:rPr>
        <w:t> </w:t>
      </w:r>
      <w:r>
        <w:rPr>
          <w:vertAlign w:val="baseline"/>
        </w:rPr>
        <w:t>contract</w:t>
      </w:r>
      <w:r>
        <w:rPr>
          <w:spacing w:val="-35"/>
          <w:vertAlign w:val="baseline"/>
        </w:rPr>
        <w:t> </w:t>
      </w:r>
      <w:r>
        <w:rPr>
          <w:vertAlign w:val="baseline"/>
        </w:rPr>
        <w:t>law</w:t>
      </w:r>
      <w:r>
        <w:rPr>
          <w:spacing w:val="-37"/>
          <w:vertAlign w:val="baseline"/>
        </w:rPr>
        <w:t> </w:t>
      </w:r>
      <w:r>
        <w:rPr>
          <w:vertAlign w:val="baseline"/>
        </w:rPr>
        <w:t>and</w:t>
      </w:r>
      <w:r>
        <w:rPr>
          <w:spacing w:val="-33"/>
          <w:vertAlign w:val="baseline"/>
        </w:rPr>
        <w:t> </w:t>
      </w:r>
      <w:r>
        <w:rPr>
          <w:vertAlign w:val="baseline"/>
        </w:rPr>
        <w:t>thus resolvable by a court, “Coverage does not refer exclusively to the underlying event that</w:t>
      </w:r>
      <w:r>
        <w:rPr>
          <w:spacing w:val="-50"/>
          <w:vertAlign w:val="baseline"/>
        </w:rPr>
        <w:t> </w:t>
      </w:r>
      <w:r>
        <w:rPr>
          <w:vertAlign w:val="baseline"/>
        </w:rPr>
        <w:t>is </w:t>
      </w:r>
      <w:r>
        <w:rPr>
          <w:spacing w:val="16"/>
          <w:vertAlign w:val="baseline"/>
        </w:rPr>
        <w:t>the </w:t>
      </w:r>
      <w:r>
        <w:rPr>
          <w:spacing w:val="20"/>
          <w:vertAlign w:val="baseline"/>
        </w:rPr>
        <w:t>cause </w:t>
      </w:r>
      <w:r>
        <w:rPr>
          <w:spacing w:val="13"/>
          <w:vertAlign w:val="baseline"/>
        </w:rPr>
        <w:t>of </w:t>
      </w:r>
      <w:r>
        <w:rPr>
          <w:spacing w:val="24"/>
          <w:vertAlign w:val="baseline"/>
        </w:rPr>
        <w:t>Defendant’ </w:t>
      </w:r>
      <w:r>
        <w:rPr>
          <w:vertAlign w:val="baseline"/>
        </w:rPr>
        <w:t>s </w:t>
      </w:r>
      <w:r>
        <w:rPr>
          <w:spacing w:val="23"/>
          <w:vertAlign w:val="baseline"/>
        </w:rPr>
        <w:t>losses. </w:t>
      </w:r>
      <w:r>
        <w:rPr>
          <w:spacing w:val="3"/>
          <w:vertAlign w:val="baseline"/>
        </w:rPr>
        <w:t>Rather…coverage also </w:t>
      </w:r>
      <w:r>
        <w:rPr>
          <w:spacing w:val="2"/>
          <w:vertAlign w:val="baseline"/>
        </w:rPr>
        <w:t>refers </w:t>
      </w:r>
      <w:r>
        <w:rPr>
          <w:vertAlign w:val="baseline"/>
        </w:rPr>
        <w:t>to </w:t>
      </w:r>
      <w:r>
        <w:rPr>
          <w:spacing w:val="2"/>
          <w:vertAlign w:val="baseline"/>
        </w:rPr>
        <w:t>those </w:t>
      </w:r>
      <w:r>
        <w:rPr>
          <w:vertAlign w:val="baseline"/>
        </w:rPr>
        <w:t>categories of losses which fall within the meaning</w:t>
      </w:r>
      <w:r>
        <w:rPr>
          <w:spacing w:val="-18"/>
          <w:vertAlign w:val="baseline"/>
        </w:rPr>
        <w:t> </w:t>
      </w:r>
      <w:r>
        <w:rPr>
          <w:vertAlign w:val="baseline"/>
        </w:rPr>
        <w:t>of</w:t>
      </w:r>
      <w:r>
        <w:rPr>
          <w:spacing w:val="-18"/>
          <w:vertAlign w:val="baseline"/>
        </w:rPr>
        <w:t> </w:t>
      </w:r>
      <w:r>
        <w:rPr>
          <w:vertAlign w:val="baseline"/>
        </w:rPr>
        <w:t>the</w:t>
      </w:r>
      <w:r>
        <w:rPr>
          <w:spacing w:val="-18"/>
          <w:vertAlign w:val="baseline"/>
        </w:rPr>
        <w:t> </w:t>
      </w:r>
      <w:r>
        <w:rPr>
          <w:vertAlign w:val="baseline"/>
        </w:rPr>
        <w:t>insurance</w:t>
      </w:r>
      <w:r>
        <w:rPr>
          <w:spacing w:val="-19"/>
          <w:vertAlign w:val="baseline"/>
        </w:rPr>
        <w:t> </w:t>
      </w:r>
      <w:r>
        <w:rPr>
          <w:vertAlign w:val="baseline"/>
        </w:rPr>
        <w:t>policy</w:t>
      </w:r>
      <w:r>
        <w:rPr>
          <w:spacing w:val="-23"/>
          <w:vertAlign w:val="baseline"/>
        </w:rPr>
        <w:t> </w:t>
      </w:r>
      <w:r>
        <w:rPr>
          <w:vertAlign w:val="baseline"/>
        </w:rPr>
        <w:t>and</w:t>
      </w:r>
      <w:r>
        <w:rPr>
          <w:spacing w:val="-18"/>
          <w:vertAlign w:val="baseline"/>
        </w:rPr>
        <w:t> </w:t>
      </w:r>
      <w:r>
        <w:rPr>
          <w:vertAlign w:val="baseline"/>
        </w:rPr>
        <w:t>for</w:t>
      </w:r>
      <w:r>
        <w:rPr>
          <w:spacing w:val="-20"/>
          <w:vertAlign w:val="baseline"/>
        </w:rPr>
        <w:t> </w:t>
      </w:r>
      <w:r>
        <w:rPr>
          <w:vertAlign w:val="baseline"/>
        </w:rPr>
        <w:t>which the Plaintiff is hence</w:t>
      </w:r>
      <w:r>
        <w:rPr>
          <w:spacing w:val="-4"/>
          <w:vertAlign w:val="baseline"/>
        </w:rPr>
        <w:t> </w:t>
      </w:r>
      <w:r>
        <w:rPr>
          <w:vertAlign w:val="baseline"/>
        </w:rPr>
        <w:t>liable.”</w:t>
      </w:r>
      <w:r>
        <w:rPr>
          <w:vertAlign w:val="superscript"/>
        </w:rPr>
        <w:t>241</w:t>
      </w:r>
    </w:p>
    <w:p>
      <w:pPr>
        <w:pStyle w:val="BodyText"/>
        <w:spacing w:before="7"/>
        <w:rPr>
          <w:sz w:val="25"/>
        </w:rPr>
      </w:pPr>
    </w:p>
    <w:p>
      <w:pPr>
        <w:pStyle w:val="BodyText"/>
        <w:spacing w:line="242" w:lineRule="auto"/>
        <w:ind w:left="1520" w:right="1522" w:firstLine="720"/>
        <w:jc w:val="both"/>
      </w:pPr>
      <w:r>
        <w:rPr>
          <w:spacing w:val="2"/>
        </w:rPr>
        <w:t>An </w:t>
      </w:r>
      <w:r>
        <w:rPr/>
        <w:t>Ontario court which observed no need</w:t>
      </w:r>
      <w:r>
        <w:rPr>
          <w:spacing w:val="-11"/>
        </w:rPr>
        <w:t> </w:t>
      </w:r>
      <w:r>
        <w:rPr/>
        <w:t>for</w:t>
      </w:r>
      <w:r>
        <w:rPr>
          <w:spacing w:val="-13"/>
        </w:rPr>
        <w:t> </w:t>
      </w:r>
      <w:r>
        <w:rPr/>
        <w:t>its</w:t>
      </w:r>
      <w:r>
        <w:rPr>
          <w:spacing w:val="-11"/>
        </w:rPr>
        <w:t> </w:t>
      </w:r>
      <w:r>
        <w:rPr/>
        <w:t>own</w:t>
      </w:r>
      <w:r>
        <w:rPr>
          <w:spacing w:val="-10"/>
        </w:rPr>
        <w:t> </w:t>
      </w:r>
      <w:r>
        <w:rPr/>
        <w:t>interpretation</w:t>
      </w:r>
      <w:r>
        <w:rPr>
          <w:spacing w:val="-8"/>
        </w:rPr>
        <w:t> </w:t>
      </w:r>
      <w:r>
        <w:rPr/>
        <w:t>of</w:t>
      </w:r>
      <w:r>
        <w:rPr>
          <w:spacing w:val="-9"/>
        </w:rPr>
        <w:t> </w:t>
      </w:r>
      <w:r>
        <w:rPr/>
        <w:t>an</w:t>
      </w:r>
      <w:r>
        <w:rPr>
          <w:spacing w:val="-8"/>
        </w:rPr>
        <w:t> </w:t>
      </w:r>
      <w:r>
        <w:rPr/>
        <w:t>insurance policy provision also found that appraisers required no direction by the court before</w:t>
      </w:r>
      <w:r>
        <w:rPr>
          <w:spacing w:val="7"/>
        </w:rPr>
        <w:t> </w:t>
      </w:r>
      <w:r>
        <w:rPr/>
        <w:t>the</w:t>
      </w:r>
    </w:p>
    <w:p>
      <w:pPr>
        <w:pStyle w:val="BodyText"/>
        <w:spacing w:before="2"/>
        <w:rPr>
          <w:sz w:val="17"/>
        </w:rPr>
      </w:pPr>
      <w:r>
        <w:rPr/>
        <w:pict>
          <v:shape style="position:absolute;margin-left:162pt;margin-top:12.95436pt;width:143.9pt;height:.1pt;mso-position-horizontal-relative:page;mso-position-vertical-relative:paragraph;z-index:-251564032;mso-wrap-distance-left:0;mso-wrap-distance-right:0" coordorigin="3240,259" coordsize="2878,0" path="m3240,259l6118,259e" filled="false" stroked="true" strokeweight=".84pt" strokecolor="#000000">
            <v:path arrowok="t"/>
            <v:stroke dashstyle="solid"/>
            <w10:wrap type="topAndBottom"/>
          </v:shape>
        </w:pict>
      </w:r>
    </w:p>
    <w:p>
      <w:pPr>
        <w:pStyle w:val="ListParagraph"/>
        <w:numPr>
          <w:ilvl w:val="0"/>
          <w:numId w:val="18"/>
        </w:numPr>
        <w:tabs>
          <w:tab w:pos="1411" w:val="left" w:leader="none"/>
        </w:tabs>
        <w:spacing w:line="244" w:lineRule="auto" w:before="140" w:after="0"/>
        <w:ind w:left="1160" w:right="1199" w:firstLine="0"/>
        <w:jc w:val="left"/>
        <w:rPr>
          <w:sz w:val="18"/>
        </w:rPr>
      </w:pPr>
      <w:r>
        <w:rPr>
          <w:sz w:val="18"/>
          <w:u w:val="single"/>
        </w:rPr>
        <w:t>United Boat Service Corp. v. Fulton Fire Ins. Co.</w:t>
      </w:r>
      <w:r>
        <w:rPr>
          <w:sz w:val="18"/>
        </w:rPr>
        <w:t>, 137 N.Y.S.2d 670 (Sup. Ct. 1955);</w:t>
      </w:r>
      <w:r>
        <w:rPr>
          <w:sz w:val="18"/>
          <w:u w:val="single"/>
        </w:rPr>
        <w:t> In re Delmar Box Co.</w:t>
      </w:r>
      <w:r>
        <w:rPr>
          <w:sz w:val="18"/>
        </w:rPr>
        <w:t>, 309 N.Y. 60, 127 N.E.2d 808</w:t>
      </w:r>
      <w:r>
        <w:rPr>
          <w:spacing w:val="5"/>
          <w:sz w:val="18"/>
        </w:rPr>
        <w:t> </w:t>
      </w:r>
      <w:r>
        <w:rPr>
          <w:sz w:val="18"/>
        </w:rPr>
        <w:t>(1955).</w:t>
      </w:r>
    </w:p>
    <w:p>
      <w:pPr>
        <w:pStyle w:val="ListParagraph"/>
        <w:numPr>
          <w:ilvl w:val="0"/>
          <w:numId w:val="18"/>
        </w:numPr>
        <w:tabs>
          <w:tab w:pos="1429" w:val="left" w:leader="none"/>
        </w:tabs>
        <w:spacing w:line="261" w:lineRule="auto" w:before="58" w:after="0"/>
        <w:ind w:left="1160" w:right="1634" w:firstLine="0"/>
        <w:jc w:val="left"/>
        <w:rPr>
          <w:sz w:val="18"/>
        </w:rPr>
      </w:pPr>
      <w:r>
        <w:rPr>
          <w:sz w:val="18"/>
          <w:u w:val="single"/>
        </w:rPr>
        <w:t>Kearney v. Washtenau Mut. Fire Ins. Co.</w:t>
      </w:r>
      <w:r>
        <w:rPr>
          <w:sz w:val="18"/>
        </w:rPr>
        <w:t>, 126 Mich. 246, 85 N.W. 733 (1901);</w:t>
      </w:r>
      <w:r>
        <w:rPr>
          <w:sz w:val="18"/>
          <w:u w:val="single"/>
        </w:rPr>
        <w:t> Hartford Ins. Co. v. Miller</w:t>
      </w:r>
      <w:r>
        <w:rPr>
          <w:sz w:val="18"/>
        </w:rPr>
        <w:t>, 2006 WL2844124 (E.D. Mich.</w:t>
      </w:r>
      <w:r>
        <w:rPr>
          <w:spacing w:val="6"/>
          <w:sz w:val="18"/>
        </w:rPr>
        <w:t> </w:t>
      </w:r>
      <w:r>
        <w:rPr>
          <w:sz w:val="18"/>
        </w:rPr>
        <w:t>2006).</w:t>
      </w:r>
    </w:p>
    <w:p>
      <w:pPr>
        <w:pStyle w:val="ListParagraph"/>
        <w:numPr>
          <w:ilvl w:val="0"/>
          <w:numId w:val="18"/>
        </w:numPr>
        <w:tabs>
          <w:tab w:pos="1441" w:val="left" w:leader="none"/>
        </w:tabs>
        <w:spacing w:line="193" w:lineRule="exact" w:before="0" w:after="0"/>
        <w:ind w:left="1440" w:right="0" w:hanging="281"/>
        <w:jc w:val="left"/>
        <w:rPr>
          <w:sz w:val="18"/>
        </w:rPr>
      </w:pPr>
      <w:r>
        <w:rPr>
          <w:sz w:val="18"/>
          <w:u w:val="single"/>
        </w:rPr>
        <w:t>Dunton v. Westchester Fire Ins. Co.</w:t>
      </w:r>
      <w:r>
        <w:rPr>
          <w:sz w:val="18"/>
        </w:rPr>
        <w:t>, 104 Me. 372, 71 A.1037 (1908):</w:t>
      </w:r>
      <w:r>
        <w:rPr>
          <w:spacing w:val="8"/>
          <w:sz w:val="18"/>
        </w:rPr>
        <w:t> </w:t>
      </w:r>
      <w:r>
        <w:rPr>
          <w:sz w:val="18"/>
          <w:u w:val="single"/>
        </w:rPr>
        <w:t>Relentless,</w:t>
      </w:r>
    </w:p>
    <w:p>
      <w:pPr>
        <w:spacing w:before="6"/>
        <w:ind w:left="1160" w:right="0" w:firstLine="0"/>
        <w:jc w:val="left"/>
        <w:rPr>
          <w:rFonts w:ascii="Times New Roman"/>
          <w:sz w:val="24"/>
        </w:rPr>
      </w:pPr>
      <w:r>
        <w:rPr>
          <w:rFonts w:ascii="Times New Roman"/>
          <w:sz w:val="18"/>
          <w:u w:val="single"/>
        </w:rPr>
        <w:t>LLC v. Basin Marine, Inc</w:t>
      </w:r>
      <w:r>
        <w:rPr>
          <w:rFonts w:ascii="Times New Roman"/>
          <w:sz w:val="18"/>
        </w:rPr>
        <w:t>., 2011 WL 2682691 (C.D. Cal.2011)</w:t>
      </w:r>
      <w:r>
        <w:rPr>
          <w:rFonts w:ascii="Times New Roman"/>
          <w:sz w:val="24"/>
        </w:rPr>
        <w:t>.</w:t>
      </w:r>
    </w:p>
    <w:p>
      <w:pPr>
        <w:pStyle w:val="ListParagraph"/>
        <w:numPr>
          <w:ilvl w:val="0"/>
          <w:numId w:val="18"/>
        </w:numPr>
        <w:tabs>
          <w:tab w:pos="1466" w:val="left" w:leader="none"/>
        </w:tabs>
        <w:spacing w:line="240" w:lineRule="auto" w:before="0" w:after="0"/>
        <w:ind w:left="1466" w:right="0" w:hanging="306"/>
        <w:jc w:val="left"/>
        <w:rPr>
          <w:sz w:val="18"/>
        </w:rPr>
      </w:pPr>
      <w:r>
        <w:rPr>
          <w:sz w:val="18"/>
          <w:u w:val="single"/>
        </w:rPr>
        <w:t>Hartford</w:t>
      </w:r>
      <w:r>
        <w:rPr>
          <w:spacing w:val="-7"/>
          <w:sz w:val="18"/>
          <w:u w:val="single"/>
        </w:rPr>
        <w:t> </w:t>
      </w:r>
      <w:r>
        <w:rPr>
          <w:sz w:val="18"/>
          <w:u w:val="single"/>
        </w:rPr>
        <w:t>Fire</w:t>
      </w:r>
      <w:r>
        <w:rPr>
          <w:spacing w:val="-4"/>
          <w:sz w:val="18"/>
          <w:u w:val="single"/>
        </w:rPr>
        <w:t> </w:t>
      </w:r>
      <w:r>
        <w:rPr>
          <w:sz w:val="18"/>
          <w:u w:val="single"/>
        </w:rPr>
        <w:t>Ins.</w:t>
      </w:r>
      <w:r>
        <w:rPr>
          <w:spacing w:val="-8"/>
          <w:sz w:val="18"/>
          <w:u w:val="single"/>
        </w:rPr>
        <w:t> </w:t>
      </w:r>
      <w:r>
        <w:rPr>
          <w:sz w:val="18"/>
          <w:u w:val="single"/>
        </w:rPr>
        <w:t>Co.</w:t>
      </w:r>
      <w:r>
        <w:rPr>
          <w:spacing w:val="-6"/>
          <w:sz w:val="18"/>
          <w:u w:val="single"/>
        </w:rPr>
        <w:t> </w:t>
      </w:r>
      <w:r>
        <w:rPr>
          <w:sz w:val="18"/>
          <w:u w:val="single"/>
        </w:rPr>
        <w:t>v.</w:t>
      </w:r>
      <w:r>
        <w:rPr>
          <w:spacing w:val="-6"/>
          <w:sz w:val="18"/>
          <w:u w:val="single"/>
        </w:rPr>
        <w:t> </w:t>
      </w:r>
      <w:r>
        <w:rPr>
          <w:sz w:val="18"/>
          <w:u w:val="single"/>
        </w:rPr>
        <w:t>Computer</w:t>
      </w:r>
      <w:r>
        <w:rPr>
          <w:spacing w:val="-8"/>
          <w:sz w:val="18"/>
          <w:u w:val="single"/>
        </w:rPr>
        <w:t> </w:t>
      </w:r>
      <w:r>
        <w:rPr>
          <w:sz w:val="18"/>
          <w:u w:val="single"/>
        </w:rPr>
        <w:t>Data</w:t>
      </w:r>
      <w:r>
        <w:rPr>
          <w:spacing w:val="-9"/>
          <w:sz w:val="18"/>
          <w:u w:val="single"/>
        </w:rPr>
        <w:t> </w:t>
      </w:r>
      <w:r>
        <w:rPr>
          <w:sz w:val="18"/>
          <w:u w:val="single"/>
        </w:rPr>
        <w:t>Source,</w:t>
      </w:r>
      <w:r>
        <w:rPr>
          <w:spacing w:val="-8"/>
          <w:sz w:val="18"/>
          <w:u w:val="single"/>
        </w:rPr>
        <w:t> </w:t>
      </w:r>
      <w:r>
        <w:rPr>
          <w:sz w:val="18"/>
          <w:u w:val="single"/>
        </w:rPr>
        <w:t>Inc.</w:t>
      </w:r>
      <w:r>
        <w:rPr>
          <w:sz w:val="18"/>
        </w:rPr>
        <w:t>,</w:t>
      </w:r>
      <w:r>
        <w:rPr>
          <w:spacing w:val="-7"/>
          <w:sz w:val="18"/>
        </w:rPr>
        <w:t> </w:t>
      </w:r>
      <w:r>
        <w:rPr>
          <w:sz w:val="18"/>
        </w:rPr>
        <w:t>Case</w:t>
      </w:r>
      <w:r>
        <w:rPr>
          <w:spacing w:val="-9"/>
          <w:sz w:val="18"/>
        </w:rPr>
        <w:t> </w:t>
      </w:r>
      <w:r>
        <w:rPr>
          <w:sz w:val="18"/>
        </w:rPr>
        <w:t>3:09-cv-01400-AET-LHG.</w:t>
      </w:r>
    </w:p>
    <w:p>
      <w:pPr>
        <w:spacing w:after="0" w:line="240"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9"/>
        <w:jc w:val="both"/>
      </w:pPr>
      <w:bookmarkStart w:name="Law and Procedure 168" w:id="79"/>
      <w:bookmarkEnd w:id="79"/>
      <w:r>
        <w:rPr/>
      </w:r>
      <w:r>
        <w:rPr/>
        <w:t>appraisal process could be undertaken. </w:t>
      </w:r>
      <w:r>
        <w:rPr>
          <w:spacing w:val="-7"/>
        </w:rPr>
        <w:t>The </w:t>
      </w:r>
      <w:r>
        <w:rPr/>
        <w:t>Court was “satisfied that qualified appraisers [were] quite capable of making that determination or in the event of a dispute an umpire chosen by the appraisers can</w:t>
      </w:r>
      <w:r>
        <w:rPr>
          <w:spacing w:val="-39"/>
        </w:rPr>
        <w:t> </w:t>
      </w:r>
      <w:r>
        <w:rPr>
          <w:spacing w:val="-3"/>
        </w:rPr>
        <w:t>properly </w:t>
      </w:r>
      <w:r>
        <w:rPr/>
        <w:t>determine the matter.” </w:t>
      </w:r>
      <w:r>
        <w:rPr>
          <w:spacing w:val="-3"/>
        </w:rPr>
        <w:t>The </w:t>
      </w:r>
      <w:r>
        <w:rPr/>
        <w:t>policy provision at issue</w:t>
      </w:r>
      <w:r>
        <w:rPr>
          <w:spacing w:val="-23"/>
        </w:rPr>
        <w:t> </w:t>
      </w:r>
      <w:r>
        <w:rPr/>
        <w:t>mandated</w:t>
      </w:r>
      <w:r>
        <w:rPr>
          <w:spacing w:val="-23"/>
        </w:rPr>
        <w:t> </w:t>
      </w:r>
      <w:r>
        <w:rPr/>
        <w:t>that</w:t>
      </w:r>
      <w:r>
        <w:rPr>
          <w:spacing w:val="-23"/>
        </w:rPr>
        <w:t> </w:t>
      </w:r>
      <w:r>
        <w:rPr/>
        <w:t>the</w:t>
      </w:r>
      <w:r>
        <w:rPr>
          <w:spacing w:val="-23"/>
        </w:rPr>
        <w:t> </w:t>
      </w:r>
      <w:r>
        <w:rPr/>
        <w:t>insurer</w:t>
      </w:r>
      <w:r>
        <w:rPr>
          <w:spacing w:val="-24"/>
        </w:rPr>
        <w:t> </w:t>
      </w:r>
      <w:r>
        <w:rPr/>
        <w:t>pay</w:t>
      </w:r>
      <w:r>
        <w:rPr>
          <w:spacing w:val="-23"/>
        </w:rPr>
        <w:t> </w:t>
      </w:r>
      <w:r>
        <w:rPr/>
        <w:t>the</w:t>
      </w:r>
      <w:r>
        <w:rPr>
          <w:spacing w:val="-23"/>
        </w:rPr>
        <w:t> </w:t>
      </w:r>
      <w:r>
        <w:rPr/>
        <w:t>actual cash value of the loss from the date of loss to the applicable limit or</w:t>
      </w:r>
      <w:r>
        <w:rPr>
          <w:spacing w:val="-5"/>
        </w:rPr>
        <w:t> </w:t>
      </w:r>
      <w:r>
        <w:rPr/>
        <w:t>coverage.</w:t>
      </w:r>
      <w:r>
        <w:rPr>
          <w:vertAlign w:val="superscript"/>
        </w:rPr>
        <w:t>242</w:t>
      </w:r>
    </w:p>
    <w:p>
      <w:pPr>
        <w:pStyle w:val="BodyText"/>
        <w:spacing w:before="11"/>
        <w:rPr>
          <w:sz w:val="25"/>
        </w:rPr>
      </w:pPr>
    </w:p>
    <w:p>
      <w:pPr>
        <w:pStyle w:val="BodyText"/>
        <w:spacing w:line="242" w:lineRule="auto"/>
        <w:ind w:left="1520" w:right="1516" w:firstLine="924"/>
        <w:jc w:val="both"/>
      </w:pPr>
      <w:r>
        <w:rPr/>
        <w:t>Courts in some states have strictly enforced the above mentioned rule. For example,</w:t>
      </w:r>
      <w:r>
        <w:rPr>
          <w:spacing w:val="-27"/>
        </w:rPr>
        <w:t> </w:t>
      </w:r>
      <w:r>
        <w:rPr/>
        <w:t>a</w:t>
      </w:r>
      <w:r>
        <w:rPr>
          <w:spacing w:val="-25"/>
        </w:rPr>
        <w:t> </w:t>
      </w:r>
      <w:r>
        <w:rPr/>
        <w:t>Nevada</w:t>
      </w:r>
      <w:r>
        <w:rPr>
          <w:spacing w:val="-24"/>
        </w:rPr>
        <w:t> </w:t>
      </w:r>
      <w:r>
        <w:rPr/>
        <w:t>court</w:t>
      </w:r>
      <w:r>
        <w:rPr>
          <w:spacing w:val="-27"/>
        </w:rPr>
        <w:t> </w:t>
      </w:r>
      <w:r>
        <w:rPr/>
        <w:t>held</w:t>
      </w:r>
      <w:r>
        <w:rPr>
          <w:spacing w:val="-28"/>
        </w:rPr>
        <w:t> </w:t>
      </w:r>
      <w:r>
        <w:rPr/>
        <w:t>that</w:t>
      </w:r>
      <w:r>
        <w:rPr>
          <w:spacing w:val="-26"/>
        </w:rPr>
        <w:t> </w:t>
      </w:r>
      <w:r>
        <w:rPr/>
        <w:t>the</w:t>
      </w:r>
      <w:r>
        <w:rPr>
          <w:spacing w:val="-26"/>
        </w:rPr>
        <w:t> </w:t>
      </w:r>
      <w:r>
        <w:rPr/>
        <w:t>umpire who considers whether the subject fire policy covered</w:t>
      </w:r>
      <w:r>
        <w:rPr>
          <w:spacing w:val="-16"/>
        </w:rPr>
        <w:t> </w:t>
      </w:r>
      <w:r>
        <w:rPr/>
        <w:t>reconstruction</w:t>
      </w:r>
      <w:r>
        <w:rPr>
          <w:spacing w:val="-13"/>
        </w:rPr>
        <w:t> </w:t>
      </w:r>
      <w:r>
        <w:rPr/>
        <w:t>costs</w:t>
      </w:r>
      <w:r>
        <w:rPr>
          <w:spacing w:val="-17"/>
        </w:rPr>
        <w:t> </w:t>
      </w:r>
      <w:r>
        <w:rPr/>
        <w:t>alone</w:t>
      </w:r>
      <w:r>
        <w:rPr>
          <w:spacing w:val="-13"/>
        </w:rPr>
        <w:t> </w:t>
      </w:r>
      <w:r>
        <w:rPr/>
        <w:t>or</w:t>
      </w:r>
      <w:r>
        <w:rPr>
          <w:spacing w:val="-15"/>
        </w:rPr>
        <w:t> </w:t>
      </w:r>
      <w:r>
        <w:rPr/>
        <w:t>also</w:t>
      </w:r>
      <w:r>
        <w:rPr>
          <w:spacing w:val="-13"/>
        </w:rPr>
        <w:t> </w:t>
      </w:r>
      <w:r>
        <w:rPr/>
        <w:t>the additional cost of bringing the subject motel into compliance with the local building code, had exceeded his authority. The court found that the umpire and appraisers clearly interpreted</w:t>
      </w:r>
      <w:r>
        <w:rPr>
          <w:spacing w:val="-33"/>
        </w:rPr>
        <w:t> </w:t>
      </w:r>
      <w:r>
        <w:rPr/>
        <w:t>coverage</w:t>
      </w:r>
      <w:r>
        <w:rPr>
          <w:spacing w:val="-31"/>
        </w:rPr>
        <w:t> </w:t>
      </w:r>
      <w:r>
        <w:rPr/>
        <w:t>provisions</w:t>
      </w:r>
      <w:r>
        <w:rPr>
          <w:spacing w:val="-32"/>
        </w:rPr>
        <w:t> </w:t>
      </w:r>
      <w:r>
        <w:rPr/>
        <w:t>to</w:t>
      </w:r>
      <w:r>
        <w:rPr>
          <w:spacing w:val="-31"/>
        </w:rPr>
        <w:t> </w:t>
      </w:r>
      <w:r>
        <w:rPr/>
        <w:t>arrive</w:t>
      </w:r>
      <w:r>
        <w:rPr>
          <w:spacing w:val="-30"/>
        </w:rPr>
        <w:t> </w:t>
      </w:r>
      <w:r>
        <w:rPr/>
        <w:t>at</w:t>
      </w:r>
      <w:r>
        <w:rPr>
          <w:spacing w:val="-30"/>
        </w:rPr>
        <w:t> </w:t>
      </w:r>
      <w:r>
        <w:rPr/>
        <w:t>the award figure and in so doing, exercised discretionary judgment not allowed them under the Standard Fire Policy's appraisal clause.</w:t>
      </w:r>
      <w:r>
        <w:rPr>
          <w:vertAlign w:val="superscript"/>
        </w:rPr>
        <w:t>243</w:t>
      </w:r>
    </w:p>
    <w:p>
      <w:pPr>
        <w:pStyle w:val="BodyText"/>
        <w:spacing w:before="10"/>
        <w:rPr>
          <w:sz w:val="25"/>
        </w:rPr>
      </w:pPr>
    </w:p>
    <w:p>
      <w:pPr>
        <w:pStyle w:val="BodyText"/>
        <w:spacing w:line="242" w:lineRule="auto"/>
        <w:ind w:left="1520" w:right="1517" w:firstLine="720"/>
        <w:jc w:val="both"/>
      </w:pPr>
      <w:r>
        <w:rPr>
          <w:spacing w:val="3"/>
        </w:rPr>
        <w:t>In </w:t>
      </w:r>
      <w:r>
        <w:rPr/>
        <w:t>a case where an insured sought coverage</w:t>
      </w:r>
      <w:r>
        <w:rPr>
          <w:spacing w:val="-11"/>
        </w:rPr>
        <w:t> </w:t>
      </w:r>
      <w:r>
        <w:rPr/>
        <w:t>for</w:t>
      </w:r>
      <w:r>
        <w:rPr>
          <w:spacing w:val="-11"/>
        </w:rPr>
        <w:t> </w:t>
      </w:r>
      <w:r>
        <w:rPr/>
        <w:t>lost</w:t>
      </w:r>
      <w:r>
        <w:rPr>
          <w:spacing w:val="-9"/>
        </w:rPr>
        <w:t> </w:t>
      </w:r>
      <w:r>
        <w:rPr/>
        <w:t>business</w:t>
      </w:r>
      <w:r>
        <w:rPr>
          <w:spacing w:val="-8"/>
        </w:rPr>
        <w:t> </w:t>
      </w:r>
      <w:r>
        <w:rPr/>
        <w:t>income,</w:t>
      </w:r>
      <w:r>
        <w:rPr>
          <w:spacing w:val="-14"/>
        </w:rPr>
        <w:t> </w:t>
      </w:r>
      <w:r>
        <w:rPr/>
        <w:t>a</w:t>
      </w:r>
      <w:r>
        <w:rPr>
          <w:spacing w:val="-12"/>
        </w:rPr>
        <w:t> </w:t>
      </w:r>
      <w:r>
        <w:rPr/>
        <w:t>New</w:t>
      </w:r>
      <w:r>
        <w:rPr>
          <w:spacing w:val="-16"/>
        </w:rPr>
        <w:t> </w:t>
      </w:r>
      <w:r>
        <w:rPr>
          <w:spacing w:val="-3"/>
        </w:rPr>
        <w:t>York </w:t>
      </w:r>
      <w:r>
        <w:rPr/>
        <w:t>court evaluated the distinction between coverage and damages and concluded</w:t>
      </w:r>
      <w:r>
        <w:rPr>
          <w:spacing w:val="-19"/>
        </w:rPr>
        <w:t> </w:t>
      </w:r>
      <w:r>
        <w:rPr>
          <w:spacing w:val="-3"/>
        </w:rPr>
        <w:t>that</w:t>
      </w:r>
    </w:p>
    <w:p>
      <w:pPr>
        <w:pStyle w:val="BodyText"/>
        <w:rPr>
          <w:sz w:val="25"/>
        </w:rPr>
      </w:pPr>
      <w:r>
        <w:rPr/>
        <w:pict>
          <v:shape style="position:absolute;margin-left:162pt;margin-top:17.771723pt;width:143.9pt;height:.1pt;mso-position-horizontal-relative:page;mso-position-vertical-relative:paragraph;z-index:-251563008;mso-wrap-distance-left:0;mso-wrap-distance-right:0" coordorigin="3240,355" coordsize="2878,0" path="m3240,355l6118,355e" filled="false" stroked="true" strokeweight=".84pt" strokecolor="#000000">
            <v:path arrowok="t"/>
            <v:stroke dashstyle="solid"/>
            <w10:wrap type="topAndBottom"/>
          </v:shape>
        </w:pict>
      </w:r>
    </w:p>
    <w:p>
      <w:pPr>
        <w:pStyle w:val="ListParagraph"/>
        <w:numPr>
          <w:ilvl w:val="0"/>
          <w:numId w:val="18"/>
        </w:numPr>
        <w:tabs>
          <w:tab w:pos="1421" w:val="left" w:leader="none"/>
        </w:tabs>
        <w:spacing w:line="240" w:lineRule="auto" w:before="140" w:after="0"/>
        <w:ind w:left="1421" w:right="0" w:hanging="261"/>
        <w:jc w:val="left"/>
        <w:rPr>
          <w:sz w:val="18"/>
        </w:rPr>
      </w:pPr>
      <w:r>
        <w:rPr>
          <w:sz w:val="18"/>
          <w:u w:val="single"/>
        </w:rPr>
        <w:t>Greer v. Co-operators General Ins. Co.</w:t>
      </w:r>
      <w:r>
        <w:rPr>
          <w:sz w:val="18"/>
        </w:rPr>
        <w:t>, (1999) O.J. No. 3118 (2000) I.I.R. 1-3785,</w:t>
      </w:r>
      <w:r>
        <w:rPr>
          <w:spacing w:val="2"/>
          <w:sz w:val="18"/>
        </w:rPr>
        <w:t> </w:t>
      </w:r>
      <w:r>
        <w:rPr>
          <w:sz w:val="18"/>
        </w:rPr>
        <w:t>90</w:t>
      </w:r>
    </w:p>
    <w:p>
      <w:pPr>
        <w:spacing w:line="182" w:lineRule="exact" w:before="4"/>
        <w:ind w:left="1160" w:right="0" w:firstLine="0"/>
        <w:jc w:val="left"/>
        <w:rPr>
          <w:rFonts w:ascii="Times New Roman"/>
          <w:sz w:val="18"/>
        </w:rPr>
      </w:pPr>
      <w:r>
        <w:rPr>
          <w:rFonts w:ascii="Times New Roman"/>
          <w:sz w:val="18"/>
        </w:rPr>
        <w:t>A.C.W.S. (3d) 479, 1999 CarswellOnt 2570.</w:t>
      </w:r>
    </w:p>
    <w:p>
      <w:pPr>
        <w:pStyle w:val="ListParagraph"/>
        <w:numPr>
          <w:ilvl w:val="0"/>
          <w:numId w:val="18"/>
        </w:numPr>
        <w:tabs>
          <w:tab w:pos="1421" w:val="left" w:leader="none"/>
        </w:tabs>
        <w:spacing w:line="235" w:lineRule="exact" w:before="0" w:after="0"/>
        <w:ind w:left="1421" w:right="0" w:hanging="261"/>
        <w:jc w:val="left"/>
        <w:rPr>
          <w:sz w:val="18"/>
        </w:rPr>
      </w:pPr>
      <w:r>
        <w:rPr>
          <w:sz w:val="18"/>
          <w:u w:val="single"/>
        </w:rPr>
        <w:t>St. Paul Fire &amp; Marine Ins. Co. v. Wright</w:t>
      </w:r>
      <w:r>
        <w:rPr>
          <w:sz w:val="18"/>
        </w:rPr>
        <w:t>, 97 Nev. 308, 629 P.2d 1202</w:t>
      </w:r>
      <w:r>
        <w:rPr>
          <w:spacing w:val="8"/>
          <w:sz w:val="18"/>
        </w:rPr>
        <w:t> </w:t>
      </w:r>
      <w:r>
        <w:rPr>
          <w:sz w:val="18"/>
        </w:rPr>
        <w:t>(1981).</w:t>
      </w:r>
    </w:p>
    <w:p>
      <w:pPr>
        <w:spacing w:after="0" w:line="235" w:lineRule="exact"/>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6"/>
        <w:jc w:val="both"/>
      </w:pPr>
      <w:bookmarkStart w:name="Law and Procedure 169" w:id="80"/>
      <w:bookmarkEnd w:id="80"/>
      <w:r>
        <w:rPr/>
      </w:r>
      <w:r>
        <w:rPr/>
        <w:t>an appraisal panel focused only on extent of damage in forming its award and did not make any determination as to </w:t>
      </w:r>
      <w:r>
        <w:rPr>
          <w:spacing w:val="-3"/>
        </w:rPr>
        <w:t>coverage. </w:t>
      </w:r>
      <w:r>
        <w:rPr/>
        <w:t>There, circumstances required that appraisers calculate an insured’s business losses to generate</w:t>
      </w:r>
      <w:r>
        <w:rPr>
          <w:spacing w:val="-16"/>
        </w:rPr>
        <w:t> </w:t>
      </w:r>
      <w:r>
        <w:rPr/>
        <w:t>its</w:t>
      </w:r>
      <w:r>
        <w:rPr>
          <w:spacing w:val="-12"/>
        </w:rPr>
        <w:t> </w:t>
      </w:r>
      <w:r>
        <w:rPr/>
        <w:t>award.</w:t>
      </w:r>
      <w:r>
        <w:rPr>
          <w:spacing w:val="-17"/>
        </w:rPr>
        <w:t> </w:t>
      </w:r>
      <w:r>
        <w:rPr/>
        <w:t>The</w:t>
      </w:r>
      <w:r>
        <w:rPr>
          <w:spacing w:val="-15"/>
        </w:rPr>
        <w:t> </w:t>
      </w:r>
      <w:r>
        <w:rPr/>
        <w:t>Court</w:t>
      </w:r>
      <w:r>
        <w:rPr>
          <w:spacing w:val="-17"/>
        </w:rPr>
        <w:t> </w:t>
      </w:r>
      <w:r>
        <w:rPr/>
        <w:t>recognized</w:t>
      </w:r>
      <w:r>
        <w:rPr>
          <w:spacing w:val="-15"/>
        </w:rPr>
        <w:t> </w:t>
      </w:r>
      <w:r>
        <w:rPr/>
        <w:t>that although legal considerations as to coverage existed at the time of appraisal and that the appraisers had “made a complex decision among several competing factual theories, it </w:t>
      </w:r>
      <w:r>
        <w:rPr>
          <w:spacing w:val="2"/>
        </w:rPr>
        <w:t>did </w:t>
      </w:r>
      <w:r>
        <w:rPr/>
        <w:t>not adjudicate the law.” Its decision referenced</w:t>
      </w:r>
      <w:r>
        <w:rPr>
          <w:spacing w:val="-27"/>
        </w:rPr>
        <w:t> </w:t>
      </w:r>
      <w:r>
        <w:rPr/>
        <w:t>three</w:t>
      </w:r>
      <w:r>
        <w:rPr>
          <w:spacing w:val="-25"/>
        </w:rPr>
        <w:t> </w:t>
      </w:r>
      <w:r>
        <w:rPr/>
        <w:t>legal</w:t>
      </w:r>
      <w:r>
        <w:rPr>
          <w:spacing w:val="-25"/>
        </w:rPr>
        <w:t> </w:t>
      </w:r>
      <w:r>
        <w:rPr/>
        <w:t>principles</w:t>
      </w:r>
      <w:r>
        <w:rPr>
          <w:spacing w:val="-25"/>
        </w:rPr>
        <w:t> </w:t>
      </w:r>
      <w:r>
        <w:rPr/>
        <w:t>in</w:t>
      </w:r>
      <w:r>
        <w:rPr>
          <w:spacing w:val="-26"/>
        </w:rPr>
        <w:t> </w:t>
      </w:r>
      <w:r>
        <w:rPr/>
        <w:t>finding</w:t>
      </w:r>
      <w:r>
        <w:rPr>
          <w:spacing w:val="-25"/>
        </w:rPr>
        <w:t> </w:t>
      </w:r>
      <w:r>
        <w:rPr/>
        <w:t>that they were not violated by the appraisers’ valuation: “First, an appraiser may not resolve coverage</w:t>
      </w:r>
      <w:r>
        <w:rPr>
          <w:spacing w:val="-31"/>
        </w:rPr>
        <w:t> </w:t>
      </w:r>
      <w:r>
        <w:rPr/>
        <w:t>disputes</w:t>
      </w:r>
      <w:r>
        <w:rPr>
          <w:spacing w:val="-33"/>
        </w:rPr>
        <w:t> </w:t>
      </w:r>
      <w:r>
        <w:rPr/>
        <w:t>or</w:t>
      </w:r>
      <w:r>
        <w:rPr>
          <w:spacing w:val="-36"/>
        </w:rPr>
        <w:t> </w:t>
      </w:r>
      <w:r>
        <w:rPr>
          <w:spacing w:val="-3"/>
        </w:rPr>
        <w:t>legal</w:t>
      </w:r>
      <w:r>
        <w:rPr>
          <w:spacing w:val="-34"/>
        </w:rPr>
        <w:t> </w:t>
      </w:r>
      <w:r>
        <w:rPr/>
        <w:t>questions</w:t>
      </w:r>
      <w:r>
        <w:rPr>
          <w:spacing w:val="-30"/>
        </w:rPr>
        <w:t> </w:t>
      </w:r>
      <w:r>
        <w:rPr/>
        <w:t>regarding the interpretation of the policy. Second, the calculation of the restoration period, unless subject to legal challenges, is a factual question</w:t>
      </w:r>
      <w:r>
        <w:rPr>
          <w:spacing w:val="-11"/>
        </w:rPr>
        <w:t> </w:t>
      </w:r>
      <w:r>
        <w:rPr/>
        <w:t>about</w:t>
      </w:r>
      <w:r>
        <w:rPr>
          <w:spacing w:val="-11"/>
        </w:rPr>
        <w:t> </w:t>
      </w:r>
      <w:r>
        <w:rPr/>
        <w:t>damages</w:t>
      </w:r>
      <w:r>
        <w:rPr>
          <w:spacing w:val="-8"/>
        </w:rPr>
        <w:t> </w:t>
      </w:r>
      <w:r>
        <w:rPr/>
        <w:t>-</w:t>
      </w:r>
      <w:r>
        <w:rPr>
          <w:spacing w:val="-11"/>
        </w:rPr>
        <w:t> </w:t>
      </w:r>
      <w:r>
        <w:rPr/>
        <w:t>albeit</w:t>
      </w:r>
      <w:r>
        <w:rPr>
          <w:spacing w:val="-13"/>
        </w:rPr>
        <w:t> </w:t>
      </w:r>
      <w:r>
        <w:rPr/>
        <w:t>sometimes</w:t>
      </w:r>
      <w:r>
        <w:rPr>
          <w:spacing w:val="-13"/>
        </w:rPr>
        <w:t> </w:t>
      </w:r>
      <w:r>
        <w:rPr/>
        <w:t>a complex and contentious one - appropriately addressed by an appraisal. </w:t>
      </w:r>
      <w:r>
        <w:rPr>
          <w:spacing w:val="2"/>
        </w:rPr>
        <w:t>And </w:t>
      </w:r>
      <w:r>
        <w:rPr/>
        <w:t>third, the presence of a coverage dispute does not preclude an appraisal demand. Only a coverage</w:t>
      </w:r>
      <w:r>
        <w:rPr>
          <w:spacing w:val="-19"/>
        </w:rPr>
        <w:t> </w:t>
      </w:r>
      <w:r>
        <w:rPr/>
        <w:t>dispute</w:t>
      </w:r>
      <w:r>
        <w:rPr>
          <w:spacing w:val="-19"/>
        </w:rPr>
        <w:t> </w:t>
      </w:r>
      <w:r>
        <w:rPr/>
        <w:t>that</w:t>
      </w:r>
      <w:r>
        <w:rPr>
          <w:spacing w:val="-21"/>
        </w:rPr>
        <w:t> </w:t>
      </w:r>
      <w:r>
        <w:rPr/>
        <w:t>precedes</w:t>
      </w:r>
      <w:r>
        <w:rPr>
          <w:spacing w:val="-21"/>
        </w:rPr>
        <w:t> </w:t>
      </w:r>
      <w:r>
        <w:rPr/>
        <w:t>the</w:t>
      </w:r>
      <w:r>
        <w:rPr>
          <w:spacing w:val="-21"/>
        </w:rPr>
        <w:t> </w:t>
      </w:r>
      <w:r>
        <w:rPr/>
        <w:t>valuation of damages will prevent such a demand.”</w:t>
      </w:r>
      <w:r>
        <w:rPr>
          <w:spacing w:val="-9"/>
        </w:rPr>
        <w:t> </w:t>
      </w:r>
      <w:r>
        <w:rPr>
          <w:spacing w:val="-3"/>
          <w:vertAlign w:val="superscript"/>
        </w:rPr>
        <w:t>244</w:t>
      </w:r>
    </w:p>
    <w:p>
      <w:pPr>
        <w:pStyle w:val="BodyText"/>
        <w:spacing w:before="5"/>
        <w:rPr>
          <w:sz w:val="25"/>
        </w:rPr>
      </w:pPr>
    </w:p>
    <w:p>
      <w:pPr>
        <w:pStyle w:val="BodyText"/>
        <w:spacing w:line="242" w:lineRule="auto"/>
        <w:ind w:left="1520" w:right="1520" w:firstLine="720"/>
        <w:jc w:val="both"/>
      </w:pPr>
      <w:r>
        <w:rPr/>
        <w:t>An appraisal award which factored in a co-insurance penalty in the calculation of the award was not upheld where there was an</w:t>
      </w:r>
    </w:p>
    <w:p>
      <w:pPr>
        <w:pStyle w:val="BodyText"/>
        <w:rPr>
          <w:sz w:val="20"/>
        </w:rPr>
      </w:pPr>
    </w:p>
    <w:p>
      <w:pPr>
        <w:pStyle w:val="BodyText"/>
        <w:rPr>
          <w:sz w:val="20"/>
        </w:rPr>
      </w:pPr>
    </w:p>
    <w:p>
      <w:pPr>
        <w:pStyle w:val="BodyText"/>
        <w:spacing w:before="8"/>
        <w:rPr>
          <w:sz w:val="13"/>
        </w:rPr>
      </w:pPr>
      <w:r>
        <w:rPr/>
        <w:pict>
          <v:shape style="position:absolute;margin-left:162pt;margin-top:10.797812pt;width:143.9pt;height:.1pt;mso-position-horizontal-relative:page;mso-position-vertical-relative:paragraph;z-index:-251561984;mso-wrap-distance-left:0;mso-wrap-distance-right:0" coordorigin="3240,216" coordsize="2878,0" path="m3240,216l6118,216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18"/>
        </w:numPr>
        <w:tabs>
          <w:tab w:pos="1435" w:val="left" w:leader="none"/>
        </w:tabs>
        <w:spacing w:line="240" w:lineRule="auto" w:before="71" w:after="0"/>
        <w:ind w:left="1434" w:right="0" w:hanging="275"/>
        <w:jc w:val="left"/>
        <w:rPr>
          <w:sz w:val="18"/>
        </w:rPr>
      </w:pPr>
      <w:r>
        <w:rPr>
          <w:sz w:val="18"/>
          <w:u w:val="single"/>
        </w:rPr>
        <w:t>Amerex Group, Inc. v. Lexington Ins. Co.</w:t>
      </w:r>
      <w:r>
        <w:rPr>
          <w:sz w:val="18"/>
        </w:rPr>
        <w:t>, 678 F.3d 193 (L.A.2 (N.Y.)</w:t>
      </w:r>
      <w:r>
        <w:rPr>
          <w:spacing w:val="-1"/>
          <w:sz w:val="18"/>
        </w:rPr>
        <w:t> </w:t>
      </w:r>
      <w:r>
        <w:rPr>
          <w:sz w:val="18"/>
        </w:rPr>
        <w:t>2012).</w:t>
      </w:r>
    </w:p>
    <w:p>
      <w:pPr>
        <w:spacing w:after="0" w:line="240"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5"/>
      </w:pPr>
      <w:bookmarkStart w:name="Law and Procedure 170" w:id="81"/>
      <w:bookmarkEnd w:id="81"/>
      <w:r>
        <w:rPr/>
      </w:r>
      <w:r>
        <w:rPr/>
        <w:t>issue of what operations were insured under the policy’s business interruption coverage.</w:t>
      </w:r>
      <w:r>
        <w:rPr>
          <w:vertAlign w:val="superscript"/>
        </w:rPr>
        <w:t>245</w:t>
      </w:r>
    </w:p>
    <w:p>
      <w:pPr>
        <w:pStyle w:val="BodyText"/>
        <w:spacing w:before="1"/>
      </w:pPr>
    </w:p>
    <w:p>
      <w:pPr>
        <w:pStyle w:val="BodyText"/>
        <w:spacing w:line="242" w:lineRule="auto" w:before="1"/>
        <w:ind w:left="1520" w:right="1517" w:firstLine="720"/>
        <w:jc w:val="both"/>
      </w:pPr>
      <w:r>
        <w:rPr/>
        <w:t>Similarly, in a claim arising out of the September</w:t>
      </w:r>
      <w:r>
        <w:rPr>
          <w:spacing w:val="-33"/>
        </w:rPr>
        <w:t> </w:t>
      </w:r>
      <w:r>
        <w:rPr/>
        <w:t>11,</w:t>
      </w:r>
      <w:r>
        <w:rPr>
          <w:spacing w:val="-32"/>
        </w:rPr>
        <w:t> </w:t>
      </w:r>
      <w:r>
        <w:rPr/>
        <w:t>2001</w:t>
      </w:r>
      <w:r>
        <w:rPr>
          <w:spacing w:val="-29"/>
        </w:rPr>
        <w:t> </w:t>
      </w:r>
      <w:r>
        <w:rPr/>
        <w:t>on</w:t>
      </w:r>
      <w:r>
        <w:rPr>
          <w:spacing w:val="-32"/>
        </w:rPr>
        <w:t> </w:t>
      </w:r>
      <w:r>
        <w:rPr/>
        <w:t>the</w:t>
      </w:r>
      <w:r>
        <w:rPr>
          <w:spacing w:val="-32"/>
        </w:rPr>
        <w:t> </w:t>
      </w:r>
      <w:r>
        <w:rPr/>
        <w:t>World</w:t>
      </w:r>
      <w:r>
        <w:rPr>
          <w:spacing w:val="-33"/>
        </w:rPr>
        <w:t> </w:t>
      </w:r>
      <w:r>
        <w:rPr/>
        <w:t>Trade</w:t>
      </w:r>
      <w:r>
        <w:rPr>
          <w:spacing w:val="-30"/>
        </w:rPr>
        <w:t> </w:t>
      </w:r>
      <w:r>
        <w:rPr/>
        <w:t>Center, the umpire correctly concluded that the issue of</w:t>
      </w:r>
      <w:r>
        <w:rPr>
          <w:spacing w:val="-25"/>
        </w:rPr>
        <w:t> </w:t>
      </w:r>
      <w:r>
        <w:rPr/>
        <w:t>co-insurance</w:t>
      </w:r>
      <w:r>
        <w:rPr>
          <w:spacing w:val="-24"/>
        </w:rPr>
        <w:t> </w:t>
      </w:r>
      <w:r>
        <w:rPr/>
        <w:t>was</w:t>
      </w:r>
      <w:r>
        <w:rPr>
          <w:spacing w:val="-22"/>
        </w:rPr>
        <w:t> </w:t>
      </w:r>
      <w:r>
        <w:rPr/>
        <w:t>one</w:t>
      </w:r>
      <w:r>
        <w:rPr>
          <w:spacing w:val="-22"/>
        </w:rPr>
        <w:t> </w:t>
      </w:r>
      <w:r>
        <w:rPr/>
        <w:t>of</w:t>
      </w:r>
      <w:r>
        <w:rPr>
          <w:spacing w:val="-23"/>
        </w:rPr>
        <w:t> </w:t>
      </w:r>
      <w:r>
        <w:rPr/>
        <w:t>coverage</w:t>
      </w:r>
      <w:r>
        <w:rPr>
          <w:spacing w:val="-25"/>
        </w:rPr>
        <w:t> </w:t>
      </w:r>
      <w:r>
        <w:rPr/>
        <w:t>and</w:t>
      </w:r>
      <w:r>
        <w:rPr>
          <w:spacing w:val="-25"/>
        </w:rPr>
        <w:t> </w:t>
      </w:r>
      <w:r>
        <w:rPr/>
        <w:t>thus outside</w:t>
      </w:r>
      <w:r>
        <w:rPr>
          <w:spacing w:val="-31"/>
        </w:rPr>
        <w:t> </w:t>
      </w:r>
      <w:r>
        <w:rPr/>
        <w:t>his</w:t>
      </w:r>
      <w:r>
        <w:rPr>
          <w:spacing w:val="-32"/>
        </w:rPr>
        <w:t> </w:t>
      </w:r>
      <w:r>
        <w:rPr/>
        <w:t>purview.</w:t>
      </w:r>
      <w:r>
        <w:rPr>
          <w:spacing w:val="-34"/>
        </w:rPr>
        <w:t> </w:t>
      </w:r>
      <w:r>
        <w:rPr/>
        <w:t>Upon</w:t>
      </w:r>
      <w:r>
        <w:rPr>
          <w:spacing w:val="-29"/>
        </w:rPr>
        <w:t> </w:t>
      </w:r>
      <w:r>
        <w:rPr/>
        <w:t>the</w:t>
      </w:r>
      <w:r>
        <w:rPr>
          <w:spacing w:val="-31"/>
        </w:rPr>
        <w:t> </w:t>
      </w:r>
      <w:r>
        <w:rPr/>
        <w:t>carrier’s</w:t>
      </w:r>
      <w:r>
        <w:rPr>
          <w:spacing w:val="-30"/>
        </w:rPr>
        <w:t> </w:t>
      </w:r>
      <w:r>
        <w:rPr/>
        <w:t>refusal</w:t>
      </w:r>
      <w:r>
        <w:rPr>
          <w:spacing w:val="-28"/>
        </w:rPr>
        <w:t> </w:t>
      </w:r>
      <w:r>
        <w:rPr/>
        <w:t>to pay the award, an action ensured and upon the</w:t>
      </w:r>
      <w:r>
        <w:rPr>
          <w:spacing w:val="-26"/>
        </w:rPr>
        <w:t> </w:t>
      </w:r>
      <w:r>
        <w:rPr/>
        <w:t>insurer’s</w:t>
      </w:r>
      <w:r>
        <w:rPr>
          <w:spacing w:val="-22"/>
        </w:rPr>
        <w:t> </w:t>
      </w:r>
      <w:r>
        <w:rPr/>
        <w:t>motion</w:t>
      </w:r>
      <w:r>
        <w:rPr>
          <w:spacing w:val="-23"/>
        </w:rPr>
        <w:t> </w:t>
      </w:r>
      <w:r>
        <w:rPr/>
        <w:t>for</w:t>
      </w:r>
      <w:r>
        <w:rPr>
          <w:spacing w:val="-23"/>
        </w:rPr>
        <w:t> </w:t>
      </w:r>
      <w:r>
        <w:rPr/>
        <w:t>summary</w:t>
      </w:r>
      <w:r>
        <w:rPr>
          <w:spacing w:val="-28"/>
        </w:rPr>
        <w:t> </w:t>
      </w:r>
      <w:r>
        <w:rPr/>
        <w:t>judgment,</w:t>
      </w:r>
      <w:r>
        <w:rPr>
          <w:spacing w:val="-27"/>
        </w:rPr>
        <w:t> </w:t>
      </w:r>
      <w:r>
        <w:rPr/>
        <w:t>the disputed issue of valuation was resolved with the</w:t>
      </w:r>
      <w:r>
        <w:rPr>
          <w:spacing w:val="-13"/>
        </w:rPr>
        <w:t> </w:t>
      </w:r>
      <w:r>
        <w:rPr/>
        <w:t>matter</w:t>
      </w:r>
      <w:r>
        <w:rPr>
          <w:spacing w:val="-13"/>
        </w:rPr>
        <w:t> </w:t>
      </w:r>
      <w:r>
        <w:rPr/>
        <w:t>then</w:t>
      </w:r>
      <w:r>
        <w:rPr>
          <w:spacing w:val="-13"/>
        </w:rPr>
        <w:t> </w:t>
      </w:r>
      <w:r>
        <w:rPr/>
        <w:t>referred</w:t>
      </w:r>
      <w:r>
        <w:rPr>
          <w:spacing w:val="-15"/>
        </w:rPr>
        <w:t> </w:t>
      </w:r>
      <w:r>
        <w:rPr/>
        <w:t>back</w:t>
      </w:r>
      <w:r>
        <w:rPr>
          <w:spacing w:val="-14"/>
        </w:rPr>
        <w:t> </w:t>
      </w:r>
      <w:r>
        <w:rPr/>
        <w:t>to</w:t>
      </w:r>
      <w:r>
        <w:rPr>
          <w:spacing w:val="-13"/>
        </w:rPr>
        <w:t> </w:t>
      </w:r>
      <w:r>
        <w:rPr/>
        <w:t>the</w:t>
      </w:r>
      <w:r>
        <w:rPr>
          <w:spacing w:val="-12"/>
        </w:rPr>
        <w:t> </w:t>
      </w:r>
      <w:r>
        <w:rPr/>
        <w:t>appraisal team to fashion an award consistent with the court’s interpretation of the co-insurance clause. A distinction is necessary between situations where, as here, the disagreement between the parties was the applicability or interpretation of the co-insurance clause</w:t>
      </w:r>
      <w:r>
        <w:rPr>
          <w:spacing w:val="-28"/>
        </w:rPr>
        <w:t> </w:t>
      </w:r>
      <w:r>
        <w:rPr/>
        <w:t>from cases where the issue was merely one of valuation to determine the amount of co- insurance</w:t>
      </w:r>
      <w:r>
        <w:rPr>
          <w:spacing w:val="-32"/>
        </w:rPr>
        <w:t> </w:t>
      </w:r>
      <w:r>
        <w:rPr/>
        <w:t>applicable,</w:t>
      </w:r>
      <w:r>
        <w:rPr>
          <w:spacing w:val="-37"/>
        </w:rPr>
        <w:t> </w:t>
      </w:r>
      <w:r>
        <w:rPr>
          <w:spacing w:val="-3"/>
        </w:rPr>
        <w:t>which</w:t>
      </w:r>
      <w:r>
        <w:rPr>
          <w:spacing w:val="-36"/>
        </w:rPr>
        <w:t> </w:t>
      </w:r>
      <w:r>
        <w:rPr>
          <w:spacing w:val="-3"/>
        </w:rPr>
        <w:t>would</w:t>
      </w:r>
      <w:r>
        <w:rPr>
          <w:spacing w:val="-35"/>
        </w:rPr>
        <w:t> </w:t>
      </w:r>
      <w:r>
        <w:rPr/>
        <w:t>properly</w:t>
      </w:r>
      <w:r>
        <w:rPr>
          <w:spacing w:val="-34"/>
        </w:rPr>
        <w:t> </w:t>
      </w:r>
      <w:r>
        <w:rPr/>
        <w:t>be within the purview of the appraisal</w:t>
      </w:r>
      <w:r>
        <w:rPr>
          <w:spacing w:val="-14"/>
        </w:rPr>
        <w:t> </w:t>
      </w:r>
      <w:r>
        <w:rPr/>
        <w:t>team.</w:t>
      </w:r>
      <w:r>
        <w:rPr>
          <w:vertAlign w:val="superscript"/>
        </w:rPr>
        <w:t>246</w:t>
      </w:r>
    </w:p>
    <w:p>
      <w:pPr>
        <w:pStyle w:val="BodyText"/>
        <w:spacing w:before="8"/>
        <w:rPr>
          <w:sz w:val="25"/>
        </w:rPr>
      </w:pPr>
    </w:p>
    <w:p>
      <w:pPr>
        <w:pStyle w:val="BodyText"/>
        <w:spacing w:line="242" w:lineRule="auto"/>
        <w:ind w:left="1520" w:right="1519" w:firstLine="720"/>
        <w:jc w:val="both"/>
      </w:pPr>
      <w:r>
        <w:rPr/>
        <w:t>With</w:t>
      </w:r>
      <w:r>
        <w:rPr>
          <w:spacing w:val="-35"/>
        </w:rPr>
        <w:t> </w:t>
      </w:r>
      <w:r>
        <w:rPr/>
        <w:t>respect</w:t>
      </w:r>
      <w:r>
        <w:rPr>
          <w:spacing w:val="-38"/>
        </w:rPr>
        <w:t> </w:t>
      </w:r>
      <w:r>
        <w:rPr/>
        <w:t>to</w:t>
      </w:r>
      <w:r>
        <w:rPr>
          <w:spacing w:val="-36"/>
        </w:rPr>
        <w:t> </w:t>
      </w:r>
      <w:r>
        <w:rPr>
          <w:spacing w:val="-3"/>
        </w:rPr>
        <w:t>co-insurance,</w:t>
      </w:r>
      <w:r>
        <w:rPr>
          <w:spacing w:val="-39"/>
        </w:rPr>
        <w:t> </w:t>
      </w:r>
      <w:r>
        <w:rPr/>
        <w:t>the</w:t>
      </w:r>
      <w:r>
        <w:rPr>
          <w:spacing w:val="-36"/>
        </w:rPr>
        <w:t> </w:t>
      </w:r>
      <w:r>
        <w:rPr/>
        <w:t>Court</w:t>
      </w:r>
      <w:r>
        <w:rPr>
          <w:spacing w:val="-36"/>
        </w:rPr>
        <w:t> </w:t>
      </w:r>
      <w:r>
        <w:rPr/>
        <w:t>of Appeals of Michigan has stated that the </w:t>
      </w:r>
      <w:r>
        <w:rPr>
          <w:spacing w:val="-4"/>
        </w:rPr>
        <w:t>co- </w:t>
      </w:r>
      <w:r>
        <w:rPr/>
        <w:t>insurance</w:t>
      </w:r>
      <w:r>
        <w:rPr>
          <w:spacing w:val="-14"/>
        </w:rPr>
        <w:t> </w:t>
      </w:r>
      <w:r>
        <w:rPr/>
        <w:t>provision</w:t>
      </w:r>
      <w:r>
        <w:rPr>
          <w:spacing w:val="-14"/>
        </w:rPr>
        <w:t> </w:t>
      </w:r>
      <w:r>
        <w:rPr/>
        <w:t>is</w:t>
      </w:r>
      <w:r>
        <w:rPr>
          <w:spacing w:val="-15"/>
        </w:rPr>
        <w:t> </w:t>
      </w:r>
      <w:r>
        <w:rPr/>
        <w:t>not</w:t>
      </w:r>
      <w:r>
        <w:rPr>
          <w:spacing w:val="-15"/>
        </w:rPr>
        <w:t> </w:t>
      </w:r>
      <w:r>
        <w:rPr/>
        <w:t>merely</w:t>
      </w:r>
      <w:r>
        <w:rPr>
          <w:spacing w:val="-16"/>
        </w:rPr>
        <w:t> </w:t>
      </w:r>
      <w:r>
        <w:rPr/>
        <w:t>a</w:t>
      </w:r>
      <w:r>
        <w:rPr>
          <w:spacing w:val="-13"/>
        </w:rPr>
        <w:t> </w:t>
      </w:r>
      <w:r>
        <w:rPr/>
        <w:t>factor</w:t>
      </w:r>
      <w:r>
        <w:rPr>
          <w:spacing w:val="-17"/>
        </w:rPr>
        <w:t> </w:t>
      </w:r>
      <w:r>
        <w:rPr/>
        <w:t>to</w:t>
      </w:r>
      <w:r>
        <w:rPr>
          <w:spacing w:val="-16"/>
        </w:rPr>
        <w:t> </w:t>
      </w:r>
      <w:r>
        <w:rPr/>
        <w:t>be used in determining the amount of the loss. Instead,</w:t>
      </w:r>
      <w:r>
        <w:rPr>
          <w:spacing w:val="-22"/>
        </w:rPr>
        <w:t> </w:t>
      </w:r>
      <w:r>
        <w:rPr/>
        <w:t>the</w:t>
      </w:r>
      <w:r>
        <w:rPr>
          <w:spacing w:val="-19"/>
        </w:rPr>
        <w:t> </w:t>
      </w:r>
      <w:r>
        <w:rPr/>
        <w:t>co-insurance</w:t>
      </w:r>
      <w:r>
        <w:rPr>
          <w:spacing w:val="-19"/>
        </w:rPr>
        <w:t> </w:t>
      </w:r>
      <w:r>
        <w:rPr/>
        <w:t>provision</w:t>
      </w:r>
      <w:r>
        <w:rPr>
          <w:spacing w:val="-16"/>
        </w:rPr>
        <w:t> </w:t>
      </w:r>
      <w:r>
        <w:rPr/>
        <w:t>was</w:t>
      </w:r>
      <w:r>
        <w:rPr>
          <w:spacing w:val="-20"/>
        </w:rPr>
        <w:t> </w:t>
      </w:r>
      <w:r>
        <w:rPr/>
        <w:t>said</w:t>
      </w:r>
      <w:r>
        <w:rPr>
          <w:spacing w:val="-19"/>
        </w:rPr>
        <w:t> </w:t>
      </w:r>
      <w:r>
        <w:rPr/>
        <w:t>to</w:t>
      </w:r>
    </w:p>
    <w:p>
      <w:pPr>
        <w:pStyle w:val="BodyText"/>
        <w:spacing w:before="1"/>
        <w:rPr>
          <w:sz w:val="28"/>
        </w:rPr>
      </w:pPr>
      <w:r>
        <w:rPr/>
        <w:pict>
          <v:shape style="position:absolute;margin-left:162pt;margin-top:19.647041pt;width:143.9pt;height:.1pt;mso-position-horizontal-relative:page;mso-position-vertical-relative:paragraph;z-index:-251560960;mso-wrap-distance-left:0;mso-wrap-distance-right:0" coordorigin="3240,393" coordsize="2878,0" path="m3240,393l6118,393e" filled="false" stroked="true" strokeweight=".84pt" strokecolor="#000000">
            <v:path arrowok="t"/>
            <v:stroke dashstyle="solid"/>
            <w10:wrap type="topAndBottom"/>
          </v:shape>
        </w:pict>
      </w:r>
    </w:p>
    <w:p>
      <w:pPr>
        <w:pStyle w:val="ListParagraph"/>
        <w:numPr>
          <w:ilvl w:val="0"/>
          <w:numId w:val="18"/>
        </w:numPr>
        <w:tabs>
          <w:tab w:pos="1409" w:val="left" w:leader="none"/>
        </w:tabs>
        <w:spacing w:line="244" w:lineRule="auto" w:before="140" w:after="0"/>
        <w:ind w:left="1160" w:right="1165" w:firstLine="0"/>
        <w:jc w:val="left"/>
        <w:rPr>
          <w:sz w:val="18"/>
        </w:rPr>
      </w:pPr>
      <w:r>
        <w:rPr>
          <w:sz w:val="18"/>
          <w:u w:val="single"/>
        </w:rPr>
        <w:t>Lewis</w:t>
      </w:r>
      <w:r>
        <w:rPr>
          <w:spacing w:val="-11"/>
          <w:sz w:val="18"/>
          <w:u w:val="single"/>
        </w:rPr>
        <w:t> </w:t>
      </w:r>
      <w:r>
        <w:rPr>
          <w:sz w:val="18"/>
          <w:u w:val="single"/>
        </w:rPr>
        <w:t>Food</w:t>
      </w:r>
      <w:r>
        <w:rPr>
          <w:spacing w:val="-8"/>
          <w:sz w:val="18"/>
          <w:u w:val="single"/>
        </w:rPr>
        <w:t> </w:t>
      </w:r>
      <w:r>
        <w:rPr>
          <w:sz w:val="18"/>
          <w:u w:val="single"/>
        </w:rPr>
        <w:t>Co.</w:t>
      </w:r>
      <w:r>
        <w:rPr>
          <w:spacing w:val="-9"/>
          <w:sz w:val="18"/>
          <w:u w:val="single"/>
        </w:rPr>
        <w:t> </w:t>
      </w:r>
      <w:r>
        <w:rPr>
          <w:sz w:val="18"/>
          <w:u w:val="single"/>
        </w:rPr>
        <w:t>v.</w:t>
      </w:r>
      <w:r>
        <w:rPr>
          <w:spacing w:val="-9"/>
          <w:sz w:val="18"/>
          <w:u w:val="single"/>
        </w:rPr>
        <w:t> </w:t>
      </w:r>
      <w:r>
        <w:rPr>
          <w:sz w:val="18"/>
          <w:u w:val="single"/>
        </w:rPr>
        <w:t>Fireman’s</w:t>
      </w:r>
      <w:r>
        <w:rPr>
          <w:spacing w:val="-10"/>
          <w:sz w:val="18"/>
          <w:u w:val="single"/>
        </w:rPr>
        <w:t> </w:t>
      </w:r>
      <w:r>
        <w:rPr>
          <w:sz w:val="18"/>
          <w:u w:val="single"/>
        </w:rPr>
        <w:t>Fund</w:t>
      </w:r>
      <w:r>
        <w:rPr>
          <w:spacing w:val="-8"/>
          <w:sz w:val="18"/>
          <w:u w:val="single"/>
        </w:rPr>
        <w:t> </w:t>
      </w:r>
      <w:r>
        <w:rPr>
          <w:sz w:val="18"/>
          <w:u w:val="single"/>
        </w:rPr>
        <w:t>Ins.</w:t>
      </w:r>
      <w:r>
        <w:rPr>
          <w:spacing w:val="-9"/>
          <w:sz w:val="18"/>
          <w:u w:val="single"/>
        </w:rPr>
        <w:t> </w:t>
      </w:r>
      <w:r>
        <w:rPr>
          <w:sz w:val="18"/>
          <w:u w:val="single"/>
        </w:rPr>
        <w:t>Co.</w:t>
      </w:r>
      <w:r>
        <w:rPr>
          <w:sz w:val="18"/>
        </w:rPr>
        <w:t>,</w:t>
      </w:r>
      <w:r>
        <w:rPr>
          <w:spacing w:val="-8"/>
          <w:sz w:val="18"/>
        </w:rPr>
        <w:t> </w:t>
      </w:r>
      <w:r>
        <w:rPr>
          <w:sz w:val="18"/>
        </w:rPr>
        <w:t>207</w:t>
      </w:r>
      <w:r>
        <w:rPr>
          <w:spacing w:val="-8"/>
          <w:sz w:val="18"/>
        </w:rPr>
        <w:t> </w:t>
      </w:r>
      <w:r>
        <w:rPr>
          <w:sz w:val="18"/>
        </w:rPr>
        <w:t>Cal.</w:t>
      </w:r>
      <w:r>
        <w:rPr>
          <w:spacing w:val="-9"/>
          <w:sz w:val="18"/>
        </w:rPr>
        <w:t> </w:t>
      </w:r>
      <w:r>
        <w:rPr>
          <w:sz w:val="18"/>
        </w:rPr>
        <w:t>App.2d</w:t>
      </w:r>
      <w:r>
        <w:rPr>
          <w:spacing w:val="-8"/>
          <w:sz w:val="18"/>
        </w:rPr>
        <w:t> </w:t>
      </w:r>
      <w:r>
        <w:rPr>
          <w:sz w:val="18"/>
        </w:rPr>
        <w:t>515,</w:t>
      </w:r>
      <w:r>
        <w:rPr>
          <w:spacing w:val="-9"/>
          <w:sz w:val="18"/>
        </w:rPr>
        <w:t> </w:t>
      </w:r>
      <w:r>
        <w:rPr>
          <w:sz w:val="18"/>
        </w:rPr>
        <w:t>24</w:t>
      </w:r>
      <w:r>
        <w:rPr>
          <w:spacing w:val="-8"/>
          <w:sz w:val="18"/>
        </w:rPr>
        <w:t> </w:t>
      </w:r>
      <w:r>
        <w:rPr>
          <w:sz w:val="18"/>
        </w:rPr>
        <w:t>Cal.</w:t>
      </w:r>
      <w:r>
        <w:rPr>
          <w:spacing w:val="-9"/>
          <w:sz w:val="18"/>
        </w:rPr>
        <w:t> </w:t>
      </w:r>
      <w:r>
        <w:rPr>
          <w:sz w:val="18"/>
        </w:rPr>
        <w:t>Rptr.</w:t>
      </w:r>
      <w:r>
        <w:rPr>
          <w:spacing w:val="-8"/>
          <w:sz w:val="18"/>
        </w:rPr>
        <w:t> </w:t>
      </w:r>
      <w:r>
        <w:rPr>
          <w:sz w:val="18"/>
        </w:rPr>
        <w:t>557</w:t>
      </w:r>
      <w:r>
        <w:rPr>
          <w:spacing w:val="-11"/>
          <w:sz w:val="18"/>
        </w:rPr>
        <w:t> </w:t>
      </w:r>
      <w:r>
        <w:rPr>
          <w:sz w:val="18"/>
        </w:rPr>
        <w:t>(2d Dist. 1962).</w:t>
      </w:r>
    </w:p>
    <w:p>
      <w:pPr>
        <w:pStyle w:val="ListParagraph"/>
        <w:numPr>
          <w:ilvl w:val="0"/>
          <w:numId w:val="18"/>
        </w:numPr>
        <w:tabs>
          <w:tab w:pos="1454" w:val="left" w:leader="none"/>
        </w:tabs>
        <w:spacing w:line="261" w:lineRule="auto" w:before="0" w:after="0"/>
        <w:ind w:left="1160" w:right="1161" w:firstLine="0"/>
        <w:jc w:val="left"/>
        <w:rPr>
          <w:sz w:val="18"/>
        </w:rPr>
      </w:pPr>
      <w:r>
        <w:rPr>
          <w:sz w:val="18"/>
          <w:u w:val="single"/>
        </w:rPr>
        <w:t>New York Career Institute v. Hanover Ins. Co.</w:t>
      </w:r>
      <w:r>
        <w:rPr>
          <w:sz w:val="18"/>
        </w:rPr>
        <w:t>, 6 Misc.3d 734, 791 N.Y.S.2d 338 (2005).</w:t>
      </w:r>
    </w:p>
    <w:p>
      <w:pPr>
        <w:spacing w:after="0" w:line="261"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6"/>
        <w:jc w:val="both"/>
      </w:pPr>
      <w:bookmarkStart w:name="Law and Procedure 171" w:id="82"/>
      <w:bookmarkEnd w:id="82"/>
      <w:r>
        <w:rPr/>
      </w:r>
      <w:r>
        <w:rPr/>
        <w:t>be a limitation on the carrier’s obligation to pay once the loss is determined. Accordingly, because the application of the co-insurance provision was not a matter subject to the appraisal process, at least in Michigan, the insurer was held not to be obligated to raise the issue during the appraisal and may properly assert it thereafter subject to judicial review.</w:t>
      </w:r>
      <w:r>
        <w:rPr>
          <w:vertAlign w:val="superscript"/>
        </w:rPr>
        <w:t>247</w:t>
      </w:r>
      <w:r>
        <w:rPr>
          <w:vertAlign w:val="baseline"/>
        </w:rPr>
        <w:t> This is inconsistent with common practice. It is also inconsistent with the appraisal provision which authorizes the appraisal team to resolve issues of value.</w:t>
      </w:r>
    </w:p>
    <w:p>
      <w:pPr>
        <w:pStyle w:val="BodyText"/>
        <w:spacing w:before="10"/>
        <w:rPr>
          <w:sz w:val="25"/>
        </w:rPr>
      </w:pPr>
    </w:p>
    <w:p>
      <w:pPr>
        <w:pStyle w:val="BodyText"/>
        <w:spacing w:line="242" w:lineRule="auto"/>
        <w:ind w:left="1520" w:right="1518" w:firstLine="720"/>
        <w:jc w:val="both"/>
      </w:pPr>
      <w:r>
        <w:rPr>
          <w:spacing w:val="2"/>
        </w:rPr>
        <w:t>As </w:t>
      </w:r>
      <w:r>
        <w:rPr/>
        <w:t>a co-insurance calculation requires</w:t>
      </w:r>
      <w:r>
        <w:rPr>
          <w:spacing w:val="-33"/>
        </w:rPr>
        <w:t> </w:t>
      </w:r>
      <w:r>
        <w:rPr>
          <w:spacing w:val="-11"/>
        </w:rPr>
        <w:t>a </w:t>
      </w:r>
      <w:r>
        <w:rPr/>
        <w:t>determination of value which is within the purview of the appraisal team, prudence</w:t>
      </w:r>
      <w:r>
        <w:rPr>
          <w:spacing w:val="-36"/>
        </w:rPr>
        <w:t> </w:t>
      </w:r>
      <w:r>
        <w:rPr/>
        <w:t>and best practices suggest including such a determination</w:t>
      </w:r>
      <w:r>
        <w:rPr>
          <w:spacing w:val="-32"/>
        </w:rPr>
        <w:t> </w:t>
      </w:r>
      <w:r>
        <w:rPr/>
        <w:t>within</w:t>
      </w:r>
      <w:r>
        <w:rPr>
          <w:spacing w:val="-33"/>
        </w:rPr>
        <w:t> </w:t>
      </w:r>
      <w:r>
        <w:rPr/>
        <w:t>the</w:t>
      </w:r>
      <w:r>
        <w:rPr>
          <w:spacing w:val="-34"/>
        </w:rPr>
        <w:t> </w:t>
      </w:r>
      <w:r>
        <w:rPr/>
        <w:t>appraisal</w:t>
      </w:r>
      <w:r>
        <w:rPr>
          <w:spacing w:val="-33"/>
        </w:rPr>
        <w:t> </w:t>
      </w:r>
      <w:r>
        <w:rPr/>
        <w:t>agreement. Such determinations have been successfully achieved and are generally accepted as appropriate absent legal or coverage issues which may arise in the unusual</w:t>
      </w:r>
      <w:r>
        <w:rPr>
          <w:spacing w:val="-10"/>
        </w:rPr>
        <w:t> </w:t>
      </w:r>
      <w:r>
        <w:rPr/>
        <w:t>case.</w:t>
      </w:r>
    </w:p>
    <w:p>
      <w:pPr>
        <w:pStyle w:val="BodyText"/>
      </w:pPr>
    </w:p>
    <w:p>
      <w:pPr>
        <w:pStyle w:val="BodyText"/>
        <w:spacing w:line="242" w:lineRule="auto"/>
        <w:ind w:left="1520" w:right="1519" w:firstLine="720"/>
        <w:jc w:val="both"/>
      </w:pPr>
      <w:r>
        <w:rPr>
          <w:spacing w:val="-3"/>
        </w:rPr>
        <w:t>Where</w:t>
      </w:r>
      <w:r>
        <w:rPr>
          <w:spacing w:val="-16"/>
        </w:rPr>
        <w:t> </w:t>
      </w:r>
      <w:r>
        <w:rPr/>
        <w:t>the</w:t>
      </w:r>
      <w:r>
        <w:rPr>
          <w:spacing w:val="-12"/>
        </w:rPr>
        <w:t> </w:t>
      </w:r>
      <w:r>
        <w:rPr/>
        <w:t>appraisers</w:t>
      </w:r>
      <w:r>
        <w:rPr>
          <w:spacing w:val="-16"/>
        </w:rPr>
        <w:t> </w:t>
      </w:r>
      <w:r>
        <w:rPr/>
        <w:t>are</w:t>
      </w:r>
      <w:r>
        <w:rPr>
          <w:spacing w:val="-16"/>
        </w:rPr>
        <w:t> </w:t>
      </w:r>
      <w:r>
        <w:rPr/>
        <w:t>uncertain</w:t>
      </w:r>
      <w:r>
        <w:rPr>
          <w:spacing w:val="-15"/>
        </w:rPr>
        <w:t> </w:t>
      </w:r>
      <w:r>
        <w:rPr/>
        <w:t>as</w:t>
      </w:r>
      <w:r>
        <w:rPr>
          <w:spacing w:val="-14"/>
        </w:rPr>
        <w:t> </w:t>
      </w:r>
      <w:r>
        <w:rPr/>
        <w:t>to </w:t>
      </w:r>
      <w:r>
        <w:rPr>
          <w:spacing w:val="4"/>
        </w:rPr>
        <w:t>the </w:t>
      </w:r>
      <w:r>
        <w:rPr>
          <w:spacing w:val="5"/>
        </w:rPr>
        <w:t>scope </w:t>
      </w:r>
      <w:r>
        <w:rPr>
          <w:spacing w:val="3"/>
        </w:rPr>
        <w:t>of </w:t>
      </w:r>
      <w:r>
        <w:rPr>
          <w:spacing w:val="6"/>
        </w:rPr>
        <w:t>their</w:t>
      </w:r>
      <w:r>
        <w:rPr>
          <w:spacing w:val="83"/>
        </w:rPr>
        <w:t> </w:t>
      </w:r>
      <w:r>
        <w:rPr>
          <w:spacing w:val="6"/>
        </w:rPr>
        <w:t>authority  </w:t>
      </w:r>
      <w:r>
        <w:rPr>
          <w:spacing w:val="4"/>
        </w:rPr>
        <w:t>and </w:t>
      </w:r>
      <w:r>
        <w:rPr/>
        <w:t>a disagreement</w:t>
      </w:r>
      <w:r>
        <w:rPr>
          <w:spacing w:val="-19"/>
        </w:rPr>
        <w:t> </w:t>
      </w:r>
      <w:r>
        <w:rPr/>
        <w:t>exists</w:t>
      </w:r>
      <w:r>
        <w:rPr>
          <w:spacing w:val="-13"/>
        </w:rPr>
        <w:t> </w:t>
      </w:r>
      <w:r>
        <w:rPr/>
        <w:t>with</w:t>
      </w:r>
      <w:r>
        <w:rPr>
          <w:spacing w:val="-12"/>
        </w:rPr>
        <w:t> </w:t>
      </w:r>
      <w:r>
        <w:rPr/>
        <w:t>respect</w:t>
      </w:r>
      <w:r>
        <w:rPr>
          <w:spacing w:val="-17"/>
        </w:rPr>
        <w:t> </w:t>
      </w:r>
      <w:r>
        <w:rPr/>
        <w:t>to</w:t>
      </w:r>
      <w:r>
        <w:rPr>
          <w:spacing w:val="-15"/>
        </w:rPr>
        <w:t> </w:t>
      </w:r>
      <w:r>
        <w:rPr/>
        <w:t>this</w:t>
      </w:r>
      <w:r>
        <w:rPr>
          <w:spacing w:val="-15"/>
        </w:rPr>
        <w:t> </w:t>
      </w:r>
      <w:r>
        <w:rPr/>
        <w:t>issue,</w:t>
      </w:r>
      <w:r>
        <w:rPr>
          <w:spacing w:val="-16"/>
        </w:rPr>
        <w:t> </w:t>
      </w:r>
      <w:r>
        <w:rPr/>
        <w:t>a determination of the scope of the appraisal clause</w:t>
      </w:r>
      <w:r>
        <w:rPr>
          <w:spacing w:val="-20"/>
        </w:rPr>
        <w:t> </w:t>
      </w:r>
      <w:r>
        <w:rPr/>
        <w:t>is</w:t>
      </w:r>
      <w:r>
        <w:rPr>
          <w:spacing w:val="-21"/>
        </w:rPr>
        <w:t> </w:t>
      </w:r>
      <w:r>
        <w:rPr/>
        <w:t>a</w:t>
      </w:r>
      <w:r>
        <w:rPr>
          <w:spacing w:val="-25"/>
        </w:rPr>
        <w:t> </w:t>
      </w:r>
      <w:r>
        <w:rPr/>
        <w:t>question</w:t>
      </w:r>
      <w:r>
        <w:rPr>
          <w:spacing w:val="-23"/>
        </w:rPr>
        <w:t> </w:t>
      </w:r>
      <w:r>
        <w:rPr/>
        <w:t>of</w:t>
      </w:r>
      <w:r>
        <w:rPr>
          <w:spacing w:val="-23"/>
        </w:rPr>
        <w:t> </w:t>
      </w:r>
      <w:r>
        <w:rPr/>
        <w:t>law</w:t>
      </w:r>
      <w:r>
        <w:rPr>
          <w:spacing w:val="-27"/>
        </w:rPr>
        <w:t> </w:t>
      </w:r>
      <w:r>
        <w:rPr/>
        <w:t>for</w:t>
      </w:r>
      <w:r>
        <w:rPr>
          <w:spacing w:val="-24"/>
        </w:rPr>
        <w:t> </w:t>
      </w:r>
      <w:r>
        <w:rPr/>
        <w:t>determination</w:t>
      </w:r>
      <w:r>
        <w:rPr>
          <w:spacing w:val="-23"/>
        </w:rPr>
        <w:t> </w:t>
      </w:r>
      <w:r>
        <w:rPr/>
        <w:t>by</w:t>
      </w:r>
    </w:p>
    <w:p>
      <w:pPr>
        <w:pStyle w:val="BodyText"/>
        <w:rPr>
          <w:sz w:val="20"/>
        </w:rPr>
      </w:pPr>
    </w:p>
    <w:p>
      <w:pPr>
        <w:pStyle w:val="BodyText"/>
        <w:rPr>
          <w:sz w:val="20"/>
        </w:rPr>
      </w:pPr>
    </w:p>
    <w:p>
      <w:pPr>
        <w:pStyle w:val="BodyText"/>
        <w:spacing w:before="6"/>
      </w:pPr>
      <w:r>
        <w:rPr/>
        <w:pict>
          <v:shape style="position:absolute;margin-left:162pt;margin-top:18.645557pt;width:143.9pt;height:.1pt;mso-position-horizontal-relative:page;mso-position-vertical-relative:paragraph;z-index:-251559936;mso-wrap-distance-left:0;mso-wrap-distance-right:0" coordorigin="3240,373" coordsize="2878,0" path="m3240,373l6118,373e" filled="false" stroked="true" strokeweight=".84pt" strokecolor="#000000">
            <v:path arrowok="t"/>
            <v:stroke dashstyle="solid"/>
            <w10:wrap type="topAndBottom"/>
          </v:shape>
        </w:pict>
      </w:r>
    </w:p>
    <w:p>
      <w:pPr>
        <w:pStyle w:val="BodyText"/>
        <w:spacing w:before="2"/>
        <w:rPr>
          <w:sz w:val="7"/>
        </w:rPr>
      </w:pPr>
    </w:p>
    <w:p>
      <w:pPr>
        <w:pStyle w:val="ListParagraph"/>
        <w:numPr>
          <w:ilvl w:val="0"/>
          <w:numId w:val="18"/>
        </w:numPr>
        <w:tabs>
          <w:tab w:pos="1421" w:val="left" w:leader="none"/>
        </w:tabs>
        <w:spacing w:line="249" w:lineRule="auto" w:before="72" w:after="0"/>
        <w:ind w:left="1160" w:right="1168" w:firstLine="0"/>
        <w:jc w:val="left"/>
        <w:rPr>
          <w:sz w:val="18"/>
        </w:rPr>
      </w:pPr>
      <w:r>
        <w:rPr>
          <w:sz w:val="18"/>
          <w:u w:val="single"/>
        </w:rPr>
        <w:t>Professional</w:t>
      </w:r>
      <w:r>
        <w:rPr>
          <w:spacing w:val="-6"/>
          <w:sz w:val="18"/>
          <w:u w:val="single"/>
        </w:rPr>
        <w:t> </w:t>
      </w:r>
      <w:r>
        <w:rPr>
          <w:sz w:val="18"/>
          <w:u w:val="single"/>
        </w:rPr>
        <w:t>Team,</w:t>
      </w:r>
      <w:r>
        <w:rPr>
          <w:spacing w:val="-5"/>
          <w:sz w:val="18"/>
          <w:u w:val="single"/>
        </w:rPr>
        <w:t> </w:t>
      </w:r>
      <w:r>
        <w:rPr>
          <w:sz w:val="18"/>
          <w:u w:val="single"/>
        </w:rPr>
        <w:t>Inc.</w:t>
      </w:r>
      <w:r>
        <w:rPr>
          <w:spacing w:val="-5"/>
          <w:sz w:val="18"/>
          <w:u w:val="single"/>
        </w:rPr>
        <w:t> </w:t>
      </w:r>
      <w:r>
        <w:rPr>
          <w:sz w:val="18"/>
          <w:u w:val="single"/>
        </w:rPr>
        <w:t>v.</w:t>
      </w:r>
      <w:r>
        <w:rPr>
          <w:spacing w:val="-5"/>
          <w:sz w:val="18"/>
          <w:u w:val="single"/>
        </w:rPr>
        <w:t> </w:t>
      </w:r>
      <w:r>
        <w:rPr>
          <w:sz w:val="18"/>
          <w:u w:val="single"/>
        </w:rPr>
        <w:t>Safeco</w:t>
      </w:r>
      <w:r>
        <w:rPr>
          <w:spacing w:val="-5"/>
          <w:sz w:val="18"/>
          <w:u w:val="single"/>
        </w:rPr>
        <w:t> </w:t>
      </w:r>
      <w:r>
        <w:rPr>
          <w:sz w:val="18"/>
          <w:u w:val="single"/>
        </w:rPr>
        <w:t>Ins.</w:t>
      </w:r>
      <w:r>
        <w:rPr>
          <w:spacing w:val="-9"/>
          <w:sz w:val="18"/>
          <w:u w:val="single"/>
        </w:rPr>
        <w:t> </w:t>
      </w:r>
      <w:r>
        <w:rPr>
          <w:sz w:val="18"/>
          <w:u w:val="single"/>
        </w:rPr>
        <w:t>Co.</w:t>
      </w:r>
      <w:r>
        <w:rPr>
          <w:spacing w:val="-6"/>
          <w:sz w:val="18"/>
          <w:u w:val="single"/>
        </w:rPr>
        <w:t> </w:t>
      </w:r>
      <w:r>
        <w:rPr>
          <w:sz w:val="18"/>
          <w:u w:val="single"/>
        </w:rPr>
        <w:t>of</w:t>
      </w:r>
      <w:r>
        <w:rPr>
          <w:spacing w:val="-8"/>
          <w:sz w:val="18"/>
          <w:u w:val="single"/>
        </w:rPr>
        <w:t> </w:t>
      </w:r>
      <w:r>
        <w:rPr>
          <w:sz w:val="18"/>
          <w:u w:val="single"/>
        </w:rPr>
        <w:t>America</w:t>
      </w:r>
      <w:r>
        <w:rPr>
          <w:sz w:val="18"/>
        </w:rPr>
        <w:t>,</w:t>
      </w:r>
      <w:r>
        <w:rPr>
          <w:spacing w:val="-6"/>
          <w:sz w:val="18"/>
        </w:rPr>
        <w:t> </w:t>
      </w:r>
      <w:r>
        <w:rPr>
          <w:sz w:val="18"/>
        </w:rPr>
        <w:t>2006</w:t>
      </w:r>
      <w:r>
        <w:rPr>
          <w:spacing w:val="-4"/>
          <w:sz w:val="18"/>
        </w:rPr>
        <w:t> </w:t>
      </w:r>
      <w:r>
        <w:rPr>
          <w:sz w:val="18"/>
        </w:rPr>
        <w:t>WL</w:t>
      </w:r>
      <w:r>
        <w:rPr>
          <w:spacing w:val="-8"/>
          <w:sz w:val="18"/>
        </w:rPr>
        <w:t> </w:t>
      </w:r>
      <w:r>
        <w:rPr>
          <w:sz w:val="18"/>
        </w:rPr>
        <w:t>9322414</w:t>
      </w:r>
      <w:r>
        <w:rPr>
          <w:spacing w:val="-5"/>
          <w:sz w:val="18"/>
        </w:rPr>
        <w:t> </w:t>
      </w:r>
      <w:r>
        <w:rPr>
          <w:sz w:val="18"/>
        </w:rPr>
        <w:t>(Mich.</w:t>
      </w:r>
      <w:r>
        <w:rPr>
          <w:spacing w:val="-5"/>
          <w:sz w:val="18"/>
        </w:rPr>
        <w:t> </w:t>
      </w:r>
      <w:r>
        <w:rPr>
          <w:sz w:val="18"/>
        </w:rPr>
        <w:t>App. 2006).</w:t>
      </w:r>
    </w:p>
    <w:p>
      <w:pPr>
        <w:spacing w:after="0" w:line="249"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5"/>
      </w:pPr>
      <w:bookmarkStart w:name="Law and Procedure 172" w:id="83"/>
      <w:bookmarkEnd w:id="83"/>
      <w:r>
        <w:rPr/>
      </w:r>
      <w:r>
        <w:rPr/>
        <w:t>a court of competent jurisdiction as it is a matter of contract interpretation.</w:t>
      </w:r>
      <w:r>
        <w:rPr>
          <w:vertAlign w:val="superscript"/>
        </w:rPr>
        <w:t>248</w:t>
      </w:r>
    </w:p>
    <w:p>
      <w:pPr>
        <w:pStyle w:val="BodyText"/>
        <w:spacing w:before="1"/>
      </w:pPr>
    </w:p>
    <w:p>
      <w:pPr>
        <w:pStyle w:val="BodyText"/>
        <w:spacing w:line="242" w:lineRule="auto" w:before="1"/>
        <w:ind w:left="1520" w:right="1518" w:firstLine="720"/>
        <w:jc w:val="both"/>
      </w:pPr>
      <w:r>
        <w:rPr/>
        <w:t>Questions</w:t>
      </w:r>
      <w:r>
        <w:rPr>
          <w:spacing w:val="-28"/>
        </w:rPr>
        <w:t> </w:t>
      </w:r>
      <w:r>
        <w:rPr/>
        <w:t>relating</w:t>
      </w:r>
      <w:r>
        <w:rPr>
          <w:spacing w:val="-27"/>
        </w:rPr>
        <w:t> </w:t>
      </w:r>
      <w:r>
        <w:rPr/>
        <w:t>to</w:t>
      </w:r>
      <w:r>
        <w:rPr>
          <w:spacing w:val="-28"/>
        </w:rPr>
        <w:t> </w:t>
      </w:r>
      <w:r>
        <w:rPr/>
        <w:t>the</w:t>
      </w:r>
      <w:r>
        <w:rPr>
          <w:spacing w:val="-26"/>
        </w:rPr>
        <w:t> </w:t>
      </w:r>
      <w:r>
        <w:rPr/>
        <w:t>interpretation</w:t>
      </w:r>
      <w:r>
        <w:rPr>
          <w:spacing w:val="-28"/>
        </w:rPr>
        <w:t> </w:t>
      </w:r>
      <w:r>
        <w:rPr/>
        <w:t>of written contracts involve legal rather than factual issues.</w:t>
      </w:r>
      <w:r>
        <w:rPr>
          <w:vertAlign w:val="superscript"/>
        </w:rPr>
        <w:t>249</w:t>
      </w:r>
      <w:r>
        <w:rPr>
          <w:vertAlign w:val="baseline"/>
        </w:rPr>
        <w:t> Insurance policies </w:t>
      </w:r>
      <w:r>
        <w:rPr>
          <w:spacing w:val="-13"/>
          <w:vertAlign w:val="baseline"/>
        </w:rPr>
        <w:t>are </w:t>
      </w:r>
      <w:r>
        <w:rPr>
          <w:vertAlign w:val="baseline"/>
        </w:rPr>
        <w:t>contracts and thus, issues of scope of coverage present questions of law for a court to</w:t>
      </w:r>
      <w:r>
        <w:rPr>
          <w:spacing w:val="-1"/>
          <w:vertAlign w:val="baseline"/>
        </w:rPr>
        <w:t> </w:t>
      </w:r>
      <w:r>
        <w:rPr>
          <w:vertAlign w:val="baseline"/>
        </w:rPr>
        <w:t>decide.</w:t>
      </w:r>
      <w:r>
        <w:rPr>
          <w:vertAlign w:val="superscript"/>
        </w:rPr>
        <w:t>250</w:t>
      </w:r>
    </w:p>
    <w:p>
      <w:pPr>
        <w:pStyle w:val="BodyText"/>
      </w:pPr>
    </w:p>
    <w:p>
      <w:pPr>
        <w:pStyle w:val="BodyText"/>
        <w:spacing w:line="242" w:lineRule="auto"/>
        <w:ind w:left="1520" w:right="1518" w:firstLine="720"/>
        <w:jc w:val="both"/>
      </w:pPr>
      <w:r>
        <w:rPr/>
        <w:t>For</w:t>
      </w:r>
      <w:r>
        <w:rPr>
          <w:spacing w:val="-28"/>
        </w:rPr>
        <w:t> </w:t>
      </w:r>
      <w:r>
        <w:rPr/>
        <w:t>example,</w:t>
      </w:r>
      <w:r>
        <w:rPr>
          <w:spacing w:val="-27"/>
        </w:rPr>
        <w:t> </w:t>
      </w:r>
      <w:r>
        <w:rPr/>
        <w:t>if</w:t>
      </w:r>
      <w:r>
        <w:rPr>
          <w:spacing w:val="-25"/>
        </w:rPr>
        <w:t> </w:t>
      </w:r>
      <w:r>
        <w:rPr/>
        <w:t>the</w:t>
      </w:r>
      <w:r>
        <w:rPr>
          <w:spacing w:val="-26"/>
        </w:rPr>
        <w:t> </w:t>
      </w:r>
      <w:r>
        <w:rPr/>
        <w:t>parties</w:t>
      </w:r>
      <w:r>
        <w:rPr>
          <w:spacing w:val="-28"/>
        </w:rPr>
        <w:t> </w:t>
      </w:r>
      <w:r>
        <w:rPr/>
        <w:t>fail</w:t>
      </w:r>
      <w:r>
        <w:rPr>
          <w:spacing w:val="-27"/>
        </w:rPr>
        <w:t> </w:t>
      </w:r>
      <w:r>
        <w:rPr/>
        <w:t>to</w:t>
      </w:r>
      <w:r>
        <w:rPr>
          <w:spacing w:val="-27"/>
        </w:rPr>
        <w:t> </w:t>
      </w:r>
      <w:r>
        <w:rPr/>
        <w:t>agree</w:t>
      </w:r>
      <w:r>
        <w:rPr>
          <w:spacing w:val="-26"/>
        </w:rPr>
        <w:t> </w:t>
      </w:r>
      <w:r>
        <w:rPr>
          <w:spacing w:val="-6"/>
        </w:rPr>
        <w:t>on </w:t>
      </w:r>
      <w:r>
        <w:rPr/>
        <w:t>the definition of “actual cash value” it is appropriate to seek guidance from </w:t>
      </w:r>
      <w:r>
        <w:rPr>
          <w:spacing w:val="-5"/>
        </w:rPr>
        <w:t>the </w:t>
      </w:r>
      <w:r>
        <w:rPr/>
        <w:t>court.</w:t>
      </w:r>
      <w:r>
        <w:rPr>
          <w:vertAlign w:val="superscript"/>
        </w:rPr>
        <w:t>251</w:t>
      </w:r>
    </w:p>
    <w:p>
      <w:pPr>
        <w:pStyle w:val="BodyText"/>
        <w:spacing w:before="1"/>
      </w:pPr>
    </w:p>
    <w:p>
      <w:pPr>
        <w:pStyle w:val="BodyText"/>
        <w:spacing w:line="242" w:lineRule="auto" w:before="1"/>
        <w:ind w:left="1520" w:right="1520" w:firstLine="720"/>
        <w:jc w:val="both"/>
      </w:pPr>
      <w:r>
        <w:rPr/>
        <w:t>A New York court deemed parties’ requests that the Court limit or define an umpire’s</w:t>
      </w:r>
      <w:r>
        <w:rPr>
          <w:spacing w:val="-34"/>
        </w:rPr>
        <w:t> </w:t>
      </w:r>
      <w:r>
        <w:rPr/>
        <w:t>assessment</w:t>
      </w:r>
      <w:r>
        <w:rPr>
          <w:spacing w:val="-37"/>
        </w:rPr>
        <w:t> </w:t>
      </w:r>
      <w:r>
        <w:rPr/>
        <w:t>of</w:t>
      </w:r>
      <w:r>
        <w:rPr>
          <w:spacing w:val="-38"/>
        </w:rPr>
        <w:t> </w:t>
      </w:r>
      <w:r>
        <w:rPr>
          <w:spacing w:val="-3"/>
        </w:rPr>
        <w:t>damages</w:t>
      </w:r>
      <w:r>
        <w:rPr>
          <w:spacing w:val="-35"/>
        </w:rPr>
        <w:t> </w:t>
      </w:r>
      <w:r>
        <w:rPr/>
        <w:t>to</w:t>
      </w:r>
      <w:r>
        <w:rPr>
          <w:spacing w:val="-36"/>
        </w:rPr>
        <w:t> </w:t>
      </w:r>
      <w:r>
        <w:rPr/>
        <w:t>be</w:t>
      </w:r>
      <w:r>
        <w:rPr>
          <w:spacing w:val="-36"/>
        </w:rPr>
        <w:t> </w:t>
      </w:r>
      <w:r>
        <w:rPr/>
        <w:t>beyond the scope of the parties’ application </w:t>
      </w:r>
      <w:r>
        <w:rPr>
          <w:spacing w:val="-4"/>
        </w:rPr>
        <w:t>for </w:t>
      </w:r>
      <w:r>
        <w:rPr>
          <w:spacing w:val="11"/>
        </w:rPr>
        <w:t>selection </w:t>
      </w:r>
      <w:r>
        <w:rPr>
          <w:spacing w:val="6"/>
        </w:rPr>
        <w:t>of an </w:t>
      </w:r>
      <w:r>
        <w:rPr>
          <w:spacing w:val="9"/>
        </w:rPr>
        <w:t>umpire </w:t>
      </w:r>
      <w:r>
        <w:rPr>
          <w:spacing w:val="11"/>
        </w:rPr>
        <w:t>following </w:t>
      </w:r>
      <w:r>
        <w:rPr/>
        <w:t>a disagreement</w:t>
      </w:r>
      <w:r>
        <w:rPr>
          <w:spacing w:val="-26"/>
        </w:rPr>
        <w:t> </w:t>
      </w:r>
      <w:r>
        <w:rPr/>
        <w:t>as</w:t>
      </w:r>
      <w:r>
        <w:rPr>
          <w:spacing w:val="-21"/>
        </w:rPr>
        <w:t> </w:t>
      </w:r>
      <w:r>
        <w:rPr/>
        <w:t>to</w:t>
      </w:r>
      <w:r>
        <w:rPr>
          <w:spacing w:val="-24"/>
        </w:rPr>
        <w:t> </w:t>
      </w:r>
      <w:r>
        <w:rPr/>
        <w:t>umpire</w:t>
      </w:r>
      <w:r>
        <w:rPr>
          <w:spacing w:val="-25"/>
        </w:rPr>
        <w:t> </w:t>
      </w:r>
      <w:r>
        <w:rPr/>
        <w:t>selection.</w:t>
      </w:r>
      <w:r>
        <w:rPr>
          <w:spacing w:val="-28"/>
        </w:rPr>
        <w:t> </w:t>
      </w:r>
      <w:r>
        <w:rPr/>
        <w:t>While</w:t>
      </w:r>
      <w:r>
        <w:rPr>
          <w:spacing w:val="-24"/>
        </w:rPr>
        <w:t> </w:t>
      </w:r>
      <w:r>
        <w:rPr>
          <w:spacing w:val="-5"/>
        </w:rPr>
        <w:t>the </w:t>
      </w:r>
      <w:r>
        <w:rPr/>
        <w:t>insurer under those circumstances sought to limit</w:t>
      </w:r>
      <w:r>
        <w:rPr>
          <w:spacing w:val="-34"/>
        </w:rPr>
        <w:t> </w:t>
      </w:r>
      <w:r>
        <w:rPr>
          <w:spacing w:val="-3"/>
        </w:rPr>
        <w:t>the</w:t>
      </w:r>
      <w:r>
        <w:rPr>
          <w:spacing w:val="-34"/>
        </w:rPr>
        <w:t> </w:t>
      </w:r>
      <w:r>
        <w:rPr/>
        <w:t>appraisal</w:t>
      </w:r>
      <w:r>
        <w:rPr>
          <w:spacing w:val="-30"/>
        </w:rPr>
        <w:t> </w:t>
      </w:r>
      <w:r>
        <w:rPr/>
        <w:t>determination</w:t>
      </w:r>
      <w:r>
        <w:rPr>
          <w:spacing w:val="-30"/>
        </w:rPr>
        <w:t> </w:t>
      </w:r>
      <w:r>
        <w:rPr/>
        <w:t>to</w:t>
      </w:r>
      <w:r>
        <w:rPr>
          <w:spacing w:val="-31"/>
        </w:rPr>
        <w:t> </w:t>
      </w:r>
      <w:r>
        <w:rPr>
          <w:spacing w:val="-3"/>
        </w:rPr>
        <w:t>actual</w:t>
      </w:r>
      <w:r>
        <w:rPr>
          <w:spacing w:val="-33"/>
        </w:rPr>
        <w:t> </w:t>
      </w:r>
      <w:r>
        <w:rPr>
          <w:spacing w:val="-3"/>
        </w:rPr>
        <w:t>cash </w:t>
      </w:r>
      <w:r>
        <w:rPr/>
        <w:t>value of damages, the insured believed </w:t>
      </w:r>
      <w:r>
        <w:rPr>
          <w:spacing w:val="-5"/>
        </w:rPr>
        <w:t>the </w:t>
      </w:r>
      <w:r>
        <w:rPr/>
        <w:t>umpire should act without limitations and</w:t>
      </w:r>
      <w:r>
        <w:rPr>
          <w:spacing w:val="15"/>
        </w:rPr>
        <w:t> </w:t>
      </w:r>
      <w:r>
        <w:rPr/>
        <w:t>the</w:t>
      </w:r>
    </w:p>
    <w:p>
      <w:pPr>
        <w:pStyle w:val="BodyText"/>
        <w:rPr>
          <w:sz w:val="20"/>
        </w:rPr>
      </w:pPr>
    </w:p>
    <w:p>
      <w:pPr>
        <w:pStyle w:val="BodyText"/>
        <w:spacing w:before="9"/>
        <w:rPr>
          <w:sz w:val="17"/>
        </w:rPr>
      </w:pPr>
      <w:r>
        <w:rPr/>
        <w:pict>
          <v:shape style="position:absolute;margin-left:162pt;margin-top:13.287715pt;width:143.9pt;height:.1pt;mso-position-horizontal-relative:page;mso-position-vertical-relative:paragraph;z-index:-251558912;mso-wrap-distance-left:0;mso-wrap-distance-right:0" coordorigin="3240,266" coordsize="2878,0" path="m3240,266l6118,266e" filled="false" stroked="true" strokeweight=".84pt" strokecolor="#000000">
            <v:path arrowok="t"/>
            <v:stroke dashstyle="solid"/>
            <w10:wrap type="topAndBottom"/>
          </v:shape>
        </w:pict>
      </w:r>
    </w:p>
    <w:p>
      <w:pPr>
        <w:pStyle w:val="ListParagraph"/>
        <w:numPr>
          <w:ilvl w:val="0"/>
          <w:numId w:val="18"/>
        </w:numPr>
        <w:tabs>
          <w:tab w:pos="1421" w:val="left" w:leader="none"/>
        </w:tabs>
        <w:spacing w:line="240" w:lineRule="exact" w:before="140" w:after="0"/>
        <w:ind w:left="1421" w:right="0" w:hanging="261"/>
        <w:jc w:val="left"/>
        <w:rPr>
          <w:sz w:val="18"/>
        </w:rPr>
      </w:pPr>
      <w:r>
        <w:rPr>
          <w:sz w:val="18"/>
          <w:u w:val="single"/>
        </w:rPr>
        <w:t>Miller v. USAA Cas. Ins. Co.</w:t>
      </w:r>
      <w:r>
        <w:rPr>
          <w:sz w:val="18"/>
        </w:rPr>
        <w:t>, 44 P.3d 663 (Utah</w:t>
      </w:r>
      <w:r>
        <w:rPr>
          <w:spacing w:val="-1"/>
          <w:sz w:val="18"/>
        </w:rPr>
        <w:t> </w:t>
      </w:r>
      <w:r>
        <w:rPr>
          <w:sz w:val="18"/>
        </w:rPr>
        <w:t>2002).</w:t>
      </w:r>
    </w:p>
    <w:p>
      <w:pPr>
        <w:pStyle w:val="ListParagraph"/>
        <w:numPr>
          <w:ilvl w:val="0"/>
          <w:numId w:val="18"/>
        </w:numPr>
        <w:tabs>
          <w:tab w:pos="1423" w:val="left" w:leader="none"/>
        </w:tabs>
        <w:spacing w:line="240" w:lineRule="exact" w:before="0" w:after="0"/>
        <w:ind w:left="1422" w:right="0" w:hanging="263"/>
        <w:jc w:val="left"/>
        <w:rPr>
          <w:sz w:val="18"/>
        </w:rPr>
      </w:pPr>
      <w:r>
        <w:rPr>
          <w:sz w:val="18"/>
          <w:u w:val="single"/>
        </w:rPr>
        <w:t>Brandt v. Bib Enterprises, Ltd.</w:t>
      </w:r>
      <w:r>
        <w:rPr>
          <w:sz w:val="18"/>
        </w:rPr>
        <w:t>, 986 S.W.2d. 586 (Tenn. Ct. App. 1998); </w:t>
      </w:r>
      <w:r>
        <w:rPr>
          <w:sz w:val="18"/>
          <w:u w:val="single"/>
        </w:rPr>
        <w:t>Rapp</w:t>
      </w:r>
      <w:r>
        <w:rPr>
          <w:spacing w:val="39"/>
          <w:sz w:val="18"/>
          <w:u w:val="single"/>
        </w:rPr>
        <w:t> </w:t>
      </w:r>
      <w:r>
        <w:rPr>
          <w:sz w:val="18"/>
          <w:u w:val="single"/>
        </w:rPr>
        <w:t>Const.</w:t>
      </w:r>
    </w:p>
    <w:p>
      <w:pPr>
        <w:spacing w:line="178" w:lineRule="exact" w:before="4"/>
        <w:ind w:left="1160" w:right="0" w:firstLine="0"/>
        <w:jc w:val="left"/>
        <w:rPr>
          <w:rFonts w:ascii="Times New Roman"/>
          <w:sz w:val="18"/>
        </w:rPr>
      </w:pPr>
      <w:r>
        <w:rPr>
          <w:rFonts w:ascii="Times New Roman"/>
          <w:sz w:val="18"/>
          <w:u w:val="single"/>
        </w:rPr>
        <w:t>Co., Inc. v. Jay Realty Co., Inc.</w:t>
      </w:r>
      <w:r>
        <w:rPr>
          <w:rFonts w:ascii="Times New Roman"/>
          <w:sz w:val="18"/>
        </w:rPr>
        <w:t>, 809 S.W.2d. 490 (Tenn. Ct. App. 1991).</w:t>
      </w:r>
    </w:p>
    <w:p>
      <w:pPr>
        <w:pStyle w:val="ListParagraph"/>
        <w:numPr>
          <w:ilvl w:val="0"/>
          <w:numId w:val="18"/>
        </w:numPr>
        <w:tabs>
          <w:tab w:pos="1404" w:val="left" w:leader="none"/>
        </w:tabs>
        <w:spacing w:line="240" w:lineRule="exact" w:before="0" w:after="0"/>
        <w:ind w:left="1403" w:right="0" w:hanging="244"/>
        <w:jc w:val="left"/>
        <w:rPr>
          <w:sz w:val="18"/>
        </w:rPr>
      </w:pPr>
      <w:r>
        <w:rPr>
          <w:sz w:val="18"/>
          <w:u w:val="single"/>
        </w:rPr>
        <w:t>Pyle</w:t>
      </w:r>
      <w:r>
        <w:rPr>
          <w:spacing w:val="-18"/>
          <w:sz w:val="18"/>
          <w:u w:val="single"/>
        </w:rPr>
        <w:t> </w:t>
      </w:r>
      <w:r>
        <w:rPr>
          <w:sz w:val="18"/>
          <w:u w:val="single"/>
        </w:rPr>
        <w:t>v.</w:t>
      </w:r>
      <w:r>
        <w:rPr>
          <w:spacing w:val="-17"/>
          <w:sz w:val="18"/>
          <w:u w:val="single"/>
        </w:rPr>
        <w:t> </w:t>
      </w:r>
      <w:r>
        <w:rPr>
          <w:sz w:val="18"/>
          <w:u w:val="single"/>
        </w:rPr>
        <w:t>Carpenter</w:t>
      </w:r>
      <w:r>
        <w:rPr>
          <w:sz w:val="18"/>
        </w:rPr>
        <w:t>,</w:t>
      </w:r>
      <w:r>
        <w:rPr>
          <w:spacing w:val="-16"/>
          <w:sz w:val="18"/>
        </w:rPr>
        <w:t> </w:t>
      </w:r>
      <w:r>
        <w:rPr>
          <w:sz w:val="18"/>
        </w:rPr>
        <w:t>118</w:t>
      </w:r>
      <w:r>
        <w:rPr>
          <w:spacing w:val="-15"/>
          <w:sz w:val="18"/>
        </w:rPr>
        <w:t> </w:t>
      </w:r>
      <w:r>
        <w:rPr>
          <w:sz w:val="18"/>
        </w:rPr>
        <w:t>Tenn.</w:t>
      </w:r>
      <w:r>
        <w:rPr>
          <w:spacing w:val="-16"/>
          <w:sz w:val="18"/>
        </w:rPr>
        <w:t> </w:t>
      </w:r>
      <w:r>
        <w:rPr>
          <w:sz w:val="18"/>
        </w:rPr>
        <w:t>288,</w:t>
      </w:r>
      <w:r>
        <w:rPr>
          <w:spacing w:val="-18"/>
          <w:sz w:val="18"/>
        </w:rPr>
        <w:t> </w:t>
      </w:r>
      <w:r>
        <w:rPr>
          <w:sz w:val="18"/>
        </w:rPr>
        <w:t>99</w:t>
      </w:r>
      <w:r>
        <w:rPr>
          <w:spacing w:val="-15"/>
          <w:sz w:val="18"/>
        </w:rPr>
        <w:t> </w:t>
      </w:r>
      <w:r>
        <w:rPr>
          <w:sz w:val="18"/>
        </w:rPr>
        <w:t>S.W.</w:t>
      </w:r>
      <w:r>
        <w:rPr>
          <w:spacing w:val="-14"/>
          <w:sz w:val="18"/>
        </w:rPr>
        <w:t> </w:t>
      </w:r>
      <w:r>
        <w:rPr>
          <w:sz w:val="18"/>
        </w:rPr>
        <w:t>360</w:t>
      </w:r>
      <w:r>
        <w:rPr>
          <w:spacing w:val="-13"/>
          <w:sz w:val="18"/>
        </w:rPr>
        <w:t> </w:t>
      </w:r>
      <w:r>
        <w:rPr>
          <w:sz w:val="18"/>
        </w:rPr>
        <w:t>(1907);</w:t>
      </w:r>
      <w:r>
        <w:rPr>
          <w:spacing w:val="-14"/>
          <w:sz w:val="18"/>
        </w:rPr>
        <w:t> </w:t>
      </w:r>
      <w:r>
        <w:rPr>
          <w:sz w:val="18"/>
          <w:u w:val="single"/>
        </w:rPr>
        <w:t>Pennsylvania</w:t>
      </w:r>
      <w:r>
        <w:rPr>
          <w:spacing w:val="-16"/>
          <w:sz w:val="18"/>
          <w:u w:val="single"/>
        </w:rPr>
        <w:t> </w:t>
      </w:r>
      <w:r>
        <w:rPr>
          <w:sz w:val="18"/>
          <w:u w:val="single"/>
        </w:rPr>
        <w:t>Lumbermen’s</w:t>
      </w:r>
      <w:r>
        <w:rPr>
          <w:spacing w:val="-17"/>
          <w:sz w:val="18"/>
          <w:u w:val="single"/>
        </w:rPr>
        <w:t> </w:t>
      </w:r>
      <w:r>
        <w:rPr>
          <w:sz w:val="18"/>
          <w:u w:val="single"/>
        </w:rPr>
        <w:t>Mut.</w:t>
      </w:r>
    </w:p>
    <w:p>
      <w:pPr>
        <w:spacing w:line="244" w:lineRule="auto" w:before="5"/>
        <w:ind w:left="1160" w:right="1163" w:firstLine="0"/>
        <w:jc w:val="left"/>
        <w:rPr>
          <w:rFonts w:ascii="Times New Roman"/>
          <w:sz w:val="18"/>
        </w:rPr>
      </w:pPr>
      <w:r>
        <w:rPr>
          <w:rFonts w:ascii="Times New Roman"/>
          <w:sz w:val="18"/>
          <w:u w:val="single"/>
        </w:rPr>
        <w:t>Fire</w:t>
      </w:r>
      <w:r>
        <w:rPr>
          <w:rFonts w:ascii="Times New Roman"/>
          <w:spacing w:val="-9"/>
          <w:sz w:val="18"/>
          <w:u w:val="single"/>
        </w:rPr>
        <w:t> </w:t>
      </w:r>
      <w:r>
        <w:rPr>
          <w:rFonts w:ascii="Times New Roman"/>
          <w:sz w:val="18"/>
          <w:u w:val="single"/>
        </w:rPr>
        <w:t>Ins.</w:t>
      </w:r>
      <w:r>
        <w:rPr>
          <w:rFonts w:ascii="Times New Roman"/>
          <w:spacing w:val="-9"/>
          <w:sz w:val="18"/>
          <w:u w:val="single"/>
        </w:rPr>
        <w:t> </w:t>
      </w:r>
      <w:r>
        <w:rPr>
          <w:rFonts w:ascii="Times New Roman"/>
          <w:sz w:val="18"/>
          <w:u w:val="single"/>
        </w:rPr>
        <w:t>Co.</w:t>
      </w:r>
      <w:r>
        <w:rPr>
          <w:rFonts w:ascii="Times New Roman"/>
          <w:spacing w:val="-9"/>
          <w:sz w:val="18"/>
          <w:u w:val="single"/>
        </w:rPr>
        <w:t> </w:t>
      </w:r>
      <w:r>
        <w:rPr>
          <w:rFonts w:ascii="Times New Roman"/>
          <w:sz w:val="18"/>
          <w:u w:val="single"/>
        </w:rPr>
        <w:t>v.</w:t>
      </w:r>
      <w:r>
        <w:rPr>
          <w:rFonts w:ascii="Times New Roman"/>
          <w:spacing w:val="-8"/>
          <w:sz w:val="18"/>
          <w:u w:val="single"/>
        </w:rPr>
        <w:t> </w:t>
      </w:r>
      <w:r>
        <w:rPr>
          <w:rFonts w:ascii="Times New Roman"/>
          <w:sz w:val="18"/>
          <w:u w:val="single"/>
        </w:rPr>
        <w:t>Holt</w:t>
      </w:r>
      <w:r>
        <w:rPr>
          <w:rFonts w:ascii="Times New Roman"/>
          <w:sz w:val="18"/>
        </w:rPr>
        <w:t>,</w:t>
      </w:r>
      <w:r>
        <w:rPr>
          <w:rFonts w:ascii="Times New Roman"/>
          <w:spacing w:val="-11"/>
          <w:sz w:val="18"/>
        </w:rPr>
        <w:t> </w:t>
      </w:r>
      <w:r>
        <w:rPr>
          <w:rFonts w:ascii="Times New Roman"/>
          <w:sz w:val="18"/>
        </w:rPr>
        <w:t>32</w:t>
      </w:r>
      <w:r>
        <w:rPr>
          <w:rFonts w:ascii="Times New Roman"/>
          <w:spacing w:val="-11"/>
          <w:sz w:val="18"/>
        </w:rPr>
        <w:t> </w:t>
      </w:r>
      <w:r>
        <w:rPr>
          <w:rFonts w:ascii="Times New Roman"/>
          <w:sz w:val="18"/>
        </w:rPr>
        <w:t>Tenn.</w:t>
      </w:r>
      <w:r>
        <w:rPr>
          <w:rFonts w:ascii="Times New Roman"/>
          <w:spacing w:val="-11"/>
          <w:sz w:val="18"/>
        </w:rPr>
        <w:t> </w:t>
      </w:r>
      <w:r>
        <w:rPr>
          <w:rFonts w:ascii="Times New Roman"/>
          <w:sz w:val="18"/>
        </w:rPr>
        <w:t>App.</w:t>
      </w:r>
      <w:r>
        <w:rPr>
          <w:rFonts w:ascii="Times New Roman"/>
          <w:spacing w:val="-8"/>
          <w:sz w:val="18"/>
        </w:rPr>
        <w:t> </w:t>
      </w:r>
      <w:r>
        <w:rPr>
          <w:rFonts w:ascii="Times New Roman"/>
          <w:sz w:val="18"/>
        </w:rPr>
        <w:t>559,</w:t>
      </w:r>
      <w:r>
        <w:rPr>
          <w:rFonts w:ascii="Times New Roman"/>
          <w:spacing w:val="-9"/>
          <w:sz w:val="18"/>
        </w:rPr>
        <w:t> </w:t>
      </w:r>
      <w:r>
        <w:rPr>
          <w:rFonts w:ascii="Times New Roman"/>
          <w:sz w:val="18"/>
        </w:rPr>
        <w:t>223</w:t>
      </w:r>
      <w:r>
        <w:rPr>
          <w:rFonts w:ascii="Times New Roman"/>
          <w:spacing w:val="-8"/>
          <w:sz w:val="18"/>
        </w:rPr>
        <w:t> </w:t>
      </w:r>
      <w:r>
        <w:rPr>
          <w:rFonts w:ascii="Times New Roman"/>
          <w:sz w:val="18"/>
        </w:rPr>
        <w:t>S.W.2d</w:t>
      </w:r>
      <w:r>
        <w:rPr>
          <w:rFonts w:ascii="Times New Roman"/>
          <w:spacing w:val="-8"/>
          <w:sz w:val="18"/>
        </w:rPr>
        <w:t> </w:t>
      </w:r>
      <w:r>
        <w:rPr>
          <w:rFonts w:ascii="Times New Roman"/>
          <w:sz w:val="18"/>
        </w:rPr>
        <w:t>206</w:t>
      </w:r>
      <w:r>
        <w:rPr>
          <w:rFonts w:ascii="Times New Roman"/>
          <w:spacing w:val="-8"/>
          <w:sz w:val="18"/>
        </w:rPr>
        <w:t> </w:t>
      </w:r>
      <w:r>
        <w:rPr>
          <w:rFonts w:ascii="Times New Roman"/>
          <w:sz w:val="18"/>
        </w:rPr>
        <w:t>(1949);</w:t>
      </w:r>
      <w:r>
        <w:rPr>
          <w:rFonts w:ascii="Times New Roman"/>
          <w:spacing w:val="-9"/>
          <w:sz w:val="18"/>
        </w:rPr>
        <w:t> </w:t>
      </w:r>
      <w:r>
        <w:rPr>
          <w:rFonts w:ascii="Times New Roman"/>
          <w:sz w:val="18"/>
          <w:u w:val="single"/>
        </w:rPr>
        <w:t>Merrimack</w:t>
      </w:r>
      <w:r>
        <w:rPr>
          <w:rFonts w:ascii="Times New Roman"/>
          <w:spacing w:val="-12"/>
          <w:sz w:val="18"/>
          <w:u w:val="single"/>
        </w:rPr>
        <w:t> </w:t>
      </w:r>
      <w:r>
        <w:rPr>
          <w:rFonts w:ascii="Times New Roman"/>
          <w:sz w:val="18"/>
          <w:u w:val="single"/>
        </w:rPr>
        <w:t>Mut.</w:t>
      </w:r>
      <w:r>
        <w:rPr>
          <w:rFonts w:ascii="Times New Roman"/>
          <w:spacing w:val="-9"/>
          <w:sz w:val="18"/>
          <w:u w:val="single"/>
        </w:rPr>
        <w:t> </w:t>
      </w:r>
      <w:r>
        <w:rPr>
          <w:rFonts w:ascii="Times New Roman"/>
          <w:sz w:val="18"/>
          <w:u w:val="single"/>
        </w:rPr>
        <w:t>Fire</w:t>
      </w:r>
      <w:r>
        <w:rPr>
          <w:rFonts w:ascii="Times New Roman"/>
          <w:spacing w:val="-9"/>
          <w:sz w:val="18"/>
          <w:u w:val="single"/>
        </w:rPr>
        <w:t> </w:t>
      </w:r>
      <w:r>
        <w:rPr>
          <w:rFonts w:ascii="Times New Roman"/>
          <w:sz w:val="18"/>
          <w:u w:val="single"/>
        </w:rPr>
        <w:t>Ins.</w:t>
      </w:r>
      <w:r>
        <w:rPr>
          <w:rFonts w:ascii="Times New Roman"/>
          <w:sz w:val="18"/>
        </w:rPr>
        <w:t> </w:t>
      </w:r>
      <w:r>
        <w:rPr>
          <w:rFonts w:ascii="Times New Roman"/>
          <w:sz w:val="18"/>
          <w:u w:val="single"/>
        </w:rPr>
        <w:t>Co. v. Batts</w:t>
      </w:r>
      <w:r>
        <w:rPr>
          <w:rFonts w:ascii="Times New Roman"/>
          <w:sz w:val="18"/>
        </w:rPr>
        <w:t>, 59 S.W.3d 142 (Tenn. Ct. App.</w:t>
      </w:r>
      <w:r>
        <w:rPr>
          <w:rFonts w:ascii="Times New Roman"/>
          <w:spacing w:val="2"/>
          <w:sz w:val="18"/>
        </w:rPr>
        <w:t> </w:t>
      </w:r>
      <w:r>
        <w:rPr>
          <w:rFonts w:ascii="Times New Roman"/>
          <w:sz w:val="18"/>
        </w:rPr>
        <w:t>2001).</w:t>
      </w:r>
    </w:p>
    <w:p>
      <w:pPr>
        <w:pStyle w:val="ListParagraph"/>
        <w:numPr>
          <w:ilvl w:val="0"/>
          <w:numId w:val="18"/>
        </w:numPr>
        <w:tabs>
          <w:tab w:pos="1471" w:val="left" w:leader="none"/>
        </w:tabs>
        <w:spacing w:line="261" w:lineRule="auto" w:before="0" w:after="0"/>
        <w:ind w:left="1160" w:right="1167" w:firstLine="0"/>
        <w:jc w:val="left"/>
        <w:rPr>
          <w:sz w:val="18"/>
        </w:rPr>
      </w:pPr>
      <w:r>
        <w:rPr>
          <w:sz w:val="18"/>
          <w:u w:val="single"/>
        </w:rPr>
        <w:t>S.R. Intern. Business Ins. Co., Ltd. v. World Trade Center Properties LLC</w:t>
      </w:r>
      <w:r>
        <w:rPr>
          <w:sz w:val="18"/>
        </w:rPr>
        <w:t>, 445 F.Supp.2d 320 (S.D.N.Y.</w:t>
      </w:r>
      <w:r>
        <w:rPr>
          <w:spacing w:val="2"/>
          <w:sz w:val="18"/>
        </w:rPr>
        <w:t> </w:t>
      </w:r>
      <w:r>
        <w:rPr>
          <w:sz w:val="18"/>
        </w:rPr>
        <w:t>2006).</w:t>
      </w:r>
    </w:p>
    <w:p>
      <w:pPr>
        <w:spacing w:after="0" w:line="261"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6"/>
        <w:jc w:val="both"/>
      </w:pPr>
      <w:bookmarkStart w:name="Law and Procedure 173" w:id="84"/>
      <w:bookmarkEnd w:id="84"/>
      <w:r>
        <w:rPr/>
      </w:r>
      <w:r>
        <w:rPr/>
        <w:t>determination should encompass the value</w:t>
      </w:r>
      <w:r>
        <w:rPr>
          <w:spacing w:val="-43"/>
        </w:rPr>
        <w:t> </w:t>
      </w:r>
      <w:r>
        <w:rPr/>
        <w:t>of the loss, actual cash value, repair and replacement costs and incidental issues. However,</w:t>
      </w:r>
      <w:r>
        <w:rPr>
          <w:spacing w:val="-34"/>
        </w:rPr>
        <w:t> </w:t>
      </w:r>
      <w:r>
        <w:rPr/>
        <w:t>the</w:t>
      </w:r>
      <w:r>
        <w:rPr>
          <w:spacing w:val="-33"/>
        </w:rPr>
        <w:t> </w:t>
      </w:r>
      <w:r>
        <w:rPr/>
        <w:t>Court</w:t>
      </w:r>
      <w:r>
        <w:rPr>
          <w:spacing w:val="-33"/>
        </w:rPr>
        <w:t> </w:t>
      </w:r>
      <w:r>
        <w:rPr/>
        <w:t>held</w:t>
      </w:r>
      <w:r>
        <w:rPr>
          <w:spacing w:val="-31"/>
        </w:rPr>
        <w:t> </w:t>
      </w:r>
      <w:r>
        <w:rPr/>
        <w:t>that</w:t>
      </w:r>
      <w:r>
        <w:rPr>
          <w:spacing w:val="-34"/>
        </w:rPr>
        <w:t> </w:t>
      </w:r>
      <w:r>
        <w:rPr/>
        <w:t>“[p]ursuant</w:t>
      </w:r>
      <w:r>
        <w:rPr>
          <w:spacing w:val="-31"/>
        </w:rPr>
        <w:t> </w:t>
      </w:r>
      <w:r>
        <w:rPr/>
        <w:t>to</w:t>
      </w:r>
      <w:r>
        <w:rPr>
          <w:spacing w:val="-32"/>
        </w:rPr>
        <w:t> </w:t>
      </w:r>
      <w:r>
        <w:rPr/>
        <w:t>the policy terms, a decision agreed by any two, consisting of the appraisers and the umpire, sets the amount of the loss. The amount of</w:t>
      </w:r>
      <w:r>
        <w:rPr>
          <w:spacing w:val="-44"/>
        </w:rPr>
        <w:t> </w:t>
      </w:r>
      <w:r>
        <w:rPr/>
        <w:t>loss shall be determined according to the policy terms and applicable provisions of the Insurance Law by the appointed umpire.”</w:t>
      </w:r>
      <w:r>
        <w:rPr>
          <w:spacing w:val="-10"/>
        </w:rPr>
        <w:t> </w:t>
      </w:r>
      <w:r>
        <w:rPr>
          <w:u w:val="single"/>
          <w:vertAlign w:val="superscript"/>
        </w:rPr>
        <w:t>252</w:t>
      </w:r>
    </w:p>
    <w:p>
      <w:pPr>
        <w:pStyle w:val="BodyText"/>
        <w:spacing w:before="11"/>
        <w:rPr>
          <w:sz w:val="25"/>
        </w:rPr>
      </w:pPr>
    </w:p>
    <w:p>
      <w:pPr>
        <w:pStyle w:val="BodyText"/>
        <w:spacing w:line="242" w:lineRule="auto"/>
        <w:ind w:left="1520" w:right="1519" w:firstLine="720"/>
        <w:jc w:val="both"/>
      </w:pPr>
      <w:r>
        <w:rPr/>
        <w:t>The question whether a manufacturer’s property insurance policy required the insurer to pay the amount necessary to repair or replace the destroyed equipment or its sales price was held to be outside the scope of appraisal as such a determination was a question of contract interpretation.</w:t>
      </w:r>
      <w:r>
        <w:rPr>
          <w:vertAlign w:val="superscript"/>
        </w:rPr>
        <w:t>253</w:t>
      </w:r>
    </w:p>
    <w:p>
      <w:pPr>
        <w:pStyle w:val="BodyText"/>
      </w:pPr>
    </w:p>
    <w:p>
      <w:pPr>
        <w:pStyle w:val="BodyText"/>
        <w:spacing w:line="242" w:lineRule="auto"/>
        <w:ind w:left="1520" w:right="1514" w:firstLine="720"/>
        <w:jc w:val="both"/>
      </w:pPr>
      <w:r>
        <w:rPr>
          <w:spacing w:val="3"/>
        </w:rPr>
        <w:t>In</w:t>
      </w:r>
      <w:r>
        <w:rPr>
          <w:spacing w:val="-14"/>
        </w:rPr>
        <w:t> </w:t>
      </w:r>
      <w:r>
        <w:rPr/>
        <w:t>California,</w:t>
      </w:r>
      <w:r>
        <w:rPr>
          <w:spacing w:val="-13"/>
        </w:rPr>
        <w:t> </w:t>
      </w:r>
      <w:r>
        <w:rPr/>
        <w:t>when</w:t>
      </w:r>
      <w:r>
        <w:rPr>
          <w:spacing w:val="-12"/>
        </w:rPr>
        <w:t> </w:t>
      </w:r>
      <w:r>
        <w:rPr/>
        <w:t>such</w:t>
      </w:r>
      <w:r>
        <w:rPr>
          <w:spacing w:val="-12"/>
        </w:rPr>
        <w:t> </w:t>
      </w:r>
      <w:r>
        <w:rPr/>
        <w:t>a</w:t>
      </w:r>
      <w:r>
        <w:rPr>
          <w:spacing w:val="-14"/>
        </w:rPr>
        <w:t> </w:t>
      </w:r>
      <w:r>
        <w:rPr/>
        <w:t>disagreement arose,</w:t>
      </w:r>
      <w:r>
        <w:rPr>
          <w:spacing w:val="-34"/>
        </w:rPr>
        <w:t> </w:t>
      </w:r>
      <w:r>
        <w:rPr/>
        <w:t>the</w:t>
      </w:r>
      <w:r>
        <w:rPr>
          <w:spacing w:val="-32"/>
        </w:rPr>
        <w:t> </w:t>
      </w:r>
      <w:r>
        <w:rPr/>
        <w:t>matter</w:t>
      </w:r>
      <w:r>
        <w:rPr>
          <w:spacing w:val="-34"/>
        </w:rPr>
        <w:t> </w:t>
      </w:r>
      <w:r>
        <w:rPr/>
        <w:t>was</w:t>
      </w:r>
      <w:r>
        <w:rPr>
          <w:spacing w:val="-31"/>
        </w:rPr>
        <w:t> </w:t>
      </w:r>
      <w:r>
        <w:rPr/>
        <w:t>brought</w:t>
      </w:r>
      <w:r>
        <w:rPr>
          <w:spacing w:val="-31"/>
        </w:rPr>
        <w:t> </w:t>
      </w:r>
      <w:r>
        <w:rPr/>
        <w:t>before</w:t>
      </w:r>
      <w:r>
        <w:rPr>
          <w:spacing w:val="-32"/>
        </w:rPr>
        <w:t> </w:t>
      </w:r>
      <w:r>
        <w:rPr/>
        <w:t>the</w:t>
      </w:r>
      <w:r>
        <w:rPr>
          <w:spacing w:val="-32"/>
        </w:rPr>
        <w:t> </w:t>
      </w:r>
      <w:r>
        <w:rPr/>
        <w:t>lower court which referred the issue back to the appraisers,</w:t>
      </w:r>
      <w:r>
        <w:rPr>
          <w:spacing w:val="-39"/>
        </w:rPr>
        <w:t> </w:t>
      </w:r>
      <w:r>
        <w:rPr/>
        <w:t>finding</w:t>
      </w:r>
      <w:r>
        <w:rPr>
          <w:spacing w:val="-36"/>
        </w:rPr>
        <w:t> </w:t>
      </w:r>
      <w:r>
        <w:rPr/>
        <w:t>a</w:t>
      </w:r>
      <w:r>
        <w:rPr>
          <w:spacing w:val="-35"/>
        </w:rPr>
        <w:t> </w:t>
      </w:r>
      <w:r>
        <w:rPr/>
        <w:t>reference</w:t>
      </w:r>
      <w:r>
        <w:rPr>
          <w:spacing w:val="-34"/>
        </w:rPr>
        <w:t> </w:t>
      </w:r>
      <w:r>
        <w:rPr/>
        <w:t>for</w:t>
      </w:r>
      <w:r>
        <w:rPr>
          <w:spacing w:val="-35"/>
        </w:rPr>
        <w:t> </w:t>
      </w:r>
      <w:r>
        <w:rPr/>
        <w:t>litigation</w:t>
      </w:r>
      <w:r>
        <w:rPr>
          <w:spacing w:val="-35"/>
        </w:rPr>
        <w:t> </w:t>
      </w:r>
      <w:r>
        <w:rPr/>
        <w:t>was premature. On appeal, the lower court was found to have erred </w:t>
      </w:r>
      <w:r>
        <w:rPr>
          <w:spacing w:val="2"/>
        </w:rPr>
        <w:t>in </w:t>
      </w:r>
      <w:r>
        <w:rPr/>
        <w:t>referring the determination</w:t>
      </w:r>
      <w:r>
        <w:rPr>
          <w:spacing w:val="-13"/>
        </w:rPr>
        <w:t> </w:t>
      </w:r>
      <w:r>
        <w:rPr/>
        <w:t>of</w:t>
      </w:r>
      <w:r>
        <w:rPr>
          <w:spacing w:val="-12"/>
        </w:rPr>
        <w:t> </w:t>
      </w:r>
      <w:r>
        <w:rPr/>
        <w:t>the</w:t>
      </w:r>
      <w:r>
        <w:rPr>
          <w:spacing w:val="-14"/>
        </w:rPr>
        <w:t> </w:t>
      </w:r>
      <w:r>
        <w:rPr/>
        <w:t>scope</w:t>
      </w:r>
      <w:r>
        <w:rPr>
          <w:spacing w:val="-14"/>
        </w:rPr>
        <w:t> </w:t>
      </w:r>
      <w:r>
        <w:rPr/>
        <w:t>of</w:t>
      </w:r>
      <w:r>
        <w:rPr>
          <w:spacing w:val="-13"/>
        </w:rPr>
        <w:t> </w:t>
      </w:r>
      <w:r>
        <w:rPr/>
        <w:t>the</w:t>
      </w:r>
      <w:r>
        <w:rPr>
          <w:spacing w:val="-13"/>
        </w:rPr>
        <w:t> </w:t>
      </w:r>
      <w:r>
        <w:rPr/>
        <w:t>appraisal</w:t>
      </w:r>
      <w:r>
        <w:rPr>
          <w:spacing w:val="-13"/>
        </w:rPr>
        <w:t> </w:t>
      </w:r>
      <w:r>
        <w:rPr/>
        <w:t>to the panel. The appellate court held that in doing so, the District Court</w:t>
      </w:r>
      <w:r>
        <w:rPr>
          <w:spacing w:val="23"/>
        </w:rPr>
        <w:t> </w:t>
      </w:r>
      <w:r>
        <w:rPr/>
        <w:t>improperly</w:t>
      </w:r>
    </w:p>
    <w:p>
      <w:pPr>
        <w:pStyle w:val="BodyText"/>
        <w:rPr>
          <w:sz w:val="20"/>
        </w:rPr>
      </w:pPr>
    </w:p>
    <w:p>
      <w:pPr>
        <w:pStyle w:val="BodyText"/>
        <w:spacing w:before="11"/>
        <w:rPr>
          <w:sz w:val="13"/>
        </w:rPr>
      </w:pPr>
      <w:r>
        <w:rPr/>
        <w:pict>
          <v:shape style="position:absolute;margin-left:162pt;margin-top:10.936298pt;width:143.9pt;height:.1pt;mso-position-horizontal-relative:page;mso-position-vertical-relative:paragraph;z-index:-251557888;mso-wrap-distance-left:0;mso-wrap-distance-right:0" coordorigin="3240,219" coordsize="2878,0" path="m3240,219l6118,219e" filled="false" stroked="true" strokeweight=".84pt" strokecolor="#000000">
            <v:path arrowok="t"/>
            <v:stroke dashstyle="solid"/>
            <w10:wrap type="topAndBottom"/>
          </v:shape>
        </w:pict>
      </w:r>
    </w:p>
    <w:p>
      <w:pPr>
        <w:pStyle w:val="ListParagraph"/>
        <w:numPr>
          <w:ilvl w:val="0"/>
          <w:numId w:val="18"/>
        </w:numPr>
        <w:tabs>
          <w:tab w:pos="1411" w:val="left" w:leader="none"/>
        </w:tabs>
        <w:spacing w:line="244" w:lineRule="auto" w:before="140" w:after="0"/>
        <w:ind w:left="1160" w:right="1165" w:firstLine="0"/>
        <w:jc w:val="left"/>
        <w:rPr>
          <w:sz w:val="18"/>
        </w:rPr>
      </w:pPr>
      <w:r>
        <w:rPr>
          <w:sz w:val="18"/>
          <w:u w:val="single"/>
        </w:rPr>
        <w:t>In</w:t>
      </w:r>
      <w:r>
        <w:rPr>
          <w:spacing w:val="-8"/>
          <w:sz w:val="18"/>
          <w:u w:val="single"/>
        </w:rPr>
        <w:t> </w:t>
      </w:r>
      <w:r>
        <w:rPr>
          <w:sz w:val="18"/>
          <w:u w:val="single"/>
        </w:rPr>
        <w:t>the</w:t>
      </w:r>
      <w:r>
        <w:rPr>
          <w:spacing w:val="-12"/>
          <w:sz w:val="18"/>
          <w:u w:val="single"/>
        </w:rPr>
        <w:t> </w:t>
      </w:r>
      <w:r>
        <w:rPr>
          <w:sz w:val="18"/>
          <w:u w:val="single"/>
        </w:rPr>
        <w:t>Matter</w:t>
      </w:r>
      <w:r>
        <w:rPr>
          <w:spacing w:val="-11"/>
          <w:sz w:val="18"/>
          <w:u w:val="single"/>
        </w:rPr>
        <w:t> </w:t>
      </w:r>
      <w:r>
        <w:rPr>
          <w:sz w:val="18"/>
          <w:u w:val="single"/>
        </w:rPr>
        <w:t>of</w:t>
      </w:r>
      <w:r>
        <w:rPr>
          <w:spacing w:val="-11"/>
          <w:sz w:val="18"/>
          <w:u w:val="single"/>
        </w:rPr>
        <w:t> </w:t>
      </w:r>
      <w:r>
        <w:rPr>
          <w:sz w:val="18"/>
          <w:u w:val="single"/>
        </w:rPr>
        <w:t>Merrimack</w:t>
      </w:r>
      <w:r>
        <w:rPr>
          <w:spacing w:val="-11"/>
          <w:sz w:val="18"/>
          <w:u w:val="single"/>
        </w:rPr>
        <w:t> </w:t>
      </w:r>
      <w:r>
        <w:rPr>
          <w:sz w:val="18"/>
          <w:u w:val="single"/>
        </w:rPr>
        <w:t>Mut.</w:t>
      </w:r>
      <w:r>
        <w:rPr>
          <w:spacing w:val="-8"/>
          <w:sz w:val="18"/>
          <w:u w:val="single"/>
        </w:rPr>
        <w:t> </w:t>
      </w:r>
      <w:r>
        <w:rPr>
          <w:sz w:val="18"/>
          <w:u w:val="single"/>
        </w:rPr>
        <w:t>Fire</w:t>
      </w:r>
      <w:r>
        <w:rPr>
          <w:spacing w:val="-9"/>
          <w:sz w:val="18"/>
          <w:u w:val="single"/>
        </w:rPr>
        <w:t> </w:t>
      </w:r>
      <w:r>
        <w:rPr>
          <w:sz w:val="18"/>
          <w:u w:val="single"/>
        </w:rPr>
        <w:t>Ins.</w:t>
      </w:r>
      <w:r>
        <w:rPr>
          <w:spacing w:val="-8"/>
          <w:sz w:val="18"/>
          <w:u w:val="single"/>
        </w:rPr>
        <w:t> </w:t>
      </w:r>
      <w:r>
        <w:rPr>
          <w:sz w:val="18"/>
          <w:u w:val="single"/>
        </w:rPr>
        <w:t>Co.</w:t>
      </w:r>
      <w:r>
        <w:rPr>
          <w:spacing w:val="-9"/>
          <w:sz w:val="18"/>
          <w:u w:val="single"/>
        </w:rPr>
        <w:t> </w:t>
      </w:r>
      <w:r>
        <w:rPr>
          <w:sz w:val="18"/>
          <w:u w:val="single"/>
        </w:rPr>
        <w:t>v.</w:t>
      </w:r>
      <w:r>
        <w:rPr>
          <w:spacing w:val="-8"/>
          <w:sz w:val="18"/>
          <w:u w:val="single"/>
        </w:rPr>
        <w:t> </w:t>
      </w:r>
      <w:r>
        <w:rPr>
          <w:sz w:val="18"/>
          <w:u w:val="single"/>
        </w:rPr>
        <w:t>Seibert</w:t>
      </w:r>
      <w:r>
        <w:rPr>
          <w:sz w:val="18"/>
        </w:rPr>
        <w:t>,</w:t>
      </w:r>
      <w:r>
        <w:rPr>
          <w:spacing w:val="-9"/>
          <w:sz w:val="18"/>
        </w:rPr>
        <w:t> </w:t>
      </w:r>
      <w:r>
        <w:rPr>
          <w:sz w:val="18"/>
        </w:rPr>
        <w:t>31</w:t>
      </w:r>
      <w:r>
        <w:rPr>
          <w:spacing w:val="-7"/>
          <w:sz w:val="18"/>
        </w:rPr>
        <w:t> </w:t>
      </w:r>
      <w:r>
        <w:rPr>
          <w:sz w:val="18"/>
        </w:rPr>
        <w:t>Misc.3d</w:t>
      </w:r>
      <w:r>
        <w:rPr>
          <w:spacing w:val="-8"/>
          <w:sz w:val="18"/>
        </w:rPr>
        <w:t> </w:t>
      </w:r>
      <w:r>
        <w:rPr>
          <w:sz w:val="18"/>
        </w:rPr>
        <w:t>523,</w:t>
      </w:r>
      <w:r>
        <w:rPr>
          <w:spacing w:val="-8"/>
          <w:sz w:val="18"/>
        </w:rPr>
        <w:t> </w:t>
      </w:r>
      <w:r>
        <w:rPr>
          <w:sz w:val="18"/>
        </w:rPr>
        <w:t>917</w:t>
      </w:r>
      <w:r>
        <w:rPr>
          <w:spacing w:val="-9"/>
          <w:sz w:val="18"/>
        </w:rPr>
        <w:t> </w:t>
      </w:r>
      <w:r>
        <w:rPr>
          <w:sz w:val="18"/>
        </w:rPr>
        <w:t>N.Y.S.2d 839, 2011 N.Y. Slip Op. 21060 (Monroe Cty.</w:t>
      </w:r>
      <w:r>
        <w:rPr>
          <w:spacing w:val="7"/>
          <w:sz w:val="18"/>
        </w:rPr>
        <w:t> </w:t>
      </w:r>
      <w:r>
        <w:rPr>
          <w:sz w:val="18"/>
        </w:rPr>
        <w:t>2011).</w:t>
      </w:r>
    </w:p>
    <w:p>
      <w:pPr>
        <w:pStyle w:val="ListParagraph"/>
        <w:numPr>
          <w:ilvl w:val="0"/>
          <w:numId w:val="18"/>
        </w:numPr>
        <w:tabs>
          <w:tab w:pos="1426" w:val="left" w:leader="none"/>
        </w:tabs>
        <w:spacing w:line="207" w:lineRule="exact" w:before="0" w:after="0"/>
        <w:ind w:left="1425" w:right="0" w:hanging="266"/>
        <w:jc w:val="left"/>
        <w:rPr>
          <w:sz w:val="18"/>
        </w:rPr>
      </w:pPr>
      <w:r>
        <w:rPr>
          <w:sz w:val="18"/>
          <w:u w:val="single"/>
        </w:rPr>
        <w:t>FTI</w:t>
      </w:r>
      <w:r>
        <w:rPr>
          <w:spacing w:val="5"/>
          <w:sz w:val="18"/>
          <w:u w:val="single"/>
        </w:rPr>
        <w:t> </w:t>
      </w:r>
      <w:r>
        <w:rPr>
          <w:sz w:val="18"/>
          <w:u w:val="single"/>
        </w:rPr>
        <w:t>Intern.,</w:t>
      </w:r>
      <w:r>
        <w:rPr>
          <w:spacing w:val="6"/>
          <w:sz w:val="18"/>
          <w:u w:val="single"/>
        </w:rPr>
        <w:t> </w:t>
      </w:r>
      <w:r>
        <w:rPr>
          <w:sz w:val="18"/>
          <w:u w:val="single"/>
        </w:rPr>
        <w:t>Inc.</w:t>
      </w:r>
      <w:r>
        <w:rPr>
          <w:spacing w:val="6"/>
          <w:sz w:val="18"/>
          <w:u w:val="single"/>
        </w:rPr>
        <w:t> </w:t>
      </w:r>
      <w:r>
        <w:rPr>
          <w:sz w:val="18"/>
          <w:u w:val="single"/>
        </w:rPr>
        <w:t>v.</w:t>
      </w:r>
      <w:r>
        <w:rPr>
          <w:spacing w:val="6"/>
          <w:sz w:val="18"/>
          <w:u w:val="single"/>
        </w:rPr>
        <w:t> </w:t>
      </w:r>
      <w:r>
        <w:rPr>
          <w:sz w:val="18"/>
          <w:u w:val="single"/>
        </w:rPr>
        <w:t>Cincinnati</w:t>
      </w:r>
      <w:r>
        <w:rPr>
          <w:spacing w:val="6"/>
          <w:sz w:val="18"/>
          <w:u w:val="single"/>
        </w:rPr>
        <w:t> </w:t>
      </w:r>
      <w:r>
        <w:rPr>
          <w:sz w:val="18"/>
          <w:u w:val="single"/>
        </w:rPr>
        <w:t>Ins.</w:t>
      </w:r>
      <w:r>
        <w:rPr>
          <w:spacing w:val="5"/>
          <w:sz w:val="18"/>
          <w:u w:val="single"/>
        </w:rPr>
        <w:t> </w:t>
      </w:r>
      <w:r>
        <w:rPr>
          <w:sz w:val="18"/>
          <w:u w:val="single"/>
        </w:rPr>
        <w:t>Co.</w:t>
      </w:r>
      <w:r>
        <w:rPr>
          <w:sz w:val="18"/>
        </w:rPr>
        <w:t>,</w:t>
      </w:r>
      <w:r>
        <w:rPr>
          <w:spacing w:val="7"/>
          <w:sz w:val="18"/>
        </w:rPr>
        <w:t> </w:t>
      </w:r>
      <w:r>
        <w:rPr>
          <w:sz w:val="18"/>
        </w:rPr>
        <w:t>339</w:t>
      </w:r>
      <w:r>
        <w:rPr>
          <w:spacing w:val="6"/>
          <w:sz w:val="18"/>
        </w:rPr>
        <w:t> </w:t>
      </w:r>
      <w:r>
        <w:rPr>
          <w:sz w:val="18"/>
        </w:rPr>
        <w:t>Ill.</w:t>
      </w:r>
      <w:r>
        <w:rPr>
          <w:spacing w:val="7"/>
          <w:sz w:val="18"/>
        </w:rPr>
        <w:t> </w:t>
      </w:r>
      <w:r>
        <w:rPr>
          <w:sz w:val="18"/>
        </w:rPr>
        <w:t>App.3d</w:t>
      </w:r>
      <w:r>
        <w:rPr>
          <w:spacing w:val="6"/>
          <w:sz w:val="18"/>
        </w:rPr>
        <w:t> </w:t>
      </w:r>
      <w:r>
        <w:rPr>
          <w:sz w:val="18"/>
        </w:rPr>
        <w:t>258,</w:t>
      </w:r>
      <w:r>
        <w:rPr>
          <w:spacing w:val="7"/>
          <w:sz w:val="18"/>
        </w:rPr>
        <w:t> </w:t>
      </w:r>
      <w:r>
        <w:rPr>
          <w:sz w:val="18"/>
        </w:rPr>
        <w:t>790</w:t>
      </w:r>
      <w:r>
        <w:rPr>
          <w:spacing w:val="6"/>
          <w:sz w:val="18"/>
        </w:rPr>
        <w:t> </w:t>
      </w:r>
      <w:r>
        <w:rPr>
          <w:sz w:val="18"/>
        </w:rPr>
        <w:t>N.E.2d</w:t>
      </w:r>
      <w:r>
        <w:rPr>
          <w:spacing w:val="7"/>
          <w:sz w:val="18"/>
        </w:rPr>
        <w:t> </w:t>
      </w:r>
      <w:r>
        <w:rPr>
          <w:sz w:val="18"/>
        </w:rPr>
        <w:t>908,</w:t>
      </w:r>
      <w:r>
        <w:rPr>
          <w:spacing w:val="6"/>
          <w:sz w:val="18"/>
        </w:rPr>
        <w:t> </w:t>
      </w:r>
      <w:r>
        <w:rPr>
          <w:sz w:val="18"/>
        </w:rPr>
        <w:t>274</w:t>
      </w:r>
      <w:r>
        <w:rPr>
          <w:spacing w:val="12"/>
          <w:sz w:val="18"/>
        </w:rPr>
        <w:t> </w:t>
      </w:r>
      <w:r>
        <w:rPr>
          <w:sz w:val="18"/>
        </w:rPr>
        <w:t>Ill.</w:t>
      </w:r>
    </w:p>
    <w:p>
      <w:pPr>
        <w:spacing w:before="4"/>
        <w:ind w:left="1160" w:right="0" w:firstLine="0"/>
        <w:jc w:val="left"/>
        <w:rPr>
          <w:rFonts w:ascii="Times New Roman"/>
          <w:sz w:val="18"/>
        </w:rPr>
      </w:pPr>
      <w:r>
        <w:rPr>
          <w:rFonts w:ascii="Times New Roman"/>
          <w:sz w:val="18"/>
        </w:rPr>
        <w:t>Dec. 135 (Ill. App. 2 Dist, 2003).</w:t>
      </w:r>
    </w:p>
    <w:p>
      <w:pPr>
        <w:spacing w:after="0"/>
        <w:jc w:val="left"/>
        <w:rPr>
          <w:rFonts w:asci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174" w:id="85"/>
      <w:bookmarkEnd w:id="85"/>
      <w:r>
        <w:rPr/>
      </w:r>
      <w:r>
        <w:rPr/>
        <w:t>abdicated its duty to interpret the appraisal clause and determine the scope of </w:t>
      </w:r>
      <w:r>
        <w:rPr>
          <w:spacing w:val="-5"/>
        </w:rPr>
        <w:t>the </w:t>
      </w:r>
      <w:r>
        <w:rPr/>
        <w:t>appraisal.</w:t>
      </w:r>
      <w:r>
        <w:rPr>
          <w:vertAlign w:val="superscript"/>
        </w:rPr>
        <w:t>254</w:t>
      </w:r>
      <w:r>
        <w:rPr>
          <w:vertAlign w:val="baseline"/>
        </w:rPr>
        <w:t> Thus in California, it is not</w:t>
      </w:r>
      <w:r>
        <w:rPr>
          <w:spacing w:val="-41"/>
          <w:vertAlign w:val="baseline"/>
        </w:rPr>
        <w:t> </w:t>
      </w:r>
      <w:r>
        <w:rPr>
          <w:spacing w:val="-5"/>
          <w:vertAlign w:val="baseline"/>
        </w:rPr>
        <w:t>essential </w:t>
      </w:r>
      <w:r>
        <w:rPr>
          <w:vertAlign w:val="baseline"/>
        </w:rPr>
        <w:t>to await the outcome of an appraisal where the</w:t>
      </w:r>
      <w:r>
        <w:rPr>
          <w:spacing w:val="-30"/>
          <w:vertAlign w:val="baseline"/>
        </w:rPr>
        <w:t> </w:t>
      </w:r>
      <w:r>
        <w:rPr>
          <w:vertAlign w:val="baseline"/>
        </w:rPr>
        <w:t>parties</w:t>
      </w:r>
      <w:r>
        <w:rPr>
          <w:spacing w:val="-27"/>
          <w:vertAlign w:val="baseline"/>
        </w:rPr>
        <w:t> </w:t>
      </w:r>
      <w:r>
        <w:rPr>
          <w:vertAlign w:val="baseline"/>
        </w:rPr>
        <w:t>are</w:t>
      </w:r>
      <w:r>
        <w:rPr>
          <w:spacing w:val="-27"/>
          <w:vertAlign w:val="baseline"/>
        </w:rPr>
        <w:t> </w:t>
      </w:r>
      <w:r>
        <w:rPr>
          <w:vertAlign w:val="baseline"/>
        </w:rPr>
        <w:t>in</w:t>
      </w:r>
      <w:r>
        <w:rPr>
          <w:spacing w:val="-27"/>
          <w:vertAlign w:val="baseline"/>
        </w:rPr>
        <w:t> </w:t>
      </w:r>
      <w:r>
        <w:rPr>
          <w:vertAlign w:val="baseline"/>
        </w:rPr>
        <w:t>disagreement</w:t>
      </w:r>
      <w:r>
        <w:rPr>
          <w:spacing w:val="-30"/>
          <w:vertAlign w:val="baseline"/>
        </w:rPr>
        <w:t> </w:t>
      </w:r>
      <w:r>
        <w:rPr>
          <w:vertAlign w:val="baseline"/>
        </w:rPr>
        <w:t>as</w:t>
      </w:r>
      <w:r>
        <w:rPr>
          <w:spacing w:val="-27"/>
          <w:vertAlign w:val="baseline"/>
        </w:rPr>
        <w:t> </w:t>
      </w:r>
      <w:r>
        <w:rPr>
          <w:vertAlign w:val="baseline"/>
        </w:rPr>
        <w:t>to</w:t>
      </w:r>
      <w:r>
        <w:rPr>
          <w:spacing w:val="-27"/>
          <w:vertAlign w:val="baseline"/>
        </w:rPr>
        <w:t> </w:t>
      </w:r>
      <w:r>
        <w:rPr>
          <w:vertAlign w:val="baseline"/>
        </w:rPr>
        <w:t>the</w:t>
      </w:r>
      <w:r>
        <w:rPr>
          <w:spacing w:val="-27"/>
          <w:vertAlign w:val="baseline"/>
        </w:rPr>
        <w:t> </w:t>
      </w:r>
      <w:r>
        <w:rPr>
          <w:vertAlign w:val="baseline"/>
        </w:rPr>
        <w:t>scope and either party may apparently </w:t>
      </w:r>
      <w:r>
        <w:rPr>
          <w:spacing w:val="-3"/>
          <w:vertAlign w:val="baseline"/>
        </w:rPr>
        <w:t>seek </w:t>
      </w:r>
      <w:r>
        <w:rPr>
          <w:vertAlign w:val="baseline"/>
        </w:rPr>
        <w:t>guidance from the local</w:t>
      </w:r>
      <w:r>
        <w:rPr>
          <w:spacing w:val="-5"/>
          <w:vertAlign w:val="baseline"/>
        </w:rPr>
        <w:t> </w:t>
      </w:r>
      <w:r>
        <w:rPr>
          <w:vertAlign w:val="baseline"/>
        </w:rPr>
        <w:t>court.</w:t>
      </w:r>
    </w:p>
    <w:p>
      <w:pPr>
        <w:pStyle w:val="BodyText"/>
      </w:pPr>
    </w:p>
    <w:p>
      <w:pPr>
        <w:pStyle w:val="BodyText"/>
        <w:spacing w:line="242" w:lineRule="auto"/>
        <w:ind w:left="1520" w:right="1517" w:firstLine="720"/>
        <w:jc w:val="both"/>
      </w:pPr>
      <w:r>
        <w:rPr>
          <w:spacing w:val="3"/>
        </w:rPr>
        <w:t>In </w:t>
      </w:r>
      <w:r>
        <w:rPr/>
        <w:t>Pennsylvania, it has been held </w:t>
      </w:r>
      <w:r>
        <w:rPr>
          <w:spacing w:val="-5"/>
        </w:rPr>
        <w:t>that </w:t>
      </w:r>
      <w:r>
        <w:rPr/>
        <w:t>where the amount of loss to items for which </w:t>
      </w:r>
      <w:r>
        <w:rPr>
          <w:spacing w:val="5"/>
        </w:rPr>
        <w:t>coverage </w:t>
      </w:r>
      <w:r>
        <w:rPr>
          <w:spacing w:val="6"/>
        </w:rPr>
        <w:t>had </w:t>
      </w:r>
      <w:r>
        <w:rPr>
          <w:spacing w:val="5"/>
        </w:rPr>
        <w:t>been admitted </w:t>
      </w:r>
      <w:r>
        <w:rPr>
          <w:spacing w:val="3"/>
        </w:rPr>
        <w:t>was </w:t>
      </w:r>
      <w:r>
        <w:rPr/>
        <w:t>substantially less then the amount of loss to items where coverage is disputed, appraisal</w:t>
      </w:r>
      <w:r>
        <w:rPr>
          <w:spacing w:val="-33"/>
        </w:rPr>
        <w:t> </w:t>
      </w:r>
      <w:r>
        <w:rPr/>
        <w:t>is inappropriate,</w:t>
      </w:r>
      <w:r>
        <w:rPr>
          <w:spacing w:val="-20"/>
        </w:rPr>
        <w:t> </w:t>
      </w:r>
      <w:r>
        <w:rPr/>
        <w:t>as</w:t>
      </w:r>
      <w:r>
        <w:rPr>
          <w:spacing w:val="-16"/>
        </w:rPr>
        <w:t> </w:t>
      </w:r>
      <w:r>
        <w:rPr/>
        <w:t>it</w:t>
      </w:r>
      <w:r>
        <w:rPr>
          <w:spacing w:val="-17"/>
        </w:rPr>
        <w:t> </w:t>
      </w:r>
      <w:r>
        <w:rPr/>
        <w:t>would</w:t>
      </w:r>
      <w:r>
        <w:rPr>
          <w:spacing w:val="-14"/>
        </w:rPr>
        <w:t> </w:t>
      </w:r>
      <w:r>
        <w:rPr/>
        <w:t>result</w:t>
      </w:r>
      <w:r>
        <w:rPr>
          <w:spacing w:val="-16"/>
        </w:rPr>
        <w:t> </w:t>
      </w:r>
      <w:r>
        <w:rPr/>
        <w:t>in</w:t>
      </w:r>
      <w:r>
        <w:rPr>
          <w:spacing w:val="-17"/>
        </w:rPr>
        <w:t> </w:t>
      </w:r>
      <w:r>
        <w:rPr/>
        <w:t>a</w:t>
      </w:r>
      <w:r>
        <w:rPr>
          <w:spacing w:val="-16"/>
        </w:rPr>
        <w:t> </w:t>
      </w:r>
      <w:r>
        <w:rPr/>
        <w:t>bifurcated damage determination and is a waste of judicial</w:t>
      </w:r>
      <w:r>
        <w:rPr>
          <w:spacing w:val="-1"/>
        </w:rPr>
        <w:t> </w:t>
      </w:r>
      <w:r>
        <w:rPr/>
        <w:t>economy.</w:t>
      </w:r>
      <w:r>
        <w:rPr>
          <w:vertAlign w:val="superscript"/>
        </w:rPr>
        <w:t>255</w:t>
      </w:r>
    </w:p>
    <w:p>
      <w:pPr>
        <w:pStyle w:val="BodyText"/>
        <w:spacing w:before="12"/>
        <w:rPr>
          <w:sz w:val="25"/>
        </w:rPr>
      </w:pPr>
    </w:p>
    <w:p>
      <w:pPr>
        <w:pStyle w:val="BodyText"/>
        <w:spacing w:line="242" w:lineRule="auto"/>
        <w:ind w:left="1520" w:right="1518" w:firstLine="720"/>
        <w:jc w:val="both"/>
      </w:pPr>
      <w:r>
        <w:rPr/>
        <w:t>A Florida decision has deemed </w:t>
      </w:r>
      <w:r>
        <w:rPr>
          <w:spacing w:val="-5"/>
        </w:rPr>
        <w:t>the </w:t>
      </w:r>
      <w:r>
        <w:rPr/>
        <w:t>question</w:t>
      </w:r>
      <w:r>
        <w:rPr>
          <w:spacing w:val="-19"/>
        </w:rPr>
        <w:t> </w:t>
      </w:r>
      <w:r>
        <w:rPr/>
        <w:t>of</w:t>
      </w:r>
      <w:r>
        <w:rPr>
          <w:spacing w:val="-18"/>
        </w:rPr>
        <w:t> </w:t>
      </w:r>
      <w:r>
        <w:rPr/>
        <w:t>coverage</w:t>
      </w:r>
      <w:r>
        <w:rPr>
          <w:spacing w:val="-18"/>
        </w:rPr>
        <w:t> </w:t>
      </w:r>
      <w:r>
        <w:rPr/>
        <w:t>to</w:t>
      </w:r>
      <w:r>
        <w:rPr>
          <w:spacing w:val="-19"/>
        </w:rPr>
        <w:t> </w:t>
      </w:r>
      <w:r>
        <w:rPr/>
        <w:t>include</w:t>
      </w:r>
      <w:r>
        <w:rPr>
          <w:spacing w:val="-19"/>
        </w:rPr>
        <w:t> </w:t>
      </w:r>
      <w:r>
        <w:rPr/>
        <w:t>whether</w:t>
      </w:r>
      <w:r>
        <w:rPr>
          <w:spacing w:val="-20"/>
        </w:rPr>
        <w:t> </w:t>
      </w:r>
      <w:r>
        <w:rPr/>
        <w:t>post- loss</w:t>
      </w:r>
      <w:r>
        <w:rPr>
          <w:spacing w:val="-22"/>
        </w:rPr>
        <w:t> </w:t>
      </w:r>
      <w:r>
        <w:rPr/>
        <w:t>policy</w:t>
      </w:r>
      <w:r>
        <w:rPr>
          <w:spacing w:val="-28"/>
        </w:rPr>
        <w:t> </w:t>
      </w:r>
      <w:r>
        <w:rPr/>
        <w:t>conditions</w:t>
      </w:r>
      <w:r>
        <w:rPr>
          <w:spacing w:val="-23"/>
        </w:rPr>
        <w:t> </w:t>
      </w:r>
      <w:r>
        <w:rPr/>
        <w:t>had</w:t>
      </w:r>
      <w:r>
        <w:rPr>
          <w:spacing w:val="-20"/>
        </w:rPr>
        <w:t> </w:t>
      </w:r>
      <w:r>
        <w:rPr/>
        <w:t>been</w:t>
      </w:r>
      <w:r>
        <w:rPr>
          <w:spacing w:val="-22"/>
        </w:rPr>
        <w:t> </w:t>
      </w:r>
      <w:r>
        <w:rPr/>
        <w:t>complied</w:t>
      </w:r>
      <w:r>
        <w:rPr>
          <w:spacing w:val="-22"/>
        </w:rPr>
        <w:t> </w:t>
      </w:r>
      <w:r>
        <w:rPr>
          <w:spacing w:val="-4"/>
        </w:rPr>
        <w:t>with. </w:t>
      </w:r>
      <w:r>
        <w:rPr>
          <w:spacing w:val="3"/>
        </w:rPr>
        <w:t>In </w:t>
      </w:r>
      <w:r>
        <w:rPr/>
        <w:t>a dispute over whether a policy’s appraisal provision was applicable, it was held that a party’s request for appraisal was premature until a determination of coverage was made. </w:t>
      </w:r>
      <w:r>
        <w:rPr>
          <w:spacing w:val="3"/>
        </w:rPr>
        <w:t>In</w:t>
      </w:r>
      <w:r>
        <w:rPr>
          <w:spacing w:val="-36"/>
        </w:rPr>
        <w:t> </w:t>
      </w:r>
      <w:r>
        <w:rPr/>
        <w:t>that</w:t>
      </w:r>
      <w:r>
        <w:rPr>
          <w:spacing w:val="-37"/>
        </w:rPr>
        <w:t> </w:t>
      </w:r>
      <w:r>
        <w:rPr/>
        <w:t>case,</w:t>
      </w:r>
      <w:r>
        <w:rPr>
          <w:spacing w:val="-37"/>
        </w:rPr>
        <w:t> </w:t>
      </w:r>
      <w:r>
        <w:rPr/>
        <w:t>where</w:t>
      </w:r>
      <w:r>
        <w:rPr>
          <w:spacing w:val="-37"/>
        </w:rPr>
        <w:t> </w:t>
      </w:r>
      <w:r>
        <w:rPr/>
        <w:t>an</w:t>
      </w:r>
      <w:r>
        <w:rPr>
          <w:spacing w:val="-35"/>
        </w:rPr>
        <w:t> </w:t>
      </w:r>
      <w:r>
        <w:rPr/>
        <w:t>insurer</w:t>
      </w:r>
      <w:r>
        <w:rPr>
          <w:spacing w:val="-39"/>
        </w:rPr>
        <w:t> </w:t>
      </w:r>
      <w:r>
        <w:rPr/>
        <w:t>denied</w:t>
      </w:r>
      <w:r>
        <w:rPr>
          <w:spacing w:val="-36"/>
        </w:rPr>
        <w:t> </w:t>
      </w:r>
      <w:r>
        <w:rPr/>
        <w:t>coverage of a claim completely, the court observed “a judicial</w:t>
      </w:r>
      <w:r>
        <w:rPr>
          <w:spacing w:val="-31"/>
        </w:rPr>
        <w:t> </w:t>
      </w:r>
      <w:r>
        <w:rPr/>
        <w:t>question</w:t>
      </w:r>
      <w:r>
        <w:rPr>
          <w:spacing w:val="-34"/>
        </w:rPr>
        <w:t> </w:t>
      </w:r>
      <w:r>
        <w:rPr>
          <w:spacing w:val="-3"/>
        </w:rPr>
        <w:t>that</w:t>
      </w:r>
      <w:r>
        <w:rPr>
          <w:spacing w:val="-37"/>
        </w:rPr>
        <w:t> </w:t>
      </w:r>
      <w:r>
        <w:rPr>
          <w:spacing w:val="-3"/>
        </w:rPr>
        <w:t>cannot</w:t>
      </w:r>
      <w:r>
        <w:rPr>
          <w:spacing w:val="-35"/>
        </w:rPr>
        <w:t> </w:t>
      </w:r>
      <w:r>
        <w:rPr/>
        <w:t>be</w:t>
      </w:r>
      <w:r>
        <w:rPr>
          <w:spacing w:val="-35"/>
        </w:rPr>
        <w:t> </w:t>
      </w:r>
      <w:r>
        <w:rPr/>
        <w:t>determined</w:t>
      </w:r>
      <w:r>
        <w:rPr>
          <w:spacing w:val="-34"/>
        </w:rPr>
        <w:t> </w:t>
      </w:r>
      <w:r>
        <w:rPr/>
        <w:t>by</w:t>
      </w:r>
    </w:p>
    <w:p>
      <w:pPr>
        <w:pStyle w:val="BodyText"/>
        <w:rPr>
          <w:sz w:val="20"/>
        </w:rPr>
      </w:pPr>
    </w:p>
    <w:p>
      <w:pPr>
        <w:pStyle w:val="BodyText"/>
        <w:rPr>
          <w:sz w:val="20"/>
        </w:rPr>
      </w:pPr>
    </w:p>
    <w:p>
      <w:pPr>
        <w:pStyle w:val="BodyText"/>
        <w:rPr>
          <w:sz w:val="20"/>
        </w:rPr>
      </w:pPr>
    </w:p>
    <w:p>
      <w:pPr>
        <w:pStyle w:val="BodyText"/>
        <w:spacing w:before="4"/>
        <w:rPr>
          <w:sz w:val="17"/>
        </w:rPr>
      </w:pPr>
    </w:p>
    <w:p>
      <w:pPr>
        <w:pStyle w:val="ListParagraph"/>
        <w:numPr>
          <w:ilvl w:val="0"/>
          <w:numId w:val="18"/>
        </w:numPr>
        <w:tabs>
          <w:tab w:pos="1435" w:val="left" w:leader="none"/>
        </w:tabs>
        <w:spacing w:line="261" w:lineRule="auto" w:before="1" w:after="0"/>
        <w:ind w:left="1160" w:right="1162" w:firstLine="0"/>
        <w:jc w:val="left"/>
        <w:rPr>
          <w:sz w:val="18"/>
        </w:rPr>
      </w:pPr>
      <w:r>
        <w:rPr>
          <w:sz w:val="18"/>
          <w:u w:val="single"/>
        </w:rPr>
        <w:t>Id</w:t>
      </w:r>
      <w:r>
        <w:rPr>
          <w:sz w:val="18"/>
        </w:rPr>
        <w:t>.; </w:t>
      </w:r>
      <w:r>
        <w:rPr>
          <w:sz w:val="18"/>
          <w:u w:val="single"/>
        </w:rPr>
        <w:t>Portland Gen. Elec. Co. v. U.S. Bank Trust Nat. Ass’n. as Trustee for Trust No.</w:t>
      </w:r>
      <w:r>
        <w:rPr>
          <w:spacing w:val="-16"/>
          <w:sz w:val="18"/>
          <w:u w:val="single"/>
        </w:rPr>
        <w:t> </w:t>
      </w:r>
      <w:r>
        <w:rPr>
          <w:sz w:val="18"/>
          <w:u w:val="single"/>
        </w:rPr>
        <w:t>1</w:t>
      </w:r>
      <w:r>
        <w:rPr>
          <w:sz w:val="18"/>
        </w:rPr>
        <w:t>, 218 F.3d 1085, 1090 (9</w:t>
      </w:r>
      <w:r>
        <w:rPr>
          <w:position w:val="7"/>
          <w:sz w:val="10"/>
        </w:rPr>
        <w:t>th </w:t>
      </w:r>
      <w:r>
        <w:rPr>
          <w:sz w:val="18"/>
        </w:rPr>
        <w:t>Cir. 2000); </w:t>
      </w:r>
      <w:r>
        <w:rPr>
          <w:sz w:val="18"/>
          <w:u w:val="single"/>
        </w:rPr>
        <w:t>Lundy v. Farmer’s Group, Inc.</w:t>
      </w:r>
      <w:r>
        <w:rPr>
          <w:sz w:val="18"/>
        </w:rPr>
        <w:t>, 322 Ill. App.3d</w:t>
      </w:r>
      <w:r>
        <w:rPr>
          <w:spacing w:val="38"/>
          <w:sz w:val="18"/>
        </w:rPr>
        <w:t> </w:t>
      </w:r>
      <w:r>
        <w:rPr>
          <w:sz w:val="18"/>
        </w:rPr>
        <w:t>214,</w:t>
      </w:r>
    </w:p>
    <w:p>
      <w:pPr>
        <w:spacing w:line="168" w:lineRule="exact" w:before="0"/>
        <w:ind w:left="1160" w:right="0" w:firstLine="0"/>
        <w:jc w:val="left"/>
        <w:rPr>
          <w:rFonts w:ascii="Times New Roman"/>
          <w:sz w:val="18"/>
        </w:rPr>
      </w:pPr>
      <w:r>
        <w:rPr>
          <w:rFonts w:ascii="Times New Roman"/>
          <w:sz w:val="18"/>
        </w:rPr>
        <w:t>750 N.E.2d 314 (2d Dist. 2001).</w:t>
      </w:r>
    </w:p>
    <w:p>
      <w:pPr>
        <w:pStyle w:val="ListParagraph"/>
        <w:numPr>
          <w:ilvl w:val="0"/>
          <w:numId w:val="18"/>
        </w:numPr>
        <w:tabs>
          <w:tab w:pos="1421" w:val="left" w:leader="none"/>
        </w:tabs>
        <w:spacing w:line="235" w:lineRule="exact" w:before="0" w:after="0"/>
        <w:ind w:left="1421" w:right="0" w:hanging="261"/>
        <w:jc w:val="left"/>
        <w:rPr>
          <w:sz w:val="18"/>
        </w:rPr>
      </w:pPr>
      <w:r>
        <w:rPr>
          <w:sz w:val="18"/>
          <w:u w:val="single"/>
        </w:rPr>
        <w:t>Banks v. Allstate Ins. Co.</w:t>
      </w:r>
      <w:r>
        <w:rPr>
          <w:sz w:val="18"/>
        </w:rPr>
        <w:t>, 1993 WL 40113 (E.D. Pa. 1993).</w:t>
      </w:r>
    </w:p>
    <w:p>
      <w:pPr>
        <w:spacing w:after="0" w:line="235" w:lineRule="exact"/>
        <w:jc w:val="left"/>
        <w:rPr>
          <w:sz w:val="18"/>
        </w:rPr>
        <w:sectPr>
          <w:footerReference w:type="default" r:id="rId14"/>
          <w:pgSz w:w="12240" w:h="15840"/>
          <w:pgMar w:footer="2477" w:header="0" w:top="1500" w:bottom="26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5"/>
      </w:pPr>
      <w:bookmarkStart w:name="Law and Procedure 175" w:id="86"/>
      <w:bookmarkEnd w:id="86"/>
      <w:r>
        <w:rPr/>
      </w:r>
      <w:r>
        <w:rPr/>
        <w:t>an appraiser and must first be determined by the trial court.”</w:t>
      </w:r>
      <w:r>
        <w:rPr>
          <w:vertAlign w:val="superscript"/>
        </w:rPr>
        <w:t>256</w:t>
      </w:r>
    </w:p>
    <w:p>
      <w:pPr>
        <w:pStyle w:val="BodyText"/>
        <w:spacing w:before="1"/>
      </w:pPr>
    </w:p>
    <w:p>
      <w:pPr>
        <w:pStyle w:val="BodyText"/>
        <w:spacing w:line="242" w:lineRule="auto" w:before="1"/>
        <w:ind w:left="1520" w:right="1517" w:firstLine="720"/>
        <w:jc w:val="both"/>
      </w:pPr>
      <w:r>
        <w:rPr/>
        <w:t>Interestingly, while Florida law has established appraisal’s </w:t>
      </w:r>
      <w:r>
        <w:rPr>
          <w:spacing w:val="2"/>
        </w:rPr>
        <w:t>inapplicability </w:t>
      </w:r>
      <w:r>
        <w:rPr/>
        <w:t>to matters</w:t>
      </w:r>
      <w:r>
        <w:rPr>
          <w:spacing w:val="-32"/>
        </w:rPr>
        <w:t> </w:t>
      </w:r>
      <w:r>
        <w:rPr/>
        <w:t>of</w:t>
      </w:r>
      <w:r>
        <w:rPr>
          <w:spacing w:val="-30"/>
        </w:rPr>
        <w:t> </w:t>
      </w:r>
      <w:r>
        <w:rPr/>
        <w:t>coverage,</w:t>
      </w:r>
      <w:r>
        <w:rPr>
          <w:spacing w:val="-33"/>
        </w:rPr>
        <w:t> </w:t>
      </w:r>
      <w:r>
        <w:rPr/>
        <w:t>it</w:t>
      </w:r>
      <w:r>
        <w:rPr>
          <w:spacing w:val="-33"/>
        </w:rPr>
        <w:t> </w:t>
      </w:r>
      <w:r>
        <w:rPr/>
        <w:t>has</w:t>
      </w:r>
      <w:r>
        <w:rPr>
          <w:spacing w:val="-30"/>
        </w:rPr>
        <w:t> </w:t>
      </w:r>
      <w:r>
        <w:rPr/>
        <w:t>also</w:t>
      </w:r>
      <w:r>
        <w:rPr>
          <w:spacing w:val="-30"/>
        </w:rPr>
        <w:t> </w:t>
      </w:r>
      <w:r>
        <w:rPr>
          <w:spacing w:val="-3"/>
        </w:rPr>
        <w:t>acknowledged </w:t>
      </w:r>
      <w:r>
        <w:rPr/>
        <w:t>that</w:t>
      </w:r>
      <w:r>
        <w:rPr>
          <w:spacing w:val="-11"/>
        </w:rPr>
        <w:t> </w:t>
      </w:r>
      <w:r>
        <w:rPr/>
        <w:t>“the</w:t>
      </w:r>
      <w:r>
        <w:rPr>
          <w:spacing w:val="-10"/>
        </w:rPr>
        <w:t> </w:t>
      </w:r>
      <w:r>
        <w:rPr/>
        <w:t>issue</w:t>
      </w:r>
      <w:r>
        <w:rPr>
          <w:spacing w:val="-9"/>
        </w:rPr>
        <w:t> </w:t>
      </w:r>
      <w:r>
        <w:rPr/>
        <w:t>of</w:t>
      </w:r>
      <w:r>
        <w:rPr>
          <w:spacing w:val="-9"/>
        </w:rPr>
        <w:t> </w:t>
      </w:r>
      <w:r>
        <w:rPr/>
        <w:t>coverage</w:t>
      </w:r>
      <w:r>
        <w:rPr>
          <w:spacing w:val="-11"/>
        </w:rPr>
        <w:t> </w:t>
      </w:r>
      <w:r>
        <w:rPr/>
        <w:t>is</w:t>
      </w:r>
      <w:r>
        <w:rPr>
          <w:spacing w:val="-9"/>
        </w:rPr>
        <w:t> </w:t>
      </w:r>
      <w:r>
        <w:rPr/>
        <w:t>not</w:t>
      </w:r>
      <w:r>
        <w:rPr>
          <w:spacing w:val="-10"/>
        </w:rPr>
        <w:t> </w:t>
      </w:r>
      <w:r>
        <w:rPr/>
        <w:t>necessarily</w:t>
      </w:r>
      <w:r>
        <w:rPr>
          <w:spacing w:val="-11"/>
        </w:rPr>
        <w:t> </w:t>
      </w:r>
      <w:r>
        <w:rPr/>
        <w:t>a matter</w:t>
      </w:r>
      <w:r>
        <w:rPr>
          <w:spacing w:val="-22"/>
        </w:rPr>
        <w:t> </w:t>
      </w:r>
      <w:r>
        <w:rPr/>
        <w:t>of</w:t>
      </w:r>
      <w:r>
        <w:rPr>
          <w:spacing w:val="-21"/>
        </w:rPr>
        <w:t> </w:t>
      </w:r>
      <w:r>
        <w:rPr/>
        <w:t>all</w:t>
      </w:r>
      <w:r>
        <w:rPr>
          <w:spacing w:val="-17"/>
        </w:rPr>
        <w:t> </w:t>
      </w:r>
      <w:r>
        <w:rPr/>
        <w:t>or</w:t>
      </w:r>
      <w:r>
        <w:rPr>
          <w:spacing w:val="-24"/>
        </w:rPr>
        <w:t> </w:t>
      </w:r>
      <w:r>
        <w:rPr/>
        <w:t>nothing”</w:t>
      </w:r>
      <w:r>
        <w:rPr>
          <w:spacing w:val="-20"/>
        </w:rPr>
        <w:t> </w:t>
      </w:r>
      <w:r>
        <w:rPr/>
        <w:t>and</w:t>
      </w:r>
      <w:r>
        <w:rPr>
          <w:spacing w:val="-19"/>
        </w:rPr>
        <w:t> </w:t>
      </w:r>
      <w:r>
        <w:rPr/>
        <w:t>its</w:t>
      </w:r>
      <w:r>
        <w:rPr>
          <w:spacing w:val="-20"/>
        </w:rPr>
        <w:t> </w:t>
      </w:r>
      <w:r>
        <w:rPr/>
        <w:t>prior</w:t>
      </w:r>
      <w:r>
        <w:rPr>
          <w:spacing w:val="-21"/>
        </w:rPr>
        <w:t> </w:t>
      </w:r>
      <w:r>
        <w:rPr/>
        <w:t>decision</w:t>
      </w:r>
      <w:r>
        <w:rPr>
          <w:spacing w:val="-19"/>
        </w:rPr>
        <w:t> </w:t>
      </w:r>
      <w:r>
        <w:rPr/>
        <w:t>in </w:t>
      </w:r>
      <w:r>
        <w:rPr>
          <w:u w:val="single"/>
        </w:rPr>
        <w:t>State Farm Fire &amp; Casualty v. Licea</w:t>
      </w:r>
      <w:r>
        <w:rPr>
          <w:vertAlign w:val="superscript"/>
        </w:rPr>
        <w:t>257</w:t>
      </w:r>
      <w:r>
        <w:rPr>
          <w:vertAlign w:val="baseline"/>
        </w:rPr>
        <w:t> did </w:t>
      </w:r>
      <w:r>
        <w:rPr>
          <w:spacing w:val="-11"/>
          <w:vertAlign w:val="baseline"/>
        </w:rPr>
        <w:t>not </w:t>
      </w:r>
      <w:r>
        <w:rPr>
          <w:vertAlign w:val="baseline"/>
        </w:rPr>
        <w:t>address</w:t>
      </w:r>
      <w:r>
        <w:rPr>
          <w:spacing w:val="-35"/>
          <w:vertAlign w:val="baseline"/>
        </w:rPr>
        <w:t> </w:t>
      </w:r>
      <w:r>
        <w:rPr>
          <w:vertAlign w:val="baseline"/>
        </w:rPr>
        <w:t>the</w:t>
      </w:r>
      <w:r>
        <w:rPr>
          <w:spacing w:val="-35"/>
          <w:vertAlign w:val="baseline"/>
        </w:rPr>
        <w:t> </w:t>
      </w:r>
      <w:r>
        <w:rPr>
          <w:vertAlign w:val="baseline"/>
        </w:rPr>
        <w:t>situation</w:t>
      </w:r>
      <w:r>
        <w:rPr>
          <w:spacing w:val="-33"/>
          <w:vertAlign w:val="baseline"/>
        </w:rPr>
        <w:t> </w:t>
      </w:r>
      <w:r>
        <w:rPr>
          <w:vertAlign w:val="baseline"/>
        </w:rPr>
        <w:t>where</w:t>
      </w:r>
      <w:r>
        <w:rPr>
          <w:spacing w:val="-36"/>
          <w:vertAlign w:val="baseline"/>
        </w:rPr>
        <w:t> </w:t>
      </w:r>
      <w:r>
        <w:rPr>
          <w:vertAlign w:val="baseline"/>
        </w:rPr>
        <w:t>scope</w:t>
      </w:r>
      <w:r>
        <w:rPr>
          <w:spacing w:val="-34"/>
          <w:vertAlign w:val="baseline"/>
        </w:rPr>
        <w:t> </w:t>
      </w:r>
      <w:r>
        <w:rPr>
          <w:vertAlign w:val="baseline"/>
        </w:rPr>
        <w:t>of</w:t>
      </w:r>
      <w:r>
        <w:rPr>
          <w:spacing w:val="-33"/>
          <w:vertAlign w:val="baseline"/>
        </w:rPr>
        <w:t> </w:t>
      </w:r>
      <w:r>
        <w:rPr>
          <w:vertAlign w:val="baseline"/>
        </w:rPr>
        <w:t>coverage </w:t>
      </w:r>
      <w:r>
        <w:rPr>
          <w:spacing w:val="2"/>
          <w:vertAlign w:val="baseline"/>
        </w:rPr>
        <w:t>is </w:t>
      </w:r>
      <w:r>
        <w:rPr>
          <w:vertAlign w:val="baseline"/>
        </w:rPr>
        <w:t>in dispute. Thus, in one matter, it was held that an insurer was not precluded from disputing scope of coverage and asserting a challenge to an element of loss as not having coverage pursuant to the subject policy. This Court clarified that “only if a court</w:t>
      </w:r>
      <w:r>
        <w:rPr>
          <w:spacing w:val="-13"/>
          <w:vertAlign w:val="baseline"/>
        </w:rPr>
        <w:t> </w:t>
      </w:r>
      <w:r>
        <w:rPr>
          <w:vertAlign w:val="baseline"/>
        </w:rPr>
        <w:t>determines that</w:t>
      </w:r>
      <w:r>
        <w:rPr>
          <w:spacing w:val="-24"/>
          <w:vertAlign w:val="baseline"/>
        </w:rPr>
        <w:t> </w:t>
      </w:r>
      <w:r>
        <w:rPr>
          <w:vertAlign w:val="baseline"/>
        </w:rPr>
        <w:t>coverage</w:t>
      </w:r>
      <w:r>
        <w:rPr>
          <w:spacing w:val="-19"/>
          <w:vertAlign w:val="baseline"/>
        </w:rPr>
        <w:t> </w:t>
      </w:r>
      <w:r>
        <w:rPr>
          <w:vertAlign w:val="baseline"/>
        </w:rPr>
        <w:t>exists</w:t>
      </w:r>
      <w:r>
        <w:rPr>
          <w:spacing w:val="-20"/>
          <w:vertAlign w:val="baseline"/>
        </w:rPr>
        <w:t> </w:t>
      </w:r>
      <w:r>
        <w:rPr>
          <w:vertAlign w:val="baseline"/>
        </w:rPr>
        <w:t>for</w:t>
      </w:r>
      <w:r>
        <w:rPr>
          <w:spacing w:val="-22"/>
          <w:vertAlign w:val="baseline"/>
        </w:rPr>
        <w:t> </w:t>
      </w:r>
      <w:r>
        <w:rPr>
          <w:vertAlign w:val="baseline"/>
        </w:rPr>
        <w:t>that</w:t>
      </w:r>
      <w:r>
        <w:rPr>
          <w:spacing w:val="-21"/>
          <w:vertAlign w:val="baseline"/>
        </w:rPr>
        <w:t> </w:t>
      </w:r>
      <w:r>
        <w:rPr>
          <w:vertAlign w:val="baseline"/>
        </w:rPr>
        <w:t>element</w:t>
      </w:r>
      <w:r>
        <w:rPr>
          <w:spacing w:val="-23"/>
          <w:vertAlign w:val="baseline"/>
        </w:rPr>
        <w:t> </w:t>
      </w:r>
      <w:r>
        <w:rPr>
          <w:vertAlign w:val="baseline"/>
        </w:rPr>
        <w:t>of</w:t>
      </w:r>
      <w:r>
        <w:rPr>
          <w:spacing w:val="-19"/>
          <w:vertAlign w:val="baseline"/>
        </w:rPr>
        <w:t> </w:t>
      </w:r>
      <w:r>
        <w:rPr>
          <w:vertAlign w:val="baseline"/>
        </w:rPr>
        <w:t>loss</w:t>
      </w:r>
      <w:r>
        <w:rPr>
          <w:spacing w:val="-19"/>
          <w:vertAlign w:val="baseline"/>
        </w:rPr>
        <w:t> </w:t>
      </w:r>
      <w:r>
        <w:rPr>
          <w:vertAlign w:val="baseline"/>
        </w:rPr>
        <w:t>will the amount of appraisal for that</w:t>
      </w:r>
      <w:r>
        <w:rPr>
          <w:spacing w:val="-12"/>
          <w:vertAlign w:val="baseline"/>
        </w:rPr>
        <w:t> </w:t>
      </w:r>
      <w:r>
        <w:rPr>
          <w:vertAlign w:val="baseline"/>
        </w:rPr>
        <w:t>element…be binding on [the</w:t>
      </w:r>
      <w:r>
        <w:rPr>
          <w:spacing w:val="-3"/>
          <w:vertAlign w:val="baseline"/>
        </w:rPr>
        <w:t> </w:t>
      </w:r>
      <w:r>
        <w:rPr>
          <w:vertAlign w:val="baseline"/>
        </w:rPr>
        <w:t>insurer].”</w:t>
      </w:r>
      <w:r>
        <w:rPr>
          <w:vertAlign w:val="superscript"/>
        </w:rPr>
        <w:t>258</w:t>
      </w:r>
    </w:p>
    <w:p>
      <w:pPr>
        <w:pStyle w:val="BodyText"/>
        <w:spacing w:before="9"/>
        <w:rPr>
          <w:sz w:val="25"/>
        </w:rPr>
      </w:pPr>
    </w:p>
    <w:p>
      <w:pPr>
        <w:pStyle w:val="BodyText"/>
        <w:spacing w:line="242" w:lineRule="auto"/>
        <w:ind w:left="1520" w:right="1521" w:firstLine="720"/>
        <w:jc w:val="both"/>
      </w:pPr>
      <w:r>
        <w:rPr>
          <w:spacing w:val="-3"/>
        </w:rPr>
        <w:t>Where</w:t>
      </w:r>
      <w:r>
        <w:rPr>
          <w:spacing w:val="-13"/>
        </w:rPr>
        <w:t> </w:t>
      </w:r>
      <w:r>
        <w:rPr/>
        <w:t>the</w:t>
      </w:r>
      <w:r>
        <w:rPr>
          <w:spacing w:val="-11"/>
        </w:rPr>
        <w:t> </w:t>
      </w:r>
      <w:r>
        <w:rPr/>
        <w:t>parties’</w:t>
      </w:r>
      <w:r>
        <w:rPr>
          <w:spacing w:val="-14"/>
        </w:rPr>
        <w:t> </w:t>
      </w:r>
      <w:r>
        <w:rPr/>
        <w:t>dispute</w:t>
      </w:r>
      <w:r>
        <w:rPr>
          <w:spacing w:val="-15"/>
        </w:rPr>
        <w:t> </w:t>
      </w:r>
      <w:r>
        <w:rPr/>
        <w:t>is</w:t>
      </w:r>
      <w:r>
        <w:rPr>
          <w:spacing w:val="-13"/>
        </w:rPr>
        <w:t> </w:t>
      </w:r>
      <w:r>
        <w:rPr/>
        <w:t>essentially</w:t>
      </w:r>
      <w:r>
        <w:rPr>
          <w:spacing w:val="-11"/>
        </w:rPr>
        <w:t> </w:t>
      </w:r>
      <w:r>
        <w:rPr/>
        <w:t>a difference regarding coverage, a request for appraisal should be</w:t>
      </w:r>
      <w:r>
        <w:rPr>
          <w:spacing w:val="-3"/>
        </w:rPr>
        <w:t> </w:t>
      </w:r>
      <w:r>
        <w:rPr/>
        <w:t>denied.</w:t>
      </w:r>
      <w:r>
        <w:rPr>
          <w:vertAlign w:val="superscript"/>
        </w:rPr>
        <w:t>259</w:t>
      </w:r>
    </w:p>
    <w:p>
      <w:pPr>
        <w:pStyle w:val="BodyText"/>
        <w:spacing w:before="1"/>
      </w:pPr>
    </w:p>
    <w:p>
      <w:pPr>
        <w:pStyle w:val="BodyText"/>
        <w:spacing w:line="242" w:lineRule="auto" w:before="1"/>
        <w:ind w:left="1520" w:right="1519" w:firstLine="720"/>
        <w:jc w:val="both"/>
      </w:pPr>
      <w:r>
        <w:rPr/>
        <w:t>Courts</w:t>
      </w:r>
      <w:r>
        <w:rPr>
          <w:spacing w:val="-29"/>
        </w:rPr>
        <w:t> </w:t>
      </w:r>
      <w:r>
        <w:rPr/>
        <w:t>have</w:t>
      </w:r>
      <w:r>
        <w:rPr>
          <w:spacing w:val="-29"/>
        </w:rPr>
        <w:t> </w:t>
      </w:r>
      <w:r>
        <w:rPr/>
        <w:t>made</w:t>
      </w:r>
      <w:r>
        <w:rPr>
          <w:spacing w:val="-29"/>
        </w:rPr>
        <w:t> </w:t>
      </w:r>
      <w:r>
        <w:rPr/>
        <w:t>a</w:t>
      </w:r>
      <w:r>
        <w:rPr>
          <w:spacing w:val="-30"/>
        </w:rPr>
        <w:t> </w:t>
      </w:r>
      <w:r>
        <w:rPr/>
        <w:t>distinction</w:t>
      </w:r>
      <w:r>
        <w:rPr>
          <w:spacing w:val="-28"/>
        </w:rPr>
        <w:t> </w:t>
      </w:r>
      <w:r>
        <w:rPr/>
        <w:t>between deciding</w:t>
      </w:r>
      <w:r>
        <w:rPr>
          <w:spacing w:val="29"/>
        </w:rPr>
        <w:t> </w:t>
      </w:r>
      <w:r>
        <w:rPr/>
        <w:t>the</w:t>
      </w:r>
      <w:r>
        <w:rPr>
          <w:spacing w:val="28"/>
        </w:rPr>
        <w:t> </w:t>
      </w:r>
      <w:r>
        <w:rPr/>
        <w:t>value</w:t>
      </w:r>
      <w:r>
        <w:rPr>
          <w:spacing w:val="30"/>
        </w:rPr>
        <w:t> </w:t>
      </w:r>
      <w:r>
        <w:rPr/>
        <w:t>of</w:t>
      </w:r>
      <w:r>
        <w:rPr>
          <w:spacing w:val="29"/>
        </w:rPr>
        <w:t> </w:t>
      </w:r>
      <w:r>
        <w:rPr/>
        <w:t>an</w:t>
      </w:r>
      <w:r>
        <w:rPr>
          <w:spacing w:val="31"/>
        </w:rPr>
        <w:t> </w:t>
      </w:r>
      <w:r>
        <w:rPr/>
        <w:t>item</w:t>
      </w:r>
      <w:r>
        <w:rPr>
          <w:spacing w:val="27"/>
        </w:rPr>
        <w:t> </w:t>
      </w:r>
      <w:r>
        <w:rPr/>
        <w:t>and</w:t>
      </w:r>
      <w:r>
        <w:rPr>
          <w:spacing w:val="29"/>
        </w:rPr>
        <w:t> </w:t>
      </w:r>
      <w:r>
        <w:rPr/>
        <w:t>deciding</w:t>
      </w:r>
    </w:p>
    <w:p>
      <w:pPr>
        <w:pStyle w:val="BodyText"/>
        <w:spacing w:before="7"/>
        <w:rPr>
          <w:sz w:val="27"/>
        </w:rPr>
      </w:pPr>
      <w:r>
        <w:rPr/>
        <w:pict>
          <v:shape style="position:absolute;margin-left:162pt;margin-top:19.333139pt;width:143.9pt;height:.1pt;mso-position-horizontal-relative:page;mso-position-vertical-relative:paragraph;z-index:-251556864;mso-wrap-distance-left:0;mso-wrap-distance-right:0" coordorigin="3240,387" coordsize="2878,0" path="m3240,387l6118,387e" filled="false" stroked="true" strokeweight=".84pt" strokecolor="#000000">
            <v:path arrowok="t"/>
            <v:stroke dashstyle="solid"/>
            <w10:wrap type="topAndBottom"/>
          </v:shape>
        </w:pict>
      </w:r>
    </w:p>
    <w:p>
      <w:pPr>
        <w:pStyle w:val="ListParagraph"/>
        <w:numPr>
          <w:ilvl w:val="0"/>
          <w:numId w:val="18"/>
        </w:numPr>
        <w:tabs>
          <w:tab w:pos="1447" w:val="left" w:leader="none"/>
        </w:tabs>
        <w:spacing w:line="244" w:lineRule="auto" w:before="140" w:after="0"/>
        <w:ind w:left="1160" w:right="1166" w:firstLine="0"/>
        <w:jc w:val="left"/>
        <w:rPr>
          <w:sz w:val="18"/>
        </w:rPr>
      </w:pPr>
      <w:r>
        <w:rPr>
          <w:sz w:val="18"/>
          <w:u w:val="single"/>
        </w:rPr>
        <w:t>Hartford</w:t>
      </w:r>
      <w:r>
        <w:rPr>
          <w:spacing w:val="-9"/>
          <w:sz w:val="18"/>
          <w:u w:val="single"/>
        </w:rPr>
        <w:t> </w:t>
      </w:r>
      <w:r>
        <w:rPr>
          <w:sz w:val="18"/>
          <w:u w:val="single"/>
        </w:rPr>
        <w:t>Cas.</w:t>
      </w:r>
      <w:r>
        <w:rPr>
          <w:spacing w:val="-9"/>
          <w:sz w:val="18"/>
          <w:u w:val="single"/>
        </w:rPr>
        <w:t> </w:t>
      </w:r>
      <w:r>
        <w:rPr>
          <w:sz w:val="18"/>
          <w:u w:val="single"/>
        </w:rPr>
        <w:t>Ins.</w:t>
      </w:r>
      <w:r>
        <w:rPr>
          <w:spacing w:val="-9"/>
          <w:sz w:val="18"/>
          <w:u w:val="single"/>
        </w:rPr>
        <w:t> </w:t>
      </w:r>
      <w:r>
        <w:rPr>
          <w:sz w:val="18"/>
          <w:u w:val="single"/>
        </w:rPr>
        <w:t>Co.</w:t>
      </w:r>
      <w:r>
        <w:rPr>
          <w:spacing w:val="-12"/>
          <w:sz w:val="18"/>
          <w:u w:val="single"/>
        </w:rPr>
        <w:t> </w:t>
      </w:r>
      <w:r>
        <w:rPr>
          <w:sz w:val="18"/>
          <w:u w:val="single"/>
        </w:rPr>
        <w:t>v.</w:t>
      </w:r>
      <w:r>
        <w:rPr>
          <w:spacing w:val="-10"/>
          <w:sz w:val="18"/>
          <w:u w:val="single"/>
        </w:rPr>
        <w:t> </w:t>
      </w:r>
      <w:r>
        <w:rPr>
          <w:sz w:val="18"/>
          <w:u w:val="single"/>
        </w:rPr>
        <w:t>600</w:t>
      </w:r>
      <w:r>
        <w:rPr>
          <w:spacing w:val="-11"/>
          <w:sz w:val="18"/>
          <w:u w:val="single"/>
        </w:rPr>
        <w:t> </w:t>
      </w:r>
      <w:r>
        <w:rPr>
          <w:sz w:val="18"/>
          <w:u w:val="single"/>
        </w:rPr>
        <w:t>La</w:t>
      </w:r>
      <w:r>
        <w:rPr>
          <w:spacing w:val="-12"/>
          <w:sz w:val="18"/>
          <w:u w:val="single"/>
        </w:rPr>
        <w:t> </w:t>
      </w:r>
      <w:r>
        <w:rPr>
          <w:sz w:val="18"/>
          <w:u w:val="single"/>
        </w:rPr>
        <w:t>Peninsula</w:t>
      </w:r>
      <w:r>
        <w:rPr>
          <w:spacing w:val="-12"/>
          <w:sz w:val="18"/>
          <w:u w:val="single"/>
        </w:rPr>
        <w:t> </w:t>
      </w:r>
      <w:r>
        <w:rPr>
          <w:sz w:val="18"/>
          <w:u w:val="single"/>
        </w:rPr>
        <w:t>Condo.</w:t>
      </w:r>
      <w:r>
        <w:rPr>
          <w:spacing w:val="-10"/>
          <w:sz w:val="18"/>
          <w:u w:val="single"/>
        </w:rPr>
        <w:t> </w:t>
      </w:r>
      <w:r>
        <w:rPr>
          <w:sz w:val="18"/>
          <w:u w:val="single"/>
        </w:rPr>
        <w:t>Ass’n,</w:t>
      </w:r>
      <w:r>
        <w:rPr>
          <w:spacing w:val="-9"/>
          <w:sz w:val="18"/>
          <w:u w:val="single"/>
        </w:rPr>
        <w:t> </w:t>
      </w:r>
      <w:r>
        <w:rPr>
          <w:sz w:val="18"/>
          <w:u w:val="single"/>
        </w:rPr>
        <w:t>Inc.</w:t>
      </w:r>
      <w:r>
        <w:rPr>
          <w:sz w:val="18"/>
        </w:rPr>
        <w:t>,</w:t>
      </w:r>
      <w:r>
        <w:rPr>
          <w:spacing w:val="-8"/>
          <w:sz w:val="18"/>
        </w:rPr>
        <w:t> </w:t>
      </w:r>
      <w:r>
        <w:rPr>
          <w:sz w:val="18"/>
        </w:rPr>
        <w:t>2010</w:t>
      </w:r>
      <w:r>
        <w:rPr>
          <w:spacing w:val="-8"/>
          <w:sz w:val="18"/>
        </w:rPr>
        <w:t> </w:t>
      </w:r>
      <w:r>
        <w:rPr>
          <w:sz w:val="18"/>
        </w:rPr>
        <w:t>WL</w:t>
      </w:r>
      <w:r>
        <w:rPr>
          <w:spacing w:val="-10"/>
          <w:sz w:val="18"/>
        </w:rPr>
        <w:t> </w:t>
      </w:r>
      <w:r>
        <w:rPr>
          <w:sz w:val="18"/>
        </w:rPr>
        <w:t>555686</w:t>
      </w:r>
      <w:r>
        <w:rPr>
          <w:spacing w:val="-9"/>
          <w:sz w:val="18"/>
        </w:rPr>
        <w:t> </w:t>
      </w:r>
      <w:r>
        <w:rPr>
          <w:sz w:val="18"/>
        </w:rPr>
        <w:t>(M.D. Fla., 2010).</w:t>
      </w:r>
    </w:p>
    <w:p>
      <w:pPr>
        <w:spacing w:line="195" w:lineRule="exact" w:before="0"/>
        <w:ind w:left="1160" w:right="0" w:firstLine="0"/>
        <w:jc w:val="left"/>
        <w:rPr>
          <w:rFonts w:ascii="Times New Roman"/>
          <w:sz w:val="18"/>
        </w:rPr>
      </w:pPr>
      <w:r>
        <w:rPr>
          <w:rFonts w:ascii="Times New Roman"/>
          <w:position w:val="10"/>
          <w:sz w:val="14"/>
        </w:rPr>
        <w:t>257 </w:t>
      </w:r>
      <w:r>
        <w:rPr>
          <w:rFonts w:ascii="Times New Roman"/>
          <w:sz w:val="18"/>
        </w:rPr>
        <w:t>685 So.2d 1285 (Fla., 1996).</w:t>
      </w:r>
    </w:p>
    <w:p>
      <w:pPr>
        <w:pStyle w:val="ListParagraph"/>
        <w:numPr>
          <w:ilvl w:val="0"/>
          <w:numId w:val="19"/>
        </w:numPr>
        <w:tabs>
          <w:tab w:pos="1421" w:val="left" w:leader="none"/>
        </w:tabs>
        <w:spacing w:line="240" w:lineRule="exact" w:before="0" w:after="0"/>
        <w:ind w:left="1421" w:right="0" w:hanging="261"/>
        <w:jc w:val="left"/>
        <w:rPr>
          <w:sz w:val="18"/>
        </w:rPr>
      </w:pPr>
      <w:r>
        <w:rPr>
          <w:sz w:val="18"/>
          <w:u w:val="single"/>
        </w:rPr>
        <w:t>Liberty American Ins. Co. v. Kennedy</w:t>
      </w:r>
      <w:r>
        <w:rPr>
          <w:sz w:val="18"/>
        </w:rPr>
        <w:t>, 890 So.2d 539</w:t>
      </w:r>
      <w:r>
        <w:rPr>
          <w:spacing w:val="-2"/>
          <w:sz w:val="18"/>
        </w:rPr>
        <w:t> </w:t>
      </w:r>
      <w:r>
        <w:rPr>
          <w:sz w:val="18"/>
        </w:rPr>
        <w:t>(2005).</w:t>
      </w:r>
    </w:p>
    <w:p>
      <w:pPr>
        <w:pStyle w:val="ListParagraph"/>
        <w:numPr>
          <w:ilvl w:val="0"/>
          <w:numId w:val="19"/>
        </w:numPr>
        <w:tabs>
          <w:tab w:pos="1444" w:val="left" w:leader="none"/>
        </w:tabs>
        <w:spacing w:line="261" w:lineRule="auto" w:before="0" w:after="0"/>
        <w:ind w:left="1160" w:right="1161" w:firstLine="0"/>
        <w:jc w:val="left"/>
        <w:rPr>
          <w:sz w:val="18"/>
        </w:rPr>
      </w:pPr>
      <w:r>
        <w:rPr>
          <w:sz w:val="18"/>
          <w:u w:val="single"/>
        </w:rPr>
        <w:t>Indian Chef, Inc. v. Fire &amp; Cas. Ins. Co. of Connecticut</w:t>
      </w:r>
      <w:r>
        <w:rPr>
          <w:sz w:val="18"/>
        </w:rPr>
        <w:t>, 2003 WL 329054 (S.D.N.Y. 2003);</w:t>
      </w:r>
      <w:r>
        <w:rPr>
          <w:spacing w:val="-3"/>
          <w:sz w:val="18"/>
        </w:rPr>
        <w:t> </w:t>
      </w:r>
      <w:r>
        <w:rPr>
          <w:sz w:val="18"/>
          <w:u w:val="single"/>
        </w:rPr>
        <w:t>Kawa</w:t>
      </w:r>
      <w:r>
        <w:rPr>
          <w:spacing w:val="-4"/>
          <w:sz w:val="18"/>
          <w:u w:val="single"/>
        </w:rPr>
        <w:t> </w:t>
      </w:r>
      <w:r>
        <w:rPr>
          <w:sz w:val="18"/>
          <w:u w:val="single"/>
        </w:rPr>
        <w:t>v.</w:t>
      </w:r>
      <w:r>
        <w:rPr>
          <w:spacing w:val="-3"/>
          <w:sz w:val="18"/>
          <w:u w:val="single"/>
        </w:rPr>
        <w:t> </w:t>
      </w:r>
      <w:r>
        <w:rPr>
          <w:sz w:val="18"/>
          <w:u w:val="single"/>
        </w:rPr>
        <w:t>Nationwide</w:t>
      </w:r>
      <w:r>
        <w:rPr>
          <w:spacing w:val="-3"/>
          <w:sz w:val="18"/>
          <w:u w:val="single"/>
        </w:rPr>
        <w:t> </w:t>
      </w:r>
      <w:r>
        <w:rPr>
          <w:sz w:val="18"/>
          <w:u w:val="single"/>
        </w:rPr>
        <w:t>Mut.</w:t>
      </w:r>
      <w:r>
        <w:rPr>
          <w:spacing w:val="-3"/>
          <w:sz w:val="18"/>
          <w:u w:val="single"/>
        </w:rPr>
        <w:t> </w:t>
      </w:r>
      <w:r>
        <w:rPr>
          <w:sz w:val="18"/>
          <w:u w:val="single"/>
        </w:rPr>
        <w:t>Ins.</w:t>
      </w:r>
      <w:r>
        <w:rPr>
          <w:spacing w:val="-4"/>
          <w:sz w:val="18"/>
          <w:u w:val="single"/>
        </w:rPr>
        <w:t> </w:t>
      </w:r>
      <w:r>
        <w:rPr>
          <w:sz w:val="18"/>
          <w:u w:val="single"/>
        </w:rPr>
        <w:t>Co.</w:t>
      </w:r>
      <w:r>
        <w:rPr>
          <w:sz w:val="18"/>
        </w:rPr>
        <w:t>,</w:t>
      </w:r>
      <w:r>
        <w:rPr>
          <w:spacing w:val="-2"/>
          <w:sz w:val="18"/>
        </w:rPr>
        <w:t> </w:t>
      </w:r>
      <w:r>
        <w:rPr>
          <w:sz w:val="18"/>
        </w:rPr>
        <w:t>664</w:t>
      </w:r>
      <w:r>
        <w:rPr>
          <w:spacing w:val="-1"/>
          <w:sz w:val="18"/>
        </w:rPr>
        <w:t> </w:t>
      </w:r>
      <w:r>
        <w:rPr>
          <w:sz w:val="18"/>
        </w:rPr>
        <w:t>N.Y.S.2d</w:t>
      </w:r>
      <w:r>
        <w:rPr>
          <w:spacing w:val="-5"/>
          <w:sz w:val="18"/>
        </w:rPr>
        <w:t> </w:t>
      </w:r>
      <w:r>
        <w:rPr>
          <w:sz w:val="18"/>
        </w:rPr>
        <w:t>430,</w:t>
      </w:r>
      <w:r>
        <w:rPr>
          <w:spacing w:val="-5"/>
          <w:sz w:val="18"/>
        </w:rPr>
        <w:t> </w:t>
      </w:r>
      <w:r>
        <w:rPr>
          <w:sz w:val="18"/>
        </w:rPr>
        <w:t>431,</w:t>
      </w:r>
      <w:r>
        <w:rPr>
          <w:spacing w:val="-5"/>
          <w:sz w:val="18"/>
        </w:rPr>
        <w:t> </w:t>
      </w:r>
      <w:r>
        <w:rPr>
          <w:sz w:val="18"/>
        </w:rPr>
        <w:t>174</w:t>
      </w:r>
      <w:r>
        <w:rPr>
          <w:spacing w:val="-5"/>
          <w:sz w:val="18"/>
        </w:rPr>
        <w:t> </w:t>
      </w:r>
      <w:r>
        <w:rPr>
          <w:sz w:val="18"/>
        </w:rPr>
        <w:t>Misc.2d</w:t>
      </w:r>
      <w:r>
        <w:rPr>
          <w:spacing w:val="-1"/>
          <w:sz w:val="18"/>
        </w:rPr>
        <w:t> </w:t>
      </w:r>
      <w:r>
        <w:rPr>
          <w:sz w:val="18"/>
        </w:rPr>
        <w:t>407,</w:t>
      </w:r>
      <w:r>
        <w:rPr>
          <w:spacing w:val="-3"/>
          <w:sz w:val="18"/>
        </w:rPr>
        <w:t> </w:t>
      </w:r>
      <w:r>
        <w:rPr>
          <w:sz w:val="18"/>
        </w:rPr>
        <w:t>1997</w:t>
      </w:r>
    </w:p>
    <w:p>
      <w:pPr>
        <w:spacing w:line="193" w:lineRule="exact" w:before="0"/>
        <w:ind w:left="1160" w:right="0" w:firstLine="0"/>
        <w:jc w:val="left"/>
        <w:rPr>
          <w:rFonts w:ascii="Times New Roman"/>
          <w:sz w:val="18"/>
        </w:rPr>
      </w:pPr>
      <w:r>
        <w:rPr>
          <w:rFonts w:ascii="Times New Roman"/>
          <w:sz w:val="18"/>
        </w:rPr>
        <w:t>N.Y. Slip Op. 97580 (1997).</w:t>
      </w:r>
    </w:p>
    <w:p>
      <w:pPr>
        <w:spacing w:after="0" w:line="193" w:lineRule="exact"/>
        <w:jc w:val="left"/>
        <w:rPr>
          <w:rFonts w:ascii="Times New Roman"/>
          <w:sz w:val="18"/>
        </w:rPr>
        <w:sectPr>
          <w:footerReference w:type="default" r:id="rId15"/>
          <w:pgSz w:w="12240" w:h="15840"/>
          <w:pgMar w:footer="2273" w:header="0" w:top="1500" w:bottom="2460" w:left="1720" w:right="1720"/>
          <w:pgNumType w:start="151"/>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176" w:id="87"/>
      <w:bookmarkEnd w:id="87"/>
      <w:r>
        <w:rPr/>
      </w:r>
      <w:r>
        <w:rPr/>
        <w:t>the type of the item that was damaged. For example, in </w:t>
      </w:r>
      <w:r>
        <w:rPr>
          <w:u w:val="single"/>
        </w:rPr>
        <w:t>Edison Textiles, Inc. v. Topa Ins.</w:t>
      </w:r>
      <w:r>
        <w:rPr/>
        <w:t> </w:t>
      </w:r>
      <w:r>
        <w:rPr>
          <w:u w:val="single"/>
        </w:rPr>
        <w:t>Co.</w:t>
      </w:r>
      <w:r>
        <w:rPr/>
        <w:t>,</w:t>
      </w:r>
      <w:r>
        <w:rPr>
          <w:vertAlign w:val="superscript"/>
        </w:rPr>
        <w:t>260</w:t>
      </w:r>
      <w:r>
        <w:rPr>
          <w:vertAlign w:val="baseline"/>
        </w:rPr>
        <w:t> the California Court of Appeals </w:t>
      </w:r>
      <w:r>
        <w:rPr>
          <w:spacing w:val="-7"/>
          <w:vertAlign w:val="baseline"/>
        </w:rPr>
        <w:t>found </w:t>
      </w:r>
      <w:r>
        <w:rPr>
          <w:vertAlign w:val="baseline"/>
        </w:rPr>
        <w:t>fault</w:t>
      </w:r>
      <w:r>
        <w:rPr>
          <w:spacing w:val="-18"/>
          <w:vertAlign w:val="baseline"/>
        </w:rPr>
        <w:t> </w:t>
      </w:r>
      <w:r>
        <w:rPr>
          <w:vertAlign w:val="baseline"/>
        </w:rPr>
        <w:t>with</w:t>
      </w:r>
      <w:r>
        <w:rPr>
          <w:spacing w:val="-19"/>
          <w:vertAlign w:val="baseline"/>
        </w:rPr>
        <w:t> </w:t>
      </w:r>
      <w:r>
        <w:rPr>
          <w:vertAlign w:val="baseline"/>
        </w:rPr>
        <w:t>an</w:t>
      </w:r>
      <w:r>
        <w:rPr>
          <w:spacing w:val="-20"/>
          <w:vertAlign w:val="baseline"/>
        </w:rPr>
        <w:t> </w:t>
      </w:r>
      <w:r>
        <w:rPr>
          <w:vertAlign w:val="baseline"/>
        </w:rPr>
        <w:t>umpire</w:t>
      </w:r>
      <w:r>
        <w:rPr>
          <w:spacing w:val="-22"/>
          <w:vertAlign w:val="baseline"/>
        </w:rPr>
        <w:t> </w:t>
      </w:r>
      <w:r>
        <w:rPr>
          <w:vertAlign w:val="baseline"/>
        </w:rPr>
        <w:t>who</w:t>
      </w:r>
      <w:r>
        <w:rPr>
          <w:spacing w:val="-17"/>
          <w:vertAlign w:val="baseline"/>
        </w:rPr>
        <w:t> </w:t>
      </w:r>
      <w:r>
        <w:rPr>
          <w:vertAlign w:val="baseline"/>
        </w:rPr>
        <w:t>exceeded</w:t>
      </w:r>
      <w:r>
        <w:rPr>
          <w:spacing w:val="-20"/>
          <w:vertAlign w:val="baseline"/>
        </w:rPr>
        <w:t> </w:t>
      </w:r>
      <w:r>
        <w:rPr>
          <w:vertAlign w:val="baseline"/>
        </w:rPr>
        <w:t>his</w:t>
      </w:r>
      <w:r>
        <w:rPr>
          <w:spacing w:val="-19"/>
          <w:vertAlign w:val="baseline"/>
        </w:rPr>
        <w:t> </w:t>
      </w:r>
      <w:r>
        <w:rPr>
          <w:vertAlign w:val="baseline"/>
        </w:rPr>
        <w:t>powers by</w:t>
      </w:r>
      <w:r>
        <w:rPr>
          <w:spacing w:val="-13"/>
          <w:vertAlign w:val="baseline"/>
        </w:rPr>
        <w:t> </w:t>
      </w:r>
      <w:r>
        <w:rPr>
          <w:vertAlign w:val="baseline"/>
        </w:rPr>
        <w:t>improperly</w:t>
      </w:r>
      <w:r>
        <w:rPr>
          <w:spacing w:val="-12"/>
          <w:vertAlign w:val="baseline"/>
        </w:rPr>
        <w:t> </w:t>
      </w:r>
      <w:r>
        <w:rPr>
          <w:vertAlign w:val="baseline"/>
        </w:rPr>
        <w:t>looking</w:t>
      </w:r>
      <w:r>
        <w:rPr>
          <w:spacing w:val="-10"/>
          <w:vertAlign w:val="baseline"/>
        </w:rPr>
        <w:t> </w:t>
      </w:r>
      <w:r>
        <w:rPr>
          <w:vertAlign w:val="baseline"/>
        </w:rPr>
        <w:t>into</w:t>
      </w:r>
      <w:r>
        <w:rPr>
          <w:spacing w:val="-11"/>
          <w:vertAlign w:val="baseline"/>
        </w:rPr>
        <w:t> </w:t>
      </w:r>
      <w:r>
        <w:rPr>
          <w:vertAlign w:val="baseline"/>
        </w:rPr>
        <w:t>what</w:t>
      </w:r>
      <w:r>
        <w:rPr>
          <w:spacing w:val="-11"/>
          <w:vertAlign w:val="baseline"/>
        </w:rPr>
        <w:t> </w:t>
      </w:r>
      <w:r>
        <w:rPr>
          <w:vertAlign w:val="baseline"/>
        </w:rPr>
        <w:t>nature</w:t>
      </w:r>
      <w:r>
        <w:rPr>
          <w:spacing w:val="-11"/>
          <w:vertAlign w:val="baseline"/>
        </w:rPr>
        <w:t> </w:t>
      </w:r>
      <w:r>
        <w:rPr>
          <w:vertAlign w:val="baseline"/>
        </w:rPr>
        <w:t>or</w:t>
      </w:r>
      <w:r>
        <w:rPr>
          <w:spacing w:val="-12"/>
          <w:vertAlign w:val="baseline"/>
        </w:rPr>
        <w:t> </w:t>
      </w:r>
      <w:r>
        <w:rPr>
          <w:vertAlign w:val="baseline"/>
        </w:rPr>
        <w:t>type of property comprised the loss inventory. </w:t>
      </w:r>
      <w:r>
        <w:rPr>
          <w:spacing w:val="-6"/>
          <w:vertAlign w:val="baseline"/>
        </w:rPr>
        <w:t>The </w:t>
      </w:r>
      <w:r>
        <w:rPr>
          <w:vertAlign w:val="baseline"/>
        </w:rPr>
        <w:t>insured also established that the umpire had improperly looked into the insured’s credibility as well as whether the insured had carried its burden of proof with regard to proving what inventory was actually lost. Rather than assessing the value of the damaged</w:t>
      </w:r>
      <w:r>
        <w:rPr>
          <w:spacing w:val="-50"/>
          <w:vertAlign w:val="baseline"/>
        </w:rPr>
        <w:t> </w:t>
      </w:r>
      <w:r>
        <w:rPr>
          <w:vertAlign w:val="baseline"/>
        </w:rPr>
        <w:t>property, the umpire exceeded his powers by making</w:t>
      </w:r>
      <w:r>
        <w:rPr>
          <w:spacing w:val="-31"/>
          <w:vertAlign w:val="baseline"/>
        </w:rPr>
        <w:t> </w:t>
      </w:r>
      <w:r>
        <w:rPr>
          <w:vertAlign w:val="baseline"/>
        </w:rPr>
        <w:t>a factual determination as to what part of the inventory was residual fabric/trim and what part was bulk fabric. This was held to be impermissible.</w:t>
      </w:r>
    </w:p>
    <w:p>
      <w:pPr>
        <w:pStyle w:val="BodyText"/>
        <w:spacing w:before="8"/>
        <w:rPr>
          <w:sz w:val="25"/>
        </w:rPr>
      </w:pPr>
    </w:p>
    <w:p>
      <w:pPr>
        <w:pStyle w:val="BodyText"/>
        <w:spacing w:line="242" w:lineRule="auto"/>
        <w:ind w:left="1520" w:right="1518" w:firstLine="720"/>
        <w:jc w:val="both"/>
      </w:pPr>
      <w:r>
        <w:rPr/>
        <w:t>The</w:t>
      </w:r>
      <w:r>
        <w:rPr>
          <w:spacing w:val="-20"/>
        </w:rPr>
        <w:t> </w:t>
      </w:r>
      <w:r>
        <w:rPr/>
        <w:t>insurance</w:t>
      </w:r>
      <w:r>
        <w:rPr>
          <w:spacing w:val="-19"/>
        </w:rPr>
        <w:t> </w:t>
      </w:r>
      <w:r>
        <w:rPr/>
        <w:t>policy’s</w:t>
      </w:r>
      <w:r>
        <w:rPr>
          <w:spacing w:val="-20"/>
        </w:rPr>
        <w:t> </w:t>
      </w:r>
      <w:r>
        <w:rPr/>
        <w:t>appraisal</w:t>
      </w:r>
      <w:r>
        <w:rPr>
          <w:spacing w:val="-16"/>
        </w:rPr>
        <w:t> </w:t>
      </w:r>
      <w:r>
        <w:rPr/>
        <w:t>clause</w:t>
      </w:r>
      <w:r>
        <w:rPr>
          <w:spacing w:val="-17"/>
        </w:rPr>
        <w:t> </w:t>
      </w:r>
      <w:r>
        <w:rPr/>
        <w:t>is devoid of any authority to determine coverage, deductibles, credits or off-sets of any kind. Additionally, there is no authority to award interest, attorneys’ fees or other </w:t>
      </w:r>
      <w:r>
        <w:rPr>
          <w:spacing w:val="9"/>
        </w:rPr>
        <w:t>professional </w:t>
      </w:r>
      <w:r>
        <w:rPr>
          <w:spacing w:val="8"/>
        </w:rPr>
        <w:t>fees </w:t>
      </w:r>
      <w:r>
        <w:rPr>
          <w:spacing w:val="7"/>
        </w:rPr>
        <w:t>(unless coverage </w:t>
      </w:r>
      <w:r>
        <w:rPr>
          <w:spacing w:val="5"/>
        </w:rPr>
        <w:t>is </w:t>
      </w:r>
      <w:r>
        <w:rPr/>
        <w:t>specifically provided</w:t>
      </w:r>
      <w:r>
        <w:rPr>
          <w:spacing w:val="-3"/>
        </w:rPr>
        <w:t> </w:t>
      </w:r>
      <w:r>
        <w:rPr/>
        <w:t>therefore).</w:t>
      </w:r>
      <w:r>
        <w:rPr>
          <w:vertAlign w:val="superscript"/>
        </w:rPr>
        <w:t>261</w:t>
      </w:r>
    </w:p>
    <w:p>
      <w:pPr>
        <w:pStyle w:val="BodyText"/>
        <w:spacing w:before="10"/>
        <w:rPr>
          <w:sz w:val="14"/>
        </w:rPr>
      </w:pPr>
      <w:r>
        <w:rPr/>
        <w:pict>
          <v:shape style="position:absolute;margin-left:162pt;margin-top:11.482715pt;width:143.9pt;height:.1pt;mso-position-horizontal-relative:page;mso-position-vertical-relative:paragraph;z-index:-251555840;mso-wrap-distance-left:0;mso-wrap-distance-right:0" coordorigin="3240,230" coordsize="2878,0" path="m3240,230l6118,230e" filled="false" stroked="true" strokeweight=".84pt" strokecolor="#000000">
            <v:path arrowok="t"/>
            <v:stroke dashstyle="solid"/>
            <w10:wrap type="topAndBottom"/>
          </v:shape>
        </w:pict>
      </w:r>
    </w:p>
    <w:p>
      <w:pPr>
        <w:pStyle w:val="BodyText"/>
        <w:spacing w:before="4"/>
        <w:rPr>
          <w:sz w:val="10"/>
        </w:rPr>
      </w:pPr>
    </w:p>
    <w:p>
      <w:pPr>
        <w:spacing w:before="71"/>
        <w:ind w:left="1160" w:right="0" w:firstLine="0"/>
        <w:jc w:val="both"/>
        <w:rPr>
          <w:rFonts w:ascii="Times New Roman"/>
          <w:sz w:val="18"/>
        </w:rPr>
      </w:pPr>
      <w:r>
        <w:rPr>
          <w:rFonts w:ascii="Times New Roman"/>
          <w:position w:val="10"/>
          <w:sz w:val="14"/>
        </w:rPr>
        <w:t>260 </w:t>
      </w:r>
      <w:r>
        <w:rPr>
          <w:rFonts w:ascii="Times New Roman"/>
          <w:sz w:val="18"/>
        </w:rPr>
        <w:t>2004 WL 1203072 (Cal. App. 2</w:t>
      </w:r>
      <w:r>
        <w:rPr>
          <w:rFonts w:ascii="Times New Roman"/>
          <w:position w:val="7"/>
          <w:sz w:val="10"/>
        </w:rPr>
        <w:t>nd </w:t>
      </w:r>
      <w:r>
        <w:rPr>
          <w:rFonts w:ascii="Times New Roman"/>
          <w:sz w:val="18"/>
        </w:rPr>
        <w:t>Dist. 2004).</w:t>
      </w:r>
    </w:p>
    <w:p>
      <w:pPr>
        <w:pStyle w:val="ListParagraph"/>
        <w:numPr>
          <w:ilvl w:val="0"/>
          <w:numId w:val="20"/>
        </w:numPr>
        <w:tabs>
          <w:tab w:pos="1433" w:val="left" w:leader="none"/>
        </w:tabs>
        <w:spacing w:line="249" w:lineRule="auto" w:before="14" w:after="0"/>
        <w:ind w:left="1160" w:right="1165" w:firstLine="0"/>
        <w:jc w:val="both"/>
        <w:rPr>
          <w:sz w:val="18"/>
        </w:rPr>
      </w:pPr>
      <w:r>
        <w:rPr>
          <w:sz w:val="18"/>
          <w:u w:val="single"/>
        </w:rPr>
        <w:t>Hanson</w:t>
      </w:r>
      <w:r>
        <w:rPr>
          <w:spacing w:val="-2"/>
          <w:sz w:val="18"/>
          <w:u w:val="single"/>
        </w:rPr>
        <w:t> </w:t>
      </w:r>
      <w:r>
        <w:rPr>
          <w:sz w:val="18"/>
          <w:u w:val="single"/>
        </w:rPr>
        <w:t>v.</w:t>
      </w:r>
      <w:r>
        <w:rPr>
          <w:spacing w:val="-2"/>
          <w:sz w:val="18"/>
          <w:u w:val="single"/>
        </w:rPr>
        <w:t> </w:t>
      </w:r>
      <w:r>
        <w:rPr>
          <w:sz w:val="18"/>
          <w:u w:val="single"/>
        </w:rPr>
        <w:t>Commercial</w:t>
      </w:r>
      <w:r>
        <w:rPr>
          <w:spacing w:val="-4"/>
          <w:sz w:val="18"/>
          <w:u w:val="single"/>
        </w:rPr>
        <w:t> </w:t>
      </w:r>
      <w:r>
        <w:rPr>
          <w:sz w:val="18"/>
          <w:u w:val="single"/>
        </w:rPr>
        <w:t>Union</w:t>
      </w:r>
      <w:r>
        <w:rPr>
          <w:spacing w:val="-1"/>
          <w:sz w:val="18"/>
          <w:u w:val="single"/>
        </w:rPr>
        <w:t> </w:t>
      </w:r>
      <w:r>
        <w:rPr>
          <w:sz w:val="18"/>
          <w:u w:val="single"/>
        </w:rPr>
        <w:t>Ins.</w:t>
      </w:r>
      <w:r>
        <w:rPr>
          <w:spacing w:val="-2"/>
          <w:sz w:val="18"/>
          <w:u w:val="single"/>
        </w:rPr>
        <w:t> </w:t>
      </w:r>
      <w:r>
        <w:rPr>
          <w:sz w:val="18"/>
          <w:u w:val="single"/>
        </w:rPr>
        <w:t>Co.</w:t>
      </w:r>
      <w:r>
        <w:rPr>
          <w:sz w:val="18"/>
        </w:rPr>
        <w:t>,</w:t>
      </w:r>
      <w:r>
        <w:rPr>
          <w:spacing w:val="-1"/>
          <w:sz w:val="18"/>
        </w:rPr>
        <w:t> </w:t>
      </w:r>
      <w:r>
        <w:rPr>
          <w:sz w:val="18"/>
        </w:rPr>
        <w:t>150</w:t>
      </w:r>
      <w:r>
        <w:rPr>
          <w:spacing w:val="-1"/>
          <w:sz w:val="18"/>
        </w:rPr>
        <w:t> </w:t>
      </w:r>
      <w:r>
        <w:rPr>
          <w:sz w:val="18"/>
        </w:rPr>
        <w:t>Ariz.</w:t>
      </w:r>
      <w:r>
        <w:rPr>
          <w:spacing w:val="-2"/>
          <w:sz w:val="18"/>
        </w:rPr>
        <w:t> </w:t>
      </w:r>
      <w:r>
        <w:rPr>
          <w:sz w:val="18"/>
        </w:rPr>
        <w:t>283,</w:t>
      </w:r>
      <w:r>
        <w:rPr>
          <w:spacing w:val="-3"/>
          <w:sz w:val="18"/>
        </w:rPr>
        <w:t> </w:t>
      </w:r>
      <w:r>
        <w:rPr>
          <w:sz w:val="18"/>
        </w:rPr>
        <w:t>723</w:t>
      </w:r>
      <w:r>
        <w:rPr>
          <w:spacing w:val="-2"/>
          <w:sz w:val="18"/>
        </w:rPr>
        <w:t> </w:t>
      </w:r>
      <w:r>
        <w:rPr>
          <w:sz w:val="18"/>
        </w:rPr>
        <w:t>P.2d</w:t>
      </w:r>
      <w:r>
        <w:rPr>
          <w:spacing w:val="-1"/>
          <w:sz w:val="18"/>
        </w:rPr>
        <w:t> </w:t>
      </w:r>
      <w:r>
        <w:rPr>
          <w:sz w:val="18"/>
        </w:rPr>
        <w:t>101</w:t>
      </w:r>
      <w:r>
        <w:rPr>
          <w:spacing w:val="-3"/>
          <w:sz w:val="18"/>
        </w:rPr>
        <w:t> </w:t>
      </w:r>
      <w:r>
        <w:rPr>
          <w:sz w:val="18"/>
        </w:rPr>
        <w:t>(Ariz.</w:t>
      </w:r>
      <w:r>
        <w:rPr>
          <w:spacing w:val="-4"/>
          <w:sz w:val="18"/>
        </w:rPr>
        <w:t> </w:t>
      </w:r>
      <w:r>
        <w:rPr>
          <w:sz w:val="18"/>
        </w:rPr>
        <w:t>App.</w:t>
      </w:r>
      <w:r>
        <w:rPr>
          <w:spacing w:val="-2"/>
          <w:sz w:val="18"/>
        </w:rPr>
        <w:t> </w:t>
      </w:r>
      <w:r>
        <w:rPr>
          <w:sz w:val="18"/>
        </w:rPr>
        <w:t>Div</w:t>
      </w:r>
      <w:r>
        <w:rPr>
          <w:spacing w:val="-3"/>
          <w:sz w:val="18"/>
        </w:rPr>
        <w:t> </w:t>
      </w:r>
      <w:r>
        <w:rPr>
          <w:sz w:val="18"/>
        </w:rPr>
        <w:t>1 1986);</w:t>
      </w:r>
      <w:r>
        <w:rPr>
          <w:spacing w:val="-12"/>
          <w:sz w:val="18"/>
        </w:rPr>
        <w:t> </w:t>
      </w:r>
      <w:r>
        <w:rPr>
          <w:sz w:val="18"/>
          <w:u w:val="single"/>
        </w:rPr>
        <w:t>Jefferson</w:t>
      </w:r>
      <w:r>
        <w:rPr>
          <w:spacing w:val="-12"/>
          <w:sz w:val="18"/>
          <w:u w:val="single"/>
        </w:rPr>
        <w:t> </w:t>
      </w:r>
      <w:r>
        <w:rPr>
          <w:sz w:val="18"/>
          <w:u w:val="single"/>
        </w:rPr>
        <w:t>Ins.</w:t>
      </w:r>
      <w:r>
        <w:rPr>
          <w:spacing w:val="-12"/>
          <w:sz w:val="18"/>
          <w:u w:val="single"/>
        </w:rPr>
        <w:t> </w:t>
      </w:r>
      <w:r>
        <w:rPr>
          <w:sz w:val="18"/>
          <w:u w:val="single"/>
        </w:rPr>
        <w:t>Co.</w:t>
      </w:r>
      <w:r>
        <w:rPr>
          <w:spacing w:val="-12"/>
          <w:sz w:val="18"/>
          <w:u w:val="single"/>
        </w:rPr>
        <w:t> </w:t>
      </w:r>
      <w:r>
        <w:rPr>
          <w:sz w:val="18"/>
          <w:u w:val="single"/>
        </w:rPr>
        <w:t>of</w:t>
      </w:r>
      <w:r>
        <w:rPr>
          <w:spacing w:val="-15"/>
          <w:sz w:val="18"/>
          <w:u w:val="single"/>
        </w:rPr>
        <w:t> </w:t>
      </w:r>
      <w:r>
        <w:rPr>
          <w:sz w:val="18"/>
          <w:u w:val="single"/>
        </w:rPr>
        <w:t>New</w:t>
      </w:r>
      <w:r>
        <w:rPr>
          <w:spacing w:val="-16"/>
          <w:sz w:val="18"/>
          <w:u w:val="single"/>
        </w:rPr>
        <w:t> </w:t>
      </w:r>
      <w:r>
        <w:rPr>
          <w:sz w:val="18"/>
          <w:u w:val="single"/>
        </w:rPr>
        <w:t>York</w:t>
      </w:r>
      <w:r>
        <w:rPr>
          <w:spacing w:val="22"/>
          <w:sz w:val="18"/>
          <w:u w:val="single"/>
        </w:rPr>
        <w:t> </w:t>
      </w:r>
      <w:r>
        <w:rPr>
          <w:sz w:val="18"/>
          <w:u w:val="single"/>
        </w:rPr>
        <w:t>v.</w:t>
      </w:r>
      <w:r>
        <w:rPr>
          <w:spacing w:val="-9"/>
          <w:sz w:val="18"/>
          <w:u w:val="single"/>
        </w:rPr>
        <w:t> </w:t>
      </w:r>
      <w:r>
        <w:rPr>
          <w:sz w:val="18"/>
          <w:u w:val="single"/>
        </w:rPr>
        <w:t>Superior</w:t>
      </w:r>
      <w:r>
        <w:rPr>
          <w:spacing w:val="-12"/>
          <w:sz w:val="18"/>
          <w:u w:val="single"/>
        </w:rPr>
        <w:t> </w:t>
      </w:r>
      <w:r>
        <w:rPr>
          <w:sz w:val="18"/>
          <w:u w:val="single"/>
        </w:rPr>
        <w:t>Court</w:t>
      </w:r>
      <w:r>
        <w:rPr>
          <w:spacing w:val="-11"/>
          <w:sz w:val="18"/>
          <w:u w:val="single"/>
        </w:rPr>
        <w:t> </w:t>
      </w:r>
      <w:r>
        <w:rPr>
          <w:sz w:val="18"/>
          <w:u w:val="single"/>
        </w:rPr>
        <w:t>of</w:t>
      </w:r>
      <w:r>
        <w:rPr>
          <w:spacing w:val="-15"/>
          <w:sz w:val="18"/>
          <w:u w:val="single"/>
        </w:rPr>
        <w:t> </w:t>
      </w:r>
      <w:r>
        <w:rPr>
          <w:sz w:val="18"/>
          <w:u w:val="single"/>
        </w:rPr>
        <w:t>Alemeda</w:t>
      </w:r>
      <w:r>
        <w:rPr>
          <w:spacing w:val="-13"/>
          <w:sz w:val="18"/>
          <w:u w:val="single"/>
        </w:rPr>
        <w:t> </w:t>
      </w:r>
      <w:r>
        <w:rPr>
          <w:sz w:val="18"/>
          <w:u w:val="single"/>
        </w:rPr>
        <w:t>County</w:t>
      </w:r>
      <w:r>
        <w:rPr>
          <w:sz w:val="18"/>
        </w:rPr>
        <w:t>,</w:t>
      </w:r>
      <w:r>
        <w:rPr>
          <w:spacing w:val="-12"/>
          <w:sz w:val="18"/>
        </w:rPr>
        <w:t> </w:t>
      </w:r>
      <w:r>
        <w:rPr>
          <w:sz w:val="18"/>
        </w:rPr>
        <w:t>3</w:t>
      </w:r>
      <w:r>
        <w:rPr>
          <w:spacing w:val="-11"/>
          <w:sz w:val="18"/>
        </w:rPr>
        <w:t> </w:t>
      </w:r>
      <w:r>
        <w:rPr>
          <w:sz w:val="18"/>
        </w:rPr>
        <w:t>Cal.3d</w:t>
      </w:r>
      <w:r>
        <w:rPr>
          <w:spacing w:val="-12"/>
          <w:sz w:val="18"/>
        </w:rPr>
        <w:t> </w:t>
      </w:r>
      <w:r>
        <w:rPr>
          <w:sz w:val="18"/>
        </w:rPr>
        <w:t>398, 475 P.2d 880, 90 Cal. Rptr. 608 (1970); </w:t>
      </w:r>
      <w:r>
        <w:rPr>
          <w:sz w:val="18"/>
          <w:u w:val="single"/>
        </w:rPr>
        <w:t>Commonwealth Ins. Co. v. Solomon</w:t>
      </w:r>
      <w:r>
        <w:rPr>
          <w:sz w:val="18"/>
        </w:rPr>
        <w:t>, 32 Del. 98, 119 A. 850 (1923); </w:t>
      </w:r>
      <w:r>
        <w:rPr>
          <w:sz w:val="18"/>
          <w:u w:val="single"/>
        </w:rPr>
        <w:t>Opar v. Allstate Ins. Co.</w:t>
      </w:r>
      <w:r>
        <w:rPr>
          <w:sz w:val="18"/>
        </w:rPr>
        <w:t>, 751 So.2d 758 (Fla. Dist. Ct. App. 1</w:t>
      </w:r>
      <w:r>
        <w:rPr>
          <w:position w:val="7"/>
          <w:sz w:val="10"/>
        </w:rPr>
        <w:t>st </w:t>
      </w:r>
      <w:r>
        <w:rPr>
          <w:sz w:val="18"/>
        </w:rPr>
        <w:t>Dist. </w:t>
      </w:r>
      <w:r>
        <w:rPr>
          <w:spacing w:val="2"/>
          <w:sz w:val="18"/>
        </w:rPr>
        <w:t>2000); </w:t>
      </w:r>
      <w:r>
        <w:rPr>
          <w:sz w:val="18"/>
          <w:u w:val="single"/>
        </w:rPr>
        <w:t>St. Paul Fire &amp; Marine Ins. Co. v. Wright</w:t>
      </w:r>
      <w:r>
        <w:rPr>
          <w:sz w:val="18"/>
        </w:rPr>
        <w:t>, 97 Nev. 308, 629 P.2d 1201</w:t>
      </w:r>
      <w:r>
        <w:rPr>
          <w:spacing w:val="18"/>
          <w:sz w:val="18"/>
        </w:rPr>
        <w:t> </w:t>
      </w:r>
      <w:r>
        <w:rPr>
          <w:sz w:val="18"/>
        </w:rPr>
        <w:t>(1981);</w:t>
      </w:r>
    </w:p>
    <w:p>
      <w:pPr>
        <w:spacing w:line="201" w:lineRule="exact" w:before="0"/>
        <w:ind w:left="1160" w:right="0" w:firstLine="0"/>
        <w:jc w:val="both"/>
        <w:rPr>
          <w:rFonts w:ascii="Times New Roman"/>
          <w:sz w:val="18"/>
        </w:rPr>
      </w:pPr>
      <w:r>
        <w:rPr>
          <w:rFonts w:ascii="Times New Roman"/>
          <w:sz w:val="18"/>
          <w:u w:val="single"/>
        </w:rPr>
        <w:t>Elberon Bathing Co., Inc. v. Ambassador Ins. Co.</w:t>
      </w:r>
      <w:r>
        <w:rPr>
          <w:rFonts w:ascii="Times New Roman"/>
          <w:sz w:val="18"/>
        </w:rPr>
        <w:t>, 77 N.J. 1, 389 A.2d 439 (1978);</w:t>
      </w:r>
      <w:r>
        <w:rPr>
          <w:rFonts w:ascii="Times New Roman"/>
          <w:spacing w:val="-1"/>
          <w:sz w:val="18"/>
        </w:rPr>
        <w:t> </w:t>
      </w:r>
      <w:r>
        <w:rPr>
          <w:rFonts w:ascii="Times New Roman"/>
          <w:sz w:val="18"/>
          <w:u w:val="single"/>
        </w:rPr>
        <w:t>Minot</w:t>
      </w:r>
    </w:p>
    <w:p>
      <w:pPr>
        <w:spacing w:before="4"/>
        <w:ind w:left="1160" w:right="0" w:firstLine="0"/>
        <w:jc w:val="both"/>
        <w:rPr>
          <w:rFonts w:ascii="Times New Roman" w:hAnsi="Times New Roman"/>
          <w:sz w:val="18"/>
        </w:rPr>
      </w:pPr>
      <w:r>
        <w:rPr>
          <w:rFonts w:ascii="Times New Roman" w:hAnsi="Times New Roman"/>
          <w:sz w:val="18"/>
          <w:u w:val="single"/>
        </w:rPr>
        <w:t>Town</w:t>
      </w:r>
      <w:r>
        <w:rPr>
          <w:rFonts w:ascii="Times New Roman" w:hAnsi="Times New Roman"/>
          <w:spacing w:val="-8"/>
          <w:sz w:val="18"/>
          <w:u w:val="single"/>
        </w:rPr>
        <w:t> </w:t>
      </w:r>
      <w:r>
        <w:rPr>
          <w:rFonts w:ascii="Times New Roman" w:hAnsi="Times New Roman"/>
          <w:sz w:val="18"/>
          <w:u w:val="single"/>
        </w:rPr>
        <w:t>&amp;</w:t>
      </w:r>
      <w:r>
        <w:rPr>
          <w:rFonts w:ascii="Times New Roman" w:hAnsi="Times New Roman"/>
          <w:spacing w:val="-10"/>
          <w:sz w:val="18"/>
          <w:u w:val="single"/>
        </w:rPr>
        <w:t> </w:t>
      </w:r>
      <w:r>
        <w:rPr>
          <w:rFonts w:ascii="Times New Roman" w:hAnsi="Times New Roman"/>
          <w:sz w:val="18"/>
          <w:u w:val="single"/>
        </w:rPr>
        <w:t>Country</w:t>
      </w:r>
      <w:r>
        <w:rPr>
          <w:rFonts w:ascii="Times New Roman" w:hAnsi="Times New Roman"/>
          <w:spacing w:val="-12"/>
          <w:sz w:val="18"/>
          <w:u w:val="single"/>
        </w:rPr>
        <w:t> </w:t>
      </w:r>
      <w:r>
        <w:rPr>
          <w:rFonts w:ascii="Times New Roman" w:hAnsi="Times New Roman"/>
          <w:sz w:val="18"/>
          <w:u w:val="single"/>
        </w:rPr>
        <w:t>v.</w:t>
      </w:r>
      <w:r>
        <w:rPr>
          <w:rFonts w:ascii="Times New Roman" w:hAnsi="Times New Roman"/>
          <w:spacing w:val="-9"/>
          <w:sz w:val="18"/>
          <w:u w:val="single"/>
        </w:rPr>
        <w:t> </w:t>
      </w:r>
      <w:r>
        <w:rPr>
          <w:rFonts w:ascii="Times New Roman" w:hAnsi="Times New Roman"/>
          <w:sz w:val="18"/>
          <w:u w:val="single"/>
        </w:rPr>
        <w:t>Fireman’s</w:t>
      </w:r>
      <w:r>
        <w:rPr>
          <w:rFonts w:ascii="Times New Roman" w:hAnsi="Times New Roman"/>
          <w:spacing w:val="-10"/>
          <w:sz w:val="18"/>
          <w:u w:val="single"/>
        </w:rPr>
        <w:t> </w:t>
      </w:r>
      <w:r>
        <w:rPr>
          <w:rFonts w:ascii="Times New Roman" w:hAnsi="Times New Roman"/>
          <w:sz w:val="18"/>
          <w:u w:val="single"/>
        </w:rPr>
        <w:t>Fund</w:t>
      </w:r>
      <w:r>
        <w:rPr>
          <w:rFonts w:ascii="Times New Roman" w:hAnsi="Times New Roman"/>
          <w:spacing w:val="-7"/>
          <w:sz w:val="18"/>
          <w:u w:val="single"/>
        </w:rPr>
        <w:t> </w:t>
      </w:r>
      <w:r>
        <w:rPr>
          <w:rFonts w:ascii="Times New Roman" w:hAnsi="Times New Roman"/>
          <w:sz w:val="18"/>
          <w:u w:val="single"/>
        </w:rPr>
        <w:t>Ins.</w:t>
      </w:r>
      <w:r>
        <w:rPr>
          <w:rFonts w:ascii="Times New Roman" w:hAnsi="Times New Roman"/>
          <w:spacing w:val="-12"/>
          <w:sz w:val="18"/>
          <w:u w:val="single"/>
        </w:rPr>
        <w:t> </w:t>
      </w:r>
      <w:r>
        <w:rPr>
          <w:rFonts w:ascii="Times New Roman" w:hAnsi="Times New Roman"/>
          <w:sz w:val="18"/>
          <w:u w:val="single"/>
        </w:rPr>
        <w:t>Co.</w:t>
      </w:r>
      <w:r>
        <w:rPr>
          <w:rFonts w:ascii="Times New Roman" w:hAnsi="Times New Roman"/>
          <w:sz w:val="18"/>
        </w:rPr>
        <w:t>,</w:t>
      </w:r>
      <w:r>
        <w:rPr>
          <w:rFonts w:ascii="Times New Roman" w:hAnsi="Times New Roman"/>
          <w:spacing w:val="-11"/>
          <w:sz w:val="18"/>
        </w:rPr>
        <w:t> </w:t>
      </w:r>
      <w:r>
        <w:rPr>
          <w:rFonts w:ascii="Times New Roman" w:hAnsi="Times New Roman"/>
          <w:sz w:val="18"/>
        </w:rPr>
        <w:t>1998</w:t>
      </w:r>
      <w:r>
        <w:rPr>
          <w:rFonts w:ascii="Times New Roman" w:hAnsi="Times New Roman"/>
          <w:spacing w:val="-10"/>
          <w:sz w:val="18"/>
        </w:rPr>
        <w:t> </w:t>
      </w:r>
      <w:r>
        <w:rPr>
          <w:rFonts w:ascii="Times New Roman" w:hAnsi="Times New Roman"/>
          <w:sz w:val="18"/>
        </w:rPr>
        <w:t>N.D.</w:t>
      </w:r>
      <w:r>
        <w:rPr>
          <w:rFonts w:ascii="Times New Roman" w:hAnsi="Times New Roman"/>
          <w:spacing w:val="-11"/>
          <w:sz w:val="18"/>
        </w:rPr>
        <w:t> </w:t>
      </w:r>
      <w:r>
        <w:rPr>
          <w:rFonts w:ascii="Times New Roman" w:hAnsi="Times New Roman"/>
          <w:sz w:val="18"/>
        </w:rPr>
        <w:t>215,</w:t>
      </w:r>
      <w:r>
        <w:rPr>
          <w:rFonts w:ascii="Times New Roman" w:hAnsi="Times New Roman"/>
          <w:spacing w:val="-12"/>
          <w:sz w:val="18"/>
        </w:rPr>
        <w:t> </w:t>
      </w:r>
      <w:r>
        <w:rPr>
          <w:rFonts w:ascii="Times New Roman" w:hAnsi="Times New Roman"/>
          <w:sz w:val="18"/>
        </w:rPr>
        <w:t>587</w:t>
      </w:r>
      <w:r>
        <w:rPr>
          <w:rFonts w:ascii="Times New Roman" w:hAnsi="Times New Roman"/>
          <w:spacing w:val="-10"/>
          <w:sz w:val="18"/>
        </w:rPr>
        <w:t> </w:t>
      </w:r>
      <w:r>
        <w:rPr>
          <w:rFonts w:ascii="Times New Roman" w:hAnsi="Times New Roman"/>
          <w:sz w:val="18"/>
        </w:rPr>
        <w:t>N.W.2d</w:t>
      </w:r>
      <w:r>
        <w:rPr>
          <w:rFonts w:ascii="Times New Roman" w:hAnsi="Times New Roman"/>
          <w:spacing w:val="-11"/>
          <w:sz w:val="18"/>
        </w:rPr>
        <w:t> </w:t>
      </w:r>
      <w:r>
        <w:rPr>
          <w:rFonts w:ascii="Times New Roman" w:hAnsi="Times New Roman"/>
          <w:sz w:val="18"/>
        </w:rPr>
        <w:t>189,</w:t>
      </w:r>
      <w:r>
        <w:rPr>
          <w:rFonts w:ascii="Times New Roman" w:hAnsi="Times New Roman"/>
          <w:spacing w:val="-11"/>
          <w:sz w:val="18"/>
        </w:rPr>
        <w:t> </w:t>
      </w:r>
      <w:r>
        <w:rPr>
          <w:rFonts w:ascii="Times New Roman" w:hAnsi="Times New Roman"/>
          <w:sz w:val="18"/>
        </w:rPr>
        <w:t>190</w:t>
      </w:r>
      <w:r>
        <w:rPr>
          <w:rFonts w:ascii="Times New Roman" w:hAnsi="Times New Roman"/>
          <w:spacing w:val="-7"/>
          <w:sz w:val="18"/>
        </w:rPr>
        <w:t> </w:t>
      </w:r>
      <w:r>
        <w:rPr>
          <w:rFonts w:ascii="Times New Roman" w:hAnsi="Times New Roman"/>
          <w:sz w:val="18"/>
        </w:rPr>
        <w:t>(1998);</w:t>
      </w:r>
    </w:p>
    <w:p>
      <w:pPr>
        <w:spacing w:before="4"/>
        <w:ind w:left="1160" w:right="0" w:firstLine="0"/>
        <w:jc w:val="both"/>
        <w:rPr>
          <w:rFonts w:ascii="Times New Roman" w:hAnsi="Times New Roman"/>
          <w:sz w:val="18"/>
        </w:rPr>
      </w:pPr>
      <w:r>
        <w:rPr>
          <w:rFonts w:ascii="Times New Roman" w:hAnsi="Times New Roman"/>
          <w:sz w:val="18"/>
          <w:u w:val="single"/>
        </w:rPr>
        <w:t>Kentner v. Gulf Ins .Co.</w:t>
      </w:r>
      <w:r>
        <w:rPr>
          <w:rFonts w:ascii="Times New Roman" w:hAnsi="Times New Roman"/>
          <w:sz w:val="18"/>
        </w:rPr>
        <w:t>, 66 Or. App. 15, 673 P.2d 1354 (1983), </w:t>
      </w:r>
      <w:r>
        <w:rPr>
          <w:rFonts w:ascii="Times New Roman" w:hAnsi="Times New Roman"/>
          <w:i/>
          <w:sz w:val="18"/>
        </w:rPr>
        <w:t>aff’d and remanded,</w:t>
      </w:r>
      <w:r>
        <w:rPr>
          <w:rFonts w:ascii="Times New Roman" w:hAnsi="Times New Roman"/>
          <w:i/>
          <w:spacing w:val="8"/>
          <w:sz w:val="18"/>
        </w:rPr>
        <w:t> </w:t>
      </w:r>
      <w:r>
        <w:rPr>
          <w:rFonts w:ascii="Times New Roman" w:hAnsi="Times New Roman"/>
          <w:sz w:val="18"/>
        </w:rPr>
        <w:t>297</w:t>
      </w:r>
    </w:p>
    <w:p>
      <w:pPr>
        <w:spacing w:after="0"/>
        <w:jc w:val="both"/>
        <w:rPr>
          <w:rFonts w:ascii="Times New Roman" w:hAnsi="Times New Roman"/>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firstLine="720"/>
        <w:jc w:val="both"/>
      </w:pPr>
      <w:bookmarkStart w:name="Law and Procedure 177" w:id="88"/>
      <w:bookmarkEnd w:id="88"/>
      <w:r>
        <w:rPr/>
      </w:r>
      <w:r>
        <w:rPr>
          <w:spacing w:val="3"/>
        </w:rPr>
        <w:t>It </w:t>
      </w:r>
      <w:r>
        <w:rPr/>
        <w:t>has been held that an award for loss under an Extended Recovery Period provision of business interruption coverage exceeded the authority of the appraisal team where the insured was not entitled to claim under such coverage until after the “repair,</w:t>
      </w:r>
      <w:r>
        <w:rPr>
          <w:spacing w:val="-37"/>
        </w:rPr>
        <w:t> </w:t>
      </w:r>
      <w:r>
        <w:rPr/>
        <w:t>replacement, or</w:t>
      </w:r>
      <w:r>
        <w:rPr>
          <w:spacing w:val="-25"/>
        </w:rPr>
        <w:t> </w:t>
      </w:r>
      <w:r>
        <w:rPr/>
        <w:t>rebuilding</w:t>
      </w:r>
      <w:r>
        <w:rPr>
          <w:spacing w:val="-23"/>
        </w:rPr>
        <w:t> </w:t>
      </w:r>
      <w:r>
        <w:rPr/>
        <w:t>of</w:t>
      </w:r>
      <w:r>
        <w:rPr>
          <w:spacing w:val="-23"/>
        </w:rPr>
        <w:t> </w:t>
      </w:r>
      <w:r>
        <w:rPr/>
        <w:t>such</w:t>
      </w:r>
      <w:r>
        <w:rPr>
          <w:spacing w:val="-22"/>
        </w:rPr>
        <w:t> </w:t>
      </w:r>
      <w:r>
        <w:rPr/>
        <w:t>part</w:t>
      </w:r>
      <w:r>
        <w:rPr>
          <w:spacing w:val="-29"/>
        </w:rPr>
        <w:t> </w:t>
      </w:r>
      <w:r>
        <w:rPr/>
        <w:t>of</w:t>
      </w:r>
      <w:r>
        <w:rPr>
          <w:spacing w:val="-23"/>
        </w:rPr>
        <w:t> </w:t>
      </w:r>
      <w:r>
        <w:rPr/>
        <w:t>the</w:t>
      </w:r>
      <w:r>
        <w:rPr>
          <w:spacing w:val="-23"/>
        </w:rPr>
        <w:t> </w:t>
      </w:r>
      <w:r>
        <w:rPr/>
        <w:t>property</w:t>
      </w:r>
      <w:r>
        <w:rPr>
          <w:spacing w:val="-27"/>
        </w:rPr>
        <w:t> </w:t>
      </w:r>
      <w:r>
        <w:rPr/>
        <w:t>as</w:t>
      </w:r>
      <w:r>
        <w:rPr>
          <w:spacing w:val="-23"/>
        </w:rPr>
        <w:t> </w:t>
      </w:r>
      <w:r>
        <w:rPr/>
        <w:t>has been damaged is actually replaced”, and </w:t>
      </w:r>
      <w:r>
        <w:rPr>
          <w:spacing w:val="-6"/>
        </w:rPr>
        <w:t>at </w:t>
      </w:r>
      <w:r>
        <w:rPr/>
        <w:t>the time of the award the property had not been</w:t>
      </w:r>
      <w:r>
        <w:rPr>
          <w:spacing w:val="-1"/>
        </w:rPr>
        <w:t> </w:t>
      </w:r>
      <w:r>
        <w:rPr/>
        <w:t>replaced.</w:t>
      </w:r>
      <w:r>
        <w:rPr>
          <w:vertAlign w:val="superscript"/>
        </w:rPr>
        <w:t>262</w:t>
      </w:r>
    </w:p>
    <w:p>
      <w:pPr>
        <w:pStyle w:val="BodyText"/>
        <w:spacing w:before="11"/>
        <w:rPr>
          <w:sz w:val="25"/>
        </w:rPr>
      </w:pPr>
    </w:p>
    <w:p>
      <w:pPr>
        <w:pStyle w:val="BodyText"/>
        <w:spacing w:line="242" w:lineRule="auto"/>
        <w:ind w:left="1520" w:right="1516" w:firstLine="720"/>
        <w:jc w:val="both"/>
      </w:pPr>
      <w:r>
        <w:rPr/>
        <w:t>This problem may be avoided by issuance of an award that distinguishes between monies then due and additional monies that would be due upon compliance with certain conditions like actual replacement. This approach seems most efficient and fair without overstepping the authority of the appraisal team.</w:t>
      </w:r>
    </w:p>
    <w:p>
      <w:pPr>
        <w:pStyle w:val="BodyText"/>
      </w:pPr>
    </w:p>
    <w:p>
      <w:pPr>
        <w:pStyle w:val="BodyText"/>
        <w:spacing w:line="242" w:lineRule="auto"/>
        <w:ind w:left="1520" w:right="1520" w:firstLine="720"/>
        <w:jc w:val="both"/>
      </w:pPr>
      <w:r>
        <w:rPr>
          <w:spacing w:val="3"/>
        </w:rPr>
        <w:t>In </w:t>
      </w:r>
      <w:r>
        <w:rPr/>
        <w:t>the state of Florida where a statute requires the court to award attorneys’ fees upon the rendition of a judgment against</w:t>
      </w:r>
      <w:r>
        <w:rPr>
          <w:spacing w:val="59"/>
        </w:rPr>
        <w:t> </w:t>
      </w:r>
      <w:r>
        <w:rPr/>
        <w:t>the</w:t>
      </w:r>
    </w:p>
    <w:p>
      <w:pPr>
        <w:pStyle w:val="BodyText"/>
        <w:spacing w:before="6"/>
        <w:rPr>
          <w:sz w:val="21"/>
        </w:rPr>
      </w:pPr>
      <w:r>
        <w:rPr/>
        <w:pict>
          <v:shape style="position:absolute;margin-left:162pt;margin-top:15.608813pt;width:143.9pt;height:.1pt;mso-position-horizontal-relative:page;mso-position-vertical-relative:paragraph;z-index:-251554816;mso-wrap-distance-left:0;mso-wrap-distance-right:0" coordorigin="3240,312" coordsize="2878,0" path="m3240,312l6118,312e" filled="false" stroked="true" strokeweight=".84pt" strokecolor="#000000">
            <v:path arrowok="t"/>
            <v:stroke dashstyle="solid"/>
            <w10:wrap type="topAndBottom"/>
          </v:shape>
        </w:pict>
      </w:r>
    </w:p>
    <w:p>
      <w:pPr>
        <w:pStyle w:val="BodyText"/>
        <w:spacing w:before="11"/>
        <w:rPr>
          <w:sz w:val="10"/>
        </w:rPr>
      </w:pPr>
    </w:p>
    <w:p>
      <w:pPr>
        <w:spacing w:before="69"/>
        <w:ind w:left="1160" w:right="0" w:firstLine="0"/>
        <w:jc w:val="both"/>
        <w:rPr>
          <w:rFonts w:ascii="Times New Roman" w:hAnsi="Times New Roman"/>
          <w:sz w:val="18"/>
        </w:rPr>
      </w:pPr>
      <w:r>
        <w:rPr>
          <w:rFonts w:ascii="Times New Roman" w:hAnsi="Times New Roman"/>
          <w:sz w:val="18"/>
        </w:rPr>
        <w:t>Or. 470, 686 P.2d 339 (1984), </w:t>
      </w:r>
      <w:r>
        <w:rPr>
          <w:rFonts w:ascii="Times New Roman" w:hAnsi="Times New Roman"/>
          <w:i/>
          <w:sz w:val="18"/>
        </w:rPr>
        <w:t>modified at reh’g, </w:t>
      </w:r>
      <w:r>
        <w:rPr>
          <w:rFonts w:ascii="Times New Roman" w:hAnsi="Times New Roman"/>
          <w:sz w:val="18"/>
        </w:rPr>
        <w:t>298 Or. 69, 689 P.2d 955 (1984),</w:t>
      </w:r>
    </w:p>
    <w:p>
      <w:pPr>
        <w:spacing w:line="244" w:lineRule="auto" w:before="4"/>
        <w:ind w:left="1160" w:right="1160" w:firstLine="0"/>
        <w:jc w:val="both"/>
        <w:rPr>
          <w:rFonts w:ascii="Times New Roman" w:hAnsi="Times New Roman"/>
          <w:sz w:val="18"/>
        </w:rPr>
      </w:pPr>
      <w:r>
        <w:rPr>
          <w:rFonts w:ascii="Times New Roman" w:hAnsi="Times New Roman"/>
          <w:i/>
          <w:sz w:val="18"/>
        </w:rPr>
        <w:t>superceded by statute on other grounds</w:t>
      </w:r>
      <w:r>
        <w:rPr>
          <w:rFonts w:ascii="Times New Roman" w:hAnsi="Times New Roman"/>
          <w:sz w:val="18"/>
        </w:rPr>
        <w:t>, Concealment, Fraud, Representations by</w:t>
      </w:r>
      <w:r>
        <w:rPr>
          <w:rFonts w:ascii="Times New Roman" w:hAnsi="Times New Roman"/>
          <w:spacing w:val="-32"/>
          <w:sz w:val="18"/>
        </w:rPr>
        <w:t> </w:t>
      </w:r>
      <w:r>
        <w:rPr>
          <w:rFonts w:ascii="Times New Roman" w:hAnsi="Times New Roman"/>
          <w:sz w:val="18"/>
        </w:rPr>
        <w:t>Insured, Or.</w:t>
      </w:r>
      <w:r>
        <w:rPr>
          <w:rFonts w:ascii="Times New Roman" w:hAnsi="Times New Roman"/>
          <w:spacing w:val="-8"/>
          <w:sz w:val="18"/>
        </w:rPr>
        <w:t> </w:t>
      </w:r>
      <w:r>
        <w:rPr>
          <w:rFonts w:ascii="Times New Roman" w:hAnsi="Times New Roman"/>
          <w:sz w:val="18"/>
        </w:rPr>
        <w:t>Rev.</w:t>
      </w:r>
      <w:r>
        <w:rPr>
          <w:rFonts w:ascii="Times New Roman" w:hAnsi="Times New Roman"/>
          <w:spacing w:val="-6"/>
          <w:sz w:val="18"/>
        </w:rPr>
        <w:t> </w:t>
      </w:r>
      <w:r>
        <w:rPr>
          <w:rFonts w:ascii="Times New Roman" w:hAnsi="Times New Roman"/>
          <w:sz w:val="18"/>
        </w:rPr>
        <w:t>Stat.§742.208(3)(2001);</w:t>
      </w:r>
      <w:r>
        <w:rPr>
          <w:rFonts w:ascii="Times New Roman" w:hAnsi="Times New Roman"/>
          <w:spacing w:val="-7"/>
          <w:sz w:val="18"/>
        </w:rPr>
        <w:t> </w:t>
      </w:r>
      <w:r>
        <w:rPr>
          <w:rFonts w:ascii="Times New Roman" w:hAnsi="Times New Roman"/>
          <w:sz w:val="18"/>
          <w:u w:val="single"/>
        </w:rPr>
        <w:t>Wells</w:t>
      </w:r>
      <w:r>
        <w:rPr>
          <w:rFonts w:ascii="Times New Roman" w:hAnsi="Times New Roman"/>
          <w:spacing w:val="-9"/>
          <w:sz w:val="18"/>
          <w:u w:val="single"/>
        </w:rPr>
        <w:t> </w:t>
      </w:r>
      <w:r>
        <w:rPr>
          <w:rFonts w:ascii="Times New Roman" w:hAnsi="Times New Roman"/>
          <w:sz w:val="18"/>
          <w:u w:val="single"/>
        </w:rPr>
        <w:t>v.</w:t>
      </w:r>
      <w:r>
        <w:rPr>
          <w:rFonts w:ascii="Times New Roman" w:hAnsi="Times New Roman"/>
          <w:spacing w:val="-9"/>
          <w:sz w:val="18"/>
          <w:u w:val="single"/>
        </w:rPr>
        <w:t> </w:t>
      </w:r>
      <w:r>
        <w:rPr>
          <w:rFonts w:ascii="Times New Roman" w:hAnsi="Times New Roman"/>
          <w:sz w:val="18"/>
          <w:u w:val="single"/>
        </w:rPr>
        <w:t>American</w:t>
      </w:r>
      <w:r>
        <w:rPr>
          <w:rFonts w:ascii="Times New Roman" w:hAnsi="Times New Roman"/>
          <w:spacing w:val="-10"/>
          <w:sz w:val="18"/>
          <w:u w:val="single"/>
        </w:rPr>
        <w:t> </w:t>
      </w:r>
      <w:r>
        <w:rPr>
          <w:rFonts w:ascii="Times New Roman" w:hAnsi="Times New Roman"/>
          <w:sz w:val="18"/>
          <w:u w:val="single"/>
        </w:rPr>
        <w:t>States</w:t>
      </w:r>
      <w:r>
        <w:rPr>
          <w:rFonts w:ascii="Times New Roman" w:hAnsi="Times New Roman"/>
          <w:spacing w:val="-11"/>
          <w:sz w:val="18"/>
          <w:u w:val="single"/>
        </w:rPr>
        <w:t> </w:t>
      </w:r>
      <w:r>
        <w:rPr>
          <w:rFonts w:ascii="Times New Roman" w:hAnsi="Times New Roman"/>
          <w:sz w:val="18"/>
          <w:u w:val="single"/>
        </w:rPr>
        <w:t>Preferred</w:t>
      </w:r>
      <w:r>
        <w:rPr>
          <w:rFonts w:ascii="Times New Roman" w:hAnsi="Times New Roman"/>
          <w:spacing w:val="-7"/>
          <w:sz w:val="18"/>
          <w:u w:val="single"/>
        </w:rPr>
        <w:t> </w:t>
      </w:r>
      <w:r>
        <w:rPr>
          <w:rFonts w:ascii="Times New Roman" w:hAnsi="Times New Roman"/>
          <w:sz w:val="18"/>
          <w:u w:val="single"/>
        </w:rPr>
        <w:t>Ins.</w:t>
      </w:r>
      <w:r>
        <w:rPr>
          <w:rFonts w:ascii="Times New Roman" w:hAnsi="Times New Roman"/>
          <w:spacing w:val="-7"/>
          <w:sz w:val="18"/>
          <w:u w:val="single"/>
        </w:rPr>
        <w:t> </w:t>
      </w:r>
      <w:r>
        <w:rPr>
          <w:rFonts w:ascii="Times New Roman" w:hAnsi="Times New Roman"/>
          <w:sz w:val="18"/>
          <w:u w:val="single"/>
        </w:rPr>
        <w:t>Co.</w:t>
      </w:r>
      <w:r>
        <w:rPr>
          <w:rFonts w:ascii="Times New Roman" w:hAnsi="Times New Roman"/>
          <w:sz w:val="18"/>
        </w:rPr>
        <w:t>,</w:t>
      </w:r>
      <w:r>
        <w:rPr>
          <w:rFonts w:ascii="Times New Roman" w:hAnsi="Times New Roman"/>
          <w:spacing w:val="-7"/>
          <w:sz w:val="18"/>
        </w:rPr>
        <w:t> </w:t>
      </w:r>
      <w:r>
        <w:rPr>
          <w:rFonts w:ascii="Times New Roman" w:hAnsi="Times New Roman"/>
          <w:sz w:val="18"/>
        </w:rPr>
        <w:t>919</w:t>
      </w:r>
      <w:r>
        <w:rPr>
          <w:rFonts w:ascii="Times New Roman" w:hAnsi="Times New Roman"/>
          <w:spacing w:val="-6"/>
          <w:sz w:val="18"/>
        </w:rPr>
        <w:t> </w:t>
      </w:r>
      <w:r>
        <w:rPr>
          <w:rFonts w:ascii="Times New Roman" w:hAnsi="Times New Roman"/>
          <w:sz w:val="18"/>
        </w:rPr>
        <w:t>S.W.2d 679</w:t>
      </w:r>
      <w:r>
        <w:rPr>
          <w:rFonts w:ascii="Times New Roman" w:hAnsi="Times New Roman"/>
          <w:spacing w:val="-10"/>
          <w:sz w:val="18"/>
        </w:rPr>
        <w:t> </w:t>
      </w:r>
      <w:r>
        <w:rPr>
          <w:rFonts w:ascii="Times New Roman" w:hAnsi="Times New Roman"/>
          <w:sz w:val="18"/>
        </w:rPr>
        <w:t>(Tex.</w:t>
      </w:r>
      <w:r>
        <w:rPr>
          <w:rFonts w:ascii="Times New Roman" w:hAnsi="Times New Roman"/>
          <w:spacing w:val="-9"/>
          <w:sz w:val="18"/>
        </w:rPr>
        <w:t> </w:t>
      </w:r>
      <w:r>
        <w:rPr>
          <w:rFonts w:ascii="Times New Roman" w:hAnsi="Times New Roman"/>
          <w:sz w:val="18"/>
        </w:rPr>
        <w:t>App.-Dallas</w:t>
      </w:r>
      <w:r>
        <w:rPr>
          <w:rFonts w:ascii="Times New Roman" w:hAnsi="Times New Roman"/>
          <w:spacing w:val="-12"/>
          <w:sz w:val="18"/>
        </w:rPr>
        <w:t> </w:t>
      </w:r>
      <w:r>
        <w:rPr>
          <w:rFonts w:ascii="Times New Roman" w:hAnsi="Times New Roman"/>
          <w:sz w:val="18"/>
        </w:rPr>
        <w:t>1996);</w:t>
      </w:r>
      <w:r>
        <w:rPr>
          <w:rFonts w:ascii="Times New Roman" w:hAnsi="Times New Roman"/>
          <w:spacing w:val="-10"/>
          <w:sz w:val="18"/>
        </w:rPr>
        <w:t> </w:t>
      </w:r>
      <w:r>
        <w:rPr>
          <w:rFonts w:ascii="Times New Roman" w:hAnsi="Times New Roman"/>
          <w:sz w:val="18"/>
          <w:u w:val="single"/>
        </w:rPr>
        <w:t>Merrimack</w:t>
      </w:r>
      <w:r>
        <w:rPr>
          <w:rFonts w:ascii="Times New Roman" w:hAnsi="Times New Roman"/>
          <w:spacing w:val="-12"/>
          <w:sz w:val="18"/>
          <w:u w:val="single"/>
        </w:rPr>
        <w:t> </w:t>
      </w:r>
      <w:r>
        <w:rPr>
          <w:rFonts w:ascii="Times New Roman" w:hAnsi="Times New Roman"/>
          <w:sz w:val="18"/>
          <w:u w:val="single"/>
        </w:rPr>
        <w:t>Mut.</w:t>
      </w:r>
      <w:r>
        <w:rPr>
          <w:rFonts w:ascii="Times New Roman" w:hAnsi="Times New Roman"/>
          <w:spacing w:val="-9"/>
          <w:sz w:val="18"/>
          <w:u w:val="single"/>
        </w:rPr>
        <w:t> </w:t>
      </w:r>
      <w:r>
        <w:rPr>
          <w:rFonts w:ascii="Times New Roman" w:hAnsi="Times New Roman"/>
          <w:sz w:val="18"/>
          <w:u w:val="single"/>
        </w:rPr>
        <w:t>Fire</w:t>
      </w:r>
      <w:r>
        <w:rPr>
          <w:rFonts w:ascii="Times New Roman" w:hAnsi="Times New Roman"/>
          <w:spacing w:val="-11"/>
          <w:sz w:val="18"/>
          <w:u w:val="single"/>
        </w:rPr>
        <w:t> </w:t>
      </w:r>
      <w:r>
        <w:rPr>
          <w:rFonts w:ascii="Times New Roman" w:hAnsi="Times New Roman"/>
          <w:sz w:val="18"/>
          <w:u w:val="single"/>
        </w:rPr>
        <w:t>Ins.</w:t>
      </w:r>
      <w:r>
        <w:rPr>
          <w:rFonts w:ascii="Times New Roman" w:hAnsi="Times New Roman"/>
          <w:spacing w:val="-12"/>
          <w:sz w:val="18"/>
          <w:u w:val="single"/>
        </w:rPr>
        <w:t> </w:t>
      </w:r>
      <w:r>
        <w:rPr>
          <w:rFonts w:ascii="Times New Roman" w:hAnsi="Times New Roman"/>
          <w:sz w:val="18"/>
          <w:u w:val="single"/>
        </w:rPr>
        <w:t>Co.</w:t>
      </w:r>
      <w:r>
        <w:rPr>
          <w:rFonts w:ascii="Times New Roman" w:hAnsi="Times New Roman"/>
          <w:spacing w:val="-12"/>
          <w:sz w:val="18"/>
          <w:u w:val="single"/>
        </w:rPr>
        <w:t> </w:t>
      </w:r>
      <w:r>
        <w:rPr>
          <w:rFonts w:ascii="Times New Roman" w:hAnsi="Times New Roman"/>
          <w:sz w:val="18"/>
          <w:u w:val="single"/>
        </w:rPr>
        <w:t>v.</w:t>
      </w:r>
      <w:r>
        <w:rPr>
          <w:rFonts w:ascii="Times New Roman" w:hAnsi="Times New Roman"/>
          <w:spacing w:val="-9"/>
          <w:sz w:val="18"/>
          <w:u w:val="single"/>
        </w:rPr>
        <w:t> </w:t>
      </w:r>
      <w:r>
        <w:rPr>
          <w:rFonts w:ascii="Times New Roman" w:hAnsi="Times New Roman"/>
          <w:sz w:val="18"/>
          <w:u w:val="single"/>
        </w:rPr>
        <w:t>Batts</w:t>
      </w:r>
      <w:r>
        <w:rPr>
          <w:rFonts w:ascii="Times New Roman" w:hAnsi="Times New Roman"/>
          <w:sz w:val="18"/>
        </w:rPr>
        <w:t>,</w:t>
      </w:r>
      <w:r>
        <w:rPr>
          <w:rFonts w:ascii="Times New Roman" w:hAnsi="Times New Roman"/>
          <w:spacing w:val="-9"/>
          <w:sz w:val="18"/>
        </w:rPr>
        <w:t> </w:t>
      </w:r>
      <w:r>
        <w:rPr>
          <w:rFonts w:ascii="Times New Roman" w:hAnsi="Times New Roman"/>
          <w:sz w:val="18"/>
        </w:rPr>
        <w:t>59</w:t>
      </w:r>
      <w:r>
        <w:rPr>
          <w:rFonts w:ascii="Times New Roman" w:hAnsi="Times New Roman"/>
          <w:spacing w:val="-9"/>
          <w:sz w:val="18"/>
        </w:rPr>
        <w:t> </w:t>
      </w:r>
      <w:r>
        <w:rPr>
          <w:rFonts w:ascii="Times New Roman" w:hAnsi="Times New Roman"/>
          <w:sz w:val="18"/>
        </w:rPr>
        <w:t>S.W.3d</w:t>
      </w:r>
      <w:r>
        <w:rPr>
          <w:rFonts w:ascii="Times New Roman" w:hAnsi="Times New Roman"/>
          <w:spacing w:val="-8"/>
          <w:sz w:val="18"/>
        </w:rPr>
        <w:t> </w:t>
      </w:r>
      <w:r>
        <w:rPr>
          <w:rFonts w:ascii="Times New Roman" w:hAnsi="Times New Roman"/>
          <w:sz w:val="18"/>
        </w:rPr>
        <w:t>142</w:t>
      </w:r>
      <w:r>
        <w:rPr>
          <w:rFonts w:ascii="Times New Roman" w:hAnsi="Times New Roman"/>
          <w:spacing w:val="-8"/>
          <w:sz w:val="18"/>
        </w:rPr>
        <w:t> </w:t>
      </w:r>
      <w:r>
        <w:rPr>
          <w:rFonts w:ascii="Times New Roman" w:hAnsi="Times New Roman"/>
          <w:sz w:val="18"/>
        </w:rPr>
        <w:t>(Tenn. Ct. App. 2001); </w:t>
      </w:r>
      <w:r>
        <w:rPr>
          <w:rFonts w:ascii="Times New Roman" w:hAnsi="Times New Roman"/>
          <w:sz w:val="18"/>
          <w:u w:val="single"/>
        </w:rPr>
        <w:t>Trooper Jake, Inc. v. Auto-Owner’s Ins. Co.</w:t>
      </w:r>
      <w:r>
        <w:rPr>
          <w:rFonts w:ascii="Times New Roman" w:hAnsi="Times New Roman"/>
          <w:sz w:val="18"/>
        </w:rPr>
        <w:t>, 2005 WL 1923120 (Mich. App. 2005)(where appraisal award is paid timely, an award of pre-award interest is inappropriate.); See </w:t>
      </w:r>
      <w:r>
        <w:rPr>
          <w:rFonts w:ascii="Times New Roman" w:hAnsi="Times New Roman"/>
          <w:sz w:val="18"/>
          <w:u w:val="single"/>
        </w:rPr>
        <w:t>Pfister v. State Farm Fire &amp; Cas. Co.</w:t>
      </w:r>
      <w:r>
        <w:rPr>
          <w:rFonts w:ascii="Times New Roman" w:hAnsi="Times New Roman"/>
          <w:sz w:val="18"/>
        </w:rPr>
        <w:t>, 2011 WL 3651349 (W.D.Pa.2011) (citing </w:t>
      </w:r>
      <w:r>
        <w:rPr>
          <w:rFonts w:ascii="Times New Roman" w:hAnsi="Times New Roman"/>
          <w:i/>
          <w:sz w:val="18"/>
          <w:u w:val="single"/>
        </w:rPr>
        <w:t>Black’s Law Dictionary</w:t>
      </w:r>
      <w:r>
        <w:rPr>
          <w:rFonts w:ascii="Times New Roman" w:hAnsi="Times New Roman"/>
          <w:i/>
          <w:sz w:val="18"/>
        </w:rPr>
        <w:t> </w:t>
      </w:r>
      <w:r>
        <w:rPr>
          <w:rFonts w:ascii="Times New Roman" w:hAnsi="Times New Roman"/>
          <w:sz w:val="18"/>
        </w:rPr>
        <w:t>(9th ed. 2009)(“[A]ppraisal is the act of determining</w:t>
      </w:r>
      <w:r>
        <w:rPr>
          <w:rFonts w:ascii="Times New Roman" w:hAnsi="Times New Roman"/>
          <w:spacing w:val="-9"/>
          <w:sz w:val="18"/>
        </w:rPr>
        <w:t> </w:t>
      </w:r>
      <w:r>
        <w:rPr>
          <w:rFonts w:ascii="Times New Roman" w:hAnsi="Times New Roman"/>
          <w:sz w:val="18"/>
        </w:rPr>
        <w:t>‘what</w:t>
      </w:r>
      <w:r>
        <w:rPr>
          <w:rFonts w:ascii="Times New Roman" w:hAnsi="Times New Roman"/>
          <w:spacing w:val="-7"/>
          <w:sz w:val="18"/>
        </w:rPr>
        <w:t> </w:t>
      </w:r>
      <w:r>
        <w:rPr>
          <w:rFonts w:ascii="Times New Roman" w:hAnsi="Times New Roman"/>
          <w:sz w:val="18"/>
        </w:rPr>
        <w:t>constitutes</w:t>
      </w:r>
      <w:r>
        <w:rPr>
          <w:rFonts w:ascii="Times New Roman" w:hAnsi="Times New Roman"/>
          <w:spacing w:val="-8"/>
          <w:sz w:val="18"/>
        </w:rPr>
        <w:t> </w:t>
      </w:r>
      <w:r>
        <w:rPr>
          <w:rFonts w:ascii="Times New Roman" w:hAnsi="Times New Roman"/>
          <w:sz w:val="18"/>
        </w:rPr>
        <w:t>a</w:t>
      </w:r>
      <w:r>
        <w:rPr>
          <w:rFonts w:ascii="Times New Roman" w:hAnsi="Times New Roman"/>
          <w:spacing w:val="-8"/>
          <w:sz w:val="18"/>
        </w:rPr>
        <w:t> </w:t>
      </w:r>
      <w:r>
        <w:rPr>
          <w:rFonts w:ascii="Times New Roman" w:hAnsi="Times New Roman"/>
          <w:sz w:val="18"/>
        </w:rPr>
        <w:t>fair</w:t>
      </w:r>
      <w:r>
        <w:rPr>
          <w:rFonts w:ascii="Times New Roman" w:hAnsi="Times New Roman"/>
          <w:spacing w:val="-7"/>
          <w:sz w:val="18"/>
        </w:rPr>
        <w:t> </w:t>
      </w:r>
      <w:r>
        <w:rPr>
          <w:rFonts w:ascii="Times New Roman" w:hAnsi="Times New Roman"/>
          <w:sz w:val="18"/>
        </w:rPr>
        <w:t>price’...and</w:t>
      </w:r>
      <w:r>
        <w:rPr>
          <w:rFonts w:ascii="Times New Roman" w:hAnsi="Times New Roman"/>
          <w:spacing w:val="-6"/>
          <w:sz w:val="18"/>
        </w:rPr>
        <w:t> </w:t>
      </w:r>
      <w:r>
        <w:rPr>
          <w:rFonts w:ascii="Times New Roman" w:hAnsi="Times New Roman"/>
          <w:sz w:val="18"/>
        </w:rPr>
        <w:t>is</w:t>
      </w:r>
      <w:r>
        <w:rPr>
          <w:rFonts w:ascii="Times New Roman" w:hAnsi="Times New Roman"/>
          <w:spacing w:val="-9"/>
          <w:sz w:val="18"/>
        </w:rPr>
        <w:t> </w:t>
      </w:r>
      <w:r>
        <w:rPr>
          <w:rFonts w:ascii="Times New Roman" w:hAnsi="Times New Roman"/>
          <w:sz w:val="18"/>
        </w:rPr>
        <w:t>not</w:t>
      </w:r>
      <w:r>
        <w:rPr>
          <w:rFonts w:ascii="Times New Roman" w:hAnsi="Times New Roman"/>
          <w:spacing w:val="-7"/>
          <w:sz w:val="18"/>
        </w:rPr>
        <w:t> </w:t>
      </w:r>
      <w:r>
        <w:rPr>
          <w:rFonts w:ascii="Times New Roman" w:hAnsi="Times New Roman"/>
          <w:sz w:val="18"/>
        </w:rPr>
        <w:t>appropriate</w:t>
      </w:r>
      <w:r>
        <w:rPr>
          <w:rFonts w:ascii="Times New Roman" w:hAnsi="Times New Roman"/>
          <w:spacing w:val="-8"/>
          <w:sz w:val="18"/>
        </w:rPr>
        <w:t> </w:t>
      </w:r>
      <w:r>
        <w:rPr>
          <w:rFonts w:ascii="Times New Roman" w:hAnsi="Times New Roman"/>
          <w:sz w:val="18"/>
        </w:rPr>
        <w:t>where,</w:t>
      </w:r>
      <w:r>
        <w:rPr>
          <w:rFonts w:ascii="Times New Roman" w:hAnsi="Times New Roman"/>
          <w:spacing w:val="-10"/>
          <w:sz w:val="18"/>
        </w:rPr>
        <w:t> </w:t>
      </w:r>
      <w:r>
        <w:rPr>
          <w:rFonts w:ascii="Times New Roman" w:hAnsi="Times New Roman"/>
          <w:sz w:val="18"/>
        </w:rPr>
        <w:t>as</w:t>
      </w:r>
      <w:r>
        <w:rPr>
          <w:rFonts w:ascii="Times New Roman" w:hAnsi="Times New Roman"/>
          <w:spacing w:val="-11"/>
          <w:sz w:val="18"/>
        </w:rPr>
        <w:t> </w:t>
      </w:r>
      <w:r>
        <w:rPr>
          <w:rFonts w:ascii="Times New Roman" w:hAnsi="Times New Roman"/>
          <w:sz w:val="18"/>
        </w:rPr>
        <w:t>here,</w:t>
      </w:r>
      <w:r>
        <w:rPr>
          <w:rFonts w:ascii="Times New Roman" w:hAnsi="Times New Roman"/>
          <w:spacing w:val="-10"/>
          <w:sz w:val="18"/>
        </w:rPr>
        <w:t> </w:t>
      </w:r>
      <w:r>
        <w:rPr>
          <w:rFonts w:ascii="Times New Roman" w:hAnsi="Times New Roman"/>
          <w:sz w:val="18"/>
        </w:rPr>
        <w:t>the</w:t>
      </w:r>
      <w:r>
        <w:rPr>
          <w:rFonts w:ascii="Times New Roman" w:hAnsi="Times New Roman"/>
          <w:spacing w:val="-10"/>
          <w:sz w:val="18"/>
        </w:rPr>
        <w:t> </w:t>
      </w:r>
      <w:r>
        <w:rPr>
          <w:rFonts w:ascii="Times New Roman" w:hAnsi="Times New Roman"/>
          <w:sz w:val="18"/>
        </w:rPr>
        <w:t>scope of coverage is in</w:t>
      </w:r>
      <w:r>
        <w:rPr>
          <w:rFonts w:ascii="Times New Roman" w:hAnsi="Times New Roman"/>
          <w:spacing w:val="-2"/>
          <w:sz w:val="18"/>
        </w:rPr>
        <w:t> </w:t>
      </w:r>
      <w:r>
        <w:rPr>
          <w:rFonts w:ascii="Times New Roman" w:hAnsi="Times New Roman"/>
          <w:sz w:val="18"/>
        </w:rPr>
        <w:t>dispute.”).</w:t>
      </w:r>
    </w:p>
    <w:p>
      <w:pPr>
        <w:pStyle w:val="ListParagraph"/>
        <w:numPr>
          <w:ilvl w:val="0"/>
          <w:numId w:val="20"/>
        </w:numPr>
        <w:tabs>
          <w:tab w:pos="1438" w:val="left" w:leader="none"/>
        </w:tabs>
        <w:spacing w:line="261" w:lineRule="auto" w:before="0" w:after="0"/>
        <w:ind w:left="1160" w:right="1167" w:firstLine="0"/>
        <w:jc w:val="both"/>
        <w:rPr>
          <w:sz w:val="18"/>
        </w:rPr>
      </w:pPr>
      <w:r>
        <w:rPr>
          <w:sz w:val="18"/>
          <w:u w:val="single"/>
        </w:rPr>
        <w:t>Duane Reade Inc. v. St. Paul Fire and Marine Ins. Co.</w:t>
      </w:r>
      <w:r>
        <w:rPr>
          <w:sz w:val="18"/>
        </w:rPr>
        <w:t>, 503 F.Supp.2d 699 (S.D.N.Y. 2007).</w:t>
      </w:r>
    </w:p>
    <w:p>
      <w:pPr>
        <w:spacing w:after="0" w:line="261" w:lineRule="auto"/>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178" w:id="89"/>
      <w:bookmarkEnd w:id="89"/>
      <w:r>
        <w:rPr/>
      </w:r>
      <w:r>
        <w:rPr/>
        <w:t>insurer, an appraisal award issued after the insurer demanded appraisal during pending litigation</w:t>
      </w:r>
      <w:r>
        <w:rPr>
          <w:spacing w:val="-10"/>
        </w:rPr>
        <w:t> </w:t>
      </w:r>
      <w:r>
        <w:rPr/>
        <w:t>acted</w:t>
      </w:r>
      <w:r>
        <w:rPr>
          <w:spacing w:val="-13"/>
        </w:rPr>
        <w:t> </w:t>
      </w:r>
      <w:r>
        <w:rPr/>
        <w:t>as</w:t>
      </w:r>
      <w:r>
        <w:rPr>
          <w:spacing w:val="-9"/>
        </w:rPr>
        <w:t> </w:t>
      </w:r>
      <w:r>
        <w:rPr/>
        <w:t>a</w:t>
      </w:r>
      <w:r>
        <w:rPr>
          <w:spacing w:val="-10"/>
        </w:rPr>
        <w:t> </w:t>
      </w:r>
      <w:r>
        <w:rPr/>
        <w:t>confession</w:t>
      </w:r>
      <w:r>
        <w:rPr>
          <w:spacing w:val="-9"/>
        </w:rPr>
        <w:t> </w:t>
      </w:r>
      <w:r>
        <w:rPr/>
        <w:t>of</w:t>
      </w:r>
      <w:r>
        <w:rPr>
          <w:spacing w:val="-10"/>
        </w:rPr>
        <w:t> </w:t>
      </w:r>
      <w:r>
        <w:rPr/>
        <w:t>judgment</w:t>
      </w:r>
      <w:r>
        <w:rPr>
          <w:spacing w:val="-11"/>
        </w:rPr>
        <w:t> </w:t>
      </w:r>
      <w:r>
        <w:rPr/>
        <w:t>in the insured’s suit requiring the court to award attorneys’</w:t>
      </w:r>
      <w:r>
        <w:rPr>
          <w:spacing w:val="-2"/>
        </w:rPr>
        <w:t> </w:t>
      </w:r>
      <w:r>
        <w:rPr/>
        <w:t>fees.</w:t>
      </w:r>
      <w:r>
        <w:rPr>
          <w:vertAlign w:val="superscript"/>
        </w:rPr>
        <w:t>263</w:t>
      </w:r>
    </w:p>
    <w:p>
      <w:pPr>
        <w:pStyle w:val="BodyText"/>
      </w:pPr>
    </w:p>
    <w:p>
      <w:pPr>
        <w:pStyle w:val="BodyText"/>
        <w:spacing w:line="242" w:lineRule="auto" w:before="1"/>
        <w:ind w:left="1520" w:right="1518" w:firstLine="720"/>
        <w:jc w:val="both"/>
      </w:pPr>
      <w:r>
        <w:rPr>
          <w:spacing w:val="3"/>
        </w:rPr>
        <w:t>It </w:t>
      </w:r>
      <w:r>
        <w:rPr/>
        <w:t>is well-settled that an insured is not entitled to attorney’s fees pursuant to the Florida statute </w:t>
      </w:r>
      <w:r>
        <w:rPr>
          <w:spacing w:val="2"/>
        </w:rPr>
        <w:t>if </w:t>
      </w:r>
      <w:r>
        <w:rPr/>
        <w:t>the insured initiates litigation when</w:t>
      </w:r>
      <w:r>
        <w:rPr>
          <w:spacing w:val="-19"/>
        </w:rPr>
        <w:t> </w:t>
      </w:r>
      <w:r>
        <w:rPr/>
        <w:t>the</w:t>
      </w:r>
      <w:r>
        <w:rPr>
          <w:spacing w:val="-19"/>
        </w:rPr>
        <w:t> </w:t>
      </w:r>
      <w:r>
        <w:rPr/>
        <w:t>insurer</w:t>
      </w:r>
      <w:r>
        <w:rPr>
          <w:spacing w:val="-20"/>
        </w:rPr>
        <w:t> </w:t>
      </w:r>
      <w:r>
        <w:rPr/>
        <w:t>complies</w:t>
      </w:r>
      <w:r>
        <w:rPr>
          <w:spacing w:val="-19"/>
        </w:rPr>
        <w:t> </w:t>
      </w:r>
      <w:r>
        <w:rPr/>
        <w:t>with</w:t>
      </w:r>
      <w:r>
        <w:rPr>
          <w:spacing w:val="-19"/>
        </w:rPr>
        <w:t> </w:t>
      </w:r>
      <w:r>
        <w:rPr/>
        <w:t>the</w:t>
      </w:r>
      <w:r>
        <w:rPr>
          <w:spacing w:val="-18"/>
        </w:rPr>
        <w:t> </w:t>
      </w:r>
      <w:r>
        <w:rPr/>
        <w:t>terms</w:t>
      </w:r>
      <w:r>
        <w:rPr>
          <w:spacing w:val="-22"/>
        </w:rPr>
        <w:t> </w:t>
      </w:r>
      <w:r>
        <w:rPr/>
        <w:t>of</w:t>
      </w:r>
      <w:r>
        <w:rPr>
          <w:spacing w:val="-17"/>
        </w:rPr>
        <w:t> </w:t>
      </w:r>
      <w:r>
        <w:rPr/>
        <w:t>the alternative dispute resolution provided for in the</w:t>
      </w:r>
      <w:r>
        <w:rPr>
          <w:spacing w:val="-16"/>
        </w:rPr>
        <w:t> </w:t>
      </w:r>
      <w:r>
        <w:rPr/>
        <w:t>insurance</w:t>
      </w:r>
      <w:r>
        <w:rPr>
          <w:spacing w:val="-14"/>
        </w:rPr>
        <w:t> </w:t>
      </w:r>
      <w:r>
        <w:rPr/>
        <w:t>contract.</w:t>
      </w:r>
      <w:r>
        <w:rPr>
          <w:spacing w:val="41"/>
        </w:rPr>
        <w:t> </w:t>
      </w:r>
      <w:r>
        <w:rPr/>
        <w:t>This</w:t>
      </w:r>
      <w:r>
        <w:rPr>
          <w:spacing w:val="-15"/>
        </w:rPr>
        <w:t> </w:t>
      </w:r>
      <w:r>
        <w:rPr/>
        <w:t>is</w:t>
      </w:r>
      <w:r>
        <w:rPr>
          <w:spacing w:val="-15"/>
        </w:rPr>
        <w:t> </w:t>
      </w:r>
      <w:r>
        <w:rPr/>
        <w:t>so</w:t>
      </w:r>
      <w:r>
        <w:rPr>
          <w:spacing w:val="-14"/>
        </w:rPr>
        <w:t> </w:t>
      </w:r>
      <w:r>
        <w:rPr/>
        <w:t>the</w:t>
      </w:r>
      <w:r>
        <w:rPr>
          <w:spacing w:val="-15"/>
        </w:rPr>
        <w:t> </w:t>
      </w:r>
      <w:r>
        <w:rPr/>
        <w:t>insurer</w:t>
      </w:r>
      <w:r>
        <w:rPr>
          <w:spacing w:val="-20"/>
        </w:rPr>
        <w:t> </w:t>
      </w:r>
      <w:r>
        <w:rPr/>
        <w:t>will not be faulted for complying with the terms</w:t>
      </w:r>
      <w:r>
        <w:rPr>
          <w:spacing w:val="-22"/>
        </w:rPr>
        <w:t> </w:t>
      </w:r>
      <w:r>
        <w:rPr/>
        <w:t>of its insurance contract by participating in the appraisal process and paying in a </w:t>
      </w:r>
      <w:r>
        <w:rPr>
          <w:spacing w:val="-3"/>
        </w:rPr>
        <w:t>timely </w:t>
      </w:r>
      <w:r>
        <w:rPr/>
        <w:t>manner.</w:t>
      </w:r>
      <w:r>
        <w:rPr>
          <w:vertAlign w:val="superscript"/>
        </w:rPr>
        <w:t>264</w:t>
      </w:r>
    </w:p>
    <w:p>
      <w:pPr>
        <w:pStyle w:val="BodyText"/>
        <w:spacing w:before="11"/>
        <w:rPr>
          <w:sz w:val="25"/>
        </w:rPr>
      </w:pPr>
    </w:p>
    <w:p>
      <w:pPr>
        <w:pStyle w:val="BodyText"/>
        <w:spacing w:line="242" w:lineRule="auto"/>
        <w:ind w:left="1520" w:right="1519" w:firstLine="720"/>
        <w:jc w:val="both"/>
      </w:pPr>
      <w:r>
        <w:rPr/>
        <w:t>However, attorneys’ fees are not recoverable under the Florida statute where the</w:t>
      </w:r>
      <w:r>
        <w:rPr>
          <w:spacing w:val="-13"/>
        </w:rPr>
        <w:t> </w:t>
      </w:r>
      <w:r>
        <w:rPr/>
        <w:t>trial</w:t>
      </w:r>
      <w:r>
        <w:rPr>
          <w:spacing w:val="-13"/>
        </w:rPr>
        <w:t> </w:t>
      </w:r>
      <w:r>
        <w:rPr/>
        <w:t>court’s</w:t>
      </w:r>
      <w:r>
        <w:rPr>
          <w:spacing w:val="-13"/>
        </w:rPr>
        <w:t> </w:t>
      </w:r>
      <w:r>
        <w:rPr/>
        <w:t>appointment</w:t>
      </w:r>
      <w:r>
        <w:rPr>
          <w:spacing w:val="-15"/>
        </w:rPr>
        <w:t> </w:t>
      </w:r>
      <w:r>
        <w:rPr/>
        <w:t>of</w:t>
      </w:r>
      <w:r>
        <w:rPr>
          <w:spacing w:val="-15"/>
        </w:rPr>
        <w:t> </w:t>
      </w:r>
      <w:r>
        <w:rPr/>
        <w:t>an</w:t>
      </w:r>
      <w:r>
        <w:rPr>
          <w:spacing w:val="-15"/>
        </w:rPr>
        <w:t> </w:t>
      </w:r>
      <w:r>
        <w:rPr/>
        <w:t>umpire</w:t>
      </w:r>
      <w:r>
        <w:rPr>
          <w:spacing w:val="-14"/>
        </w:rPr>
        <w:t> </w:t>
      </w:r>
      <w:r>
        <w:rPr/>
        <w:t>was the</w:t>
      </w:r>
      <w:r>
        <w:rPr>
          <w:spacing w:val="-30"/>
        </w:rPr>
        <w:t> </w:t>
      </w:r>
      <w:r>
        <w:rPr/>
        <w:t>sole</w:t>
      </w:r>
      <w:r>
        <w:rPr>
          <w:spacing w:val="-29"/>
        </w:rPr>
        <w:t> </w:t>
      </w:r>
      <w:r>
        <w:rPr/>
        <w:t>basis</w:t>
      </w:r>
      <w:r>
        <w:rPr>
          <w:spacing w:val="-29"/>
        </w:rPr>
        <w:t> </w:t>
      </w:r>
      <w:r>
        <w:rPr/>
        <w:t>of</w:t>
      </w:r>
      <w:r>
        <w:rPr>
          <w:spacing w:val="-29"/>
        </w:rPr>
        <w:t> </w:t>
      </w:r>
      <w:r>
        <w:rPr/>
        <w:t>the</w:t>
      </w:r>
      <w:r>
        <w:rPr>
          <w:spacing w:val="-30"/>
        </w:rPr>
        <w:t> </w:t>
      </w:r>
      <w:r>
        <w:rPr/>
        <w:t>litigation.</w:t>
      </w:r>
      <w:r>
        <w:rPr>
          <w:spacing w:val="16"/>
        </w:rPr>
        <w:t> </w:t>
      </w:r>
      <w:r>
        <w:rPr/>
        <w:t>Nevertheless,</w:t>
      </w:r>
      <w:r>
        <w:rPr>
          <w:spacing w:val="-30"/>
        </w:rPr>
        <w:t> </w:t>
      </w:r>
      <w:r>
        <w:rPr/>
        <w:t>the insured was entitled to recover court</w:t>
      </w:r>
      <w:r>
        <w:rPr>
          <w:spacing w:val="-22"/>
        </w:rPr>
        <w:t> </w:t>
      </w:r>
      <w:r>
        <w:rPr/>
        <w:t>costs.</w:t>
      </w:r>
      <w:r>
        <w:rPr>
          <w:vertAlign w:val="superscript"/>
        </w:rPr>
        <w:t>265</w:t>
      </w:r>
    </w:p>
    <w:p>
      <w:pPr>
        <w:pStyle w:val="BodyText"/>
        <w:rPr>
          <w:sz w:val="20"/>
        </w:rPr>
      </w:pPr>
    </w:p>
    <w:p>
      <w:pPr>
        <w:pStyle w:val="BodyText"/>
        <w:rPr>
          <w:sz w:val="20"/>
        </w:rPr>
      </w:pPr>
    </w:p>
    <w:p>
      <w:pPr>
        <w:pStyle w:val="BodyText"/>
        <w:spacing w:before="9"/>
        <w:rPr>
          <w:sz w:val="23"/>
        </w:rPr>
      </w:pPr>
      <w:r>
        <w:rPr/>
        <w:pict>
          <v:shape style="position:absolute;margin-left:162pt;margin-top:16.975683pt;width:143.9pt;height:.1pt;mso-position-horizontal-relative:page;mso-position-vertical-relative:paragraph;z-index:-251553792;mso-wrap-distance-left:0;mso-wrap-distance-right:0" coordorigin="3240,340" coordsize="2878,0" path="m3240,340l6118,340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20"/>
        </w:numPr>
        <w:tabs>
          <w:tab w:pos="1435" w:val="left" w:leader="none"/>
        </w:tabs>
        <w:spacing w:line="240" w:lineRule="auto" w:before="71" w:after="0"/>
        <w:ind w:left="1434" w:right="0" w:hanging="275"/>
        <w:jc w:val="both"/>
        <w:rPr>
          <w:sz w:val="18"/>
        </w:rPr>
      </w:pPr>
      <w:r>
        <w:rPr>
          <w:sz w:val="18"/>
          <w:u w:val="single"/>
        </w:rPr>
        <w:t>Jerkins v. USF &amp; G Specialty Ins. Co.</w:t>
      </w:r>
      <w:r>
        <w:rPr>
          <w:sz w:val="18"/>
        </w:rPr>
        <w:t>, 982 So.2d 33 (Fla. App. 5 Dist., 2008);</w:t>
      </w:r>
      <w:r>
        <w:rPr>
          <w:spacing w:val="8"/>
          <w:sz w:val="18"/>
        </w:rPr>
        <w:t> </w:t>
      </w:r>
      <w:r>
        <w:rPr>
          <w:sz w:val="18"/>
        </w:rPr>
        <w:t>F.S.A.</w:t>
      </w:r>
    </w:p>
    <w:p>
      <w:pPr>
        <w:spacing w:line="242" w:lineRule="auto" w:before="19"/>
        <w:ind w:left="1160" w:right="1165" w:firstLine="0"/>
        <w:jc w:val="both"/>
        <w:rPr>
          <w:rFonts w:ascii="Times New Roman" w:hAnsi="Times New Roman"/>
          <w:sz w:val="24"/>
        </w:rPr>
      </w:pPr>
      <w:r>
        <w:rPr>
          <w:rFonts w:ascii="Courier New" w:hAnsi="Courier New"/>
          <w:i/>
          <w:sz w:val="18"/>
        </w:rPr>
        <w:t>§</w:t>
      </w:r>
      <w:r>
        <w:rPr>
          <w:rFonts w:ascii="Times New Roman" w:hAnsi="Times New Roman"/>
          <w:sz w:val="18"/>
        </w:rPr>
        <w:t>627.428(1); </w:t>
      </w:r>
      <w:r>
        <w:rPr>
          <w:rFonts w:ascii="Times New Roman" w:hAnsi="Times New Roman"/>
          <w:i/>
          <w:sz w:val="18"/>
        </w:rPr>
        <w:t>See also</w:t>
      </w:r>
      <w:r>
        <w:rPr>
          <w:rFonts w:ascii="Times New Roman" w:hAnsi="Times New Roman"/>
          <w:sz w:val="18"/>
        </w:rPr>
        <w:t>, </w:t>
      </w:r>
      <w:r>
        <w:rPr>
          <w:rFonts w:ascii="Times New Roman" w:hAnsi="Times New Roman"/>
          <w:sz w:val="18"/>
          <w:u w:val="single"/>
        </w:rPr>
        <w:t>Tooles v. Safeco Ins. Co. of America</w:t>
      </w:r>
      <w:r>
        <w:rPr>
          <w:rFonts w:ascii="Times New Roman" w:hAnsi="Times New Roman"/>
          <w:sz w:val="18"/>
        </w:rPr>
        <w:t>, 2007 WL 45749 (M.D. Fla.2007);</w:t>
      </w:r>
      <w:r>
        <w:rPr>
          <w:rFonts w:ascii="Times New Roman" w:hAnsi="Times New Roman"/>
          <w:spacing w:val="-7"/>
          <w:sz w:val="18"/>
        </w:rPr>
        <w:t> </w:t>
      </w:r>
      <w:r>
        <w:rPr>
          <w:rFonts w:ascii="Times New Roman" w:hAnsi="Times New Roman"/>
          <w:i/>
          <w:sz w:val="18"/>
        </w:rPr>
        <w:t>See</w:t>
      </w:r>
      <w:r>
        <w:rPr>
          <w:rFonts w:ascii="Times New Roman" w:hAnsi="Times New Roman"/>
          <w:i/>
          <w:spacing w:val="-8"/>
          <w:sz w:val="18"/>
        </w:rPr>
        <w:t> </w:t>
      </w:r>
      <w:r>
        <w:rPr>
          <w:rFonts w:ascii="Times New Roman" w:hAnsi="Times New Roman"/>
          <w:i/>
          <w:sz w:val="18"/>
        </w:rPr>
        <w:t>also</w:t>
      </w:r>
      <w:r>
        <w:rPr>
          <w:rFonts w:ascii="Times New Roman" w:hAnsi="Times New Roman"/>
          <w:sz w:val="18"/>
        </w:rPr>
        <w:t>,</w:t>
      </w:r>
      <w:r>
        <w:rPr>
          <w:rFonts w:ascii="Times New Roman" w:hAnsi="Times New Roman"/>
          <w:spacing w:val="-6"/>
          <w:sz w:val="18"/>
        </w:rPr>
        <w:t> </w:t>
      </w:r>
      <w:r>
        <w:rPr>
          <w:rFonts w:ascii="Times New Roman" w:hAnsi="Times New Roman"/>
          <w:sz w:val="18"/>
          <w:u w:val="single"/>
        </w:rPr>
        <w:t>Tri-Star</w:t>
      </w:r>
      <w:r>
        <w:rPr>
          <w:rFonts w:ascii="Times New Roman" w:hAnsi="Times New Roman"/>
          <w:spacing w:val="-5"/>
          <w:sz w:val="18"/>
          <w:u w:val="single"/>
        </w:rPr>
        <w:t> </w:t>
      </w:r>
      <w:r>
        <w:rPr>
          <w:rFonts w:ascii="Times New Roman" w:hAnsi="Times New Roman"/>
          <w:sz w:val="18"/>
          <w:u w:val="single"/>
        </w:rPr>
        <w:t>Lodging,</w:t>
      </w:r>
      <w:r>
        <w:rPr>
          <w:rFonts w:ascii="Times New Roman" w:hAnsi="Times New Roman"/>
          <w:spacing w:val="-3"/>
          <w:sz w:val="18"/>
          <w:u w:val="single"/>
        </w:rPr>
        <w:t> </w:t>
      </w:r>
      <w:r>
        <w:rPr>
          <w:rFonts w:ascii="Times New Roman" w:hAnsi="Times New Roman"/>
          <w:sz w:val="18"/>
          <w:u w:val="single"/>
        </w:rPr>
        <w:t>Inc.</w:t>
      </w:r>
      <w:r>
        <w:rPr>
          <w:rFonts w:ascii="Times New Roman" w:hAnsi="Times New Roman"/>
          <w:spacing w:val="-4"/>
          <w:sz w:val="18"/>
          <w:u w:val="single"/>
        </w:rPr>
        <w:t> </w:t>
      </w:r>
      <w:r>
        <w:rPr>
          <w:rFonts w:ascii="Times New Roman" w:hAnsi="Times New Roman"/>
          <w:sz w:val="18"/>
          <w:u w:val="single"/>
        </w:rPr>
        <w:t>v.</w:t>
      </w:r>
      <w:r>
        <w:rPr>
          <w:rFonts w:ascii="Times New Roman" w:hAnsi="Times New Roman"/>
          <w:spacing w:val="-3"/>
          <w:sz w:val="18"/>
          <w:u w:val="single"/>
        </w:rPr>
        <w:t> </w:t>
      </w:r>
      <w:r>
        <w:rPr>
          <w:rFonts w:ascii="Times New Roman" w:hAnsi="Times New Roman"/>
          <w:sz w:val="18"/>
          <w:u w:val="single"/>
        </w:rPr>
        <w:t>Arch</w:t>
      </w:r>
      <w:r>
        <w:rPr>
          <w:rFonts w:ascii="Times New Roman" w:hAnsi="Times New Roman"/>
          <w:spacing w:val="-4"/>
          <w:sz w:val="18"/>
          <w:u w:val="single"/>
        </w:rPr>
        <w:t> </w:t>
      </w:r>
      <w:r>
        <w:rPr>
          <w:rFonts w:ascii="Times New Roman" w:hAnsi="Times New Roman"/>
          <w:sz w:val="18"/>
          <w:u w:val="single"/>
        </w:rPr>
        <w:t>Specialty</w:t>
      </w:r>
      <w:r>
        <w:rPr>
          <w:rFonts w:ascii="Times New Roman" w:hAnsi="Times New Roman"/>
          <w:spacing w:val="-9"/>
          <w:sz w:val="18"/>
          <w:u w:val="single"/>
        </w:rPr>
        <w:t> </w:t>
      </w:r>
      <w:r>
        <w:rPr>
          <w:rFonts w:ascii="Times New Roman" w:hAnsi="Times New Roman"/>
          <w:sz w:val="18"/>
          <w:u w:val="single"/>
        </w:rPr>
        <w:t>Ins.</w:t>
      </w:r>
      <w:r>
        <w:rPr>
          <w:rFonts w:ascii="Times New Roman" w:hAnsi="Times New Roman"/>
          <w:spacing w:val="-4"/>
          <w:sz w:val="18"/>
          <w:u w:val="single"/>
        </w:rPr>
        <w:t> </w:t>
      </w:r>
      <w:r>
        <w:rPr>
          <w:rFonts w:ascii="Times New Roman" w:hAnsi="Times New Roman"/>
          <w:sz w:val="18"/>
          <w:u w:val="single"/>
        </w:rPr>
        <w:t>Co.</w:t>
      </w:r>
      <w:r>
        <w:rPr>
          <w:rFonts w:ascii="Times New Roman" w:hAnsi="Times New Roman"/>
          <w:sz w:val="18"/>
        </w:rPr>
        <w:t>,</w:t>
      </w:r>
      <w:r>
        <w:rPr>
          <w:rFonts w:ascii="Times New Roman" w:hAnsi="Times New Roman"/>
          <w:spacing w:val="-3"/>
          <w:sz w:val="18"/>
        </w:rPr>
        <w:t> </w:t>
      </w:r>
      <w:r>
        <w:rPr>
          <w:rFonts w:ascii="Times New Roman" w:hAnsi="Times New Roman"/>
          <w:sz w:val="18"/>
        </w:rPr>
        <w:t>434</w:t>
      </w:r>
      <w:r>
        <w:rPr>
          <w:rFonts w:ascii="Times New Roman" w:hAnsi="Times New Roman"/>
          <w:spacing w:val="-6"/>
          <w:sz w:val="18"/>
        </w:rPr>
        <w:t> </w:t>
      </w:r>
      <w:r>
        <w:rPr>
          <w:rFonts w:ascii="Times New Roman" w:hAnsi="Times New Roman"/>
          <w:sz w:val="18"/>
        </w:rPr>
        <w:t>F.Supp.2d</w:t>
      </w:r>
      <w:r>
        <w:rPr>
          <w:rFonts w:ascii="Times New Roman" w:hAnsi="Times New Roman"/>
          <w:spacing w:val="-5"/>
          <w:sz w:val="18"/>
        </w:rPr>
        <w:t> </w:t>
      </w:r>
      <w:r>
        <w:rPr>
          <w:rFonts w:ascii="Times New Roman" w:hAnsi="Times New Roman"/>
          <w:sz w:val="18"/>
        </w:rPr>
        <w:t>1286 (M.D.</w:t>
      </w:r>
      <w:r>
        <w:rPr>
          <w:rFonts w:ascii="Times New Roman" w:hAnsi="Times New Roman"/>
          <w:spacing w:val="-3"/>
          <w:sz w:val="18"/>
        </w:rPr>
        <w:t> </w:t>
      </w:r>
      <w:r>
        <w:rPr>
          <w:rFonts w:ascii="Times New Roman" w:hAnsi="Times New Roman"/>
          <w:sz w:val="18"/>
        </w:rPr>
        <w:t>Fla.</w:t>
      </w:r>
      <w:r>
        <w:rPr>
          <w:rFonts w:ascii="Times New Roman" w:hAnsi="Times New Roman"/>
          <w:spacing w:val="-4"/>
          <w:sz w:val="18"/>
        </w:rPr>
        <w:t> </w:t>
      </w:r>
      <w:r>
        <w:rPr>
          <w:rFonts w:ascii="Times New Roman" w:hAnsi="Times New Roman"/>
          <w:sz w:val="18"/>
        </w:rPr>
        <w:t>2006);</w:t>
      </w:r>
      <w:r>
        <w:rPr>
          <w:rFonts w:ascii="Times New Roman" w:hAnsi="Times New Roman"/>
          <w:spacing w:val="-4"/>
          <w:sz w:val="18"/>
        </w:rPr>
        <w:t> </w:t>
      </w:r>
      <w:r>
        <w:rPr>
          <w:rFonts w:ascii="Times New Roman" w:hAnsi="Times New Roman"/>
          <w:sz w:val="18"/>
          <w:u w:val="single"/>
        </w:rPr>
        <w:t>Holder</w:t>
      </w:r>
      <w:r>
        <w:rPr>
          <w:rFonts w:ascii="Times New Roman" w:hAnsi="Times New Roman"/>
          <w:spacing w:val="-5"/>
          <w:sz w:val="18"/>
          <w:u w:val="single"/>
        </w:rPr>
        <w:t> </w:t>
      </w:r>
      <w:r>
        <w:rPr>
          <w:rFonts w:ascii="Times New Roman" w:hAnsi="Times New Roman"/>
          <w:sz w:val="18"/>
          <w:u w:val="single"/>
        </w:rPr>
        <w:t>v.</w:t>
      </w:r>
      <w:r>
        <w:rPr>
          <w:rFonts w:ascii="Times New Roman" w:hAnsi="Times New Roman"/>
          <w:spacing w:val="-4"/>
          <w:sz w:val="18"/>
          <w:u w:val="single"/>
        </w:rPr>
        <w:t> </w:t>
      </w:r>
      <w:r>
        <w:rPr>
          <w:rFonts w:ascii="Times New Roman" w:hAnsi="Times New Roman"/>
          <w:sz w:val="18"/>
          <w:u w:val="single"/>
        </w:rPr>
        <w:t>State</w:t>
      </w:r>
      <w:r>
        <w:rPr>
          <w:rFonts w:ascii="Times New Roman" w:hAnsi="Times New Roman"/>
          <w:spacing w:val="-2"/>
          <w:sz w:val="18"/>
          <w:u w:val="single"/>
        </w:rPr>
        <w:t> </w:t>
      </w:r>
      <w:r>
        <w:rPr>
          <w:rFonts w:ascii="Times New Roman" w:hAnsi="Times New Roman"/>
          <w:sz w:val="18"/>
          <w:u w:val="single"/>
        </w:rPr>
        <w:t>Farm</w:t>
      </w:r>
      <w:r>
        <w:rPr>
          <w:rFonts w:ascii="Times New Roman" w:hAnsi="Times New Roman"/>
          <w:spacing w:val="-5"/>
          <w:sz w:val="18"/>
          <w:u w:val="single"/>
        </w:rPr>
        <w:t> </w:t>
      </w:r>
      <w:r>
        <w:rPr>
          <w:rFonts w:ascii="Times New Roman" w:hAnsi="Times New Roman"/>
          <w:sz w:val="18"/>
          <w:u w:val="single"/>
        </w:rPr>
        <w:t>Ins.</w:t>
      </w:r>
      <w:r>
        <w:rPr>
          <w:rFonts w:ascii="Times New Roman" w:hAnsi="Times New Roman"/>
          <w:spacing w:val="-1"/>
          <w:sz w:val="18"/>
          <w:u w:val="single"/>
        </w:rPr>
        <w:t> </w:t>
      </w:r>
      <w:r>
        <w:rPr>
          <w:rFonts w:ascii="Times New Roman" w:hAnsi="Times New Roman"/>
          <w:sz w:val="18"/>
          <w:u w:val="single"/>
        </w:rPr>
        <w:t>Co.</w:t>
      </w:r>
      <w:r>
        <w:rPr>
          <w:rFonts w:ascii="Times New Roman" w:hAnsi="Times New Roman"/>
          <w:sz w:val="18"/>
        </w:rPr>
        <w:t>,</w:t>
      </w:r>
      <w:r>
        <w:rPr>
          <w:rFonts w:ascii="Times New Roman" w:hAnsi="Times New Roman"/>
          <w:spacing w:val="-1"/>
          <w:sz w:val="18"/>
        </w:rPr>
        <w:t> </w:t>
      </w:r>
      <w:r>
        <w:rPr>
          <w:rFonts w:ascii="Times New Roman" w:hAnsi="Times New Roman"/>
          <w:sz w:val="18"/>
        </w:rPr>
        <w:t>944</w:t>
      </w:r>
      <w:r>
        <w:rPr>
          <w:rFonts w:ascii="Times New Roman" w:hAnsi="Times New Roman"/>
          <w:spacing w:val="-2"/>
          <w:sz w:val="18"/>
        </w:rPr>
        <w:t> </w:t>
      </w:r>
      <w:r>
        <w:rPr>
          <w:rFonts w:ascii="Times New Roman" w:hAnsi="Times New Roman"/>
          <w:sz w:val="18"/>
        </w:rPr>
        <w:t>So.2d</w:t>
      </w:r>
      <w:r>
        <w:rPr>
          <w:rFonts w:ascii="Times New Roman" w:hAnsi="Times New Roman"/>
          <w:spacing w:val="-1"/>
          <w:sz w:val="18"/>
        </w:rPr>
        <w:t> </w:t>
      </w:r>
      <w:r>
        <w:rPr>
          <w:rFonts w:ascii="Times New Roman" w:hAnsi="Times New Roman"/>
          <w:sz w:val="18"/>
        </w:rPr>
        <w:t>521,</w:t>
      </w:r>
      <w:r>
        <w:rPr>
          <w:rFonts w:ascii="Times New Roman" w:hAnsi="Times New Roman"/>
          <w:spacing w:val="-2"/>
          <w:sz w:val="18"/>
        </w:rPr>
        <w:t> </w:t>
      </w:r>
      <w:r>
        <w:rPr>
          <w:rFonts w:ascii="Times New Roman" w:hAnsi="Times New Roman"/>
          <w:sz w:val="18"/>
        </w:rPr>
        <w:t>33</w:t>
      </w:r>
      <w:r>
        <w:rPr>
          <w:rFonts w:ascii="Times New Roman" w:hAnsi="Times New Roman"/>
          <w:spacing w:val="-1"/>
          <w:sz w:val="18"/>
        </w:rPr>
        <w:t> </w:t>
      </w:r>
      <w:r>
        <w:rPr>
          <w:rFonts w:ascii="Times New Roman" w:hAnsi="Times New Roman"/>
          <w:sz w:val="18"/>
        </w:rPr>
        <w:t>Fla.</w:t>
      </w:r>
      <w:r>
        <w:rPr>
          <w:rFonts w:ascii="Times New Roman" w:hAnsi="Times New Roman"/>
          <w:spacing w:val="-1"/>
          <w:sz w:val="18"/>
        </w:rPr>
        <w:t> </w:t>
      </w:r>
      <w:r>
        <w:rPr>
          <w:rFonts w:ascii="Times New Roman" w:hAnsi="Times New Roman"/>
          <w:sz w:val="18"/>
        </w:rPr>
        <w:t>L.</w:t>
      </w:r>
      <w:r>
        <w:rPr>
          <w:rFonts w:ascii="Times New Roman" w:hAnsi="Times New Roman"/>
          <w:spacing w:val="-3"/>
          <w:sz w:val="18"/>
        </w:rPr>
        <w:t> </w:t>
      </w:r>
      <w:r>
        <w:rPr>
          <w:rFonts w:ascii="Times New Roman" w:hAnsi="Times New Roman"/>
          <w:sz w:val="18"/>
        </w:rPr>
        <w:t>Weekly</w:t>
      </w:r>
      <w:r>
        <w:rPr>
          <w:rFonts w:ascii="Times New Roman" w:hAnsi="Times New Roman"/>
          <w:spacing w:val="-9"/>
          <w:sz w:val="18"/>
        </w:rPr>
        <w:t> </w:t>
      </w:r>
      <w:r>
        <w:rPr>
          <w:rFonts w:ascii="Times New Roman" w:hAnsi="Times New Roman"/>
          <w:sz w:val="18"/>
        </w:rPr>
        <w:t>D2694 (Fla. 3d DCA 2008); ; </w:t>
      </w:r>
      <w:r>
        <w:rPr>
          <w:rFonts w:ascii="Times New Roman" w:hAnsi="Times New Roman"/>
          <w:i/>
          <w:sz w:val="18"/>
        </w:rPr>
        <w:t>see also </w:t>
      </w:r>
      <w:r>
        <w:rPr>
          <w:rFonts w:ascii="Times New Roman" w:hAnsi="Times New Roman"/>
          <w:sz w:val="18"/>
          <w:u w:val="single"/>
        </w:rPr>
        <w:t>Kopp v. Meritplan Ins. Co.</w:t>
      </w:r>
      <w:r>
        <w:rPr>
          <w:rFonts w:ascii="Times New Roman" w:hAnsi="Times New Roman"/>
          <w:sz w:val="18"/>
        </w:rPr>
        <w:t>, 2011 WL 397951 (M.D.Fla. 2011)</w:t>
      </w:r>
      <w:r>
        <w:rPr>
          <w:rFonts w:ascii="Times New Roman" w:hAnsi="Times New Roman"/>
          <w:sz w:val="24"/>
        </w:rPr>
        <w:t>.</w:t>
      </w:r>
    </w:p>
    <w:p>
      <w:pPr>
        <w:pStyle w:val="ListParagraph"/>
        <w:numPr>
          <w:ilvl w:val="0"/>
          <w:numId w:val="20"/>
        </w:numPr>
        <w:tabs>
          <w:tab w:pos="1445" w:val="left" w:leader="none"/>
        </w:tabs>
        <w:spacing w:line="261" w:lineRule="auto" w:before="0" w:after="0"/>
        <w:ind w:left="1160" w:right="1166" w:firstLine="0"/>
        <w:jc w:val="both"/>
        <w:rPr>
          <w:sz w:val="18"/>
        </w:rPr>
      </w:pPr>
      <w:r>
        <w:rPr>
          <w:sz w:val="18"/>
          <w:u w:val="single"/>
        </w:rPr>
        <w:t>Chateaubleau Villas </w:t>
      </w:r>
      <w:r>
        <w:rPr>
          <w:spacing w:val="2"/>
          <w:sz w:val="18"/>
          <w:u w:val="single"/>
        </w:rPr>
        <w:t>Condo </w:t>
      </w:r>
      <w:r>
        <w:rPr>
          <w:sz w:val="18"/>
          <w:u w:val="single"/>
        </w:rPr>
        <w:t>Ass’n., Inc., v. Mt. Hawley Ins. Co.</w:t>
      </w:r>
      <w:r>
        <w:rPr>
          <w:sz w:val="18"/>
        </w:rPr>
        <w:t>, 2010 WL 4923112 (S.D.Fla.).</w:t>
      </w:r>
    </w:p>
    <w:p>
      <w:pPr>
        <w:pStyle w:val="ListParagraph"/>
        <w:numPr>
          <w:ilvl w:val="0"/>
          <w:numId w:val="20"/>
        </w:numPr>
        <w:tabs>
          <w:tab w:pos="1433" w:val="left" w:leader="none"/>
        </w:tabs>
        <w:spacing w:line="226" w:lineRule="exact" w:before="28" w:after="0"/>
        <w:ind w:left="1160" w:right="1167" w:firstLine="0"/>
        <w:jc w:val="both"/>
        <w:rPr>
          <w:sz w:val="18"/>
        </w:rPr>
      </w:pPr>
      <w:r>
        <w:rPr>
          <w:sz w:val="18"/>
          <w:u w:val="single"/>
        </w:rPr>
        <w:t>Peraza v. Citizens Prop. Ins. Corp</w:t>
      </w:r>
      <w:r>
        <w:rPr>
          <w:sz w:val="18"/>
        </w:rPr>
        <w:t>., 973 So.2d 490, 32 Fla. L. Weekly D2766 (Fla.</w:t>
      </w:r>
      <w:r>
        <w:rPr>
          <w:spacing w:val="28"/>
          <w:sz w:val="18"/>
        </w:rPr>
        <w:t> </w:t>
      </w:r>
      <w:r>
        <w:rPr>
          <w:sz w:val="18"/>
        </w:rPr>
        <w:t>3d DCA 2007); F.S.A.</w:t>
      </w:r>
      <w:r>
        <w:rPr>
          <w:spacing w:val="-3"/>
          <w:sz w:val="18"/>
        </w:rPr>
        <w:t> </w:t>
      </w:r>
      <w:r>
        <w:rPr>
          <w:rFonts w:ascii="Courier New" w:hAnsi="Courier New"/>
          <w:i/>
          <w:sz w:val="18"/>
        </w:rPr>
        <w:t>§</w:t>
      </w:r>
      <w:r>
        <w:rPr>
          <w:sz w:val="18"/>
        </w:rPr>
        <w:t>627.428(1).</w:t>
      </w:r>
    </w:p>
    <w:p>
      <w:pPr>
        <w:spacing w:after="0" w:line="226" w:lineRule="exact"/>
        <w:jc w:val="both"/>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9" w:firstLine="720"/>
        <w:jc w:val="both"/>
      </w:pPr>
      <w:bookmarkStart w:name="Law and Procedure 179" w:id="90"/>
      <w:bookmarkEnd w:id="90"/>
      <w:r>
        <w:rPr/>
      </w:r>
      <w:r>
        <w:rPr/>
        <w:t>Attorneys’ fees were not recoverable under</w:t>
      </w:r>
      <w:r>
        <w:rPr>
          <w:spacing w:val="-23"/>
        </w:rPr>
        <w:t> </w:t>
      </w:r>
      <w:r>
        <w:rPr/>
        <w:t>the</w:t>
      </w:r>
      <w:r>
        <w:rPr>
          <w:spacing w:val="-20"/>
        </w:rPr>
        <w:t> </w:t>
      </w:r>
      <w:r>
        <w:rPr/>
        <w:t>Florida</w:t>
      </w:r>
      <w:r>
        <w:rPr>
          <w:spacing w:val="-18"/>
        </w:rPr>
        <w:t> </w:t>
      </w:r>
      <w:r>
        <w:rPr/>
        <w:t>Statute</w:t>
      </w:r>
      <w:r>
        <w:rPr>
          <w:spacing w:val="-19"/>
        </w:rPr>
        <w:t> </w:t>
      </w:r>
      <w:r>
        <w:rPr/>
        <w:t>where</w:t>
      </w:r>
      <w:r>
        <w:rPr>
          <w:spacing w:val="-19"/>
        </w:rPr>
        <w:t> </w:t>
      </w:r>
      <w:r>
        <w:rPr/>
        <w:t>the</w:t>
      </w:r>
      <w:r>
        <w:rPr>
          <w:spacing w:val="-20"/>
        </w:rPr>
        <w:t> </w:t>
      </w:r>
      <w:r>
        <w:rPr/>
        <w:t>insurer</w:t>
      </w:r>
      <w:r>
        <w:rPr>
          <w:spacing w:val="-21"/>
        </w:rPr>
        <w:t> </w:t>
      </w:r>
      <w:r>
        <w:rPr/>
        <w:t>was at</w:t>
      </w:r>
      <w:r>
        <w:rPr>
          <w:spacing w:val="-15"/>
        </w:rPr>
        <w:t> </w:t>
      </w:r>
      <w:r>
        <w:rPr/>
        <w:t>all</w:t>
      </w:r>
      <w:r>
        <w:rPr>
          <w:spacing w:val="-11"/>
        </w:rPr>
        <w:t> </w:t>
      </w:r>
      <w:r>
        <w:rPr/>
        <w:t>times</w:t>
      </w:r>
      <w:r>
        <w:rPr>
          <w:spacing w:val="-15"/>
        </w:rPr>
        <w:t> </w:t>
      </w:r>
      <w:r>
        <w:rPr/>
        <w:t>ready</w:t>
      </w:r>
      <w:r>
        <w:rPr>
          <w:spacing w:val="-15"/>
        </w:rPr>
        <w:t> </w:t>
      </w:r>
      <w:r>
        <w:rPr/>
        <w:t>to</w:t>
      </w:r>
      <w:r>
        <w:rPr>
          <w:spacing w:val="-15"/>
        </w:rPr>
        <w:t> </w:t>
      </w:r>
      <w:r>
        <w:rPr/>
        <w:t>pay</w:t>
      </w:r>
      <w:r>
        <w:rPr>
          <w:spacing w:val="-18"/>
        </w:rPr>
        <w:t> </w:t>
      </w:r>
      <w:r>
        <w:rPr/>
        <w:t>the</w:t>
      </w:r>
      <w:r>
        <w:rPr>
          <w:spacing w:val="-13"/>
        </w:rPr>
        <w:t> </w:t>
      </w:r>
      <w:r>
        <w:rPr/>
        <w:t>appraisal</w:t>
      </w:r>
      <w:r>
        <w:rPr>
          <w:spacing w:val="-11"/>
        </w:rPr>
        <w:t> </w:t>
      </w:r>
      <w:r>
        <w:rPr/>
        <w:t>amount but the insured failed to participate in the process in a timely</w:t>
      </w:r>
      <w:r>
        <w:rPr>
          <w:spacing w:val="-6"/>
        </w:rPr>
        <w:t> </w:t>
      </w:r>
      <w:r>
        <w:rPr/>
        <w:t>fashion.</w:t>
      </w:r>
      <w:r>
        <w:rPr>
          <w:vertAlign w:val="superscript"/>
        </w:rPr>
        <w:t>266</w:t>
      </w:r>
    </w:p>
    <w:p>
      <w:pPr>
        <w:pStyle w:val="BodyText"/>
      </w:pPr>
    </w:p>
    <w:p>
      <w:pPr>
        <w:pStyle w:val="BodyText"/>
        <w:spacing w:line="242" w:lineRule="auto" w:before="1"/>
        <w:ind w:left="1520" w:right="1517" w:firstLine="720"/>
        <w:jc w:val="both"/>
      </w:pPr>
      <w:r>
        <w:rPr/>
        <w:t>However, where an award of attorneys’ fees</w:t>
      </w:r>
      <w:r>
        <w:rPr>
          <w:spacing w:val="-12"/>
        </w:rPr>
        <w:t> </w:t>
      </w:r>
      <w:r>
        <w:rPr/>
        <w:t>was</w:t>
      </w:r>
      <w:r>
        <w:rPr>
          <w:spacing w:val="-10"/>
        </w:rPr>
        <w:t> </w:t>
      </w:r>
      <w:r>
        <w:rPr/>
        <w:t>rendered</w:t>
      </w:r>
      <w:r>
        <w:rPr>
          <w:spacing w:val="-13"/>
        </w:rPr>
        <w:t> </w:t>
      </w:r>
      <w:r>
        <w:rPr/>
        <w:t>in</w:t>
      </w:r>
      <w:r>
        <w:rPr>
          <w:spacing w:val="-13"/>
        </w:rPr>
        <w:t> </w:t>
      </w:r>
      <w:r>
        <w:rPr/>
        <w:t>favor</w:t>
      </w:r>
      <w:r>
        <w:rPr>
          <w:spacing w:val="-14"/>
        </w:rPr>
        <w:t> </w:t>
      </w:r>
      <w:r>
        <w:rPr/>
        <w:t>of</w:t>
      </w:r>
      <w:r>
        <w:rPr>
          <w:spacing w:val="-12"/>
        </w:rPr>
        <w:t> </w:t>
      </w:r>
      <w:r>
        <w:rPr/>
        <w:t>insureds</w:t>
      </w:r>
      <w:r>
        <w:rPr>
          <w:spacing w:val="-14"/>
        </w:rPr>
        <w:t> </w:t>
      </w:r>
      <w:r>
        <w:rPr/>
        <w:t>but</w:t>
      </w:r>
      <w:r>
        <w:rPr>
          <w:spacing w:val="-13"/>
        </w:rPr>
        <w:t> </w:t>
      </w:r>
      <w:r>
        <w:rPr/>
        <w:t>their insurer had been replaced by the Florida Insurance Guaranty Association (FIGA) as a party due to insolvency, FIGA was not responsible for payment of this fee under the </w:t>
      </w:r>
      <w:r>
        <w:rPr>
          <w:i/>
        </w:rPr>
        <w:t>Florida Insurance Guaranty Association Act</w:t>
      </w:r>
      <w:r>
        <w:rPr/>
        <w:t>. The Court determined that the fee award</w:t>
      </w:r>
      <w:r>
        <w:rPr>
          <w:spacing w:val="-53"/>
        </w:rPr>
        <w:t> </w:t>
      </w:r>
      <w:r>
        <w:rPr/>
        <w:t>was not a covered claim under §627.428 of</w:t>
      </w:r>
      <w:r>
        <w:rPr>
          <w:spacing w:val="-42"/>
        </w:rPr>
        <w:t> </w:t>
      </w:r>
      <w:r>
        <w:rPr/>
        <w:t>Florida law, which provides in part that: “Upon the rendition of a judgment or decree by any of the</w:t>
      </w:r>
      <w:r>
        <w:rPr>
          <w:spacing w:val="-15"/>
        </w:rPr>
        <w:t> </w:t>
      </w:r>
      <w:r>
        <w:rPr/>
        <w:t>courts</w:t>
      </w:r>
      <w:r>
        <w:rPr>
          <w:spacing w:val="-13"/>
        </w:rPr>
        <w:t> </w:t>
      </w:r>
      <w:r>
        <w:rPr/>
        <w:t>of</w:t>
      </w:r>
      <w:r>
        <w:rPr>
          <w:spacing w:val="-16"/>
        </w:rPr>
        <w:t> </w:t>
      </w:r>
      <w:r>
        <w:rPr/>
        <w:t>this</w:t>
      </w:r>
      <w:r>
        <w:rPr>
          <w:spacing w:val="-17"/>
        </w:rPr>
        <w:t> </w:t>
      </w:r>
      <w:r>
        <w:rPr/>
        <w:t>state</w:t>
      </w:r>
      <w:r>
        <w:rPr>
          <w:spacing w:val="-16"/>
        </w:rPr>
        <w:t> </w:t>
      </w:r>
      <w:r>
        <w:rPr/>
        <w:t>against</w:t>
      </w:r>
      <w:r>
        <w:rPr>
          <w:spacing w:val="-19"/>
        </w:rPr>
        <w:t> </w:t>
      </w:r>
      <w:r>
        <w:rPr/>
        <w:t>an</w:t>
      </w:r>
      <w:r>
        <w:rPr>
          <w:spacing w:val="-16"/>
        </w:rPr>
        <w:t> </w:t>
      </w:r>
      <w:r>
        <w:rPr/>
        <w:t>insurer</w:t>
      </w:r>
      <w:r>
        <w:rPr>
          <w:spacing w:val="-18"/>
        </w:rPr>
        <w:t> </w:t>
      </w:r>
      <w:r>
        <w:rPr/>
        <w:t>and</w:t>
      </w:r>
      <w:r>
        <w:rPr>
          <w:spacing w:val="-14"/>
        </w:rPr>
        <w:t> </w:t>
      </w:r>
      <w:r>
        <w:rPr/>
        <w:t>in favor of any named or omnibus insured or the named</w:t>
      </w:r>
      <w:r>
        <w:rPr>
          <w:spacing w:val="-10"/>
        </w:rPr>
        <w:t> </w:t>
      </w:r>
      <w:r>
        <w:rPr/>
        <w:t>beneficiary</w:t>
      </w:r>
      <w:r>
        <w:rPr>
          <w:spacing w:val="-12"/>
        </w:rPr>
        <w:t> </w:t>
      </w:r>
      <w:r>
        <w:rPr/>
        <w:t>under</w:t>
      </w:r>
      <w:r>
        <w:rPr>
          <w:spacing w:val="-9"/>
        </w:rPr>
        <w:t> </w:t>
      </w:r>
      <w:r>
        <w:rPr/>
        <w:t>a</w:t>
      </w:r>
      <w:r>
        <w:rPr>
          <w:spacing w:val="-7"/>
        </w:rPr>
        <w:t> </w:t>
      </w:r>
      <w:r>
        <w:rPr/>
        <w:t>policy</w:t>
      </w:r>
      <w:r>
        <w:rPr>
          <w:spacing w:val="-9"/>
        </w:rPr>
        <w:t> </w:t>
      </w:r>
      <w:r>
        <w:rPr/>
        <w:t>or</w:t>
      </w:r>
      <w:r>
        <w:rPr>
          <w:spacing w:val="-7"/>
        </w:rPr>
        <w:t> </w:t>
      </w:r>
      <w:r>
        <w:rPr/>
        <w:t>contract executed</w:t>
      </w:r>
      <w:r>
        <w:rPr>
          <w:spacing w:val="-24"/>
        </w:rPr>
        <w:t> </w:t>
      </w:r>
      <w:r>
        <w:rPr/>
        <w:t>by</w:t>
      </w:r>
      <w:r>
        <w:rPr>
          <w:spacing w:val="-24"/>
        </w:rPr>
        <w:t> </w:t>
      </w:r>
      <w:r>
        <w:rPr/>
        <w:t>the</w:t>
      </w:r>
      <w:r>
        <w:rPr>
          <w:spacing w:val="-22"/>
        </w:rPr>
        <w:t> </w:t>
      </w:r>
      <w:r>
        <w:rPr/>
        <w:t>insurer,</w:t>
      </w:r>
      <w:r>
        <w:rPr>
          <w:spacing w:val="-25"/>
        </w:rPr>
        <w:t> </w:t>
      </w:r>
      <w:r>
        <w:rPr/>
        <w:t>the</w:t>
      </w:r>
      <w:r>
        <w:rPr>
          <w:spacing w:val="-20"/>
        </w:rPr>
        <w:t> </w:t>
      </w:r>
      <w:r>
        <w:rPr/>
        <w:t>trial</w:t>
      </w:r>
      <w:r>
        <w:rPr>
          <w:spacing w:val="-19"/>
        </w:rPr>
        <w:t> </w:t>
      </w:r>
      <w:r>
        <w:rPr/>
        <w:t>court</w:t>
      </w:r>
      <w:r>
        <w:rPr>
          <w:spacing w:val="-22"/>
        </w:rPr>
        <w:t> </w:t>
      </w:r>
      <w:r>
        <w:rPr/>
        <w:t>or,</w:t>
      </w:r>
      <w:r>
        <w:rPr>
          <w:spacing w:val="-21"/>
        </w:rPr>
        <w:t> </w:t>
      </w:r>
      <w:r>
        <w:rPr/>
        <w:t>in</w:t>
      </w:r>
      <w:r>
        <w:rPr>
          <w:spacing w:val="-22"/>
        </w:rPr>
        <w:t> </w:t>
      </w:r>
      <w:r>
        <w:rPr/>
        <w:t>the event of an appeal in which the insured or beneficiary prevails, the appellate court shall adjudge or decree against the insurer and in favor of the insured or beneficiary a reasonable sum as fees or compensation </w:t>
      </w:r>
      <w:r>
        <w:rPr>
          <w:spacing w:val="-5"/>
        </w:rPr>
        <w:t>for </w:t>
      </w:r>
      <w:r>
        <w:rPr>
          <w:spacing w:val="2"/>
        </w:rPr>
        <w:t>the </w:t>
      </w:r>
      <w:r>
        <w:rPr>
          <w:spacing w:val="4"/>
        </w:rPr>
        <w:t>insured’s </w:t>
      </w:r>
      <w:r>
        <w:rPr/>
        <w:t>or </w:t>
      </w:r>
      <w:r>
        <w:rPr>
          <w:spacing w:val="4"/>
        </w:rPr>
        <w:t>beneficiary’s </w:t>
      </w:r>
      <w:r>
        <w:rPr>
          <w:spacing w:val="3"/>
        </w:rPr>
        <w:t>attorney </w:t>
      </w:r>
      <w:r>
        <w:rPr/>
        <w:t>prosecuting the suit in which recovery is had.” The Court clarified that the provision serves</w:t>
      </w:r>
      <w:r>
        <w:rPr>
          <w:spacing w:val="17"/>
        </w:rPr>
        <w:t> </w:t>
      </w:r>
      <w:r>
        <w:rPr/>
        <w:t>as</w:t>
      </w:r>
    </w:p>
    <w:p>
      <w:pPr>
        <w:pStyle w:val="BodyText"/>
        <w:spacing w:before="11"/>
        <w:rPr>
          <w:sz w:val="29"/>
        </w:rPr>
      </w:pPr>
      <w:r>
        <w:rPr/>
        <w:pict>
          <v:shape style="position:absolute;margin-left:162pt;margin-top:20.74626pt;width:143.9pt;height:.1pt;mso-position-horizontal-relative:page;mso-position-vertical-relative:paragraph;z-index:-251552768;mso-wrap-distance-left:0;mso-wrap-distance-right:0" coordorigin="3240,415" coordsize="2878,0" path="m3240,415l6118,415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20"/>
        </w:numPr>
        <w:tabs>
          <w:tab w:pos="1428" w:val="left" w:leader="none"/>
        </w:tabs>
        <w:spacing w:line="264" w:lineRule="auto" w:before="71" w:after="0"/>
        <w:ind w:left="1160" w:right="1165" w:firstLine="0"/>
        <w:jc w:val="left"/>
        <w:rPr>
          <w:sz w:val="24"/>
        </w:rPr>
      </w:pPr>
      <w:r>
        <w:rPr>
          <w:sz w:val="18"/>
          <w:u w:val="single"/>
        </w:rPr>
        <w:t>Progressive</w:t>
      </w:r>
      <w:r>
        <w:rPr>
          <w:spacing w:val="-8"/>
          <w:sz w:val="18"/>
          <w:u w:val="single"/>
        </w:rPr>
        <w:t> </w:t>
      </w:r>
      <w:r>
        <w:rPr>
          <w:sz w:val="18"/>
          <w:u w:val="single"/>
        </w:rPr>
        <w:t>Express</w:t>
      </w:r>
      <w:r>
        <w:rPr>
          <w:spacing w:val="-9"/>
          <w:sz w:val="18"/>
          <w:u w:val="single"/>
        </w:rPr>
        <w:t> </w:t>
      </w:r>
      <w:r>
        <w:rPr>
          <w:sz w:val="18"/>
          <w:u w:val="single"/>
        </w:rPr>
        <w:t>Ins.</w:t>
      </w:r>
      <w:r>
        <w:rPr>
          <w:spacing w:val="-7"/>
          <w:sz w:val="18"/>
          <w:u w:val="single"/>
        </w:rPr>
        <w:t> </w:t>
      </w:r>
      <w:r>
        <w:rPr>
          <w:sz w:val="18"/>
          <w:u w:val="single"/>
        </w:rPr>
        <w:t>Co.</w:t>
      </w:r>
      <w:r>
        <w:rPr>
          <w:spacing w:val="-6"/>
          <w:sz w:val="18"/>
          <w:u w:val="single"/>
        </w:rPr>
        <w:t> </w:t>
      </w:r>
      <w:r>
        <w:rPr>
          <w:sz w:val="18"/>
          <w:u w:val="single"/>
        </w:rPr>
        <w:t>v.</w:t>
      </w:r>
      <w:r>
        <w:rPr>
          <w:spacing w:val="-8"/>
          <w:sz w:val="18"/>
          <w:u w:val="single"/>
        </w:rPr>
        <w:t> </w:t>
      </w:r>
      <w:r>
        <w:rPr>
          <w:sz w:val="18"/>
          <w:u w:val="single"/>
        </w:rPr>
        <w:t>Weitz</w:t>
      </w:r>
      <w:r>
        <w:rPr>
          <w:sz w:val="18"/>
        </w:rPr>
        <w:t>,</w:t>
      </w:r>
      <w:r>
        <w:rPr>
          <w:spacing w:val="-7"/>
          <w:sz w:val="18"/>
        </w:rPr>
        <w:t> </w:t>
      </w:r>
      <w:r>
        <w:rPr>
          <w:sz w:val="18"/>
        </w:rPr>
        <w:t>218</w:t>
      </w:r>
      <w:r>
        <w:rPr>
          <w:spacing w:val="-7"/>
          <w:sz w:val="18"/>
        </w:rPr>
        <w:t> </w:t>
      </w:r>
      <w:r>
        <w:rPr>
          <w:sz w:val="18"/>
        </w:rPr>
        <w:t>Fed.</w:t>
      </w:r>
      <w:r>
        <w:rPr>
          <w:spacing w:val="-6"/>
          <w:sz w:val="18"/>
        </w:rPr>
        <w:t> </w:t>
      </w:r>
      <w:r>
        <w:rPr>
          <w:sz w:val="18"/>
        </w:rPr>
        <w:t>Appx.</w:t>
      </w:r>
      <w:r>
        <w:rPr>
          <w:spacing w:val="-6"/>
          <w:sz w:val="18"/>
        </w:rPr>
        <w:t> </w:t>
      </w:r>
      <w:r>
        <w:rPr>
          <w:sz w:val="18"/>
        </w:rPr>
        <w:t>846,</w:t>
      </w:r>
      <w:r>
        <w:rPr>
          <w:spacing w:val="-4"/>
          <w:sz w:val="18"/>
        </w:rPr>
        <w:t> </w:t>
      </w:r>
      <w:r>
        <w:rPr>
          <w:sz w:val="18"/>
        </w:rPr>
        <w:t>2007</w:t>
      </w:r>
      <w:r>
        <w:rPr>
          <w:spacing w:val="-3"/>
          <w:sz w:val="18"/>
        </w:rPr>
        <w:t> </w:t>
      </w:r>
      <w:r>
        <w:rPr>
          <w:sz w:val="18"/>
        </w:rPr>
        <w:t>WL</w:t>
      </w:r>
      <w:r>
        <w:rPr>
          <w:spacing w:val="-7"/>
          <w:sz w:val="18"/>
        </w:rPr>
        <w:t> </w:t>
      </w:r>
      <w:r>
        <w:rPr>
          <w:sz w:val="18"/>
        </w:rPr>
        <w:t>496785</w:t>
      </w:r>
      <w:r>
        <w:rPr>
          <w:spacing w:val="-2"/>
          <w:sz w:val="18"/>
        </w:rPr>
        <w:t> </w:t>
      </w:r>
      <w:r>
        <w:rPr>
          <w:sz w:val="18"/>
        </w:rPr>
        <w:t>(C.A.</w:t>
      </w:r>
      <w:r>
        <w:rPr>
          <w:spacing w:val="-4"/>
          <w:sz w:val="18"/>
        </w:rPr>
        <w:t> </w:t>
      </w:r>
      <w:r>
        <w:rPr>
          <w:sz w:val="18"/>
        </w:rPr>
        <w:t>11 Fla.)</w:t>
      </w:r>
      <w:r>
        <w:rPr>
          <w:sz w:val="24"/>
        </w:rPr>
        <w:t>.</w:t>
      </w:r>
    </w:p>
    <w:p>
      <w:pPr>
        <w:spacing w:after="0" w:line="264" w:lineRule="auto"/>
        <w:jc w:val="left"/>
        <w:rPr>
          <w:sz w:val="24"/>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180" w:id="91"/>
      <w:bookmarkEnd w:id="91"/>
      <w:r>
        <w:rPr/>
      </w:r>
      <w:r>
        <w:rPr/>
        <w:t>a penalty for the wrongful refusal to pay benefits. Further, the Act provides that a covered claim must “‘arise out of’ the insurance policy and be ‘within the coverage of’ the insurance policy. </w:t>
      </w:r>
      <w:r>
        <w:rPr>
          <w:spacing w:val="3"/>
        </w:rPr>
        <w:t>In </w:t>
      </w:r>
      <w:r>
        <w:rPr/>
        <w:t>the instant action, the damages resulting from the insurer’s breach of contract arose out of the</w:t>
      </w:r>
      <w:r>
        <w:rPr>
          <w:spacing w:val="-35"/>
        </w:rPr>
        <w:t> </w:t>
      </w:r>
      <w:r>
        <w:rPr/>
        <w:t>insurance policy but were not within its coverage. </w:t>
      </w:r>
      <w:r>
        <w:rPr>
          <w:spacing w:val="3"/>
        </w:rPr>
        <w:t>It </w:t>
      </w:r>
      <w:r>
        <w:rPr/>
        <w:t>deemed §627.428 an implicit part of an insurance policy, but noted “this does not mean that the insured’s claim against the insurer for fees and costs is part of the policy’s coverage.’”</w:t>
      </w:r>
      <w:r>
        <w:rPr>
          <w:vertAlign w:val="superscript"/>
        </w:rPr>
        <w:t>267</w:t>
      </w:r>
    </w:p>
    <w:p>
      <w:pPr>
        <w:pStyle w:val="BodyText"/>
        <w:spacing w:before="10"/>
        <w:rPr>
          <w:sz w:val="25"/>
        </w:rPr>
      </w:pPr>
    </w:p>
    <w:p>
      <w:pPr>
        <w:pStyle w:val="BodyText"/>
        <w:spacing w:line="242" w:lineRule="auto"/>
        <w:ind w:left="1520" w:right="1516" w:firstLine="720"/>
        <w:jc w:val="both"/>
      </w:pPr>
      <w:r>
        <w:rPr/>
        <w:t>It has been held that appraisal may not be possible where the damage at issue involved the cost of code upgrades incurred upon the actual repair or replacement of the subject property where actual repair or replacement had not yet occurred and may actually have been impossible. It was determined that a question of fact existed as to whether appraisal was appropriate under these circumstances.</w:t>
      </w:r>
      <w:r>
        <w:rPr>
          <w:vertAlign w:val="superscript"/>
        </w:rPr>
        <w:t>268</w:t>
      </w:r>
    </w:p>
    <w:p>
      <w:pPr>
        <w:pStyle w:val="BodyText"/>
        <w:spacing w:before="11"/>
        <w:rPr>
          <w:sz w:val="25"/>
        </w:rPr>
      </w:pPr>
    </w:p>
    <w:p>
      <w:pPr>
        <w:pStyle w:val="BodyText"/>
        <w:spacing w:line="242" w:lineRule="auto"/>
        <w:ind w:left="1520" w:right="1519" w:firstLine="720"/>
        <w:jc w:val="both"/>
      </w:pPr>
      <w:r>
        <w:rPr>
          <w:spacing w:val="3"/>
        </w:rPr>
        <w:t>In </w:t>
      </w:r>
      <w:r>
        <w:rPr/>
        <w:t>the state of Washington, it has </w:t>
      </w:r>
      <w:r>
        <w:rPr>
          <w:spacing w:val="-3"/>
        </w:rPr>
        <w:t>been </w:t>
      </w:r>
      <w:r>
        <w:rPr/>
        <w:t>held</w:t>
      </w:r>
      <w:r>
        <w:rPr>
          <w:spacing w:val="-22"/>
        </w:rPr>
        <w:t> </w:t>
      </w:r>
      <w:r>
        <w:rPr/>
        <w:t>that</w:t>
      </w:r>
      <w:r>
        <w:rPr>
          <w:spacing w:val="-23"/>
        </w:rPr>
        <w:t> </w:t>
      </w:r>
      <w:r>
        <w:rPr/>
        <w:t>a</w:t>
      </w:r>
      <w:r>
        <w:rPr>
          <w:spacing w:val="-24"/>
        </w:rPr>
        <w:t> </w:t>
      </w:r>
      <w:r>
        <w:rPr/>
        <w:t>determination</w:t>
      </w:r>
      <w:r>
        <w:rPr>
          <w:spacing w:val="-23"/>
        </w:rPr>
        <w:t> </w:t>
      </w:r>
      <w:r>
        <w:rPr/>
        <w:t>of</w:t>
      </w:r>
      <w:r>
        <w:rPr>
          <w:spacing w:val="-25"/>
        </w:rPr>
        <w:t> </w:t>
      </w:r>
      <w:r>
        <w:rPr/>
        <w:t>whether</w:t>
      </w:r>
      <w:r>
        <w:rPr>
          <w:spacing w:val="-26"/>
        </w:rPr>
        <w:t> </w:t>
      </w:r>
      <w:r>
        <w:rPr/>
        <w:t>work</w:t>
      </w:r>
      <w:r>
        <w:rPr>
          <w:spacing w:val="-25"/>
        </w:rPr>
        <w:t> </w:t>
      </w:r>
      <w:r>
        <w:rPr/>
        <w:t>was required</w:t>
      </w:r>
      <w:r>
        <w:rPr>
          <w:spacing w:val="-23"/>
        </w:rPr>
        <w:t> </w:t>
      </w:r>
      <w:r>
        <w:rPr/>
        <w:t>to</w:t>
      </w:r>
      <w:r>
        <w:rPr>
          <w:spacing w:val="-23"/>
        </w:rPr>
        <w:t> </w:t>
      </w:r>
      <w:r>
        <w:rPr/>
        <w:t>bring</w:t>
      </w:r>
      <w:r>
        <w:rPr>
          <w:spacing w:val="-24"/>
        </w:rPr>
        <w:t> </w:t>
      </w:r>
      <w:r>
        <w:rPr/>
        <w:t>the</w:t>
      </w:r>
      <w:r>
        <w:rPr>
          <w:spacing w:val="-22"/>
        </w:rPr>
        <w:t> </w:t>
      </w:r>
      <w:r>
        <w:rPr/>
        <w:t>property</w:t>
      </w:r>
      <w:r>
        <w:rPr>
          <w:spacing w:val="-25"/>
        </w:rPr>
        <w:t> </w:t>
      </w:r>
      <w:r>
        <w:rPr/>
        <w:t>up</w:t>
      </w:r>
      <w:r>
        <w:rPr>
          <w:spacing w:val="-20"/>
        </w:rPr>
        <w:t> </w:t>
      </w:r>
      <w:r>
        <w:rPr/>
        <w:t>to</w:t>
      </w:r>
      <w:r>
        <w:rPr>
          <w:spacing w:val="-22"/>
        </w:rPr>
        <w:t> </w:t>
      </w:r>
      <w:r>
        <w:rPr/>
        <w:t>code</w:t>
      </w:r>
      <w:r>
        <w:rPr>
          <w:spacing w:val="-21"/>
        </w:rPr>
        <w:t> </w:t>
      </w:r>
      <w:r>
        <w:rPr/>
        <w:t>is</w:t>
      </w:r>
      <w:r>
        <w:rPr>
          <w:spacing w:val="-24"/>
        </w:rPr>
        <w:t> </w:t>
      </w:r>
      <w:r>
        <w:rPr/>
        <w:t>not</w:t>
      </w:r>
    </w:p>
    <w:p>
      <w:pPr>
        <w:pStyle w:val="BodyText"/>
        <w:rPr>
          <w:sz w:val="20"/>
        </w:rPr>
      </w:pPr>
    </w:p>
    <w:p>
      <w:pPr>
        <w:pStyle w:val="BodyText"/>
        <w:spacing w:before="9"/>
        <w:rPr>
          <w:sz w:val="11"/>
        </w:rPr>
      </w:pPr>
      <w:r>
        <w:rPr/>
        <w:pict>
          <v:shape style="position:absolute;margin-left:162pt;margin-top:9.609336pt;width:143.9pt;height:.1pt;mso-position-horizontal-relative:page;mso-position-vertical-relative:paragraph;z-index:-251551744;mso-wrap-distance-left:0;mso-wrap-distance-right:0" coordorigin="3240,192" coordsize="2878,0" path="m3240,192l6118,192e" filled="false" stroked="true" strokeweight=".84pt" strokecolor="#000000">
            <v:path arrowok="t"/>
            <v:stroke dashstyle="solid"/>
            <w10:wrap type="topAndBottom"/>
          </v:shape>
        </w:pict>
      </w:r>
    </w:p>
    <w:p>
      <w:pPr>
        <w:pStyle w:val="BodyText"/>
        <w:spacing w:before="8"/>
        <w:rPr>
          <w:sz w:val="12"/>
        </w:rPr>
      </w:pPr>
    </w:p>
    <w:p>
      <w:pPr>
        <w:pStyle w:val="ListParagraph"/>
        <w:numPr>
          <w:ilvl w:val="0"/>
          <w:numId w:val="20"/>
        </w:numPr>
        <w:tabs>
          <w:tab w:pos="1452" w:val="left" w:leader="none"/>
        </w:tabs>
        <w:spacing w:line="240" w:lineRule="auto" w:before="71" w:after="0"/>
        <w:ind w:left="1451" w:right="0" w:hanging="292"/>
        <w:jc w:val="left"/>
        <w:rPr>
          <w:sz w:val="18"/>
        </w:rPr>
      </w:pPr>
      <w:r>
        <w:rPr>
          <w:sz w:val="18"/>
          <w:u w:val="single"/>
        </w:rPr>
        <w:t>Florida</w:t>
      </w:r>
      <w:r>
        <w:rPr>
          <w:spacing w:val="3"/>
          <w:sz w:val="18"/>
          <w:u w:val="single"/>
        </w:rPr>
        <w:t> </w:t>
      </w:r>
      <w:r>
        <w:rPr>
          <w:sz w:val="18"/>
          <w:u w:val="single"/>
        </w:rPr>
        <w:t>Ins.</w:t>
      </w:r>
      <w:r>
        <w:rPr>
          <w:spacing w:val="5"/>
          <w:sz w:val="18"/>
          <w:u w:val="single"/>
        </w:rPr>
        <w:t> </w:t>
      </w:r>
      <w:r>
        <w:rPr>
          <w:sz w:val="18"/>
          <w:u w:val="single"/>
        </w:rPr>
        <w:t>Guar.</w:t>
      </w:r>
      <w:r>
        <w:rPr>
          <w:spacing w:val="6"/>
          <w:sz w:val="18"/>
          <w:u w:val="single"/>
        </w:rPr>
        <w:t> </w:t>
      </w:r>
      <w:r>
        <w:rPr>
          <w:sz w:val="18"/>
          <w:u w:val="single"/>
        </w:rPr>
        <w:t>Ass’n,</w:t>
      </w:r>
      <w:r>
        <w:rPr>
          <w:spacing w:val="6"/>
          <w:sz w:val="18"/>
          <w:u w:val="single"/>
        </w:rPr>
        <w:t> </w:t>
      </w:r>
      <w:r>
        <w:rPr>
          <w:sz w:val="18"/>
          <w:u w:val="single"/>
        </w:rPr>
        <w:t>v.</w:t>
      </w:r>
      <w:r>
        <w:rPr>
          <w:spacing w:val="5"/>
          <w:sz w:val="18"/>
          <w:u w:val="single"/>
        </w:rPr>
        <w:t> </w:t>
      </w:r>
      <w:r>
        <w:rPr>
          <w:sz w:val="18"/>
          <w:u w:val="single"/>
        </w:rPr>
        <w:t>Petty</w:t>
      </w:r>
      <w:r>
        <w:rPr>
          <w:sz w:val="18"/>
        </w:rPr>
        <w:t>,</w:t>
      </w:r>
      <w:r>
        <w:rPr>
          <w:spacing w:val="6"/>
          <w:sz w:val="18"/>
        </w:rPr>
        <w:t> </w:t>
      </w:r>
      <w:r>
        <w:rPr>
          <w:sz w:val="18"/>
        </w:rPr>
        <w:t>44</w:t>
      </w:r>
      <w:r>
        <w:rPr>
          <w:spacing w:val="5"/>
          <w:sz w:val="18"/>
        </w:rPr>
        <w:t> </w:t>
      </w:r>
      <w:r>
        <w:rPr>
          <w:spacing w:val="2"/>
          <w:sz w:val="18"/>
        </w:rPr>
        <w:t>So.3d</w:t>
      </w:r>
      <w:r>
        <w:rPr>
          <w:spacing w:val="11"/>
          <w:sz w:val="18"/>
        </w:rPr>
        <w:t> </w:t>
      </w:r>
      <w:r>
        <w:rPr>
          <w:spacing w:val="2"/>
          <w:sz w:val="18"/>
        </w:rPr>
        <w:t>1191,</w:t>
      </w:r>
      <w:r>
        <w:rPr>
          <w:spacing w:val="8"/>
          <w:sz w:val="18"/>
        </w:rPr>
        <w:t> </w:t>
      </w:r>
      <w:r>
        <w:rPr>
          <w:sz w:val="18"/>
        </w:rPr>
        <w:t>35</w:t>
      </w:r>
      <w:r>
        <w:rPr>
          <w:spacing w:val="10"/>
          <w:sz w:val="18"/>
        </w:rPr>
        <w:t> </w:t>
      </w:r>
      <w:r>
        <w:rPr>
          <w:sz w:val="18"/>
        </w:rPr>
        <w:t>Fla.</w:t>
      </w:r>
      <w:r>
        <w:rPr>
          <w:spacing w:val="5"/>
          <w:sz w:val="18"/>
        </w:rPr>
        <w:t> </w:t>
      </w:r>
      <w:r>
        <w:rPr>
          <w:sz w:val="18"/>
        </w:rPr>
        <w:t>L.</w:t>
      </w:r>
      <w:r>
        <w:rPr>
          <w:spacing w:val="6"/>
          <w:sz w:val="18"/>
        </w:rPr>
        <w:t> </w:t>
      </w:r>
      <w:r>
        <w:rPr>
          <w:sz w:val="18"/>
        </w:rPr>
        <w:t>Weekly</w:t>
      </w:r>
      <w:r>
        <w:rPr>
          <w:spacing w:val="1"/>
          <w:sz w:val="18"/>
        </w:rPr>
        <w:t> </w:t>
      </w:r>
      <w:r>
        <w:rPr>
          <w:sz w:val="18"/>
        </w:rPr>
        <w:t>D2149</w:t>
      </w:r>
      <w:r>
        <w:rPr>
          <w:spacing w:val="6"/>
          <w:sz w:val="18"/>
        </w:rPr>
        <w:t> </w:t>
      </w:r>
      <w:r>
        <w:rPr>
          <w:sz w:val="18"/>
        </w:rPr>
        <w:t>(Fla.</w:t>
      </w:r>
      <w:r>
        <w:rPr>
          <w:spacing w:val="6"/>
          <w:sz w:val="18"/>
        </w:rPr>
        <w:t> </w:t>
      </w:r>
      <w:r>
        <w:rPr>
          <w:sz w:val="18"/>
        </w:rPr>
        <w:t>2d</w:t>
      </w:r>
    </w:p>
    <w:p>
      <w:pPr>
        <w:spacing w:before="16"/>
        <w:ind w:left="1160" w:right="0" w:firstLine="0"/>
        <w:jc w:val="left"/>
        <w:rPr>
          <w:rFonts w:ascii="Times New Roman"/>
          <w:sz w:val="24"/>
        </w:rPr>
      </w:pPr>
      <w:r>
        <w:rPr>
          <w:rFonts w:ascii="Times New Roman"/>
          <w:sz w:val="18"/>
        </w:rPr>
        <w:t>DCA 2010); Fla. Stat. 627.428 and Fla. Stat. 631.50-70 </w:t>
      </w:r>
      <w:r>
        <w:rPr>
          <w:rFonts w:ascii="Times New Roman"/>
          <w:sz w:val="24"/>
        </w:rPr>
        <w:t>.</w:t>
      </w:r>
    </w:p>
    <w:p>
      <w:pPr>
        <w:pStyle w:val="ListParagraph"/>
        <w:numPr>
          <w:ilvl w:val="0"/>
          <w:numId w:val="20"/>
        </w:numPr>
        <w:tabs>
          <w:tab w:pos="1435" w:val="left" w:leader="none"/>
        </w:tabs>
        <w:spacing w:line="240" w:lineRule="auto" w:before="0" w:after="0"/>
        <w:ind w:left="1434" w:right="0" w:hanging="275"/>
        <w:jc w:val="left"/>
        <w:rPr>
          <w:sz w:val="18"/>
        </w:rPr>
      </w:pPr>
      <w:r>
        <w:rPr>
          <w:sz w:val="18"/>
          <w:u w:val="single"/>
        </w:rPr>
        <w:t>Mish, Inc. v. American County Ins. Co.</w:t>
      </w:r>
      <w:r>
        <w:rPr>
          <w:sz w:val="18"/>
        </w:rPr>
        <w:t>, 2003 WL 22905161 (Conn. Super. 2003).</w:t>
      </w:r>
    </w:p>
    <w:p>
      <w:pPr>
        <w:spacing w:after="0" w:line="240"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8"/>
        <w:jc w:val="both"/>
      </w:pPr>
      <w:bookmarkStart w:name="Law and Procedure 181" w:id="92"/>
      <w:bookmarkEnd w:id="92"/>
      <w:r>
        <w:rPr/>
      </w:r>
      <w:r>
        <w:rPr/>
        <w:t>a coverage determination. Therefore, it was held that by deciding such an issue, the appraisal panel did not exceed its authority, and thus, the award was not unfair.</w:t>
      </w:r>
      <w:r>
        <w:rPr>
          <w:vertAlign w:val="superscript"/>
        </w:rPr>
        <w:t>269</w:t>
      </w:r>
    </w:p>
    <w:p>
      <w:pPr>
        <w:pStyle w:val="BodyText"/>
        <w:spacing w:before="1"/>
      </w:pPr>
    </w:p>
    <w:p>
      <w:pPr>
        <w:pStyle w:val="BodyText"/>
        <w:tabs>
          <w:tab w:pos="6244" w:val="left" w:leader="none"/>
        </w:tabs>
        <w:spacing w:line="242" w:lineRule="auto"/>
        <w:ind w:left="1520" w:right="1519" w:firstLine="720"/>
        <w:jc w:val="both"/>
      </w:pPr>
      <w:r>
        <w:rPr>
          <w:spacing w:val="13"/>
        </w:rPr>
        <w:t>Similarly,   </w:t>
      </w:r>
      <w:r>
        <w:rPr>
          <w:spacing w:val="59"/>
        </w:rPr>
        <w:t> </w:t>
      </w:r>
      <w:r>
        <w:rPr>
          <w:spacing w:val="10"/>
        </w:rPr>
        <w:t>where   </w:t>
      </w:r>
      <w:r>
        <w:rPr>
          <w:spacing w:val="70"/>
        </w:rPr>
        <w:t> </w:t>
      </w:r>
      <w:r>
        <w:rPr>
          <w:spacing w:val="8"/>
        </w:rPr>
        <w:t>the</w:t>
        <w:tab/>
      </w:r>
      <w:r>
        <w:rPr>
          <w:spacing w:val="11"/>
        </w:rPr>
        <w:t>parties’ </w:t>
      </w:r>
      <w:r>
        <w:rPr/>
        <w:t>disagreement was over necessary repairs</w:t>
      </w:r>
      <w:r>
        <w:rPr>
          <w:spacing w:val="-31"/>
        </w:rPr>
        <w:t> </w:t>
      </w:r>
      <w:r>
        <w:rPr>
          <w:spacing w:val="-4"/>
        </w:rPr>
        <w:t>and </w:t>
      </w:r>
      <w:r>
        <w:rPr/>
        <w:t>methods of repair, those issues did not constitute disputes about</w:t>
      </w:r>
      <w:r>
        <w:rPr>
          <w:spacing w:val="-4"/>
        </w:rPr>
        <w:t> </w:t>
      </w:r>
      <w:r>
        <w:rPr/>
        <w:t>coverage.</w:t>
      </w:r>
      <w:r>
        <w:rPr>
          <w:vertAlign w:val="superscript"/>
        </w:rPr>
        <w:t>270</w:t>
      </w:r>
    </w:p>
    <w:p>
      <w:pPr>
        <w:pStyle w:val="BodyText"/>
        <w:spacing w:before="1"/>
      </w:pPr>
    </w:p>
    <w:p>
      <w:pPr>
        <w:pStyle w:val="BodyText"/>
        <w:spacing w:line="242" w:lineRule="auto"/>
        <w:ind w:left="1520" w:right="1518" w:firstLine="720"/>
        <w:jc w:val="both"/>
      </w:pPr>
      <w:r>
        <w:rPr>
          <w:spacing w:val="11"/>
        </w:rPr>
        <w:t>Where </w:t>
      </w:r>
      <w:r>
        <w:rPr>
          <w:spacing w:val="12"/>
        </w:rPr>
        <w:t>the </w:t>
      </w:r>
      <w:r>
        <w:rPr>
          <w:spacing w:val="16"/>
        </w:rPr>
        <w:t>insured </w:t>
      </w:r>
      <w:r>
        <w:rPr>
          <w:spacing w:val="14"/>
        </w:rPr>
        <w:t>sought </w:t>
      </w:r>
      <w:r>
        <w:rPr/>
        <w:t>a determination of whether a total loss has occurred under the policy where the</w:t>
      </w:r>
      <w:r>
        <w:rPr>
          <w:spacing w:val="-51"/>
        </w:rPr>
        <w:t> </w:t>
      </w:r>
      <w:r>
        <w:rPr/>
        <w:t>property cannot be restored to the special subjective needs</w:t>
      </w:r>
      <w:r>
        <w:rPr>
          <w:spacing w:val="-31"/>
        </w:rPr>
        <w:t> </w:t>
      </w:r>
      <w:r>
        <w:rPr/>
        <w:t>of</w:t>
      </w:r>
      <w:r>
        <w:rPr>
          <w:spacing w:val="-27"/>
        </w:rPr>
        <w:t> </w:t>
      </w:r>
      <w:r>
        <w:rPr/>
        <w:t>the</w:t>
      </w:r>
      <w:r>
        <w:rPr>
          <w:spacing w:val="-29"/>
        </w:rPr>
        <w:t> </w:t>
      </w:r>
      <w:r>
        <w:rPr/>
        <w:t>homeowners</w:t>
      </w:r>
      <w:r>
        <w:rPr>
          <w:spacing w:val="-28"/>
        </w:rPr>
        <w:t> </w:t>
      </w:r>
      <w:r>
        <w:rPr/>
        <w:t>or</w:t>
      </w:r>
      <w:r>
        <w:rPr>
          <w:spacing w:val="-32"/>
        </w:rPr>
        <w:t> </w:t>
      </w:r>
      <w:r>
        <w:rPr/>
        <w:t>only,</w:t>
      </w:r>
      <w:r>
        <w:rPr>
          <w:spacing w:val="-33"/>
        </w:rPr>
        <w:t> </w:t>
      </w:r>
      <w:r>
        <w:rPr/>
        <w:t>as</w:t>
      </w:r>
      <w:r>
        <w:rPr>
          <w:spacing w:val="-30"/>
        </w:rPr>
        <w:t> </w:t>
      </w:r>
      <w:r>
        <w:rPr/>
        <w:t>the</w:t>
      </w:r>
      <w:r>
        <w:rPr>
          <w:spacing w:val="-30"/>
        </w:rPr>
        <w:t> </w:t>
      </w:r>
      <w:r>
        <w:rPr/>
        <w:t>carrier argues</w:t>
      </w:r>
      <w:r>
        <w:rPr>
          <w:spacing w:val="-8"/>
        </w:rPr>
        <w:t> </w:t>
      </w:r>
      <w:r>
        <w:rPr/>
        <w:t>that</w:t>
      </w:r>
      <w:r>
        <w:rPr>
          <w:spacing w:val="-9"/>
        </w:rPr>
        <w:t> </w:t>
      </w:r>
      <w:r>
        <w:rPr/>
        <w:t>the</w:t>
      </w:r>
      <w:r>
        <w:rPr>
          <w:spacing w:val="-9"/>
        </w:rPr>
        <w:t> </w:t>
      </w:r>
      <w:r>
        <w:rPr/>
        <w:t>policy</w:t>
      </w:r>
      <w:r>
        <w:rPr>
          <w:spacing w:val="-10"/>
        </w:rPr>
        <w:t> </w:t>
      </w:r>
      <w:r>
        <w:rPr/>
        <w:t>requires</w:t>
      </w:r>
      <w:r>
        <w:rPr>
          <w:spacing w:val="-10"/>
        </w:rPr>
        <w:t> </w:t>
      </w:r>
      <w:r>
        <w:rPr/>
        <w:t>merely</w:t>
      </w:r>
      <w:r>
        <w:rPr>
          <w:spacing w:val="-10"/>
        </w:rPr>
        <w:t> </w:t>
      </w:r>
      <w:r>
        <w:rPr/>
        <w:t>that</w:t>
      </w:r>
      <w:r>
        <w:rPr>
          <w:spacing w:val="-7"/>
        </w:rPr>
        <w:t> </w:t>
      </w:r>
      <w:r>
        <w:rPr/>
        <w:t>the property be restored to pre-loss condition, </w:t>
      </w:r>
      <w:r>
        <w:rPr>
          <w:spacing w:val="-3"/>
        </w:rPr>
        <w:t>without</w:t>
      </w:r>
      <w:r>
        <w:rPr>
          <w:spacing w:val="-37"/>
        </w:rPr>
        <w:t> </w:t>
      </w:r>
      <w:r>
        <w:rPr>
          <w:spacing w:val="-3"/>
        </w:rPr>
        <w:t>reference</w:t>
      </w:r>
      <w:r>
        <w:rPr>
          <w:spacing w:val="-35"/>
        </w:rPr>
        <w:t> </w:t>
      </w:r>
      <w:r>
        <w:rPr/>
        <w:t>to</w:t>
      </w:r>
      <w:r>
        <w:rPr>
          <w:spacing w:val="-32"/>
        </w:rPr>
        <w:t> </w:t>
      </w:r>
      <w:r>
        <w:rPr/>
        <w:t>the</w:t>
      </w:r>
      <w:r>
        <w:rPr>
          <w:spacing w:val="-33"/>
        </w:rPr>
        <w:t> </w:t>
      </w:r>
      <w:r>
        <w:rPr/>
        <w:t>particularized</w:t>
      </w:r>
      <w:r>
        <w:rPr>
          <w:spacing w:val="-32"/>
        </w:rPr>
        <w:t> </w:t>
      </w:r>
      <w:r>
        <w:rPr/>
        <w:t>medical needs of the insureds, that this constituted a coverage issue and was not subject </w:t>
      </w:r>
      <w:r>
        <w:rPr>
          <w:spacing w:val="-8"/>
        </w:rPr>
        <w:t>to </w:t>
      </w:r>
      <w:r>
        <w:rPr/>
        <w:t>resolution by</w:t>
      </w:r>
      <w:r>
        <w:rPr>
          <w:spacing w:val="-2"/>
        </w:rPr>
        <w:t> </w:t>
      </w:r>
      <w:r>
        <w:rPr/>
        <w:t>appraisal.</w:t>
      </w:r>
      <w:r>
        <w:rPr>
          <w:vertAlign w:val="superscript"/>
        </w:rPr>
        <w:t>271</w:t>
      </w:r>
    </w:p>
    <w:p>
      <w:pPr>
        <w:pStyle w:val="BodyText"/>
        <w:spacing w:before="11"/>
        <w:rPr>
          <w:sz w:val="25"/>
        </w:rPr>
      </w:pPr>
    </w:p>
    <w:p>
      <w:pPr>
        <w:pStyle w:val="BodyText"/>
        <w:spacing w:line="242" w:lineRule="auto"/>
        <w:ind w:left="1520" w:right="1518" w:firstLine="720"/>
        <w:jc w:val="both"/>
      </w:pPr>
      <w:r>
        <w:rPr>
          <w:spacing w:val="4"/>
        </w:rPr>
        <w:t>It </w:t>
      </w:r>
      <w:r>
        <w:rPr/>
        <w:t>has been held that the appraisal process</w:t>
      </w:r>
      <w:r>
        <w:rPr>
          <w:spacing w:val="-19"/>
        </w:rPr>
        <w:t> </w:t>
      </w:r>
      <w:r>
        <w:rPr/>
        <w:t>is</w:t>
      </w:r>
      <w:r>
        <w:rPr>
          <w:spacing w:val="-20"/>
        </w:rPr>
        <w:t> </w:t>
      </w:r>
      <w:r>
        <w:rPr/>
        <w:t>not</w:t>
      </w:r>
      <w:r>
        <w:rPr>
          <w:spacing w:val="-21"/>
        </w:rPr>
        <w:t> </w:t>
      </w:r>
      <w:r>
        <w:rPr/>
        <w:t>relevant</w:t>
      </w:r>
      <w:r>
        <w:rPr>
          <w:spacing w:val="-21"/>
        </w:rPr>
        <w:t> </w:t>
      </w:r>
      <w:r>
        <w:rPr/>
        <w:t>to</w:t>
      </w:r>
      <w:r>
        <w:rPr>
          <w:spacing w:val="-20"/>
        </w:rPr>
        <w:t> </w:t>
      </w:r>
      <w:r>
        <w:rPr/>
        <w:t>the</w:t>
      </w:r>
      <w:r>
        <w:rPr>
          <w:spacing w:val="-23"/>
        </w:rPr>
        <w:t> </w:t>
      </w:r>
      <w:r>
        <w:rPr/>
        <w:t>issue</w:t>
      </w:r>
      <w:r>
        <w:rPr>
          <w:spacing w:val="-21"/>
        </w:rPr>
        <w:t> </w:t>
      </w:r>
      <w:r>
        <w:rPr/>
        <w:t>of</w:t>
      </w:r>
      <w:r>
        <w:rPr>
          <w:spacing w:val="-22"/>
        </w:rPr>
        <w:t> </w:t>
      </w:r>
      <w:r>
        <w:rPr/>
        <w:t>whether</w:t>
      </w:r>
      <w:r>
        <w:rPr>
          <w:spacing w:val="-24"/>
        </w:rPr>
        <w:t> </w:t>
      </w:r>
      <w:r>
        <w:rPr/>
        <w:t>a policy</w:t>
      </w:r>
      <w:r>
        <w:rPr>
          <w:spacing w:val="-35"/>
        </w:rPr>
        <w:t> </w:t>
      </w:r>
      <w:r>
        <w:rPr/>
        <w:t>reimbursed</w:t>
      </w:r>
      <w:r>
        <w:rPr>
          <w:spacing w:val="-31"/>
        </w:rPr>
        <w:t> </w:t>
      </w:r>
      <w:r>
        <w:rPr/>
        <w:t>for</w:t>
      </w:r>
      <w:r>
        <w:rPr>
          <w:spacing w:val="-30"/>
        </w:rPr>
        <w:t> </w:t>
      </w:r>
      <w:r>
        <w:rPr/>
        <w:t>permit</w:t>
      </w:r>
      <w:r>
        <w:rPr>
          <w:spacing w:val="-32"/>
        </w:rPr>
        <w:t> </w:t>
      </w:r>
      <w:r>
        <w:rPr/>
        <w:t>fees</w:t>
      </w:r>
      <w:r>
        <w:rPr>
          <w:spacing w:val="-32"/>
        </w:rPr>
        <w:t> </w:t>
      </w:r>
      <w:r>
        <w:rPr/>
        <w:t>mandated</w:t>
      </w:r>
      <w:r>
        <w:rPr>
          <w:spacing w:val="-33"/>
        </w:rPr>
        <w:t> </w:t>
      </w:r>
      <w:r>
        <w:rPr/>
        <w:t>by the</w:t>
      </w:r>
      <w:r>
        <w:rPr>
          <w:spacing w:val="-2"/>
        </w:rPr>
        <w:t> </w:t>
      </w:r>
      <w:r>
        <w:rPr/>
        <w:t>county.</w:t>
      </w:r>
      <w:r>
        <w:rPr>
          <w:vertAlign w:val="superscript"/>
        </w:rPr>
        <w:t>272</w:t>
      </w:r>
    </w:p>
    <w:p>
      <w:pPr>
        <w:pStyle w:val="BodyText"/>
        <w:spacing w:before="1"/>
        <w:rPr>
          <w:sz w:val="23"/>
        </w:rPr>
      </w:pPr>
      <w:r>
        <w:rPr/>
        <w:pict>
          <v:shape style="position:absolute;margin-left:162pt;margin-top:16.573139pt;width:143.9pt;height:.1pt;mso-position-horizontal-relative:page;mso-position-vertical-relative:paragraph;z-index:-251550720;mso-wrap-distance-left:0;mso-wrap-distance-right:0" coordorigin="3240,331" coordsize="2878,0" path="m3240,331l6118,331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20"/>
        </w:numPr>
        <w:tabs>
          <w:tab w:pos="1430" w:val="left" w:leader="none"/>
        </w:tabs>
        <w:spacing w:line="244" w:lineRule="auto" w:before="71" w:after="0"/>
        <w:ind w:left="1160" w:right="1168" w:firstLine="0"/>
        <w:jc w:val="left"/>
        <w:rPr>
          <w:sz w:val="18"/>
        </w:rPr>
      </w:pPr>
      <w:r>
        <w:rPr>
          <w:sz w:val="18"/>
          <w:u w:val="single"/>
        </w:rPr>
        <w:t>Progressive</w:t>
      </w:r>
      <w:r>
        <w:rPr>
          <w:spacing w:val="-6"/>
          <w:sz w:val="18"/>
          <w:u w:val="single"/>
        </w:rPr>
        <w:t> </w:t>
      </w:r>
      <w:r>
        <w:rPr>
          <w:sz w:val="18"/>
          <w:u w:val="single"/>
        </w:rPr>
        <w:t>Express</w:t>
      </w:r>
      <w:r>
        <w:rPr>
          <w:spacing w:val="-6"/>
          <w:sz w:val="18"/>
          <w:u w:val="single"/>
        </w:rPr>
        <w:t> </w:t>
      </w:r>
      <w:r>
        <w:rPr>
          <w:sz w:val="18"/>
          <w:u w:val="single"/>
        </w:rPr>
        <w:t>Ins.</w:t>
      </w:r>
      <w:r>
        <w:rPr>
          <w:spacing w:val="-5"/>
          <w:sz w:val="18"/>
          <w:u w:val="single"/>
        </w:rPr>
        <w:t> </w:t>
      </w:r>
      <w:r>
        <w:rPr>
          <w:sz w:val="18"/>
          <w:u w:val="single"/>
        </w:rPr>
        <w:t>Co.</w:t>
      </w:r>
      <w:r>
        <w:rPr>
          <w:spacing w:val="-5"/>
          <w:sz w:val="18"/>
          <w:u w:val="single"/>
        </w:rPr>
        <w:t> </w:t>
      </w:r>
      <w:r>
        <w:rPr>
          <w:sz w:val="18"/>
          <w:u w:val="single"/>
        </w:rPr>
        <w:t>v.</w:t>
      </w:r>
      <w:r>
        <w:rPr>
          <w:spacing w:val="-4"/>
          <w:sz w:val="18"/>
          <w:u w:val="single"/>
        </w:rPr>
        <w:t> </w:t>
      </w:r>
      <w:r>
        <w:rPr>
          <w:sz w:val="18"/>
          <w:u w:val="single"/>
        </w:rPr>
        <w:t>Weitz</w:t>
      </w:r>
      <w:r>
        <w:rPr>
          <w:sz w:val="24"/>
        </w:rPr>
        <w:t>,</w:t>
      </w:r>
      <w:r>
        <w:rPr>
          <w:spacing w:val="-20"/>
          <w:sz w:val="24"/>
        </w:rPr>
        <w:t> </w:t>
      </w:r>
      <w:r>
        <w:rPr>
          <w:sz w:val="18"/>
        </w:rPr>
        <w:t>218</w:t>
      </w:r>
      <w:r>
        <w:rPr>
          <w:spacing w:val="-3"/>
          <w:sz w:val="18"/>
        </w:rPr>
        <w:t> </w:t>
      </w:r>
      <w:r>
        <w:rPr>
          <w:sz w:val="18"/>
        </w:rPr>
        <w:t>Fed.</w:t>
      </w:r>
      <w:r>
        <w:rPr>
          <w:spacing w:val="-4"/>
          <w:sz w:val="18"/>
        </w:rPr>
        <w:t> </w:t>
      </w:r>
      <w:r>
        <w:rPr>
          <w:sz w:val="18"/>
        </w:rPr>
        <w:t>Appx.</w:t>
      </w:r>
      <w:r>
        <w:rPr>
          <w:spacing w:val="-4"/>
          <w:sz w:val="18"/>
        </w:rPr>
        <w:t> </w:t>
      </w:r>
      <w:r>
        <w:rPr>
          <w:sz w:val="18"/>
        </w:rPr>
        <w:t>846,</w:t>
      </w:r>
      <w:r>
        <w:rPr>
          <w:spacing w:val="-4"/>
          <w:sz w:val="18"/>
        </w:rPr>
        <w:t> </w:t>
      </w:r>
      <w:r>
        <w:rPr>
          <w:sz w:val="18"/>
        </w:rPr>
        <w:t>2007</w:t>
      </w:r>
      <w:r>
        <w:rPr>
          <w:spacing w:val="-6"/>
          <w:sz w:val="18"/>
        </w:rPr>
        <w:t> </w:t>
      </w:r>
      <w:r>
        <w:rPr>
          <w:sz w:val="18"/>
        </w:rPr>
        <w:t>WL</w:t>
      </w:r>
      <w:r>
        <w:rPr>
          <w:spacing w:val="-7"/>
          <w:sz w:val="18"/>
        </w:rPr>
        <w:t> </w:t>
      </w:r>
      <w:r>
        <w:rPr>
          <w:sz w:val="18"/>
        </w:rPr>
        <w:t>496785</w:t>
      </w:r>
      <w:r>
        <w:rPr>
          <w:spacing w:val="-3"/>
          <w:sz w:val="18"/>
        </w:rPr>
        <w:t> </w:t>
      </w:r>
      <w:r>
        <w:rPr>
          <w:sz w:val="18"/>
        </w:rPr>
        <w:t>(C.A.11 Fla).</w:t>
      </w:r>
    </w:p>
    <w:p>
      <w:pPr>
        <w:pStyle w:val="ListParagraph"/>
        <w:numPr>
          <w:ilvl w:val="0"/>
          <w:numId w:val="20"/>
        </w:numPr>
        <w:tabs>
          <w:tab w:pos="1440" w:val="left" w:leader="none"/>
        </w:tabs>
        <w:spacing w:line="207" w:lineRule="exact" w:before="0" w:after="0"/>
        <w:ind w:left="1439" w:right="0" w:hanging="280"/>
        <w:jc w:val="left"/>
        <w:rPr>
          <w:sz w:val="18"/>
        </w:rPr>
      </w:pPr>
      <w:r>
        <w:rPr>
          <w:sz w:val="18"/>
          <w:u w:val="single"/>
        </w:rPr>
        <w:t>Williamson</w:t>
      </w:r>
      <w:r>
        <w:rPr>
          <w:spacing w:val="21"/>
          <w:sz w:val="18"/>
          <w:u w:val="single"/>
        </w:rPr>
        <w:t> </w:t>
      </w:r>
      <w:r>
        <w:rPr>
          <w:sz w:val="18"/>
          <w:u w:val="single"/>
        </w:rPr>
        <w:t>v.</w:t>
      </w:r>
      <w:r>
        <w:rPr>
          <w:spacing w:val="20"/>
          <w:sz w:val="18"/>
          <w:u w:val="single"/>
        </w:rPr>
        <w:t> </w:t>
      </w:r>
      <w:r>
        <w:rPr>
          <w:sz w:val="18"/>
          <w:u w:val="single"/>
        </w:rPr>
        <w:t>Chubb</w:t>
      </w:r>
      <w:r>
        <w:rPr>
          <w:spacing w:val="21"/>
          <w:sz w:val="18"/>
          <w:u w:val="single"/>
        </w:rPr>
        <w:t> </w:t>
      </w:r>
      <w:r>
        <w:rPr>
          <w:sz w:val="18"/>
          <w:u w:val="single"/>
        </w:rPr>
        <w:t>Ind.</w:t>
      </w:r>
      <w:r>
        <w:rPr>
          <w:spacing w:val="21"/>
          <w:sz w:val="18"/>
          <w:u w:val="single"/>
        </w:rPr>
        <w:t> </w:t>
      </w:r>
      <w:r>
        <w:rPr>
          <w:sz w:val="18"/>
          <w:u w:val="single"/>
        </w:rPr>
        <w:t>Ins.</w:t>
      </w:r>
      <w:r>
        <w:rPr>
          <w:spacing w:val="19"/>
          <w:sz w:val="18"/>
          <w:u w:val="single"/>
        </w:rPr>
        <w:t> </w:t>
      </w:r>
      <w:r>
        <w:rPr>
          <w:sz w:val="18"/>
          <w:u w:val="single"/>
        </w:rPr>
        <w:t>Co.</w:t>
      </w:r>
      <w:r>
        <w:rPr>
          <w:sz w:val="18"/>
        </w:rPr>
        <w:t>,</w:t>
      </w:r>
      <w:r>
        <w:rPr>
          <w:spacing w:val="21"/>
          <w:sz w:val="18"/>
        </w:rPr>
        <w:t> </w:t>
      </w:r>
      <w:r>
        <w:rPr>
          <w:sz w:val="18"/>
        </w:rPr>
        <w:t>2012</w:t>
      </w:r>
      <w:r>
        <w:rPr>
          <w:spacing w:val="22"/>
          <w:sz w:val="18"/>
        </w:rPr>
        <w:t> </w:t>
      </w:r>
      <w:r>
        <w:rPr>
          <w:sz w:val="18"/>
        </w:rPr>
        <w:t>U.S.</w:t>
      </w:r>
      <w:r>
        <w:rPr>
          <w:spacing w:val="21"/>
          <w:sz w:val="18"/>
        </w:rPr>
        <w:t> </w:t>
      </w:r>
      <w:r>
        <w:rPr>
          <w:sz w:val="18"/>
        </w:rPr>
        <w:t>Dist.</w:t>
      </w:r>
      <w:r>
        <w:rPr>
          <w:spacing w:val="20"/>
          <w:sz w:val="18"/>
        </w:rPr>
        <w:t> </w:t>
      </w:r>
      <w:r>
        <w:rPr>
          <w:sz w:val="18"/>
        </w:rPr>
        <w:t>LEXIS</w:t>
      </w:r>
      <w:r>
        <w:rPr>
          <w:spacing w:val="21"/>
          <w:sz w:val="18"/>
        </w:rPr>
        <w:t> </w:t>
      </w:r>
      <w:r>
        <w:rPr>
          <w:sz w:val="18"/>
        </w:rPr>
        <w:t>31648</w:t>
      </w:r>
      <w:r>
        <w:rPr>
          <w:spacing w:val="21"/>
          <w:sz w:val="18"/>
        </w:rPr>
        <w:t> </w:t>
      </w:r>
      <w:r>
        <w:rPr>
          <w:sz w:val="18"/>
        </w:rPr>
        <w:t>(E.D.</w:t>
      </w:r>
      <w:r>
        <w:rPr>
          <w:spacing w:val="21"/>
          <w:sz w:val="18"/>
        </w:rPr>
        <w:t> </w:t>
      </w:r>
      <w:r>
        <w:rPr>
          <w:sz w:val="18"/>
        </w:rPr>
        <w:t>Pa.</w:t>
      </w:r>
      <w:r>
        <w:rPr>
          <w:spacing w:val="20"/>
          <w:sz w:val="18"/>
        </w:rPr>
        <w:t> </w:t>
      </w:r>
      <w:r>
        <w:rPr>
          <w:sz w:val="18"/>
        </w:rPr>
        <w:t>2012)</w:t>
      </w:r>
    </w:p>
    <w:p>
      <w:pPr>
        <w:spacing w:line="178" w:lineRule="exact" w:before="4"/>
        <w:ind w:left="1160" w:right="0" w:firstLine="0"/>
        <w:jc w:val="left"/>
        <w:rPr>
          <w:rFonts w:ascii="Times New Roman"/>
          <w:sz w:val="18"/>
        </w:rPr>
      </w:pPr>
      <w:r>
        <w:rPr>
          <w:rFonts w:ascii="Times New Roman"/>
          <w:sz w:val="18"/>
        </w:rPr>
        <w:t>(insureds were required to comply with an appraisal provision.).</w:t>
      </w:r>
    </w:p>
    <w:p>
      <w:pPr>
        <w:pStyle w:val="ListParagraph"/>
        <w:numPr>
          <w:ilvl w:val="0"/>
          <w:numId w:val="20"/>
        </w:numPr>
        <w:tabs>
          <w:tab w:pos="1421" w:val="left" w:leader="none"/>
        </w:tabs>
        <w:spacing w:line="240" w:lineRule="exact" w:before="0" w:after="0"/>
        <w:ind w:left="1421" w:right="0" w:hanging="261"/>
        <w:jc w:val="left"/>
        <w:rPr>
          <w:sz w:val="18"/>
        </w:rPr>
      </w:pPr>
      <w:r>
        <w:rPr>
          <w:sz w:val="18"/>
          <w:u w:val="single"/>
        </w:rPr>
        <w:t>Gordon v. Amica Mut. Ins. Co.</w:t>
      </w:r>
      <w:r>
        <w:rPr>
          <w:sz w:val="18"/>
        </w:rPr>
        <w:t>, 2005 WL 123851 (D. Conn,</w:t>
      </w:r>
      <w:r>
        <w:rPr>
          <w:spacing w:val="1"/>
          <w:sz w:val="18"/>
        </w:rPr>
        <w:t> </w:t>
      </w:r>
      <w:r>
        <w:rPr>
          <w:sz w:val="18"/>
        </w:rPr>
        <w:t>2005).</w:t>
      </w:r>
    </w:p>
    <w:p>
      <w:pPr>
        <w:pStyle w:val="ListParagraph"/>
        <w:numPr>
          <w:ilvl w:val="0"/>
          <w:numId w:val="20"/>
        </w:numPr>
        <w:tabs>
          <w:tab w:pos="1430" w:val="left" w:leader="none"/>
        </w:tabs>
        <w:spacing w:line="261" w:lineRule="auto" w:before="0" w:after="0"/>
        <w:ind w:left="1160" w:right="1162" w:firstLine="0"/>
        <w:jc w:val="left"/>
        <w:rPr>
          <w:sz w:val="18"/>
        </w:rPr>
      </w:pPr>
      <w:r>
        <w:rPr>
          <w:sz w:val="18"/>
          <w:u w:val="single"/>
        </w:rPr>
        <w:t>Clinard</w:t>
      </w:r>
      <w:r>
        <w:rPr>
          <w:spacing w:val="-4"/>
          <w:sz w:val="18"/>
          <w:u w:val="single"/>
        </w:rPr>
        <w:t> </w:t>
      </w:r>
      <w:r>
        <w:rPr>
          <w:sz w:val="18"/>
          <w:u w:val="single"/>
        </w:rPr>
        <w:t>v.</w:t>
      </w:r>
      <w:r>
        <w:rPr>
          <w:spacing w:val="-5"/>
          <w:sz w:val="18"/>
          <w:u w:val="single"/>
        </w:rPr>
        <w:t> </w:t>
      </w:r>
      <w:r>
        <w:rPr>
          <w:sz w:val="18"/>
          <w:u w:val="single"/>
        </w:rPr>
        <w:t>Allstate</w:t>
      </w:r>
      <w:r>
        <w:rPr>
          <w:spacing w:val="-7"/>
          <w:sz w:val="18"/>
          <w:u w:val="single"/>
        </w:rPr>
        <w:t> </w:t>
      </w:r>
      <w:r>
        <w:rPr>
          <w:sz w:val="18"/>
          <w:u w:val="single"/>
        </w:rPr>
        <w:t>Floridian</w:t>
      </w:r>
      <w:r>
        <w:rPr>
          <w:spacing w:val="-4"/>
          <w:sz w:val="18"/>
          <w:u w:val="single"/>
        </w:rPr>
        <w:t> </w:t>
      </w:r>
      <w:r>
        <w:rPr>
          <w:sz w:val="18"/>
          <w:u w:val="single"/>
        </w:rPr>
        <w:t>Ind.</w:t>
      </w:r>
      <w:r>
        <w:rPr>
          <w:spacing w:val="-3"/>
          <w:sz w:val="18"/>
          <w:u w:val="single"/>
        </w:rPr>
        <w:t> </w:t>
      </w:r>
      <w:r>
        <w:rPr>
          <w:sz w:val="18"/>
          <w:u w:val="single"/>
        </w:rPr>
        <w:t>Co.</w:t>
      </w:r>
      <w:r>
        <w:rPr>
          <w:spacing w:val="-3"/>
          <w:sz w:val="18"/>
          <w:u w:val="single"/>
        </w:rPr>
        <w:t> </w:t>
      </w:r>
      <w:r>
        <w:rPr>
          <w:sz w:val="18"/>
          <w:u w:val="single"/>
        </w:rPr>
        <w:t>and</w:t>
      </w:r>
      <w:r>
        <w:rPr>
          <w:spacing w:val="-2"/>
          <w:sz w:val="18"/>
          <w:u w:val="single"/>
        </w:rPr>
        <w:t> </w:t>
      </w:r>
      <w:r>
        <w:rPr>
          <w:sz w:val="18"/>
          <w:u w:val="single"/>
        </w:rPr>
        <w:t>Allstate</w:t>
      </w:r>
      <w:r>
        <w:rPr>
          <w:spacing w:val="-5"/>
          <w:sz w:val="18"/>
          <w:u w:val="single"/>
        </w:rPr>
        <w:t> </w:t>
      </w:r>
      <w:r>
        <w:rPr>
          <w:sz w:val="18"/>
          <w:u w:val="single"/>
        </w:rPr>
        <w:t>Floridian</w:t>
      </w:r>
      <w:r>
        <w:rPr>
          <w:spacing w:val="-3"/>
          <w:sz w:val="18"/>
          <w:u w:val="single"/>
        </w:rPr>
        <w:t> </w:t>
      </w:r>
      <w:r>
        <w:rPr>
          <w:sz w:val="18"/>
          <w:u w:val="single"/>
        </w:rPr>
        <w:t>Ins.</w:t>
      </w:r>
      <w:r>
        <w:rPr>
          <w:spacing w:val="-4"/>
          <w:sz w:val="18"/>
          <w:u w:val="single"/>
        </w:rPr>
        <w:t> </w:t>
      </w:r>
      <w:r>
        <w:rPr>
          <w:sz w:val="18"/>
          <w:u w:val="single"/>
        </w:rPr>
        <w:t>Co.</w:t>
      </w:r>
      <w:r>
        <w:rPr>
          <w:sz w:val="18"/>
        </w:rPr>
        <w:t>,</w:t>
      </w:r>
      <w:r>
        <w:rPr>
          <w:spacing w:val="-5"/>
          <w:sz w:val="18"/>
        </w:rPr>
        <w:t> </w:t>
      </w:r>
      <w:r>
        <w:rPr>
          <w:sz w:val="18"/>
        </w:rPr>
        <w:t>2008</w:t>
      </w:r>
      <w:r>
        <w:rPr>
          <w:spacing w:val="-2"/>
          <w:sz w:val="18"/>
        </w:rPr>
        <w:t> </w:t>
      </w:r>
      <w:r>
        <w:rPr>
          <w:sz w:val="18"/>
        </w:rPr>
        <w:t>WL</w:t>
      </w:r>
      <w:r>
        <w:rPr>
          <w:spacing w:val="-6"/>
          <w:sz w:val="18"/>
        </w:rPr>
        <w:t> </w:t>
      </w:r>
      <w:r>
        <w:rPr>
          <w:sz w:val="18"/>
        </w:rPr>
        <w:t>879316 (M.D.Fla. 2008).</w:t>
      </w:r>
    </w:p>
    <w:p>
      <w:pPr>
        <w:spacing w:after="0" w:line="261"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firstLine="720"/>
        <w:jc w:val="both"/>
      </w:pPr>
      <w:bookmarkStart w:name="Law and Procedure 182" w:id="93"/>
      <w:bookmarkEnd w:id="93"/>
      <w:r>
        <w:rPr/>
      </w:r>
      <w:r>
        <w:rPr/>
        <w:t>Issues relating to coverage must be litigated, stipulated, or arbitrated. They should be adjudicated with the least possible delay and it is incumbent upon the court to either order appraisal or deny it according to the rights of the parties, but to do so as expeditiously as possible to accomplish</w:t>
      </w:r>
      <w:r>
        <w:rPr>
          <w:spacing w:val="52"/>
        </w:rPr>
        <w:t> </w:t>
      </w:r>
      <w:r>
        <w:rPr/>
        <w:t>the ends of the appraisal provision.</w:t>
      </w:r>
      <w:r>
        <w:rPr>
          <w:vertAlign w:val="superscript"/>
        </w:rPr>
        <w:t>273</w:t>
      </w:r>
    </w:p>
    <w:p>
      <w:pPr>
        <w:pStyle w:val="BodyText"/>
        <w:spacing w:before="12"/>
        <w:rPr>
          <w:sz w:val="25"/>
        </w:rPr>
      </w:pPr>
    </w:p>
    <w:p>
      <w:pPr>
        <w:pStyle w:val="BodyText"/>
        <w:spacing w:line="242" w:lineRule="auto"/>
        <w:ind w:left="1520" w:right="1521" w:firstLine="720"/>
        <w:jc w:val="both"/>
      </w:pPr>
      <w:r>
        <w:rPr>
          <w:spacing w:val="3"/>
        </w:rPr>
        <w:t>It </w:t>
      </w:r>
      <w:r>
        <w:rPr/>
        <w:t>has been held that when one party to an</w:t>
      </w:r>
      <w:r>
        <w:rPr>
          <w:spacing w:val="-23"/>
        </w:rPr>
        <w:t> </w:t>
      </w:r>
      <w:r>
        <w:rPr/>
        <w:t>insurance</w:t>
      </w:r>
      <w:r>
        <w:rPr>
          <w:spacing w:val="-25"/>
        </w:rPr>
        <w:t> </w:t>
      </w:r>
      <w:r>
        <w:rPr/>
        <w:t>contract</w:t>
      </w:r>
      <w:r>
        <w:rPr>
          <w:spacing w:val="-25"/>
        </w:rPr>
        <w:t> </w:t>
      </w:r>
      <w:r>
        <w:rPr/>
        <w:t>fails</w:t>
      </w:r>
      <w:r>
        <w:rPr>
          <w:spacing w:val="-23"/>
        </w:rPr>
        <w:t> </w:t>
      </w:r>
      <w:r>
        <w:rPr/>
        <w:t>to</w:t>
      </w:r>
      <w:r>
        <w:rPr>
          <w:spacing w:val="-26"/>
        </w:rPr>
        <w:t> </w:t>
      </w:r>
      <w:r>
        <w:rPr/>
        <w:t>perform</w:t>
      </w:r>
      <w:r>
        <w:rPr>
          <w:spacing w:val="-27"/>
        </w:rPr>
        <w:t> </w:t>
      </w:r>
      <w:r>
        <w:rPr/>
        <w:t>its</w:t>
      </w:r>
      <w:r>
        <w:rPr>
          <w:spacing w:val="-26"/>
        </w:rPr>
        <w:t> </w:t>
      </w:r>
      <w:r>
        <w:rPr/>
        <w:t>end</w:t>
      </w:r>
      <w:r>
        <w:rPr>
          <w:spacing w:val="-27"/>
        </w:rPr>
        <w:t> </w:t>
      </w:r>
      <w:r>
        <w:rPr/>
        <w:t>of the</w:t>
      </w:r>
      <w:r>
        <w:rPr>
          <w:spacing w:val="-31"/>
        </w:rPr>
        <w:t> </w:t>
      </w:r>
      <w:r>
        <w:rPr/>
        <w:t>contract,</w:t>
      </w:r>
      <w:r>
        <w:rPr>
          <w:spacing w:val="-32"/>
        </w:rPr>
        <w:t> </w:t>
      </w:r>
      <w:r>
        <w:rPr/>
        <w:t>that</w:t>
      </w:r>
      <w:r>
        <w:rPr>
          <w:spacing w:val="-33"/>
        </w:rPr>
        <w:t> </w:t>
      </w:r>
      <w:r>
        <w:rPr/>
        <w:t>party</w:t>
      </w:r>
      <w:r>
        <w:rPr>
          <w:spacing w:val="-34"/>
        </w:rPr>
        <w:t> </w:t>
      </w:r>
      <w:r>
        <w:rPr/>
        <w:t>is</w:t>
      </w:r>
      <w:r>
        <w:rPr>
          <w:spacing w:val="-32"/>
        </w:rPr>
        <w:t> </w:t>
      </w:r>
      <w:r>
        <w:rPr/>
        <w:t>bound</w:t>
      </w:r>
      <w:r>
        <w:rPr>
          <w:spacing w:val="-30"/>
        </w:rPr>
        <w:t> </w:t>
      </w:r>
      <w:r>
        <w:rPr/>
        <w:t>to</w:t>
      </w:r>
      <w:r>
        <w:rPr>
          <w:spacing w:val="-31"/>
        </w:rPr>
        <w:t> </w:t>
      </w:r>
      <w:r>
        <w:rPr/>
        <w:t>make</w:t>
      </w:r>
      <w:r>
        <w:rPr>
          <w:spacing w:val="-31"/>
        </w:rPr>
        <w:t> </w:t>
      </w:r>
      <w:r>
        <w:rPr/>
        <w:t>good all damages that result naturally from the breach. The non-breaching party must be</w:t>
      </w:r>
      <w:r>
        <w:rPr>
          <w:spacing w:val="-29"/>
        </w:rPr>
        <w:t> </w:t>
      </w:r>
      <w:r>
        <w:rPr>
          <w:spacing w:val="-4"/>
        </w:rPr>
        <w:t>put </w:t>
      </w:r>
      <w:r>
        <w:rPr/>
        <w:t>in as good condition pecuniarily as he </w:t>
      </w:r>
      <w:r>
        <w:rPr>
          <w:spacing w:val="-3"/>
        </w:rPr>
        <w:t>would </w:t>
      </w:r>
      <w:r>
        <w:rPr/>
        <w:t>have been by the performance of </w:t>
      </w:r>
      <w:r>
        <w:rPr>
          <w:spacing w:val="-6"/>
        </w:rPr>
        <w:t>the </w:t>
      </w:r>
      <w:r>
        <w:rPr/>
        <w:t>contract.</w:t>
      </w:r>
    </w:p>
    <w:p>
      <w:pPr>
        <w:pStyle w:val="BodyText"/>
        <w:spacing w:before="12"/>
        <w:rPr>
          <w:sz w:val="25"/>
        </w:rPr>
      </w:pPr>
    </w:p>
    <w:p>
      <w:pPr>
        <w:pStyle w:val="BodyText"/>
        <w:spacing w:line="242" w:lineRule="auto"/>
        <w:ind w:left="1520" w:right="1518" w:firstLine="720"/>
        <w:jc w:val="both"/>
      </w:pPr>
      <w:r>
        <w:rPr>
          <w:spacing w:val="3"/>
        </w:rPr>
        <w:t>In </w:t>
      </w:r>
      <w:r>
        <w:rPr/>
        <w:t>Massachusetts, where the standard form of policy requires a reference</w:t>
      </w:r>
      <w:r>
        <w:rPr>
          <w:spacing w:val="-13"/>
        </w:rPr>
        <w:t> </w:t>
      </w:r>
      <w:r>
        <w:rPr/>
        <w:t>procedure in the event the parties fail to agree to the amount</w:t>
      </w:r>
      <w:r>
        <w:rPr>
          <w:spacing w:val="-17"/>
        </w:rPr>
        <w:t> </w:t>
      </w:r>
      <w:r>
        <w:rPr/>
        <w:t>of</w:t>
      </w:r>
      <w:r>
        <w:rPr>
          <w:spacing w:val="-17"/>
        </w:rPr>
        <w:t> </w:t>
      </w:r>
      <w:r>
        <w:rPr/>
        <w:t>loss,</w:t>
      </w:r>
      <w:r>
        <w:rPr>
          <w:spacing w:val="-14"/>
        </w:rPr>
        <w:t> </w:t>
      </w:r>
      <w:r>
        <w:rPr/>
        <w:t>the</w:t>
      </w:r>
      <w:r>
        <w:rPr>
          <w:spacing w:val="-15"/>
        </w:rPr>
        <w:t> </w:t>
      </w:r>
      <w:r>
        <w:rPr/>
        <w:t>three</w:t>
      </w:r>
      <w:r>
        <w:rPr>
          <w:spacing w:val="-15"/>
        </w:rPr>
        <w:t> </w:t>
      </w:r>
      <w:r>
        <w:rPr/>
        <w:t>referees</w:t>
      </w:r>
      <w:r>
        <w:rPr>
          <w:spacing w:val="-15"/>
        </w:rPr>
        <w:t> </w:t>
      </w:r>
      <w:r>
        <w:rPr/>
        <w:t>to</w:t>
      </w:r>
      <w:r>
        <w:rPr>
          <w:spacing w:val="-17"/>
        </w:rPr>
        <w:t> </w:t>
      </w:r>
      <w:r>
        <w:rPr/>
        <w:t>whom</w:t>
      </w:r>
      <w:r>
        <w:rPr>
          <w:spacing w:val="-16"/>
        </w:rPr>
        <w:t> </w:t>
      </w:r>
      <w:r>
        <w:rPr/>
        <w:t>the matter is referred are generally </w:t>
      </w:r>
      <w:r>
        <w:rPr>
          <w:spacing w:val="-3"/>
        </w:rPr>
        <w:t>empowered </w:t>
      </w:r>
      <w:r>
        <w:rPr/>
        <w:t>only to determine loss or damage to covered property but may not determine loss or damage to property claimed not to be covered.</w:t>
      </w:r>
      <w:r>
        <w:rPr>
          <w:vertAlign w:val="superscript"/>
        </w:rPr>
        <w:t>274</w:t>
      </w:r>
      <w:r>
        <w:rPr>
          <w:vertAlign w:val="baseline"/>
        </w:rPr>
        <w:t> Again, a more efficient </w:t>
      </w:r>
      <w:r>
        <w:rPr>
          <w:spacing w:val="-5"/>
          <w:vertAlign w:val="baseline"/>
        </w:rPr>
        <w:t>approach </w:t>
      </w:r>
      <w:r>
        <w:rPr>
          <w:vertAlign w:val="baseline"/>
        </w:rPr>
        <w:t>would be to segregate items subject</w:t>
      </w:r>
      <w:r>
        <w:rPr>
          <w:spacing w:val="17"/>
          <w:vertAlign w:val="baseline"/>
        </w:rPr>
        <w:t> </w:t>
      </w:r>
      <w:r>
        <w:rPr>
          <w:vertAlign w:val="baseline"/>
        </w:rPr>
        <w:t>to</w:t>
      </w:r>
    </w:p>
    <w:p>
      <w:pPr>
        <w:pStyle w:val="BodyText"/>
        <w:rPr>
          <w:sz w:val="20"/>
        </w:rPr>
      </w:pPr>
    </w:p>
    <w:p>
      <w:pPr>
        <w:pStyle w:val="BodyText"/>
        <w:spacing w:before="10"/>
        <w:rPr>
          <w:sz w:val="13"/>
        </w:rPr>
      </w:pPr>
      <w:r>
        <w:rPr/>
        <w:pict>
          <v:shape style="position:absolute;margin-left:162pt;margin-top:10.899336pt;width:143.9pt;height:.1pt;mso-position-horizontal-relative:page;mso-position-vertical-relative:paragraph;z-index:-251549696;mso-wrap-distance-left:0;mso-wrap-distance-right:0" coordorigin="3240,218" coordsize="2878,0" path="m3240,218l6118,218e" filled="false" stroked="true" strokeweight=".84pt" strokecolor="#000000">
            <v:path arrowok="t"/>
            <v:stroke dashstyle="solid"/>
            <w10:wrap type="topAndBottom"/>
          </v:shape>
        </w:pict>
      </w:r>
    </w:p>
    <w:p>
      <w:pPr>
        <w:pStyle w:val="ListParagraph"/>
        <w:numPr>
          <w:ilvl w:val="0"/>
          <w:numId w:val="20"/>
        </w:numPr>
        <w:tabs>
          <w:tab w:pos="1418" w:val="left" w:leader="none"/>
        </w:tabs>
        <w:spacing w:line="244" w:lineRule="auto" w:before="140" w:after="0"/>
        <w:ind w:left="1160" w:right="1166" w:firstLine="0"/>
        <w:jc w:val="left"/>
        <w:rPr>
          <w:sz w:val="18"/>
        </w:rPr>
      </w:pPr>
      <w:r>
        <w:rPr>
          <w:sz w:val="18"/>
          <w:u w:val="single"/>
        </w:rPr>
        <w:t>Visselli v. American Fidelity Co.</w:t>
      </w:r>
      <w:r>
        <w:rPr>
          <w:sz w:val="18"/>
        </w:rPr>
        <w:t>, 155 Conn. 622, 237 A.2d 561 (1967), </w:t>
      </w:r>
      <w:r>
        <w:rPr>
          <w:i/>
          <w:sz w:val="18"/>
        </w:rPr>
        <w:t>over-ruled by </w:t>
      </w:r>
      <w:r>
        <w:rPr>
          <w:i/>
          <w:sz w:val="18"/>
        </w:rPr>
        <w:t>statute</w:t>
      </w:r>
      <w:r>
        <w:rPr>
          <w:i/>
          <w:spacing w:val="-17"/>
          <w:sz w:val="18"/>
        </w:rPr>
        <w:t> </w:t>
      </w:r>
      <w:r>
        <w:rPr>
          <w:i/>
          <w:sz w:val="18"/>
        </w:rPr>
        <w:t>on</w:t>
      </w:r>
      <w:r>
        <w:rPr>
          <w:i/>
          <w:spacing w:val="-19"/>
          <w:sz w:val="18"/>
        </w:rPr>
        <w:t> </w:t>
      </w:r>
      <w:r>
        <w:rPr>
          <w:i/>
          <w:sz w:val="18"/>
        </w:rPr>
        <w:t>other</w:t>
      </w:r>
      <w:r>
        <w:rPr>
          <w:i/>
          <w:spacing w:val="-19"/>
          <w:sz w:val="18"/>
        </w:rPr>
        <w:t> </w:t>
      </w:r>
      <w:r>
        <w:rPr>
          <w:i/>
          <w:sz w:val="18"/>
        </w:rPr>
        <w:t>grounds,</w:t>
      </w:r>
      <w:r>
        <w:rPr>
          <w:i/>
          <w:spacing w:val="-19"/>
          <w:sz w:val="18"/>
        </w:rPr>
        <w:t> </w:t>
      </w:r>
      <w:r>
        <w:rPr>
          <w:sz w:val="18"/>
        </w:rPr>
        <w:t>Uninsured</w:t>
      </w:r>
      <w:r>
        <w:rPr>
          <w:spacing w:val="-19"/>
          <w:sz w:val="18"/>
        </w:rPr>
        <w:t> </w:t>
      </w:r>
      <w:r>
        <w:rPr>
          <w:sz w:val="18"/>
        </w:rPr>
        <w:t>and</w:t>
      </w:r>
      <w:r>
        <w:rPr>
          <w:spacing w:val="-17"/>
          <w:sz w:val="18"/>
        </w:rPr>
        <w:t> </w:t>
      </w:r>
      <w:r>
        <w:rPr>
          <w:sz w:val="18"/>
        </w:rPr>
        <w:t>Under-Insured</w:t>
      </w:r>
      <w:r>
        <w:rPr>
          <w:spacing w:val="-16"/>
          <w:sz w:val="18"/>
        </w:rPr>
        <w:t> </w:t>
      </w:r>
      <w:r>
        <w:rPr>
          <w:sz w:val="18"/>
        </w:rPr>
        <w:t>Motorist</w:t>
      </w:r>
      <w:r>
        <w:rPr>
          <w:spacing w:val="-16"/>
          <w:sz w:val="18"/>
        </w:rPr>
        <w:t> </w:t>
      </w:r>
      <w:r>
        <w:rPr>
          <w:sz w:val="18"/>
        </w:rPr>
        <w:t>Coverage,</w:t>
      </w:r>
      <w:r>
        <w:rPr>
          <w:spacing w:val="-16"/>
          <w:sz w:val="18"/>
        </w:rPr>
        <w:t> </w:t>
      </w:r>
      <w:r>
        <w:rPr>
          <w:sz w:val="18"/>
        </w:rPr>
        <w:t>Conn.</w:t>
      </w:r>
      <w:r>
        <w:rPr>
          <w:spacing w:val="-16"/>
          <w:sz w:val="18"/>
        </w:rPr>
        <w:t> </w:t>
      </w:r>
      <w:r>
        <w:rPr>
          <w:sz w:val="18"/>
        </w:rPr>
        <w:t>Gen</w:t>
      </w:r>
      <w:r>
        <w:rPr>
          <w:spacing w:val="-17"/>
          <w:sz w:val="18"/>
        </w:rPr>
        <w:t> </w:t>
      </w:r>
      <w:r>
        <w:rPr>
          <w:sz w:val="18"/>
        </w:rPr>
        <w:t>Stat.</w:t>
      </w:r>
    </w:p>
    <w:p>
      <w:pPr>
        <w:spacing w:line="182" w:lineRule="exact" w:before="0"/>
        <w:ind w:left="1160" w:right="0" w:firstLine="0"/>
        <w:jc w:val="left"/>
        <w:rPr>
          <w:rFonts w:ascii="Times New Roman" w:hAnsi="Times New Roman"/>
          <w:sz w:val="18"/>
        </w:rPr>
      </w:pPr>
      <w:r>
        <w:rPr>
          <w:rFonts w:ascii="Times New Roman" w:hAnsi="Times New Roman"/>
          <w:sz w:val="18"/>
        </w:rPr>
        <w:t>§ 38a-336 (2003).</w:t>
      </w:r>
    </w:p>
    <w:p>
      <w:pPr>
        <w:pStyle w:val="ListParagraph"/>
        <w:numPr>
          <w:ilvl w:val="0"/>
          <w:numId w:val="20"/>
        </w:numPr>
        <w:tabs>
          <w:tab w:pos="1421" w:val="left" w:leader="none"/>
        </w:tabs>
        <w:spacing w:line="235" w:lineRule="exact" w:before="0" w:after="0"/>
        <w:ind w:left="1421" w:right="0" w:hanging="261"/>
        <w:jc w:val="left"/>
        <w:rPr>
          <w:sz w:val="18"/>
        </w:rPr>
      </w:pPr>
      <w:r>
        <w:rPr>
          <w:sz w:val="18"/>
          <w:u w:val="single"/>
        </w:rPr>
        <w:t>Fox v. Employer’s Fire Ins. Co.</w:t>
      </w:r>
      <w:r>
        <w:rPr>
          <w:sz w:val="18"/>
        </w:rPr>
        <w:t>, 330 Mass. 283, 113 N.E.2d 63</w:t>
      </w:r>
      <w:r>
        <w:rPr>
          <w:spacing w:val="4"/>
          <w:sz w:val="18"/>
        </w:rPr>
        <w:t> </w:t>
      </w:r>
      <w:r>
        <w:rPr>
          <w:sz w:val="18"/>
        </w:rPr>
        <w:t>(1953).</w:t>
      </w:r>
    </w:p>
    <w:p>
      <w:pPr>
        <w:spacing w:after="0" w:line="235" w:lineRule="exact"/>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9"/>
        <w:jc w:val="both"/>
      </w:pPr>
      <w:bookmarkStart w:name="Law and Procedure 183" w:id="94"/>
      <w:bookmarkEnd w:id="94"/>
      <w:r>
        <w:rPr/>
      </w:r>
      <w:r>
        <w:rPr/>
        <w:t>coverage issues in a separate portion of the award</w:t>
      </w:r>
      <w:r>
        <w:rPr>
          <w:spacing w:val="-18"/>
        </w:rPr>
        <w:t> </w:t>
      </w:r>
      <w:r>
        <w:rPr/>
        <w:t>so</w:t>
      </w:r>
      <w:r>
        <w:rPr>
          <w:spacing w:val="-17"/>
        </w:rPr>
        <w:t> </w:t>
      </w:r>
      <w:r>
        <w:rPr/>
        <w:t>that</w:t>
      </w:r>
      <w:r>
        <w:rPr>
          <w:spacing w:val="-17"/>
        </w:rPr>
        <w:t> </w:t>
      </w:r>
      <w:r>
        <w:rPr/>
        <w:t>upon</w:t>
      </w:r>
      <w:r>
        <w:rPr>
          <w:spacing w:val="-13"/>
        </w:rPr>
        <w:t> </w:t>
      </w:r>
      <w:r>
        <w:rPr/>
        <w:t>issuance</w:t>
      </w:r>
      <w:r>
        <w:rPr>
          <w:spacing w:val="-14"/>
        </w:rPr>
        <w:t> </w:t>
      </w:r>
      <w:r>
        <w:rPr/>
        <w:t>of</w:t>
      </w:r>
      <w:r>
        <w:rPr>
          <w:spacing w:val="-15"/>
        </w:rPr>
        <w:t> </w:t>
      </w:r>
      <w:r>
        <w:rPr/>
        <w:t>the</w:t>
      </w:r>
      <w:r>
        <w:rPr>
          <w:spacing w:val="-16"/>
        </w:rPr>
        <w:t> </w:t>
      </w:r>
      <w:r>
        <w:rPr/>
        <w:t>bifurcated award, an undisputed payment could </w:t>
      </w:r>
      <w:r>
        <w:rPr>
          <w:spacing w:val="-7"/>
        </w:rPr>
        <w:t>be </w:t>
      </w:r>
      <w:r>
        <w:rPr/>
        <w:t>made while the parties litigate those items subject to the dispute but with value and loss already determined in the event the insured prevails.</w:t>
      </w:r>
    </w:p>
    <w:p>
      <w:pPr>
        <w:pStyle w:val="BodyText"/>
      </w:pPr>
    </w:p>
    <w:p>
      <w:pPr>
        <w:pStyle w:val="BodyText"/>
        <w:spacing w:line="242" w:lineRule="auto"/>
        <w:ind w:left="1520" w:right="1518" w:firstLine="720"/>
        <w:jc w:val="both"/>
      </w:pPr>
      <w:r>
        <w:rPr/>
        <w:t>Another Massachusetts court </w:t>
      </w:r>
      <w:r>
        <w:rPr>
          <w:spacing w:val="-3"/>
        </w:rPr>
        <w:t>has </w:t>
      </w:r>
      <w:r>
        <w:rPr/>
        <w:t>expounded upon the scope of determination by this mandatory disinterested board of referees. </w:t>
      </w:r>
      <w:r>
        <w:rPr>
          <w:spacing w:val="3"/>
        </w:rPr>
        <w:t>It </w:t>
      </w:r>
      <w:r>
        <w:rPr/>
        <w:t>asserted the board was not to determine matters of coverage and fault in a decision where it held that the binding nature of such a determination “clearly [did] </w:t>
      </w:r>
      <w:r>
        <w:rPr>
          <w:spacing w:val="-4"/>
        </w:rPr>
        <w:t>not </w:t>
      </w:r>
      <w:r>
        <w:rPr/>
        <w:t>preclude a lawsuit” and that the process is actually</w:t>
      </w:r>
      <w:r>
        <w:rPr>
          <w:spacing w:val="-10"/>
        </w:rPr>
        <w:t> </w:t>
      </w:r>
      <w:r>
        <w:rPr/>
        <w:t>a</w:t>
      </w:r>
      <w:r>
        <w:rPr>
          <w:spacing w:val="-8"/>
        </w:rPr>
        <w:t> </w:t>
      </w:r>
      <w:r>
        <w:rPr/>
        <w:t>condition</w:t>
      </w:r>
      <w:r>
        <w:rPr>
          <w:spacing w:val="-7"/>
        </w:rPr>
        <w:t> </w:t>
      </w:r>
      <w:r>
        <w:rPr/>
        <w:t>precedent</w:t>
      </w:r>
      <w:r>
        <w:rPr>
          <w:spacing w:val="-11"/>
        </w:rPr>
        <w:t> </w:t>
      </w:r>
      <w:r>
        <w:rPr/>
        <w:t>to</w:t>
      </w:r>
      <w:r>
        <w:rPr>
          <w:spacing w:val="-8"/>
        </w:rPr>
        <w:t> </w:t>
      </w:r>
      <w:r>
        <w:rPr/>
        <w:t>suit.</w:t>
      </w:r>
      <w:r>
        <w:rPr>
          <w:spacing w:val="-10"/>
        </w:rPr>
        <w:t> </w:t>
      </w:r>
      <w:r>
        <w:rPr/>
        <w:t>Rather, the Court cited a prior holding, stating “[i]n order intelligently to determine the amount of loss or damage under a given policy, as an incidental step in their deliberations, the referees</w:t>
      </w:r>
      <w:r>
        <w:rPr>
          <w:spacing w:val="-29"/>
        </w:rPr>
        <w:t> </w:t>
      </w:r>
      <w:r>
        <w:rPr/>
        <w:t>must</w:t>
      </w:r>
      <w:r>
        <w:rPr>
          <w:spacing w:val="-29"/>
        </w:rPr>
        <w:t> </w:t>
      </w:r>
      <w:r>
        <w:rPr/>
        <w:t>reach</w:t>
      </w:r>
      <w:r>
        <w:rPr>
          <w:spacing w:val="-27"/>
        </w:rPr>
        <w:t> </w:t>
      </w:r>
      <w:r>
        <w:rPr/>
        <w:t>their</w:t>
      </w:r>
      <w:r>
        <w:rPr>
          <w:spacing w:val="-29"/>
        </w:rPr>
        <w:t> </w:t>
      </w:r>
      <w:r>
        <w:rPr/>
        <w:t>own</w:t>
      </w:r>
      <w:r>
        <w:rPr>
          <w:spacing w:val="-27"/>
        </w:rPr>
        <w:t> </w:t>
      </w:r>
      <w:r>
        <w:rPr/>
        <w:t>conclusions</w:t>
      </w:r>
      <w:r>
        <w:rPr>
          <w:spacing w:val="-27"/>
        </w:rPr>
        <w:t> </w:t>
      </w:r>
      <w:r>
        <w:rPr/>
        <w:t>as</w:t>
      </w:r>
      <w:r>
        <w:rPr>
          <w:spacing w:val="-29"/>
        </w:rPr>
        <w:t> </w:t>
      </w:r>
      <w:r>
        <w:rPr/>
        <w:t>to what they think that loss or damage is. </w:t>
      </w:r>
      <w:r>
        <w:rPr>
          <w:spacing w:val="-3"/>
        </w:rPr>
        <w:t>Such </w:t>
      </w:r>
      <w:r>
        <w:rPr/>
        <w:t>conclusions must necessarily be affected </w:t>
      </w:r>
      <w:r>
        <w:rPr>
          <w:spacing w:val="-7"/>
        </w:rPr>
        <w:t>by </w:t>
      </w:r>
      <w:r>
        <w:rPr/>
        <w:t>what they think the coverage is. Their views</w:t>
      </w:r>
      <w:r>
        <w:rPr>
          <w:spacing w:val="-23"/>
        </w:rPr>
        <w:t> </w:t>
      </w:r>
      <w:r>
        <w:rPr/>
        <w:t>so far</w:t>
      </w:r>
      <w:r>
        <w:rPr>
          <w:spacing w:val="-30"/>
        </w:rPr>
        <w:t> </w:t>
      </w:r>
      <w:r>
        <w:rPr/>
        <w:t>as</w:t>
      </w:r>
      <w:r>
        <w:rPr>
          <w:spacing w:val="-29"/>
        </w:rPr>
        <w:t> </w:t>
      </w:r>
      <w:r>
        <w:rPr/>
        <w:t>ultimate</w:t>
      </w:r>
      <w:r>
        <w:rPr>
          <w:spacing w:val="-28"/>
        </w:rPr>
        <w:t> </w:t>
      </w:r>
      <w:r>
        <w:rPr/>
        <w:t>liability</w:t>
      </w:r>
      <w:r>
        <w:rPr>
          <w:spacing w:val="-32"/>
        </w:rPr>
        <w:t> </w:t>
      </w:r>
      <w:r>
        <w:rPr/>
        <w:t>goes</w:t>
      </w:r>
      <w:r>
        <w:rPr>
          <w:spacing w:val="-28"/>
        </w:rPr>
        <w:t> </w:t>
      </w:r>
      <w:r>
        <w:rPr/>
        <w:t>are</w:t>
      </w:r>
      <w:r>
        <w:rPr>
          <w:spacing w:val="-30"/>
        </w:rPr>
        <w:t> </w:t>
      </w:r>
      <w:r>
        <w:rPr/>
        <w:t>wholly</w:t>
      </w:r>
      <w:r>
        <w:rPr>
          <w:spacing w:val="-29"/>
        </w:rPr>
        <w:t> </w:t>
      </w:r>
      <w:r>
        <w:rPr/>
        <w:t>tentative and in no sense a decision on that underlying question.” </w:t>
      </w:r>
      <w:r>
        <w:rPr>
          <w:spacing w:val="4"/>
        </w:rPr>
        <w:t>In </w:t>
      </w:r>
      <w:r>
        <w:rPr/>
        <w:t>that case, a board of referees’ </w:t>
      </w:r>
      <w:r>
        <w:rPr>
          <w:spacing w:val="3"/>
        </w:rPr>
        <w:t>award </w:t>
      </w:r>
      <w:r>
        <w:rPr/>
        <w:t>was </w:t>
      </w:r>
      <w:r>
        <w:rPr>
          <w:spacing w:val="4"/>
        </w:rPr>
        <w:t>not </w:t>
      </w:r>
      <w:r>
        <w:rPr>
          <w:spacing w:val="6"/>
        </w:rPr>
        <w:t>binding </w:t>
      </w:r>
      <w:r>
        <w:rPr>
          <w:spacing w:val="3"/>
        </w:rPr>
        <w:t>on </w:t>
      </w:r>
      <w:r>
        <w:rPr>
          <w:spacing w:val="6"/>
        </w:rPr>
        <w:t>insureds’ </w:t>
      </w:r>
      <w:r>
        <w:rPr/>
        <w:t>subsequent action against their insurer</w:t>
      </w:r>
      <w:r>
        <w:rPr>
          <w:spacing w:val="14"/>
        </w:rPr>
        <w:t> </w:t>
      </w:r>
      <w:r>
        <w:rPr/>
        <w:t>for</w:t>
      </w:r>
    </w:p>
    <w:p>
      <w:pPr>
        <w:spacing w:after="0" w:line="242" w:lineRule="auto"/>
        <w:jc w:val="both"/>
        <w:sectPr>
          <w:pgSz w:w="12240" w:h="15840"/>
          <w:pgMar w:header="0" w:footer="2273" w:top="1500" w:bottom="2460" w:left="1720" w:right="1720"/>
        </w:sectPr>
      </w:pPr>
    </w:p>
    <w:p>
      <w:pPr>
        <w:pStyle w:val="BodyText"/>
        <w:rPr>
          <w:sz w:val="20"/>
        </w:rPr>
      </w:pPr>
    </w:p>
    <w:p>
      <w:pPr>
        <w:pStyle w:val="BodyText"/>
        <w:rPr>
          <w:sz w:val="20"/>
        </w:rPr>
      </w:pPr>
    </w:p>
    <w:p>
      <w:pPr>
        <w:pStyle w:val="BodyText"/>
        <w:rPr>
          <w:sz w:val="20"/>
        </w:rPr>
      </w:pPr>
    </w:p>
    <w:p>
      <w:pPr>
        <w:pStyle w:val="BodyText"/>
        <w:spacing w:before="6"/>
        <w:rPr>
          <w:sz w:val="17"/>
        </w:rPr>
      </w:pPr>
    </w:p>
    <w:p>
      <w:pPr>
        <w:pStyle w:val="BodyText"/>
        <w:spacing w:before="77"/>
        <w:ind w:left="1520"/>
      </w:pPr>
      <w:bookmarkStart w:name="Law and Procedure 184" w:id="95"/>
      <w:bookmarkEnd w:id="95"/>
      <w:r>
        <w:rPr/>
      </w:r>
      <w:r>
        <w:rPr/>
        <w:t>coverage under their policy.</w:t>
      </w:r>
      <w:r>
        <w:rPr>
          <w:vertAlign w:val="superscript"/>
        </w:rPr>
        <w:t>275</w:t>
      </w:r>
    </w:p>
    <w:p>
      <w:pPr>
        <w:pStyle w:val="BodyText"/>
        <w:spacing w:before="5"/>
      </w:pPr>
    </w:p>
    <w:p>
      <w:pPr>
        <w:pStyle w:val="BodyText"/>
        <w:spacing w:line="242" w:lineRule="auto" w:before="1"/>
        <w:ind w:left="1520" w:right="1517" w:firstLine="720"/>
        <w:jc w:val="both"/>
      </w:pPr>
      <w:r>
        <w:rPr>
          <w:spacing w:val="3"/>
        </w:rPr>
        <w:t>In</w:t>
      </w:r>
      <w:r>
        <w:rPr>
          <w:spacing w:val="-19"/>
        </w:rPr>
        <w:t> </w:t>
      </w:r>
      <w:r>
        <w:rPr/>
        <w:t>Massachusetts,</w:t>
      </w:r>
      <w:r>
        <w:rPr>
          <w:spacing w:val="-21"/>
        </w:rPr>
        <w:t> </w:t>
      </w:r>
      <w:r>
        <w:rPr/>
        <w:t>policy</w:t>
      </w:r>
      <w:r>
        <w:rPr>
          <w:spacing w:val="-17"/>
        </w:rPr>
        <w:t> </w:t>
      </w:r>
      <w:r>
        <w:rPr/>
        <w:t>coverage</w:t>
      </w:r>
      <w:r>
        <w:rPr>
          <w:spacing w:val="-16"/>
        </w:rPr>
        <w:t> </w:t>
      </w:r>
      <w:r>
        <w:rPr/>
        <w:t>issues have been held properly determinable by</w:t>
      </w:r>
      <w:r>
        <w:rPr>
          <w:spacing w:val="-48"/>
        </w:rPr>
        <w:t> </w:t>
      </w:r>
      <w:r>
        <w:rPr/>
        <w:t>the Court as a matter of law. </w:t>
      </w:r>
      <w:r>
        <w:rPr>
          <w:spacing w:val="3"/>
        </w:rPr>
        <w:t>In </w:t>
      </w:r>
      <w:r>
        <w:rPr/>
        <w:t>one matter, it</w:t>
      </w:r>
      <w:r>
        <w:rPr>
          <w:spacing w:val="-26"/>
        </w:rPr>
        <w:t> </w:t>
      </w:r>
      <w:r>
        <w:rPr/>
        <w:t>was </w:t>
      </w:r>
      <w:r>
        <w:rPr>
          <w:spacing w:val="5"/>
        </w:rPr>
        <w:t>held </w:t>
      </w:r>
      <w:r>
        <w:rPr>
          <w:spacing w:val="3"/>
        </w:rPr>
        <w:t>that </w:t>
      </w:r>
      <w:r>
        <w:rPr>
          <w:spacing w:val="2"/>
        </w:rPr>
        <w:t>an </w:t>
      </w:r>
      <w:r>
        <w:rPr>
          <w:spacing w:val="4"/>
        </w:rPr>
        <w:t>appraiser </w:t>
      </w:r>
      <w:r>
        <w:rPr>
          <w:spacing w:val="3"/>
        </w:rPr>
        <w:t>had </w:t>
      </w:r>
      <w:r>
        <w:rPr>
          <w:spacing w:val="4"/>
        </w:rPr>
        <w:t>properly </w:t>
      </w:r>
      <w:r>
        <w:rPr/>
        <w:t>considered whether certain equipment was part of a covered loss under an insurance policy, but the Court was not bound by the appraiser’s interpretation of policy exclusions. The</w:t>
      </w:r>
      <w:r>
        <w:rPr>
          <w:spacing w:val="-26"/>
        </w:rPr>
        <w:t> </w:t>
      </w:r>
      <w:r>
        <w:rPr/>
        <w:t>Court</w:t>
      </w:r>
      <w:r>
        <w:rPr>
          <w:spacing w:val="-26"/>
        </w:rPr>
        <w:t> </w:t>
      </w:r>
      <w:r>
        <w:rPr/>
        <w:t>found</w:t>
      </w:r>
      <w:r>
        <w:rPr>
          <w:spacing w:val="-23"/>
        </w:rPr>
        <w:t> </w:t>
      </w:r>
      <w:r>
        <w:rPr/>
        <w:t>an</w:t>
      </w:r>
      <w:r>
        <w:rPr>
          <w:spacing w:val="-25"/>
        </w:rPr>
        <w:t> </w:t>
      </w:r>
      <w:r>
        <w:rPr/>
        <w:t>insured’s</w:t>
      </w:r>
      <w:r>
        <w:rPr>
          <w:spacing w:val="-26"/>
        </w:rPr>
        <w:t> </w:t>
      </w:r>
      <w:r>
        <w:rPr/>
        <w:t>claim</w:t>
      </w:r>
      <w:r>
        <w:rPr>
          <w:spacing w:val="-26"/>
        </w:rPr>
        <w:t> </w:t>
      </w:r>
      <w:r>
        <w:rPr/>
        <w:t>was</w:t>
      </w:r>
      <w:r>
        <w:rPr>
          <w:spacing w:val="-25"/>
        </w:rPr>
        <w:t> </w:t>
      </w:r>
      <w:r>
        <w:rPr/>
        <w:t>subject to Appraisal but an insurer’s liability in terms of coverage was to be considered after the appraisal. </w:t>
      </w:r>
      <w:r>
        <w:rPr>
          <w:spacing w:val="3"/>
        </w:rPr>
        <w:t>In </w:t>
      </w:r>
      <w:r>
        <w:rPr/>
        <w:t>that action the insured argued that the appraiser had acted outside his </w:t>
      </w:r>
      <w:r>
        <w:rPr>
          <w:spacing w:val="20"/>
        </w:rPr>
        <w:t>authority </w:t>
      </w:r>
      <w:r>
        <w:rPr/>
        <w:t>“ </w:t>
      </w:r>
      <w:r>
        <w:rPr>
          <w:spacing w:val="13"/>
        </w:rPr>
        <w:t>by </w:t>
      </w:r>
      <w:r>
        <w:rPr>
          <w:spacing w:val="21"/>
        </w:rPr>
        <w:t>making </w:t>
      </w:r>
      <w:r>
        <w:rPr/>
        <w:t>a </w:t>
      </w:r>
      <w:r>
        <w:rPr>
          <w:spacing w:val="22"/>
        </w:rPr>
        <w:t>threshold </w:t>
      </w:r>
      <w:r>
        <w:rPr/>
        <w:t>determination” pertaining to coverage under the parties’ insurance</w:t>
      </w:r>
      <w:r>
        <w:rPr>
          <w:spacing w:val="-4"/>
        </w:rPr>
        <w:t> </w:t>
      </w:r>
      <w:r>
        <w:rPr/>
        <w:t>contract.</w:t>
      </w:r>
      <w:r>
        <w:rPr>
          <w:vertAlign w:val="superscript"/>
        </w:rPr>
        <w:t>276</w:t>
      </w:r>
    </w:p>
    <w:p>
      <w:pPr>
        <w:pStyle w:val="BodyText"/>
        <w:spacing w:before="9"/>
        <w:rPr>
          <w:sz w:val="25"/>
        </w:rPr>
      </w:pPr>
    </w:p>
    <w:p>
      <w:pPr>
        <w:pStyle w:val="BodyText"/>
        <w:spacing w:line="242" w:lineRule="auto"/>
        <w:ind w:left="1520" w:right="1518" w:firstLine="720"/>
        <w:jc w:val="both"/>
      </w:pPr>
      <w:r>
        <w:rPr/>
        <w:t>However,</w:t>
      </w:r>
      <w:r>
        <w:rPr>
          <w:spacing w:val="-20"/>
        </w:rPr>
        <w:t> </w:t>
      </w:r>
      <w:r>
        <w:rPr/>
        <w:t>it</w:t>
      </w:r>
      <w:r>
        <w:rPr>
          <w:spacing w:val="-17"/>
        </w:rPr>
        <w:t> </w:t>
      </w:r>
      <w:r>
        <w:rPr/>
        <w:t>has</w:t>
      </w:r>
      <w:r>
        <w:rPr>
          <w:spacing w:val="-15"/>
        </w:rPr>
        <w:t> </w:t>
      </w:r>
      <w:r>
        <w:rPr/>
        <w:t>been</w:t>
      </w:r>
      <w:r>
        <w:rPr>
          <w:spacing w:val="-13"/>
        </w:rPr>
        <w:t> </w:t>
      </w:r>
      <w:r>
        <w:rPr/>
        <w:t>held</w:t>
      </w:r>
      <w:r>
        <w:rPr>
          <w:spacing w:val="-13"/>
        </w:rPr>
        <w:t> </w:t>
      </w:r>
      <w:r>
        <w:rPr/>
        <w:t>that</w:t>
      </w:r>
      <w:r>
        <w:rPr>
          <w:spacing w:val="-14"/>
        </w:rPr>
        <w:t> </w:t>
      </w:r>
      <w:r>
        <w:rPr/>
        <w:t>appraisal is</w:t>
      </w:r>
      <w:r>
        <w:rPr>
          <w:spacing w:val="-21"/>
        </w:rPr>
        <w:t> </w:t>
      </w:r>
      <w:r>
        <w:rPr/>
        <w:t>mandatory</w:t>
      </w:r>
      <w:r>
        <w:rPr>
          <w:spacing w:val="-22"/>
        </w:rPr>
        <w:t> </w:t>
      </w:r>
      <w:r>
        <w:rPr/>
        <w:t>where</w:t>
      </w:r>
      <w:r>
        <w:rPr>
          <w:spacing w:val="-18"/>
        </w:rPr>
        <w:t> </w:t>
      </w:r>
      <w:r>
        <w:rPr/>
        <w:t>there</w:t>
      </w:r>
      <w:r>
        <w:rPr>
          <w:spacing w:val="-18"/>
        </w:rPr>
        <w:t> </w:t>
      </w:r>
      <w:r>
        <w:rPr/>
        <w:t>is</w:t>
      </w:r>
      <w:r>
        <w:rPr>
          <w:spacing w:val="-19"/>
        </w:rPr>
        <w:t> </w:t>
      </w:r>
      <w:r>
        <w:rPr/>
        <w:t>a</w:t>
      </w:r>
      <w:r>
        <w:rPr>
          <w:spacing w:val="-20"/>
        </w:rPr>
        <w:t> </w:t>
      </w:r>
      <w:r>
        <w:rPr/>
        <w:t>disagreement</w:t>
      </w:r>
      <w:r>
        <w:rPr>
          <w:spacing w:val="-24"/>
        </w:rPr>
        <w:t> </w:t>
      </w:r>
      <w:r>
        <w:rPr/>
        <w:t>as to the amount of the loss even where</w:t>
      </w:r>
      <w:r>
        <w:rPr>
          <w:spacing w:val="59"/>
        </w:rPr>
        <w:t> </w:t>
      </w:r>
      <w:r>
        <w:rPr/>
        <w:t>the insurer denies any liability for the loss on the ground that the insured had intentionally </w:t>
      </w:r>
      <w:r>
        <w:rPr>
          <w:spacing w:val="-4"/>
        </w:rPr>
        <w:t>set</w:t>
      </w:r>
      <w:r>
        <w:rPr>
          <w:spacing w:val="63"/>
        </w:rPr>
        <w:t> </w:t>
      </w:r>
      <w:r>
        <w:rPr/>
        <w:t>the</w:t>
      </w:r>
      <w:r>
        <w:rPr>
          <w:spacing w:val="-1"/>
        </w:rPr>
        <w:t> </w:t>
      </w:r>
      <w:r>
        <w:rPr/>
        <w:t>fire.</w:t>
      </w:r>
      <w:r>
        <w:rPr>
          <w:vertAlign w:val="superscript"/>
        </w:rPr>
        <w:t>277</w:t>
      </w:r>
    </w:p>
    <w:p>
      <w:pPr>
        <w:pStyle w:val="BodyText"/>
      </w:pPr>
    </w:p>
    <w:p>
      <w:pPr>
        <w:pStyle w:val="BodyText"/>
        <w:ind w:left="2240"/>
      </w:pPr>
      <w:r>
        <w:rPr/>
        <w:t>While legal issues between the parties are</w:t>
      </w:r>
    </w:p>
    <w:p>
      <w:pPr>
        <w:pStyle w:val="BodyText"/>
        <w:rPr>
          <w:sz w:val="20"/>
        </w:rPr>
      </w:pPr>
    </w:p>
    <w:p>
      <w:pPr>
        <w:pStyle w:val="BodyText"/>
        <w:spacing w:before="6"/>
        <w:rPr>
          <w:sz w:val="17"/>
        </w:rPr>
      </w:pPr>
      <w:r>
        <w:rPr/>
        <w:pict>
          <v:shape style="position:absolute;margin-left:162pt;margin-top:13.169814pt;width:143.9pt;height:.1pt;mso-position-horizontal-relative:page;mso-position-vertical-relative:paragraph;z-index:-251548672;mso-wrap-distance-left:0;mso-wrap-distance-right:0" coordorigin="3240,263" coordsize="2878,0" path="m3240,263l6118,263e" filled="false" stroked="true" strokeweight=".84pt" strokecolor="#000000">
            <v:path arrowok="t"/>
            <v:stroke dashstyle="solid"/>
            <w10:wrap type="topAndBottom"/>
          </v:shape>
        </w:pict>
      </w:r>
    </w:p>
    <w:p>
      <w:pPr>
        <w:pStyle w:val="ListParagraph"/>
        <w:numPr>
          <w:ilvl w:val="0"/>
          <w:numId w:val="20"/>
        </w:numPr>
        <w:tabs>
          <w:tab w:pos="1376" w:val="left" w:leader="none"/>
        </w:tabs>
        <w:spacing w:line="240" w:lineRule="auto" w:before="140" w:after="0"/>
        <w:ind w:left="1376" w:right="0" w:hanging="216"/>
        <w:jc w:val="left"/>
        <w:rPr>
          <w:i/>
          <w:sz w:val="18"/>
        </w:rPr>
      </w:pPr>
      <w:r>
        <w:rPr>
          <w:spacing w:val="-8"/>
          <w:sz w:val="18"/>
          <w:u w:val="single"/>
        </w:rPr>
        <w:t> </w:t>
      </w:r>
      <w:r>
        <w:rPr>
          <w:sz w:val="18"/>
          <w:u w:val="single"/>
        </w:rPr>
        <w:t>Bertrand</w:t>
      </w:r>
      <w:r>
        <w:rPr>
          <w:spacing w:val="-8"/>
          <w:sz w:val="18"/>
          <w:u w:val="single"/>
        </w:rPr>
        <w:t> </w:t>
      </w:r>
      <w:r>
        <w:rPr>
          <w:sz w:val="18"/>
          <w:u w:val="single"/>
        </w:rPr>
        <w:t>v.</w:t>
      </w:r>
      <w:r>
        <w:rPr>
          <w:spacing w:val="-6"/>
          <w:sz w:val="18"/>
          <w:u w:val="single"/>
        </w:rPr>
        <w:t> </w:t>
      </w:r>
      <w:r>
        <w:rPr>
          <w:sz w:val="18"/>
          <w:u w:val="single"/>
        </w:rPr>
        <w:t>Merrimack</w:t>
      </w:r>
      <w:r>
        <w:rPr>
          <w:spacing w:val="-10"/>
          <w:sz w:val="18"/>
          <w:u w:val="single"/>
        </w:rPr>
        <w:t> </w:t>
      </w:r>
      <w:r>
        <w:rPr>
          <w:sz w:val="18"/>
          <w:u w:val="single"/>
        </w:rPr>
        <w:t>Mut.</w:t>
      </w:r>
      <w:r>
        <w:rPr>
          <w:spacing w:val="-6"/>
          <w:sz w:val="18"/>
          <w:u w:val="single"/>
        </w:rPr>
        <w:t> </w:t>
      </w:r>
      <w:r>
        <w:rPr>
          <w:sz w:val="18"/>
          <w:u w:val="single"/>
        </w:rPr>
        <w:t>Fire</w:t>
      </w:r>
      <w:r>
        <w:rPr>
          <w:spacing w:val="-4"/>
          <w:sz w:val="18"/>
          <w:u w:val="single"/>
        </w:rPr>
        <w:t> </w:t>
      </w:r>
      <w:r>
        <w:rPr>
          <w:sz w:val="18"/>
          <w:u w:val="single"/>
        </w:rPr>
        <w:t>Ins.</w:t>
      </w:r>
      <w:r>
        <w:rPr>
          <w:spacing w:val="-5"/>
          <w:sz w:val="18"/>
          <w:u w:val="single"/>
        </w:rPr>
        <w:t> </w:t>
      </w:r>
      <w:r>
        <w:rPr>
          <w:sz w:val="18"/>
          <w:u w:val="single"/>
        </w:rPr>
        <w:t>Co.</w:t>
      </w:r>
      <w:r>
        <w:rPr>
          <w:sz w:val="18"/>
        </w:rPr>
        <w:t>,</w:t>
      </w:r>
      <w:r>
        <w:rPr>
          <w:spacing w:val="-3"/>
          <w:sz w:val="18"/>
        </w:rPr>
        <w:t> </w:t>
      </w:r>
      <w:r>
        <w:rPr>
          <w:sz w:val="18"/>
        </w:rPr>
        <w:t>2010</w:t>
      </w:r>
      <w:r>
        <w:rPr>
          <w:spacing w:val="-7"/>
          <w:sz w:val="18"/>
        </w:rPr>
        <w:t> </w:t>
      </w:r>
      <w:r>
        <w:rPr>
          <w:sz w:val="18"/>
        </w:rPr>
        <w:t>WL</w:t>
      </w:r>
      <w:r>
        <w:rPr>
          <w:spacing w:val="-9"/>
          <w:sz w:val="18"/>
        </w:rPr>
        <w:t> </w:t>
      </w:r>
      <w:r>
        <w:rPr>
          <w:sz w:val="18"/>
        </w:rPr>
        <w:t>2102994</w:t>
      </w:r>
      <w:r>
        <w:rPr>
          <w:spacing w:val="-6"/>
          <w:sz w:val="18"/>
        </w:rPr>
        <w:t> </w:t>
      </w:r>
      <w:r>
        <w:rPr>
          <w:sz w:val="18"/>
        </w:rPr>
        <w:t>(Mass.</w:t>
      </w:r>
      <w:r>
        <w:rPr>
          <w:spacing w:val="-8"/>
          <w:sz w:val="18"/>
        </w:rPr>
        <w:t> </w:t>
      </w:r>
      <w:r>
        <w:rPr>
          <w:sz w:val="18"/>
        </w:rPr>
        <w:t>App.</w:t>
      </w:r>
      <w:r>
        <w:rPr>
          <w:spacing w:val="-6"/>
          <w:sz w:val="18"/>
        </w:rPr>
        <w:t> </w:t>
      </w:r>
      <w:r>
        <w:rPr>
          <w:sz w:val="18"/>
        </w:rPr>
        <w:t>Div.),</w:t>
      </w:r>
      <w:r>
        <w:rPr>
          <w:spacing w:val="-6"/>
          <w:sz w:val="18"/>
        </w:rPr>
        <w:t> </w:t>
      </w:r>
      <w:r>
        <w:rPr>
          <w:i/>
          <w:sz w:val="18"/>
        </w:rPr>
        <w:t>citing</w:t>
      </w:r>
    </w:p>
    <w:p>
      <w:pPr>
        <w:spacing w:line="178" w:lineRule="exact" w:before="4"/>
        <w:ind w:left="1160" w:right="0" w:firstLine="0"/>
        <w:jc w:val="left"/>
        <w:rPr>
          <w:rFonts w:ascii="Times New Roman" w:hAnsi="Times New Roman"/>
          <w:sz w:val="18"/>
        </w:rPr>
      </w:pPr>
      <w:r>
        <w:rPr>
          <w:rFonts w:ascii="Times New Roman" w:hAnsi="Times New Roman"/>
          <w:sz w:val="18"/>
          <w:u w:val="single"/>
        </w:rPr>
        <w:t>Fox v. Employers’ Fire Ins. Co.</w:t>
      </w:r>
      <w:r>
        <w:rPr>
          <w:rFonts w:ascii="Times New Roman" w:hAnsi="Times New Roman"/>
          <w:sz w:val="18"/>
        </w:rPr>
        <w:t>, 330 Mass. 283, 113 N.E.2d 63 (1953).</w:t>
      </w:r>
    </w:p>
    <w:p>
      <w:pPr>
        <w:pStyle w:val="ListParagraph"/>
        <w:numPr>
          <w:ilvl w:val="0"/>
          <w:numId w:val="20"/>
        </w:numPr>
        <w:tabs>
          <w:tab w:pos="1438" w:val="left" w:leader="none"/>
        </w:tabs>
        <w:spacing w:line="240" w:lineRule="exact" w:before="0" w:after="0"/>
        <w:ind w:left="1437" w:right="0" w:hanging="278"/>
        <w:jc w:val="left"/>
        <w:rPr>
          <w:sz w:val="18"/>
        </w:rPr>
      </w:pPr>
      <w:r>
        <w:rPr>
          <w:sz w:val="18"/>
          <w:u w:val="single"/>
        </w:rPr>
        <w:t>Sun</w:t>
      </w:r>
      <w:r>
        <w:rPr>
          <w:spacing w:val="18"/>
          <w:sz w:val="18"/>
          <w:u w:val="single"/>
        </w:rPr>
        <w:t> </w:t>
      </w:r>
      <w:r>
        <w:rPr>
          <w:sz w:val="18"/>
          <w:u w:val="single"/>
        </w:rPr>
        <w:t>Microsystems,</w:t>
      </w:r>
      <w:r>
        <w:rPr>
          <w:spacing w:val="17"/>
          <w:sz w:val="18"/>
          <w:u w:val="single"/>
        </w:rPr>
        <w:t> </w:t>
      </w:r>
      <w:r>
        <w:rPr>
          <w:sz w:val="18"/>
          <w:u w:val="single"/>
        </w:rPr>
        <w:t>Inc.</w:t>
      </w:r>
      <w:r>
        <w:rPr>
          <w:spacing w:val="17"/>
          <w:sz w:val="18"/>
          <w:u w:val="single"/>
        </w:rPr>
        <w:t> </w:t>
      </w:r>
      <w:r>
        <w:rPr>
          <w:sz w:val="18"/>
          <w:u w:val="single"/>
        </w:rPr>
        <w:t>v.</w:t>
      </w:r>
      <w:r>
        <w:rPr>
          <w:spacing w:val="18"/>
          <w:sz w:val="18"/>
          <w:u w:val="single"/>
        </w:rPr>
        <w:t> </w:t>
      </w:r>
      <w:r>
        <w:rPr>
          <w:sz w:val="18"/>
          <w:u w:val="single"/>
        </w:rPr>
        <w:t>Electronic</w:t>
      </w:r>
      <w:r>
        <w:rPr>
          <w:spacing w:val="19"/>
          <w:sz w:val="18"/>
          <w:u w:val="single"/>
        </w:rPr>
        <w:t> </w:t>
      </w:r>
      <w:r>
        <w:rPr>
          <w:sz w:val="18"/>
          <w:u w:val="single"/>
        </w:rPr>
        <w:t>Services,</w:t>
      </w:r>
      <w:r>
        <w:rPr>
          <w:spacing w:val="16"/>
          <w:sz w:val="18"/>
          <w:u w:val="single"/>
        </w:rPr>
        <w:t> </w:t>
      </w:r>
      <w:r>
        <w:rPr>
          <w:sz w:val="18"/>
          <w:u w:val="single"/>
        </w:rPr>
        <w:t>Inc</w:t>
      </w:r>
      <w:r>
        <w:rPr>
          <w:sz w:val="18"/>
        </w:rPr>
        <w:t>.,</w:t>
      </w:r>
      <w:r>
        <w:rPr>
          <w:spacing w:val="17"/>
          <w:sz w:val="18"/>
        </w:rPr>
        <w:t> </w:t>
      </w:r>
      <w:r>
        <w:rPr>
          <w:sz w:val="18"/>
        </w:rPr>
        <w:t>2009</w:t>
      </w:r>
      <w:r>
        <w:rPr>
          <w:spacing w:val="18"/>
          <w:sz w:val="18"/>
        </w:rPr>
        <w:t> </w:t>
      </w:r>
      <w:r>
        <w:rPr>
          <w:sz w:val="18"/>
        </w:rPr>
        <w:t>WL</w:t>
      </w:r>
      <w:r>
        <w:rPr>
          <w:spacing w:val="15"/>
          <w:sz w:val="18"/>
        </w:rPr>
        <w:t> </w:t>
      </w:r>
      <w:r>
        <w:rPr>
          <w:sz w:val="18"/>
        </w:rPr>
        <w:t>987336</w:t>
      </w:r>
      <w:r>
        <w:rPr>
          <w:spacing w:val="17"/>
          <w:sz w:val="18"/>
        </w:rPr>
        <w:t> </w:t>
      </w:r>
      <w:r>
        <w:rPr>
          <w:sz w:val="18"/>
        </w:rPr>
        <w:t>(Mass</w:t>
      </w:r>
      <w:r>
        <w:rPr>
          <w:spacing w:val="16"/>
          <w:sz w:val="18"/>
        </w:rPr>
        <w:t> </w:t>
      </w:r>
      <w:r>
        <w:rPr>
          <w:sz w:val="18"/>
        </w:rPr>
        <w:t>Super</w:t>
      </w:r>
    </w:p>
    <w:p>
      <w:pPr>
        <w:spacing w:line="207" w:lineRule="exact" w:before="5"/>
        <w:ind w:left="1160" w:right="0" w:firstLine="0"/>
        <w:jc w:val="left"/>
        <w:rPr>
          <w:rFonts w:ascii="Times New Roman"/>
          <w:sz w:val="18"/>
        </w:rPr>
      </w:pPr>
      <w:r>
        <w:rPr>
          <w:rFonts w:ascii="Times New Roman"/>
          <w:sz w:val="18"/>
        </w:rPr>
        <w:t>2009).</w:t>
      </w:r>
    </w:p>
    <w:p>
      <w:pPr>
        <w:pStyle w:val="ListParagraph"/>
        <w:numPr>
          <w:ilvl w:val="0"/>
          <w:numId w:val="20"/>
        </w:numPr>
        <w:tabs>
          <w:tab w:pos="1435" w:val="left" w:leader="none"/>
        </w:tabs>
        <w:spacing w:line="269" w:lineRule="exact" w:before="0" w:after="0"/>
        <w:ind w:left="1434" w:right="0" w:hanging="275"/>
        <w:jc w:val="left"/>
        <w:rPr>
          <w:sz w:val="18"/>
        </w:rPr>
      </w:pPr>
      <w:r>
        <w:rPr>
          <w:sz w:val="18"/>
          <w:u w:val="single"/>
        </w:rPr>
        <w:t>McCord v. Horris Mann Ins. Co.</w:t>
      </w:r>
      <w:r>
        <w:rPr>
          <w:sz w:val="18"/>
        </w:rPr>
        <w:t>, 390 F.3d 138 (1</w:t>
      </w:r>
      <w:r>
        <w:rPr>
          <w:position w:val="7"/>
          <w:sz w:val="10"/>
        </w:rPr>
        <w:t>st </w:t>
      </w:r>
      <w:r>
        <w:rPr>
          <w:sz w:val="18"/>
        </w:rPr>
        <w:t>Circ. Mass.</w:t>
      </w:r>
      <w:r>
        <w:rPr>
          <w:spacing w:val="5"/>
          <w:sz w:val="18"/>
        </w:rPr>
        <w:t> </w:t>
      </w:r>
      <w:r>
        <w:rPr>
          <w:sz w:val="18"/>
        </w:rPr>
        <w:t>2004).</w:t>
      </w:r>
    </w:p>
    <w:p>
      <w:pPr>
        <w:spacing w:after="0" w:line="269" w:lineRule="exact"/>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BodyText"/>
        <w:spacing w:line="242" w:lineRule="auto" w:before="42"/>
        <w:ind w:left="1520" w:right="1517"/>
        <w:jc w:val="both"/>
      </w:pPr>
      <w:bookmarkStart w:name="Law and Procedure 185" w:id="96"/>
      <w:bookmarkEnd w:id="96"/>
      <w:r>
        <w:rPr/>
      </w:r>
      <w:r>
        <w:rPr/>
        <w:t>generally not for appraisers to decide, appraisers do have a responsibility “to make factual conclusions to enable the Court to do so.”</w:t>
      </w:r>
      <w:r>
        <w:rPr>
          <w:spacing w:val="-24"/>
        </w:rPr>
        <w:t> </w:t>
      </w:r>
      <w:r>
        <w:rPr/>
        <w:t>Such</w:t>
      </w:r>
      <w:r>
        <w:rPr>
          <w:spacing w:val="-19"/>
        </w:rPr>
        <w:t> </w:t>
      </w:r>
      <w:r>
        <w:rPr/>
        <w:t>detailed</w:t>
      </w:r>
      <w:r>
        <w:rPr>
          <w:spacing w:val="-21"/>
        </w:rPr>
        <w:t> </w:t>
      </w:r>
      <w:r>
        <w:rPr/>
        <w:t>determinations</w:t>
      </w:r>
      <w:r>
        <w:rPr>
          <w:spacing w:val="-20"/>
        </w:rPr>
        <w:t> </w:t>
      </w:r>
      <w:r>
        <w:rPr/>
        <w:t>include</w:t>
      </w:r>
      <w:r>
        <w:rPr>
          <w:spacing w:val="-21"/>
        </w:rPr>
        <w:t> </w:t>
      </w:r>
      <w:r>
        <w:rPr/>
        <w:t>cost of replacement of undamaged property </w:t>
      </w:r>
      <w:r>
        <w:rPr>
          <w:spacing w:val="-4"/>
        </w:rPr>
        <w:t>for </w:t>
      </w:r>
      <w:r>
        <w:rPr/>
        <w:t>the purpose of matching and calculation of disputed costs for the Court’s inclusion or exclusion</w:t>
      </w:r>
      <w:r>
        <w:rPr>
          <w:spacing w:val="-26"/>
        </w:rPr>
        <w:t> </w:t>
      </w:r>
      <w:r>
        <w:rPr/>
        <w:t>depending</w:t>
      </w:r>
      <w:r>
        <w:rPr>
          <w:spacing w:val="-24"/>
        </w:rPr>
        <w:t> </w:t>
      </w:r>
      <w:r>
        <w:rPr/>
        <w:t>on</w:t>
      </w:r>
      <w:r>
        <w:rPr>
          <w:spacing w:val="-23"/>
        </w:rPr>
        <w:t> </w:t>
      </w:r>
      <w:r>
        <w:rPr/>
        <w:t>its</w:t>
      </w:r>
      <w:r>
        <w:rPr>
          <w:spacing w:val="-23"/>
        </w:rPr>
        <w:t> </w:t>
      </w:r>
      <w:r>
        <w:rPr/>
        <w:t>coverage</w:t>
      </w:r>
      <w:r>
        <w:rPr>
          <w:spacing w:val="-23"/>
        </w:rPr>
        <w:t> </w:t>
      </w:r>
      <w:r>
        <w:rPr/>
        <w:t>decision. </w:t>
      </w:r>
      <w:r>
        <w:rPr>
          <w:spacing w:val="3"/>
        </w:rPr>
        <w:t>It </w:t>
      </w:r>
      <w:r>
        <w:rPr/>
        <w:t>has been held in Colorado that “[f]ollowing this course will enable the parties to</w:t>
      </w:r>
      <w:r>
        <w:rPr>
          <w:spacing w:val="53"/>
        </w:rPr>
        <w:t> </w:t>
      </w:r>
      <w:r>
        <w:rPr/>
        <w:t>avoid </w:t>
      </w:r>
      <w:r>
        <w:rPr>
          <w:spacing w:val="16"/>
        </w:rPr>
        <w:t>unnecessary </w:t>
      </w:r>
      <w:r>
        <w:rPr>
          <w:spacing w:val="14"/>
        </w:rPr>
        <w:t>discovery </w:t>
      </w:r>
      <w:r>
        <w:rPr>
          <w:spacing w:val="8"/>
        </w:rPr>
        <w:t>or </w:t>
      </w:r>
      <w:r>
        <w:rPr>
          <w:spacing w:val="15"/>
        </w:rPr>
        <w:t>additional </w:t>
      </w:r>
      <w:r>
        <w:rPr/>
        <w:t>appraisals.”</w:t>
      </w:r>
      <w:r>
        <w:rPr>
          <w:vertAlign w:val="superscript"/>
        </w:rPr>
        <w:t>278</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6"/>
        </w:rPr>
      </w:pPr>
      <w:r>
        <w:rPr/>
        <w:pict>
          <v:shape style="position:absolute;margin-left:162pt;margin-top:12.311826pt;width:143.9pt;height:.1pt;mso-position-horizontal-relative:page;mso-position-vertical-relative:paragraph;z-index:-251547648;mso-wrap-distance-left:0;mso-wrap-distance-right:0" coordorigin="3240,246" coordsize="2878,0" path="m3240,246l6118,246e" filled="false" stroked="true" strokeweight=".84pt" strokecolor="#000000">
            <v:path arrowok="t"/>
            <v:stroke dashstyle="solid"/>
            <w10:wrap type="topAndBottom"/>
          </v:shape>
        </w:pict>
      </w:r>
    </w:p>
    <w:p>
      <w:pPr>
        <w:pStyle w:val="BodyText"/>
        <w:spacing w:before="4"/>
        <w:rPr>
          <w:sz w:val="10"/>
        </w:rPr>
      </w:pPr>
    </w:p>
    <w:p>
      <w:pPr>
        <w:pStyle w:val="ListParagraph"/>
        <w:numPr>
          <w:ilvl w:val="0"/>
          <w:numId w:val="20"/>
        </w:numPr>
        <w:tabs>
          <w:tab w:pos="1418" w:val="left" w:leader="none"/>
        </w:tabs>
        <w:spacing w:line="240" w:lineRule="auto" w:before="71" w:after="0"/>
        <w:ind w:left="1418" w:right="5" w:hanging="1418"/>
        <w:jc w:val="left"/>
        <w:rPr>
          <w:sz w:val="18"/>
        </w:rPr>
      </w:pPr>
      <w:r>
        <w:rPr>
          <w:sz w:val="18"/>
          <w:u w:val="single"/>
        </w:rPr>
        <w:t>Auto-Owners</w:t>
      </w:r>
      <w:r>
        <w:rPr>
          <w:spacing w:val="-19"/>
          <w:sz w:val="18"/>
          <w:u w:val="single"/>
        </w:rPr>
        <w:t> </w:t>
      </w:r>
      <w:r>
        <w:rPr>
          <w:sz w:val="18"/>
          <w:u w:val="single"/>
        </w:rPr>
        <w:t>Ins.</w:t>
      </w:r>
      <w:r>
        <w:rPr>
          <w:spacing w:val="-14"/>
          <w:sz w:val="18"/>
          <w:u w:val="single"/>
        </w:rPr>
        <w:t> </w:t>
      </w:r>
      <w:r>
        <w:rPr>
          <w:sz w:val="18"/>
          <w:u w:val="single"/>
        </w:rPr>
        <w:t>Co.</w:t>
      </w:r>
      <w:r>
        <w:rPr>
          <w:spacing w:val="-15"/>
          <w:sz w:val="18"/>
          <w:u w:val="single"/>
        </w:rPr>
        <w:t> </w:t>
      </w:r>
      <w:r>
        <w:rPr>
          <w:sz w:val="18"/>
          <w:u w:val="single"/>
        </w:rPr>
        <w:t>v.</w:t>
      </w:r>
      <w:r>
        <w:rPr>
          <w:spacing w:val="-15"/>
          <w:sz w:val="18"/>
          <w:u w:val="single"/>
        </w:rPr>
        <w:t> </w:t>
      </w:r>
      <w:r>
        <w:rPr>
          <w:sz w:val="18"/>
          <w:u w:val="single"/>
        </w:rPr>
        <w:t>Summit</w:t>
      </w:r>
      <w:r>
        <w:rPr>
          <w:spacing w:val="-14"/>
          <w:sz w:val="18"/>
          <w:u w:val="single"/>
        </w:rPr>
        <w:t> </w:t>
      </w:r>
      <w:r>
        <w:rPr>
          <w:sz w:val="18"/>
          <w:u w:val="single"/>
        </w:rPr>
        <w:t>Park</w:t>
      </w:r>
      <w:r>
        <w:rPr>
          <w:spacing w:val="-16"/>
          <w:sz w:val="18"/>
          <w:u w:val="single"/>
        </w:rPr>
        <w:t> </w:t>
      </w:r>
      <w:r>
        <w:rPr>
          <w:sz w:val="18"/>
          <w:u w:val="single"/>
        </w:rPr>
        <w:t>Townhome</w:t>
      </w:r>
      <w:r>
        <w:rPr>
          <w:spacing w:val="-15"/>
          <w:sz w:val="18"/>
          <w:u w:val="single"/>
        </w:rPr>
        <w:t> </w:t>
      </w:r>
      <w:r>
        <w:rPr>
          <w:sz w:val="18"/>
          <w:u w:val="single"/>
        </w:rPr>
        <w:t>Ass’n</w:t>
      </w:r>
      <w:r>
        <w:rPr>
          <w:sz w:val="18"/>
        </w:rPr>
        <w:t>,</w:t>
      </w:r>
      <w:r>
        <w:rPr>
          <w:spacing w:val="-15"/>
          <w:sz w:val="18"/>
        </w:rPr>
        <w:t> </w:t>
      </w:r>
      <w:r>
        <w:rPr>
          <w:sz w:val="18"/>
        </w:rPr>
        <w:t>2015</w:t>
      </w:r>
      <w:r>
        <w:rPr>
          <w:spacing w:val="-13"/>
          <w:sz w:val="18"/>
        </w:rPr>
        <w:t> </w:t>
      </w:r>
      <w:r>
        <w:rPr>
          <w:sz w:val="18"/>
        </w:rPr>
        <w:t>U.S.</w:t>
      </w:r>
      <w:r>
        <w:rPr>
          <w:spacing w:val="-15"/>
          <w:sz w:val="18"/>
        </w:rPr>
        <w:t> </w:t>
      </w:r>
      <w:r>
        <w:rPr>
          <w:sz w:val="18"/>
        </w:rPr>
        <w:t>Dist.</w:t>
      </w:r>
      <w:r>
        <w:rPr>
          <w:spacing w:val="-16"/>
          <w:sz w:val="18"/>
        </w:rPr>
        <w:t> </w:t>
      </w:r>
      <w:r>
        <w:rPr>
          <w:sz w:val="18"/>
        </w:rPr>
        <w:t>LEXIS</w:t>
      </w:r>
      <w:r>
        <w:rPr>
          <w:spacing w:val="-17"/>
          <w:sz w:val="18"/>
        </w:rPr>
        <w:t> </w:t>
      </w:r>
      <w:r>
        <w:rPr>
          <w:sz w:val="18"/>
        </w:rPr>
        <w:t>48854.</w:t>
      </w:r>
    </w:p>
    <w:p>
      <w:pPr>
        <w:spacing w:after="0" w:line="240" w:lineRule="auto"/>
        <w:jc w:val="left"/>
        <w:rPr>
          <w:sz w:val="18"/>
        </w:rPr>
        <w:sectPr>
          <w:pgSz w:w="12240" w:h="15840"/>
          <w:pgMar w:header="0" w:footer="2273" w:top="1500" w:bottom="2460" w:left="1720" w:right="1720"/>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25"/>
        </w:rPr>
      </w:pPr>
    </w:p>
    <w:p>
      <w:pPr>
        <w:pStyle w:val="ListParagraph"/>
        <w:numPr>
          <w:ilvl w:val="0"/>
          <w:numId w:val="2"/>
        </w:numPr>
        <w:tabs>
          <w:tab w:pos="2398" w:val="left" w:leader="none"/>
          <w:tab w:pos="2399" w:val="left" w:leader="none"/>
        </w:tabs>
        <w:spacing w:line="240" w:lineRule="auto" w:before="42" w:after="0"/>
        <w:ind w:left="2398" w:right="0" w:hanging="879"/>
        <w:jc w:val="left"/>
        <w:rPr>
          <w:rFonts w:ascii="Century Gothic"/>
          <w:sz w:val="26"/>
        </w:rPr>
      </w:pPr>
      <w:bookmarkStart w:name="Law and Procedure 186" w:id="97"/>
      <w:bookmarkEnd w:id="97"/>
      <w:r>
        <w:rPr/>
      </w:r>
      <w:bookmarkStart w:name="Law and Procedure 186" w:id="98"/>
      <w:bookmarkEnd w:id="98"/>
      <w:r>
        <w:rPr>
          <w:rFonts w:ascii="Century Gothic"/>
          <w:sz w:val="26"/>
        </w:rPr>
        <w:t>I</w:t>
      </w:r>
      <w:r>
        <w:rPr>
          <w:rFonts w:ascii="Century Gothic"/>
          <w:sz w:val="26"/>
        </w:rPr>
        <w:t>SSUES OF BAD</w:t>
      </w:r>
      <w:r>
        <w:rPr>
          <w:rFonts w:ascii="Century Gothic"/>
          <w:spacing w:val="-3"/>
          <w:sz w:val="26"/>
        </w:rPr>
        <w:t> </w:t>
      </w:r>
      <w:r>
        <w:rPr>
          <w:rFonts w:ascii="Century Gothic"/>
          <w:sz w:val="26"/>
        </w:rPr>
        <w:t>FAITH</w:t>
      </w:r>
    </w:p>
    <w:p>
      <w:pPr>
        <w:pStyle w:val="BodyText"/>
        <w:spacing w:before="5"/>
      </w:pPr>
    </w:p>
    <w:p>
      <w:pPr>
        <w:pStyle w:val="BodyText"/>
        <w:spacing w:line="242" w:lineRule="auto"/>
        <w:ind w:left="1520" w:right="1520" w:firstLine="720"/>
        <w:jc w:val="both"/>
      </w:pPr>
      <w:r>
        <w:rPr/>
        <w:t>Though</w:t>
      </w:r>
      <w:r>
        <w:rPr>
          <w:spacing w:val="-32"/>
        </w:rPr>
        <w:t> </w:t>
      </w:r>
      <w:r>
        <w:rPr/>
        <w:t>an</w:t>
      </w:r>
      <w:r>
        <w:rPr>
          <w:spacing w:val="-35"/>
        </w:rPr>
        <w:t> </w:t>
      </w:r>
      <w:r>
        <w:rPr/>
        <w:t>appraisal</w:t>
      </w:r>
      <w:r>
        <w:rPr>
          <w:spacing w:val="-31"/>
        </w:rPr>
        <w:t> </w:t>
      </w:r>
      <w:r>
        <w:rPr/>
        <w:t>is</w:t>
      </w:r>
      <w:r>
        <w:rPr>
          <w:spacing w:val="-34"/>
        </w:rPr>
        <w:t> </w:t>
      </w:r>
      <w:r>
        <w:rPr/>
        <w:t>generally</w:t>
      </w:r>
      <w:r>
        <w:rPr>
          <w:spacing w:val="-33"/>
        </w:rPr>
        <w:t> </w:t>
      </w:r>
      <w:r>
        <w:rPr/>
        <w:t>final</w:t>
      </w:r>
      <w:r>
        <w:rPr>
          <w:spacing w:val="-31"/>
        </w:rPr>
        <w:t> </w:t>
      </w:r>
      <w:r>
        <w:rPr>
          <w:spacing w:val="-4"/>
        </w:rPr>
        <w:t>and </w:t>
      </w:r>
      <w:r>
        <w:rPr/>
        <w:t>conclusive on the issues of the amount of </w:t>
      </w:r>
      <w:r>
        <w:rPr>
          <w:spacing w:val="-3"/>
        </w:rPr>
        <w:t>loss </w:t>
      </w:r>
      <w:r>
        <w:rPr/>
        <w:t>and value, issues such as bad faith, to the extent they are provable, would survive the appraisal process and might properly </w:t>
      </w:r>
      <w:r>
        <w:rPr>
          <w:spacing w:val="-6"/>
        </w:rPr>
        <w:t>be </w:t>
      </w:r>
      <w:r>
        <w:rPr/>
        <w:t>brought in a subsequent suit after both</w:t>
      </w:r>
      <w:r>
        <w:rPr>
          <w:spacing w:val="-46"/>
        </w:rPr>
        <w:t> </w:t>
      </w:r>
      <w:r>
        <w:rPr/>
        <w:t>parties completed the</w:t>
      </w:r>
      <w:r>
        <w:rPr>
          <w:spacing w:val="-4"/>
        </w:rPr>
        <w:t> </w:t>
      </w:r>
      <w:r>
        <w:rPr/>
        <w:t>appraisal.</w:t>
      </w:r>
      <w:r>
        <w:rPr>
          <w:vertAlign w:val="superscript"/>
        </w:rPr>
        <w:t>279</w:t>
      </w:r>
    </w:p>
    <w:p>
      <w:pPr>
        <w:pStyle w:val="BodyText"/>
      </w:pPr>
    </w:p>
    <w:p>
      <w:pPr>
        <w:pStyle w:val="BodyText"/>
        <w:spacing w:line="242" w:lineRule="auto"/>
        <w:ind w:left="1520" w:right="1517" w:firstLine="720"/>
        <w:jc w:val="both"/>
      </w:pPr>
      <w:r>
        <w:rPr>
          <w:spacing w:val="-3"/>
        </w:rPr>
        <w:t>Where </w:t>
      </w:r>
      <w:r>
        <w:rPr/>
        <w:t>the dispute between parties pertained to amount of loss, a Pennsylvania court</w:t>
      </w:r>
      <w:r>
        <w:rPr>
          <w:spacing w:val="-17"/>
        </w:rPr>
        <w:t> </w:t>
      </w:r>
      <w:r>
        <w:rPr/>
        <w:t>held</w:t>
      </w:r>
      <w:r>
        <w:rPr>
          <w:spacing w:val="-14"/>
        </w:rPr>
        <w:t> </w:t>
      </w:r>
      <w:r>
        <w:rPr/>
        <w:t>that</w:t>
      </w:r>
      <w:r>
        <w:rPr>
          <w:spacing w:val="-15"/>
        </w:rPr>
        <w:t> </w:t>
      </w:r>
      <w:r>
        <w:rPr/>
        <w:t>insureds</w:t>
      </w:r>
      <w:r>
        <w:rPr>
          <w:spacing w:val="-15"/>
        </w:rPr>
        <w:t> </w:t>
      </w:r>
      <w:r>
        <w:rPr/>
        <w:t>could</w:t>
      </w:r>
      <w:r>
        <w:rPr>
          <w:spacing w:val="-12"/>
        </w:rPr>
        <w:t> </w:t>
      </w:r>
      <w:r>
        <w:rPr/>
        <w:t>not</w:t>
      </w:r>
      <w:r>
        <w:rPr>
          <w:spacing w:val="-13"/>
        </w:rPr>
        <w:t> </w:t>
      </w:r>
      <w:r>
        <w:rPr/>
        <w:t>yet</w:t>
      </w:r>
      <w:r>
        <w:rPr>
          <w:spacing w:val="-15"/>
        </w:rPr>
        <w:t> </w:t>
      </w:r>
      <w:r>
        <w:rPr/>
        <w:t>pursue</w:t>
      </w:r>
      <w:r>
        <w:rPr>
          <w:spacing w:val="-12"/>
        </w:rPr>
        <w:t> </w:t>
      </w:r>
      <w:r>
        <w:rPr/>
        <w:t>a bad faith claim against their insurer since the dispute</w:t>
      </w:r>
      <w:r>
        <w:rPr>
          <w:spacing w:val="-27"/>
        </w:rPr>
        <w:t> </w:t>
      </w:r>
      <w:r>
        <w:rPr/>
        <w:t>did</w:t>
      </w:r>
      <w:r>
        <w:rPr>
          <w:spacing w:val="-27"/>
        </w:rPr>
        <w:t> </w:t>
      </w:r>
      <w:r>
        <w:rPr/>
        <w:t>not</w:t>
      </w:r>
      <w:r>
        <w:rPr>
          <w:spacing w:val="-26"/>
        </w:rPr>
        <w:t> </w:t>
      </w:r>
      <w:r>
        <w:rPr/>
        <w:t>constitute</w:t>
      </w:r>
      <w:r>
        <w:rPr>
          <w:spacing w:val="-26"/>
        </w:rPr>
        <w:t> </w:t>
      </w:r>
      <w:r>
        <w:rPr/>
        <w:t>a</w:t>
      </w:r>
      <w:r>
        <w:rPr>
          <w:spacing w:val="-27"/>
        </w:rPr>
        <w:t> </w:t>
      </w:r>
      <w:r>
        <w:rPr/>
        <w:t>denial</w:t>
      </w:r>
      <w:r>
        <w:rPr>
          <w:spacing w:val="-25"/>
        </w:rPr>
        <w:t> </w:t>
      </w:r>
      <w:r>
        <w:rPr/>
        <w:t>of</w:t>
      </w:r>
      <w:r>
        <w:rPr>
          <w:spacing w:val="-27"/>
        </w:rPr>
        <w:t> </w:t>
      </w:r>
      <w:r>
        <w:rPr/>
        <w:t>the</w:t>
      </w:r>
      <w:r>
        <w:rPr>
          <w:spacing w:val="-28"/>
        </w:rPr>
        <w:t> </w:t>
      </w:r>
      <w:r>
        <w:rPr/>
        <w:t>claim. The</w:t>
      </w:r>
      <w:r>
        <w:rPr>
          <w:spacing w:val="-27"/>
        </w:rPr>
        <w:t> </w:t>
      </w:r>
      <w:r>
        <w:rPr/>
        <w:t>insureds’</w:t>
      </w:r>
      <w:r>
        <w:rPr>
          <w:spacing w:val="-26"/>
        </w:rPr>
        <w:t> </w:t>
      </w:r>
      <w:r>
        <w:rPr/>
        <w:t>action,</w:t>
      </w:r>
      <w:r>
        <w:rPr>
          <w:spacing w:val="-27"/>
        </w:rPr>
        <w:t> </w:t>
      </w:r>
      <w:r>
        <w:rPr/>
        <w:t>which</w:t>
      </w:r>
      <w:r>
        <w:rPr>
          <w:spacing w:val="-25"/>
        </w:rPr>
        <w:t> </w:t>
      </w:r>
      <w:r>
        <w:rPr/>
        <w:t>would</w:t>
      </w:r>
      <w:r>
        <w:rPr>
          <w:spacing w:val="-26"/>
        </w:rPr>
        <w:t> </w:t>
      </w:r>
      <w:r>
        <w:rPr/>
        <w:t>require</w:t>
      </w:r>
      <w:r>
        <w:rPr>
          <w:spacing w:val="-29"/>
        </w:rPr>
        <w:t> </w:t>
      </w:r>
      <w:r>
        <w:rPr/>
        <w:t>them to allege that the insurer knew or </w:t>
      </w:r>
      <w:r>
        <w:rPr>
          <w:spacing w:val="-3"/>
        </w:rPr>
        <w:t>recklessly </w:t>
      </w:r>
      <w:r>
        <w:rPr/>
        <w:t>disregarded</w:t>
      </w:r>
      <w:r>
        <w:rPr>
          <w:spacing w:val="-22"/>
        </w:rPr>
        <w:t> </w:t>
      </w:r>
      <w:r>
        <w:rPr/>
        <w:t>its</w:t>
      </w:r>
      <w:r>
        <w:rPr>
          <w:spacing w:val="-21"/>
        </w:rPr>
        <w:t> </w:t>
      </w:r>
      <w:r>
        <w:rPr/>
        <w:t>lack</w:t>
      </w:r>
      <w:r>
        <w:rPr>
          <w:spacing w:val="-20"/>
        </w:rPr>
        <w:t> </w:t>
      </w:r>
      <w:r>
        <w:rPr/>
        <w:t>of</w:t>
      </w:r>
      <w:r>
        <w:rPr>
          <w:spacing w:val="-21"/>
        </w:rPr>
        <w:t> </w:t>
      </w:r>
      <w:r>
        <w:rPr/>
        <w:t>a</w:t>
      </w:r>
      <w:r>
        <w:rPr>
          <w:spacing w:val="-20"/>
        </w:rPr>
        <w:t> </w:t>
      </w:r>
      <w:r>
        <w:rPr/>
        <w:t>reasonable</w:t>
      </w:r>
      <w:r>
        <w:rPr>
          <w:spacing w:val="-18"/>
        </w:rPr>
        <w:t> </w:t>
      </w:r>
      <w:r>
        <w:rPr/>
        <w:t>basis</w:t>
      </w:r>
      <w:r>
        <w:rPr>
          <w:spacing w:val="-25"/>
        </w:rPr>
        <w:t> </w:t>
      </w:r>
      <w:r>
        <w:rPr/>
        <w:t>for</w:t>
      </w:r>
      <w:r>
        <w:rPr>
          <w:spacing w:val="-24"/>
        </w:rPr>
        <w:t> </w:t>
      </w:r>
      <w:r>
        <w:rPr/>
        <w:t>its claim denial, was premature prior to the appraisal process taking place. </w:t>
      </w:r>
      <w:r>
        <w:rPr>
          <w:spacing w:val="-3"/>
        </w:rPr>
        <w:t>The </w:t>
      </w:r>
      <w:r>
        <w:rPr/>
        <w:t>Court </w:t>
      </w:r>
      <w:r>
        <w:rPr>
          <w:spacing w:val="3"/>
        </w:rPr>
        <w:t>stayed the </w:t>
      </w:r>
      <w:r>
        <w:rPr>
          <w:spacing w:val="6"/>
        </w:rPr>
        <w:t>claim</w:t>
      </w:r>
      <w:r>
        <w:rPr>
          <w:spacing w:val="83"/>
        </w:rPr>
        <w:t> </w:t>
      </w:r>
      <w:r>
        <w:rPr>
          <w:spacing w:val="4"/>
        </w:rPr>
        <w:t>until appraisal </w:t>
      </w:r>
      <w:r>
        <w:rPr/>
        <w:t>was completed.</w:t>
      </w:r>
      <w:r>
        <w:rPr>
          <w:vertAlign w:val="superscript"/>
        </w:rPr>
        <w:t>280</w:t>
      </w:r>
    </w:p>
    <w:p>
      <w:pPr>
        <w:pStyle w:val="BodyText"/>
        <w:spacing w:before="11"/>
        <w:rPr>
          <w:sz w:val="25"/>
        </w:rPr>
      </w:pPr>
    </w:p>
    <w:p>
      <w:pPr>
        <w:pStyle w:val="BodyText"/>
        <w:spacing w:line="242" w:lineRule="auto"/>
        <w:ind w:left="1520" w:right="1518" w:firstLine="720"/>
        <w:jc w:val="both"/>
      </w:pPr>
      <w:r>
        <w:rPr/>
        <w:t>Indeed, it has been held that where </w:t>
      </w:r>
      <w:r>
        <w:rPr>
          <w:spacing w:val="-5"/>
        </w:rPr>
        <w:t>the </w:t>
      </w:r>
      <w:r>
        <w:rPr/>
        <w:t>insured</w:t>
      </w:r>
      <w:r>
        <w:rPr>
          <w:spacing w:val="-17"/>
        </w:rPr>
        <w:t> </w:t>
      </w:r>
      <w:r>
        <w:rPr/>
        <w:t>contends</w:t>
      </w:r>
      <w:r>
        <w:rPr>
          <w:spacing w:val="-16"/>
        </w:rPr>
        <w:t> </w:t>
      </w:r>
      <w:r>
        <w:rPr/>
        <w:t>that</w:t>
      </w:r>
      <w:r>
        <w:rPr>
          <w:spacing w:val="-20"/>
        </w:rPr>
        <w:t> </w:t>
      </w:r>
      <w:r>
        <w:rPr/>
        <w:t>the</w:t>
      </w:r>
      <w:r>
        <w:rPr>
          <w:spacing w:val="-19"/>
        </w:rPr>
        <w:t> </w:t>
      </w:r>
      <w:r>
        <w:rPr/>
        <w:t>insurer</w:t>
      </w:r>
      <w:r>
        <w:rPr>
          <w:spacing w:val="-21"/>
        </w:rPr>
        <w:t> </w:t>
      </w:r>
      <w:r>
        <w:rPr/>
        <w:t>is</w:t>
      </w:r>
      <w:r>
        <w:rPr>
          <w:spacing w:val="-18"/>
        </w:rPr>
        <w:t> </w:t>
      </w:r>
      <w:r>
        <w:rPr/>
        <w:t>engaged</w:t>
      </w:r>
      <w:r>
        <w:rPr>
          <w:spacing w:val="-17"/>
        </w:rPr>
        <w:t> </w:t>
      </w:r>
      <w:r>
        <w:rPr/>
        <w:t>in a fraudulent scheme to undervalue claim payments by the use of inferior materials, in which the appraisal process constitutes</w:t>
      </w:r>
      <w:r>
        <w:rPr>
          <w:spacing w:val="44"/>
        </w:rPr>
        <w:t> </w:t>
      </w:r>
      <w:r>
        <w:rPr/>
        <w:t>an</w:t>
      </w:r>
    </w:p>
    <w:p>
      <w:pPr>
        <w:pStyle w:val="BodyText"/>
        <w:rPr>
          <w:sz w:val="20"/>
        </w:rPr>
      </w:pPr>
    </w:p>
    <w:p>
      <w:pPr>
        <w:pStyle w:val="BodyText"/>
        <w:spacing w:before="6"/>
        <w:rPr>
          <w:sz w:val="19"/>
        </w:rPr>
      </w:pPr>
      <w:r>
        <w:rPr/>
        <w:pict>
          <v:shape style="position:absolute;margin-left:162pt;margin-top:14.365078pt;width:143.9pt;height:.1pt;mso-position-horizontal-relative:page;mso-position-vertical-relative:paragraph;z-index:-251546624;mso-wrap-distance-left:0;mso-wrap-distance-right:0" coordorigin="3240,287" coordsize="2878,0" path="m3240,287l6118,287e" filled="false" stroked="true" strokeweight=".84pt" strokecolor="#000000">
            <v:path arrowok="t"/>
            <v:stroke dashstyle="solid"/>
            <w10:wrap type="topAndBottom"/>
          </v:shape>
        </w:pict>
      </w:r>
    </w:p>
    <w:p>
      <w:pPr>
        <w:pStyle w:val="BodyText"/>
        <w:spacing w:before="4"/>
        <w:rPr>
          <w:sz w:val="10"/>
        </w:rPr>
      </w:pPr>
    </w:p>
    <w:p>
      <w:pPr>
        <w:spacing w:line="248" w:lineRule="exact" w:before="71"/>
        <w:ind w:left="1160" w:right="0" w:firstLine="0"/>
        <w:jc w:val="left"/>
        <w:rPr>
          <w:rFonts w:ascii="Times New Roman"/>
          <w:sz w:val="18"/>
        </w:rPr>
      </w:pPr>
      <w:r>
        <w:rPr>
          <w:rFonts w:ascii="Times New Roman"/>
          <w:position w:val="10"/>
          <w:sz w:val="14"/>
        </w:rPr>
        <w:t>279 </w:t>
      </w:r>
      <w:r>
        <w:rPr>
          <w:rFonts w:ascii="Times New Roman"/>
          <w:sz w:val="18"/>
          <w:u w:val="single"/>
        </w:rPr>
        <w:t>Buchholz v. U.S. Fire Ins. Co.</w:t>
      </w:r>
      <w:r>
        <w:rPr>
          <w:rFonts w:ascii="Times New Roman"/>
          <w:sz w:val="18"/>
        </w:rPr>
        <w:t>, 269 A.D. 49, 53 N.Y.S.2d 608, 610 (1</w:t>
      </w:r>
      <w:r>
        <w:rPr>
          <w:rFonts w:ascii="Times New Roman"/>
          <w:position w:val="7"/>
          <w:sz w:val="10"/>
        </w:rPr>
        <w:t>st </w:t>
      </w:r>
      <w:r>
        <w:rPr>
          <w:rFonts w:ascii="Times New Roman"/>
          <w:sz w:val="18"/>
        </w:rPr>
        <w:t>Dept. 1945).</w:t>
      </w:r>
    </w:p>
    <w:p>
      <w:pPr>
        <w:spacing w:line="248" w:lineRule="exact" w:before="0"/>
        <w:ind w:left="1160" w:right="0" w:firstLine="0"/>
        <w:jc w:val="left"/>
        <w:rPr>
          <w:rFonts w:ascii="Times New Roman"/>
          <w:sz w:val="18"/>
        </w:rPr>
      </w:pPr>
      <w:r>
        <w:rPr>
          <w:rFonts w:ascii="Times New Roman"/>
          <w:position w:val="10"/>
          <w:sz w:val="14"/>
        </w:rPr>
        <w:t>280</w:t>
      </w:r>
      <w:r>
        <w:rPr>
          <w:rFonts w:ascii="Times New Roman"/>
          <w:sz w:val="14"/>
        </w:rPr>
        <w:t> </w:t>
      </w:r>
      <w:r>
        <w:rPr>
          <w:rFonts w:ascii="Times New Roman"/>
          <w:sz w:val="18"/>
          <w:u w:val="single"/>
        </w:rPr>
        <w:t>Williamson v. Chubb Ind. Ins. Co.</w:t>
      </w:r>
      <w:r>
        <w:rPr>
          <w:rFonts w:ascii="Times New Roman"/>
          <w:sz w:val="18"/>
        </w:rPr>
        <w:t>, 2012 U.S. Dist. LEXIS 31648 (E.D. Pa. 2012).</w:t>
      </w:r>
    </w:p>
    <w:sectPr>
      <w:pgSz w:w="12240" w:h="15840"/>
      <w:pgMar w:header="0" w:footer="2273" w:top="1500" w:bottom="246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entury Gothic">
    <w:altName w:val="Century Gothic"/>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7pt;margin-top:667.371460pt;width:18pt;height:14pt;mso-position-horizontal-relative:page;mso-position-vertical-relative:page;z-index:-254284800"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69</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4273536" from="162pt,596.340027pt" to="305.88pt,596.340027pt" stroked="true" strokeweight=".84pt" strokecolor="#000000">
          <v:stroke dashstyle="solid"/>
          <w10:wrap type="none"/>
        </v:line>
      </w:pict>
    </w:r>
    <w:r>
      <w:rPr/>
      <w:pict>
        <v:shape style="position:absolute;margin-left:296pt;margin-top:667.371460pt;width:20pt;height:14pt;mso-position-horizontal-relative:page;mso-position-vertical-relative:page;z-index:-254272512" type="#_x0000_t202" filled="false" stroked="false">
          <v:textbox inset="0,0,0,0">
            <w:txbxContent>
              <w:p>
                <w:pPr>
                  <w:spacing w:line="255" w:lineRule="exact" w:before="0"/>
                  <w:ind w:left="20" w:right="0" w:firstLine="0"/>
                  <w:jc w:val="left"/>
                  <w:rPr>
                    <w:rFonts w:ascii="Times New Roman"/>
                    <w:sz w:val="24"/>
                  </w:rPr>
                </w:pPr>
                <w:r>
                  <w:rPr>
                    <w:rFonts w:ascii="Times New Roman"/>
                    <w:sz w:val="24"/>
                  </w:rPr>
                  <w:t>150</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pt;margin-top:667.371460pt;width:24pt;height:14pt;mso-position-horizontal-relative:page;mso-position-vertical-relative:page;z-index:-254271488"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151</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4283776" from="162pt,606.900024pt" to="305.88pt,606.900024pt" stroked="true" strokeweight=".84pt" strokecolor="#000000">
          <v:stroke dashstyle="solid"/>
          <w10:wrap type="none"/>
        </v:line>
      </w:pict>
    </w:r>
    <w:r>
      <w:rPr/>
      <w:pict>
        <v:shape style="position:absolute;margin-left:299pt;margin-top:667.371460pt;width:14pt;height:14pt;mso-position-horizontal-relative:page;mso-position-vertical-relative:page;z-index:-254282752" type="#_x0000_t202" filled="false" stroked="false">
          <v:textbox inset="0,0,0,0">
            <w:txbxContent>
              <w:p>
                <w:pPr>
                  <w:spacing w:line="255" w:lineRule="exact" w:before="0"/>
                  <w:ind w:left="20" w:right="0" w:firstLine="0"/>
                  <w:jc w:val="left"/>
                  <w:rPr>
                    <w:rFonts w:ascii="Times New Roman"/>
                    <w:sz w:val="24"/>
                  </w:rPr>
                </w:pPr>
                <w:r>
                  <w:rPr>
                    <w:rFonts w:ascii="Times New Roman"/>
                    <w:sz w:val="24"/>
                  </w:rPr>
                  <w:t>76</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pt;margin-top:667.371460pt;width:18pt;height:14pt;mso-position-horizontal-relative:page;mso-position-vertical-relative:page;z-index:-254281728"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77</w:t>
                </w:r>
                <w:r>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7pt;margin-top:667.371460pt;width:18pt;height:14pt;mso-position-horizontal-relative:page;mso-position-vertical-relative:page;z-index:-254280704"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83</w:t>
                </w:r>
                <w:r>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pt;margin-top:667.371460pt;width:24pt;height:14pt;mso-position-horizontal-relative:page;mso-position-vertical-relative:page;z-index:-254279680"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100</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pt;margin-top:667.371460pt;width:24pt;height:14pt;mso-position-horizontal-relative:page;mso-position-vertical-relative:page;z-index:-254278656"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106</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6pt;margin-top:667.371460pt;width:20pt;height:14pt;mso-position-horizontal-relative:page;mso-position-vertical-relative:page;z-index:-254277632" type="#_x0000_t202" filled="false" stroked="false">
          <v:textbox inset="0,0,0,0">
            <w:txbxContent>
              <w:p>
                <w:pPr>
                  <w:spacing w:line="255" w:lineRule="exact" w:before="0"/>
                  <w:ind w:left="20" w:right="0" w:firstLine="0"/>
                  <w:jc w:val="left"/>
                  <w:rPr>
                    <w:rFonts w:ascii="Times New Roman"/>
                    <w:sz w:val="24"/>
                  </w:rPr>
                </w:pPr>
                <w:r>
                  <w:rPr>
                    <w:rFonts w:ascii="Times New Roman"/>
                    <w:sz w:val="24"/>
                  </w:rPr>
                  <w:t>134</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254276608" from="162pt,585.539978pt" to="305.88pt,585.539978pt" stroked="true" strokeweight=".84pt" strokecolor="#000000">
          <v:stroke dashstyle="solid"/>
          <w10:wrap type="none"/>
        </v:line>
      </w:pict>
    </w:r>
    <w:r>
      <w:rPr/>
      <w:pict>
        <v:shape style="position:absolute;margin-left:296pt;margin-top:667.371460pt;width:20pt;height:14pt;mso-position-horizontal-relative:page;mso-position-vertical-relative:page;z-index:-254275584" type="#_x0000_t202" filled="false" stroked="false">
          <v:textbox inset="0,0,0,0">
            <w:txbxContent>
              <w:p>
                <w:pPr>
                  <w:spacing w:line="255" w:lineRule="exact" w:before="0"/>
                  <w:ind w:left="20" w:right="0" w:firstLine="0"/>
                  <w:jc w:val="left"/>
                  <w:rPr>
                    <w:rFonts w:ascii="Times New Roman"/>
                    <w:sz w:val="24"/>
                  </w:rPr>
                </w:pPr>
                <w:r>
                  <w:rPr>
                    <w:rFonts w:ascii="Times New Roman"/>
                    <w:sz w:val="24"/>
                  </w:rPr>
                  <w:t>135</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294pt;margin-top:667.371460pt;width:24pt;height:14pt;mso-position-horizontal-relative:page;mso-position-vertical-relative:page;z-index:-254274560" type="#_x0000_t202" filled="false" stroked="false">
          <v:textbox inset="0,0,0,0">
            <w:txbxContent>
              <w:p>
                <w:pPr>
                  <w:spacing w:line="255" w:lineRule="exact" w:before="0"/>
                  <w:ind w:left="60" w:right="0" w:firstLine="0"/>
                  <w:jc w:val="left"/>
                  <w:rPr>
                    <w:rFonts w:ascii="Times New Roman"/>
                    <w:sz w:val="24"/>
                  </w:rPr>
                </w:pPr>
                <w:r>
                  <w:rPr/>
                  <w:fldChar w:fldCharType="begin"/>
                </w:r>
                <w:r>
                  <w:rPr>
                    <w:rFonts w:ascii="Times New Roman"/>
                    <w:sz w:val="24"/>
                  </w:rPr>
                  <w:instrText> PAGE </w:instrText>
                </w:r>
                <w:r>
                  <w:rPr/>
                  <w:fldChar w:fldCharType="separate"/>
                </w:r>
                <w:r>
                  <w:rPr/>
                  <w:t>136</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9">
    <w:multiLevelType w:val="hybridMultilevel"/>
    <w:lvl w:ilvl="0">
      <w:start w:val="261"/>
      <w:numFmt w:val="decimal"/>
      <w:lvlText w:val="%1"/>
      <w:lvlJc w:val="left"/>
      <w:pPr>
        <w:ind w:left="1160" w:hanging="273"/>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1520" w:hanging="273"/>
      </w:pPr>
      <w:rPr>
        <w:rFonts w:hint="default"/>
      </w:rPr>
    </w:lvl>
    <w:lvl w:ilvl="2">
      <w:start w:val="0"/>
      <w:numFmt w:val="bullet"/>
      <w:lvlText w:val="•"/>
      <w:lvlJc w:val="left"/>
      <w:pPr>
        <w:ind w:left="2328" w:hanging="273"/>
      </w:pPr>
      <w:rPr>
        <w:rFonts w:hint="default"/>
      </w:rPr>
    </w:lvl>
    <w:lvl w:ilvl="3">
      <w:start w:val="0"/>
      <w:numFmt w:val="bullet"/>
      <w:lvlText w:val="•"/>
      <w:lvlJc w:val="left"/>
      <w:pPr>
        <w:ind w:left="3137" w:hanging="273"/>
      </w:pPr>
      <w:rPr>
        <w:rFonts w:hint="default"/>
      </w:rPr>
    </w:lvl>
    <w:lvl w:ilvl="4">
      <w:start w:val="0"/>
      <w:numFmt w:val="bullet"/>
      <w:lvlText w:val="•"/>
      <w:lvlJc w:val="left"/>
      <w:pPr>
        <w:ind w:left="3946" w:hanging="273"/>
      </w:pPr>
      <w:rPr>
        <w:rFonts w:hint="default"/>
      </w:rPr>
    </w:lvl>
    <w:lvl w:ilvl="5">
      <w:start w:val="0"/>
      <w:numFmt w:val="bullet"/>
      <w:lvlText w:val="•"/>
      <w:lvlJc w:val="left"/>
      <w:pPr>
        <w:ind w:left="4755" w:hanging="273"/>
      </w:pPr>
      <w:rPr>
        <w:rFonts w:hint="default"/>
      </w:rPr>
    </w:lvl>
    <w:lvl w:ilvl="6">
      <w:start w:val="0"/>
      <w:numFmt w:val="bullet"/>
      <w:lvlText w:val="•"/>
      <w:lvlJc w:val="left"/>
      <w:pPr>
        <w:ind w:left="5564" w:hanging="273"/>
      </w:pPr>
      <w:rPr>
        <w:rFonts w:hint="default"/>
      </w:rPr>
    </w:lvl>
    <w:lvl w:ilvl="7">
      <w:start w:val="0"/>
      <w:numFmt w:val="bullet"/>
      <w:lvlText w:val="•"/>
      <w:lvlJc w:val="left"/>
      <w:pPr>
        <w:ind w:left="6373" w:hanging="273"/>
      </w:pPr>
      <w:rPr>
        <w:rFonts w:hint="default"/>
      </w:rPr>
    </w:lvl>
    <w:lvl w:ilvl="8">
      <w:start w:val="0"/>
      <w:numFmt w:val="bullet"/>
      <w:lvlText w:val="•"/>
      <w:lvlJc w:val="left"/>
      <w:pPr>
        <w:ind w:left="7182" w:hanging="273"/>
      </w:pPr>
      <w:rPr>
        <w:rFonts w:hint="default"/>
      </w:rPr>
    </w:lvl>
  </w:abstractNum>
  <w:abstractNum w:abstractNumId="18">
    <w:multiLevelType w:val="hybridMultilevel"/>
    <w:lvl w:ilvl="0">
      <w:start w:val="258"/>
      <w:numFmt w:val="decimal"/>
      <w:lvlText w:val="%1"/>
      <w:lvlJc w:val="left"/>
      <w:pPr>
        <w:ind w:left="1421" w:hanging="261"/>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2158" w:hanging="261"/>
      </w:pPr>
      <w:rPr>
        <w:rFonts w:hint="default"/>
      </w:rPr>
    </w:lvl>
    <w:lvl w:ilvl="2">
      <w:start w:val="0"/>
      <w:numFmt w:val="bullet"/>
      <w:lvlText w:val="•"/>
      <w:lvlJc w:val="left"/>
      <w:pPr>
        <w:ind w:left="2896" w:hanging="261"/>
      </w:pPr>
      <w:rPr>
        <w:rFonts w:hint="default"/>
      </w:rPr>
    </w:lvl>
    <w:lvl w:ilvl="3">
      <w:start w:val="0"/>
      <w:numFmt w:val="bullet"/>
      <w:lvlText w:val="•"/>
      <w:lvlJc w:val="left"/>
      <w:pPr>
        <w:ind w:left="3634" w:hanging="261"/>
      </w:pPr>
      <w:rPr>
        <w:rFonts w:hint="default"/>
      </w:rPr>
    </w:lvl>
    <w:lvl w:ilvl="4">
      <w:start w:val="0"/>
      <w:numFmt w:val="bullet"/>
      <w:lvlText w:val="•"/>
      <w:lvlJc w:val="left"/>
      <w:pPr>
        <w:ind w:left="4372" w:hanging="261"/>
      </w:pPr>
      <w:rPr>
        <w:rFonts w:hint="default"/>
      </w:rPr>
    </w:lvl>
    <w:lvl w:ilvl="5">
      <w:start w:val="0"/>
      <w:numFmt w:val="bullet"/>
      <w:lvlText w:val="•"/>
      <w:lvlJc w:val="left"/>
      <w:pPr>
        <w:ind w:left="5110" w:hanging="261"/>
      </w:pPr>
      <w:rPr>
        <w:rFonts w:hint="default"/>
      </w:rPr>
    </w:lvl>
    <w:lvl w:ilvl="6">
      <w:start w:val="0"/>
      <w:numFmt w:val="bullet"/>
      <w:lvlText w:val="•"/>
      <w:lvlJc w:val="left"/>
      <w:pPr>
        <w:ind w:left="5848" w:hanging="261"/>
      </w:pPr>
      <w:rPr>
        <w:rFonts w:hint="default"/>
      </w:rPr>
    </w:lvl>
    <w:lvl w:ilvl="7">
      <w:start w:val="0"/>
      <w:numFmt w:val="bullet"/>
      <w:lvlText w:val="•"/>
      <w:lvlJc w:val="left"/>
      <w:pPr>
        <w:ind w:left="6586" w:hanging="261"/>
      </w:pPr>
      <w:rPr>
        <w:rFonts w:hint="default"/>
      </w:rPr>
    </w:lvl>
    <w:lvl w:ilvl="8">
      <w:start w:val="0"/>
      <w:numFmt w:val="bullet"/>
      <w:lvlText w:val="•"/>
      <w:lvlJc w:val="left"/>
      <w:pPr>
        <w:ind w:left="7324" w:hanging="261"/>
      </w:pPr>
      <w:rPr>
        <w:rFonts w:hint="default"/>
      </w:rPr>
    </w:lvl>
  </w:abstractNum>
  <w:abstractNum w:abstractNumId="17">
    <w:multiLevelType w:val="hybridMultilevel"/>
    <w:lvl w:ilvl="0">
      <w:start w:val="228"/>
      <w:numFmt w:val="decimal"/>
      <w:lvlText w:val="%1"/>
      <w:lvlJc w:val="left"/>
      <w:pPr>
        <w:ind w:left="1160" w:hanging="263"/>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1520" w:hanging="263"/>
      </w:pPr>
      <w:rPr>
        <w:rFonts w:hint="default"/>
      </w:rPr>
    </w:lvl>
    <w:lvl w:ilvl="2">
      <w:start w:val="0"/>
      <w:numFmt w:val="bullet"/>
      <w:lvlText w:val="•"/>
      <w:lvlJc w:val="left"/>
      <w:pPr>
        <w:ind w:left="2328" w:hanging="263"/>
      </w:pPr>
      <w:rPr>
        <w:rFonts w:hint="default"/>
      </w:rPr>
    </w:lvl>
    <w:lvl w:ilvl="3">
      <w:start w:val="0"/>
      <w:numFmt w:val="bullet"/>
      <w:lvlText w:val="•"/>
      <w:lvlJc w:val="left"/>
      <w:pPr>
        <w:ind w:left="3137" w:hanging="263"/>
      </w:pPr>
      <w:rPr>
        <w:rFonts w:hint="default"/>
      </w:rPr>
    </w:lvl>
    <w:lvl w:ilvl="4">
      <w:start w:val="0"/>
      <w:numFmt w:val="bullet"/>
      <w:lvlText w:val="•"/>
      <w:lvlJc w:val="left"/>
      <w:pPr>
        <w:ind w:left="3946" w:hanging="263"/>
      </w:pPr>
      <w:rPr>
        <w:rFonts w:hint="default"/>
      </w:rPr>
    </w:lvl>
    <w:lvl w:ilvl="5">
      <w:start w:val="0"/>
      <w:numFmt w:val="bullet"/>
      <w:lvlText w:val="•"/>
      <w:lvlJc w:val="left"/>
      <w:pPr>
        <w:ind w:left="4755" w:hanging="263"/>
      </w:pPr>
      <w:rPr>
        <w:rFonts w:hint="default"/>
      </w:rPr>
    </w:lvl>
    <w:lvl w:ilvl="6">
      <w:start w:val="0"/>
      <w:numFmt w:val="bullet"/>
      <w:lvlText w:val="•"/>
      <w:lvlJc w:val="left"/>
      <w:pPr>
        <w:ind w:left="5564" w:hanging="263"/>
      </w:pPr>
      <w:rPr>
        <w:rFonts w:hint="default"/>
      </w:rPr>
    </w:lvl>
    <w:lvl w:ilvl="7">
      <w:start w:val="0"/>
      <w:numFmt w:val="bullet"/>
      <w:lvlText w:val="•"/>
      <w:lvlJc w:val="left"/>
      <w:pPr>
        <w:ind w:left="6373" w:hanging="263"/>
      </w:pPr>
      <w:rPr>
        <w:rFonts w:hint="default"/>
      </w:rPr>
    </w:lvl>
    <w:lvl w:ilvl="8">
      <w:start w:val="0"/>
      <w:numFmt w:val="bullet"/>
      <w:lvlText w:val="•"/>
      <w:lvlJc w:val="left"/>
      <w:pPr>
        <w:ind w:left="7182" w:hanging="263"/>
      </w:pPr>
      <w:rPr>
        <w:rFonts w:hint="default"/>
      </w:rPr>
    </w:lvl>
  </w:abstractNum>
  <w:abstractNum w:abstractNumId="16">
    <w:multiLevelType w:val="hybridMultilevel"/>
    <w:lvl w:ilvl="0">
      <w:start w:val="215"/>
      <w:numFmt w:val="decimal"/>
      <w:lvlText w:val="%1"/>
      <w:lvlJc w:val="left"/>
      <w:pPr>
        <w:ind w:left="1160" w:hanging="273"/>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1924" w:hanging="273"/>
      </w:pPr>
      <w:rPr>
        <w:rFonts w:hint="default"/>
      </w:rPr>
    </w:lvl>
    <w:lvl w:ilvl="2">
      <w:start w:val="0"/>
      <w:numFmt w:val="bullet"/>
      <w:lvlText w:val="•"/>
      <w:lvlJc w:val="left"/>
      <w:pPr>
        <w:ind w:left="2688" w:hanging="273"/>
      </w:pPr>
      <w:rPr>
        <w:rFonts w:hint="default"/>
      </w:rPr>
    </w:lvl>
    <w:lvl w:ilvl="3">
      <w:start w:val="0"/>
      <w:numFmt w:val="bullet"/>
      <w:lvlText w:val="•"/>
      <w:lvlJc w:val="left"/>
      <w:pPr>
        <w:ind w:left="3452" w:hanging="273"/>
      </w:pPr>
      <w:rPr>
        <w:rFonts w:hint="default"/>
      </w:rPr>
    </w:lvl>
    <w:lvl w:ilvl="4">
      <w:start w:val="0"/>
      <w:numFmt w:val="bullet"/>
      <w:lvlText w:val="•"/>
      <w:lvlJc w:val="left"/>
      <w:pPr>
        <w:ind w:left="4216" w:hanging="273"/>
      </w:pPr>
      <w:rPr>
        <w:rFonts w:hint="default"/>
      </w:rPr>
    </w:lvl>
    <w:lvl w:ilvl="5">
      <w:start w:val="0"/>
      <w:numFmt w:val="bullet"/>
      <w:lvlText w:val="•"/>
      <w:lvlJc w:val="left"/>
      <w:pPr>
        <w:ind w:left="4980" w:hanging="273"/>
      </w:pPr>
      <w:rPr>
        <w:rFonts w:hint="default"/>
      </w:rPr>
    </w:lvl>
    <w:lvl w:ilvl="6">
      <w:start w:val="0"/>
      <w:numFmt w:val="bullet"/>
      <w:lvlText w:val="•"/>
      <w:lvlJc w:val="left"/>
      <w:pPr>
        <w:ind w:left="5744" w:hanging="273"/>
      </w:pPr>
      <w:rPr>
        <w:rFonts w:hint="default"/>
      </w:rPr>
    </w:lvl>
    <w:lvl w:ilvl="7">
      <w:start w:val="0"/>
      <w:numFmt w:val="bullet"/>
      <w:lvlText w:val="•"/>
      <w:lvlJc w:val="left"/>
      <w:pPr>
        <w:ind w:left="6508" w:hanging="273"/>
      </w:pPr>
      <w:rPr>
        <w:rFonts w:hint="default"/>
      </w:rPr>
    </w:lvl>
    <w:lvl w:ilvl="8">
      <w:start w:val="0"/>
      <w:numFmt w:val="bullet"/>
      <w:lvlText w:val="•"/>
      <w:lvlJc w:val="left"/>
      <w:pPr>
        <w:ind w:left="7272" w:hanging="273"/>
      </w:pPr>
      <w:rPr>
        <w:rFonts w:hint="default"/>
      </w:rPr>
    </w:lvl>
  </w:abstractNum>
  <w:abstractNum w:abstractNumId="15">
    <w:multiLevelType w:val="hybridMultilevel"/>
    <w:lvl w:ilvl="0">
      <w:start w:val="210"/>
      <w:numFmt w:val="decimal"/>
      <w:lvlText w:val="%1"/>
      <w:lvlJc w:val="left"/>
      <w:pPr>
        <w:ind w:left="1434" w:hanging="275"/>
        <w:jc w:val="left"/>
      </w:pPr>
      <w:rPr>
        <w:rFonts w:hint="default" w:ascii="Times New Roman" w:hAnsi="Times New Roman" w:eastAsia="Times New Roman" w:cs="Times New Roman"/>
        <w:spacing w:val="0"/>
        <w:w w:val="99"/>
        <w:position w:val="9"/>
        <w:sz w:val="14"/>
        <w:szCs w:val="14"/>
      </w:rPr>
    </w:lvl>
    <w:lvl w:ilvl="1">
      <w:start w:val="0"/>
      <w:numFmt w:val="bullet"/>
      <w:lvlText w:val="•"/>
      <w:lvlJc w:val="left"/>
      <w:pPr>
        <w:ind w:left="2176" w:hanging="275"/>
      </w:pPr>
      <w:rPr>
        <w:rFonts w:hint="default"/>
      </w:rPr>
    </w:lvl>
    <w:lvl w:ilvl="2">
      <w:start w:val="0"/>
      <w:numFmt w:val="bullet"/>
      <w:lvlText w:val="•"/>
      <w:lvlJc w:val="left"/>
      <w:pPr>
        <w:ind w:left="2912" w:hanging="275"/>
      </w:pPr>
      <w:rPr>
        <w:rFonts w:hint="default"/>
      </w:rPr>
    </w:lvl>
    <w:lvl w:ilvl="3">
      <w:start w:val="0"/>
      <w:numFmt w:val="bullet"/>
      <w:lvlText w:val="•"/>
      <w:lvlJc w:val="left"/>
      <w:pPr>
        <w:ind w:left="3648" w:hanging="275"/>
      </w:pPr>
      <w:rPr>
        <w:rFonts w:hint="default"/>
      </w:rPr>
    </w:lvl>
    <w:lvl w:ilvl="4">
      <w:start w:val="0"/>
      <w:numFmt w:val="bullet"/>
      <w:lvlText w:val="•"/>
      <w:lvlJc w:val="left"/>
      <w:pPr>
        <w:ind w:left="4384" w:hanging="275"/>
      </w:pPr>
      <w:rPr>
        <w:rFonts w:hint="default"/>
      </w:rPr>
    </w:lvl>
    <w:lvl w:ilvl="5">
      <w:start w:val="0"/>
      <w:numFmt w:val="bullet"/>
      <w:lvlText w:val="•"/>
      <w:lvlJc w:val="left"/>
      <w:pPr>
        <w:ind w:left="5120" w:hanging="275"/>
      </w:pPr>
      <w:rPr>
        <w:rFonts w:hint="default"/>
      </w:rPr>
    </w:lvl>
    <w:lvl w:ilvl="6">
      <w:start w:val="0"/>
      <w:numFmt w:val="bullet"/>
      <w:lvlText w:val="•"/>
      <w:lvlJc w:val="left"/>
      <w:pPr>
        <w:ind w:left="5856" w:hanging="275"/>
      </w:pPr>
      <w:rPr>
        <w:rFonts w:hint="default"/>
      </w:rPr>
    </w:lvl>
    <w:lvl w:ilvl="7">
      <w:start w:val="0"/>
      <w:numFmt w:val="bullet"/>
      <w:lvlText w:val="•"/>
      <w:lvlJc w:val="left"/>
      <w:pPr>
        <w:ind w:left="6592" w:hanging="275"/>
      </w:pPr>
      <w:rPr>
        <w:rFonts w:hint="default"/>
      </w:rPr>
    </w:lvl>
    <w:lvl w:ilvl="8">
      <w:start w:val="0"/>
      <w:numFmt w:val="bullet"/>
      <w:lvlText w:val="•"/>
      <w:lvlJc w:val="left"/>
      <w:pPr>
        <w:ind w:left="7328" w:hanging="275"/>
      </w:pPr>
      <w:rPr>
        <w:rFonts w:hint="default"/>
      </w:rPr>
    </w:lvl>
  </w:abstractNum>
  <w:abstractNum w:abstractNumId="14">
    <w:multiLevelType w:val="hybridMultilevel"/>
    <w:lvl w:ilvl="0">
      <w:start w:val="203"/>
      <w:numFmt w:val="decimal"/>
      <w:lvlText w:val="%1"/>
      <w:lvlJc w:val="left"/>
      <w:pPr>
        <w:ind w:left="1160" w:hanging="261"/>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1520" w:hanging="261"/>
      </w:pPr>
      <w:rPr>
        <w:rFonts w:hint="default"/>
      </w:rPr>
    </w:lvl>
    <w:lvl w:ilvl="2">
      <w:start w:val="0"/>
      <w:numFmt w:val="bullet"/>
      <w:lvlText w:val="•"/>
      <w:lvlJc w:val="left"/>
      <w:pPr>
        <w:ind w:left="2328" w:hanging="261"/>
      </w:pPr>
      <w:rPr>
        <w:rFonts w:hint="default"/>
      </w:rPr>
    </w:lvl>
    <w:lvl w:ilvl="3">
      <w:start w:val="0"/>
      <w:numFmt w:val="bullet"/>
      <w:lvlText w:val="•"/>
      <w:lvlJc w:val="left"/>
      <w:pPr>
        <w:ind w:left="3137" w:hanging="261"/>
      </w:pPr>
      <w:rPr>
        <w:rFonts w:hint="default"/>
      </w:rPr>
    </w:lvl>
    <w:lvl w:ilvl="4">
      <w:start w:val="0"/>
      <w:numFmt w:val="bullet"/>
      <w:lvlText w:val="•"/>
      <w:lvlJc w:val="left"/>
      <w:pPr>
        <w:ind w:left="3946" w:hanging="261"/>
      </w:pPr>
      <w:rPr>
        <w:rFonts w:hint="default"/>
      </w:rPr>
    </w:lvl>
    <w:lvl w:ilvl="5">
      <w:start w:val="0"/>
      <w:numFmt w:val="bullet"/>
      <w:lvlText w:val="•"/>
      <w:lvlJc w:val="left"/>
      <w:pPr>
        <w:ind w:left="4755" w:hanging="261"/>
      </w:pPr>
      <w:rPr>
        <w:rFonts w:hint="default"/>
      </w:rPr>
    </w:lvl>
    <w:lvl w:ilvl="6">
      <w:start w:val="0"/>
      <w:numFmt w:val="bullet"/>
      <w:lvlText w:val="•"/>
      <w:lvlJc w:val="left"/>
      <w:pPr>
        <w:ind w:left="5564" w:hanging="261"/>
      </w:pPr>
      <w:rPr>
        <w:rFonts w:hint="default"/>
      </w:rPr>
    </w:lvl>
    <w:lvl w:ilvl="7">
      <w:start w:val="0"/>
      <w:numFmt w:val="bullet"/>
      <w:lvlText w:val="•"/>
      <w:lvlJc w:val="left"/>
      <w:pPr>
        <w:ind w:left="6373" w:hanging="261"/>
      </w:pPr>
      <w:rPr>
        <w:rFonts w:hint="default"/>
      </w:rPr>
    </w:lvl>
    <w:lvl w:ilvl="8">
      <w:start w:val="0"/>
      <w:numFmt w:val="bullet"/>
      <w:lvlText w:val="•"/>
      <w:lvlJc w:val="left"/>
      <w:pPr>
        <w:ind w:left="7182" w:hanging="261"/>
      </w:pPr>
      <w:rPr>
        <w:rFonts w:hint="default"/>
      </w:rPr>
    </w:lvl>
  </w:abstractNum>
  <w:abstractNum w:abstractNumId="13">
    <w:multiLevelType w:val="hybridMultilevel"/>
    <w:lvl w:ilvl="0">
      <w:start w:val="199"/>
      <w:numFmt w:val="decimal"/>
      <w:lvlText w:val="%1"/>
      <w:lvlJc w:val="left"/>
      <w:pPr>
        <w:ind w:left="1160" w:hanging="273"/>
        <w:jc w:val="left"/>
      </w:pPr>
      <w:rPr>
        <w:rFonts w:hint="default" w:ascii="Times New Roman" w:hAnsi="Times New Roman" w:eastAsia="Times New Roman" w:cs="Times New Roman"/>
        <w:spacing w:val="0"/>
        <w:w w:val="99"/>
        <w:position w:val="9"/>
        <w:sz w:val="14"/>
        <w:szCs w:val="14"/>
      </w:rPr>
    </w:lvl>
    <w:lvl w:ilvl="1">
      <w:start w:val="0"/>
      <w:numFmt w:val="bullet"/>
      <w:lvlText w:val="•"/>
      <w:lvlJc w:val="left"/>
      <w:pPr>
        <w:ind w:left="1924" w:hanging="273"/>
      </w:pPr>
      <w:rPr>
        <w:rFonts w:hint="default"/>
      </w:rPr>
    </w:lvl>
    <w:lvl w:ilvl="2">
      <w:start w:val="0"/>
      <w:numFmt w:val="bullet"/>
      <w:lvlText w:val="•"/>
      <w:lvlJc w:val="left"/>
      <w:pPr>
        <w:ind w:left="2688" w:hanging="273"/>
      </w:pPr>
      <w:rPr>
        <w:rFonts w:hint="default"/>
      </w:rPr>
    </w:lvl>
    <w:lvl w:ilvl="3">
      <w:start w:val="0"/>
      <w:numFmt w:val="bullet"/>
      <w:lvlText w:val="•"/>
      <w:lvlJc w:val="left"/>
      <w:pPr>
        <w:ind w:left="3452" w:hanging="273"/>
      </w:pPr>
      <w:rPr>
        <w:rFonts w:hint="default"/>
      </w:rPr>
    </w:lvl>
    <w:lvl w:ilvl="4">
      <w:start w:val="0"/>
      <w:numFmt w:val="bullet"/>
      <w:lvlText w:val="•"/>
      <w:lvlJc w:val="left"/>
      <w:pPr>
        <w:ind w:left="4216" w:hanging="273"/>
      </w:pPr>
      <w:rPr>
        <w:rFonts w:hint="default"/>
      </w:rPr>
    </w:lvl>
    <w:lvl w:ilvl="5">
      <w:start w:val="0"/>
      <w:numFmt w:val="bullet"/>
      <w:lvlText w:val="•"/>
      <w:lvlJc w:val="left"/>
      <w:pPr>
        <w:ind w:left="4980" w:hanging="273"/>
      </w:pPr>
      <w:rPr>
        <w:rFonts w:hint="default"/>
      </w:rPr>
    </w:lvl>
    <w:lvl w:ilvl="6">
      <w:start w:val="0"/>
      <w:numFmt w:val="bullet"/>
      <w:lvlText w:val="•"/>
      <w:lvlJc w:val="left"/>
      <w:pPr>
        <w:ind w:left="5744" w:hanging="273"/>
      </w:pPr>
      <w:rPr>
        <w:rFonts w:hint="default"/>
      </w:rPr>
    </w:lvl>
    <w:lvl w:ilvl="7">
      <w:start w:val="0"/>
      <w:numFmt w:val="bullet"/>
      <w:lvlText w:val="•"/>
      <w:lvlJc w:val="left"/>
      <w:pPr>
        <w:ind w:left="6508" w:hanging="273"/>
      </w:pPr>
      <w:rPr>
        <w:rFonts w:hint="default"/>
      </w:rPr>
    </w:lvl>
    <w:lvl w:ilvl="8">
      <w:start w:val="0"/>
      <w:numFmt w:val="bullet"/>
      <w:lvlText w:val="•"/>
      <w:lvlJc w:val="left"/>
      <w:pPr>
        <w:ind w:left="7272" w:hanging="273"/>
      </w:pPr>
      <w:rPr>
        <w:rFonts w:hint="default"/>
      </w:rPr>
    </w:lvl>
  </w:abstractNum>
  <w:abstractNum w:abstractNumId="12">
    <w:multiLevelType w:val="hybridMultilevel"/>
    <w:lvl w:ilvl="0">
      <w:start w:val="194"/>
      <w:numFmt w:val="decimal"/>
      <w:lvlText w:val="%1"/>
      <w:lvlJc w:val="left"/>
      <w:pPr>
        <w:ind w:left="1160" w:hanging="266"/>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1520" w:hanging="266"/>
      </w:pPr>
      <w:rPr>
        <w:rFonts w:hint="default"/>
      </w:rPr>
    </w:lvl>
    <w:lvl w:ilvl="2">
      <w:start w:val="0"/>
      <w:numFmt w:val="bullet"/>
      <w:lvlText w:val="•"/>
      <w:lvlJc w:val="left"/>
      <w:pPr>
        <w:ind w:left="2328" w:hanging="266"/>
      </w:pPr>
      <w:rPr>
        <w:rFonts w:hint="default"/>
      </w:rPr>
    </w:lvl>
    <w:lvl w:ilvl="3">
      <w:start w:val="0"/>
      <w:numFmt w:val="bullet"/>
      <w:lvlText w:val="•"/>
      <w:lvlJc w:val="left"/>
      <w:pPr>
        <w:ind w:left="3137" w:hanging="266"/>
      </w:pPr>
      <w:rPr>
        <w:rFonts w:hint="default"/>
      </w:rPr>
    </w:lvl>
    <w:lvl w:ilvl="4">
      <w:start w:val="0"/>
      <w:numFmt w:val="bullet"/>
      <w:lvlText w:val="•"/>
      <w:lvlJc w:val="left"/>
      <w:pPr>
        <w:ind w:left="3946" w:hanging="266"/>
      </w:pPr>
      <w:rPr>
        <w:rFonts w:hint="default"/>
      </w:rPr>
    </w:lvl>
    <w:lvl w:ilvl="5">
      <w:start w:val="0"/>
      <w:numFmt w:val="bullet"/>
      <w:lvlText w:val="•"/>
      <w:lvlJc w:val="left"/>
      <w:pPr>
        <w:ind w:left="4755" w:hanging="266"/>
      </w:pPr>
      <w:rPr>
        <w:rFonts w:hint="default"/>
      </w:rPr>
    </w:lvl>
    <w:lvl w:ilvl="6">
      <w:start w:val="0"/>
      <w:numFmt w:val="bullet"/>
      <w:lvlText w:val="•"/>
      <w:lvlJc w:val="left"/>
      <w:pPr>
        <w:ind w:left="5564" w:hanging="266"/>
      </w:pPr>
      <w:rPr>
        <w:rFonts w:hint="default"/>
      </w:rPr>
    </w:lvl>
    <w:lvl w:ilvl="7">
      <w:start w:val="0"/>
      <w:numFmt w:val="bullet"/>
      <w:lvlText w:val="•"/>
      <w:lvlJc w:val="left"/>
      <w:pPr>
        <w:ind w:left="6373" w:hanging="266"/>
      </w:pPr>
      <w:rPr>
        <w:rFonts w:hint="default"/>
      </w:rPr>
    </w:lvl>
    <w:lvl w:ilvl="8">
      <w:start w:val="0"/>
      <w:numFmt w:val="bullet"/>
      <w:lvlText w:val="•"/>
      <w:lvlJc w:val="left"/>
      <w:pPr>
        <w:ind w:left="7182" w:hanging="266"/>
      </w:pPr>
      <w:rPr>
        <w:rFonts w:hint="default"/>
      </w:rPr>
    </w:lvl>
  </w:abstractNum>
  <w:abstractNum w:abstractNumId="11">
    <w:multiLevelType w:val="hybridMultilevel"/>
    <w:lvl w:ilvl="0">
      <w:start w:val="165"/>
      <w:numFmt w:val="decimal"/>
      <w:lvlText w:val="%1"/>
      <w:lvlJc w:val="left"/>
      <w:pPr>
        <w:ind w:left="1160" w:hanging="285"/>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1924" w:hanging="285"/>
      </w:pPr>
      <w:rPr>
        <w:rFonts w:hint="default"/>
      </w:rPr>
    </w:lvl>
    <w:lvl w:ilvl="2">
      <w:start w:val="0"/>
      <w:numFmt w:val="bullet"/>
      <w:lvlText w:val="•"/>
      <w:lvlJc w:val="left"/>
      <w:pPr>
        <w:ind w:left="2688" w:hanging="285"/>
      </w:pPr>
      <w:rPr>
        <w:rFonts w:hint="default"/>
      </w:rPr>
    </w:lvl>
    <w:lvl w:ilvl="3">
      <w:start w:val="0"/>
      <w:numFmt w:val="bullet"/>
      <w:lvlText w:val="•"/>
      <w:lvlJc w:val="left"/>
      <w:pPr>
        <w:ind w:left="3452" w:hanging="285"/>
      </w:pPr>
      <w:rPr>
        <w:rFonts w:hint="default"/>
      </w:rPr>
    </w:lvl>
    <w:lvl w:ilvl="4">
      <w:start w:val="0"/>
      <w:numFmt w:val="bullet"/>
      <w:lvlText w:val="•"/>
      <w:lvlJc w:val="left"/>
      <w:pPr>
        <w:ind w:left="4216" w:hanging="285"/>
      </w:pPr>
      <w:rPr>
        <w:rFonts w:hint="default"/>
      </w:rPr>
    </w:lvl>
    <w:lvl w:ilvl="5">
      <w:start w:val="0"/>
      <w:numFmt w:val="bullet"/>
      <w:lvlText w:val="•"/>
      <w:lvlJc w:val="left"/>
      <w:pPr>
        <w:ind w:left="4980" w:hanging="285"/>
      </w:pPr>
      <w:rPr>
        <w:rFonts w:hint="default"/>
      </w:rPr>
    </w:lvl>
    <w:lvl w:ilvl="6">
      <w:start w:val="0"/>
      <w:numFmt w:val="bullet"/>
      <w:lvlText w:val="•"/>
      <w:lvlJc w:val="left"/>
      <w:pPr>
        <w:ind w:left="5744" w:hanging="285"/>
      </w:pPr>
      <w:rPr>
        <w:rFonts w:hint="default"/>
      </w:rPr>
    </w:lvl>
    <w:lvl w:ilvl="7">
      <w:start w:val="0"/>
      <w:numFmt w:val="bullet"/>
      <w:lvlText w:val="•"/>
      <w:lvlJc w:val="left"/>
      <w:pPr>
        <w:ind w:left="6508" w:hanging="285"/>
      </w:pPr>
      <w:rPr>
        <w:rFonts w:hint="default"/>
      </w:rPr>
    </w:lvl>
    <w:lvl w:ilvl="8">
      <w:start w:val="0"/>
      <w:numFmt w:val="bullet"/>
      <w:lvlText w:val="•"/>
      <w:lvlJc w:val="left"/>
      <w:pPr>
        <w:ind w:left="7272" w:hanging="285"/>
      </w:pPr>
      <w:rPr>
        <w:rFonts w:hint="default"/>
      </w:rPr>
    </w:lvl>
  </w:abstractNum>
  <w:abstractNum w:abstractNumId="10">
    <w:multiLevelType w:val="hybridMultilevel"/>
    <w:lvl w:ilvl="0">
      <w:start w:val="155"/>
      <w:numFmt w:val="decimal"/>
      <w:lvlText w:val="%1"/>
      <w:lvlJc w:val="left"/>
      <w:pPr>
        <w:ind w:left="1434" w:hanging="275"/>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2176" w:hanging="275"/>
      </w:pPr>
      <w:rPr>
        <w:rFonts w:hint="default"/>
      </w:rPr>
    </w:lvl>
    <w:lvl w:ilvl="2">
      <w:start w:val="0"/>
      <w:numFmt w:val="bullet"/>
      <w:lvlText w:val="•"/>
      <w:lvlJc w:val="left"/>
      <w:pPr>
        <w:ind w:left="2912" w:hanging="275"/>
      </w:pPr>
      <w:rPr>
        <w:rFonts w:hint="default"/>
      </w:rPr>
    </w:lvl>
    <w:lvl w:ilvl="3">
      <w:start w:val="0"/>
      <w:numFmt w:val="bullet"/>
      <w:lvlText w:val="•"/>
      <w:lvlJc w:val="left"/>
      <w:pPr>
        <w:ind w:left="3648" w:hanging="275"/>
      </w:pPr>
      <w:rPr>
        <w:rFonts w:hint="default"/>
      </w:rPr>
    </w:lvl>
    <w:lvl w:ilvl="4">
      <w:start w:val="0"/>
      <w:numFmt w:val="bullet"/>
      <w:lvlText w:val="•"/>
      <w:lvlJc w:val="left"/>
      <w:pPr>
        <w:ind w:left="4384" w:hanging="275"/>
      </w:pPr>
      <w:rPr>
        <w:rFonts w:hint="default"/>
      </w:rPr>
    </w:lvl>
    <w:lvl w:ilvl="5">
      <w:start w:val="0"/>
      <w:numFmt w:val="bullet"/>
      <w:lvlText w:val="•"/>
      <w:lvlJc w:val="left"/>
      <w:pPr>
        <w:ind w:left="5120" w:hanging="275"/>
      </w:pPr>
      <w:rPr>
        <w:rFonts w:hint="default"/>
      </w:rPr>
    </w:lvl>
    <w:lvl w:ilvl="6">
      <w:start w:val="0"/>
      <w:numFmt w:val="bullet"/>
      <w:lvlText w:val="•"/>
      <w:lvlJc w:val="left"/>
      <w:pPr>
        <w:ind w:left="5856" w:hanging="275"/>
      </w:pPr>
      <w:rPr>
        <w:rFonts w:hint="default"/>
      </w:rPr>
    </w:lvl>
    <w:lvl w:ilvl="7">
      <w:start w:val="0"/>
      <w:numFmt w:val="bullet"/>
      <w:lvlText w:val="•"/>
      <w:lvlJc w:val="left"/>
      <w:pPr>
        <w:ind w:left="6592" w:hanging="275"/>
      </w:pPr>
      <w:rPr>
        <w:rFonts w:hint="default"/>
      </w:rPr>
    </w:lvl>
    <w:lvl w:ilvl="8">
      <w:start w:val="0"/>
      <w:numFmt w:val="bullet"/>
      <w:lvlText w:val="•"/>
      <w:lvlJc w:val="left"/>
      <w:pPr>
        <w:ind w:left="7328" w:hanging="275"/>
      </w:pPr>
      <w:rPr>
        <w:rFonts w:hint="default"/>
      </w:rPr>
    </w:lvl>
  </w:abstractNum>
  <w:abstractNum w:abstractNumId="9">
    <w:multiLevelType w:val="hybridMultilevel"/>
    <w:lvl w:ilvl="0">
      <w:start w:val="151"/>
      <w:numFmt w:val="decimal"/>
      <w:lvlText w:val="%1"/>
      <w:lvlJc w:val="left"/>
      <w:pPr>
        <w:ind w:left="1160" w:hanging="268"/>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1924" w:hanging="268"/>
      </w:pPr>
      <w:rPr>
        <w:rFonts w:hint="default"/>
      </w:rPr>
    </w:lvl>
    <w:lvl w:ilvl="2">
      <w:start w:val="0"/>
      <w:numFmt w:val="bullet"/>
      <w:lvlText w:val="•"/>
      <w:lvlJc w:val="left"/>
      <w:pPr>
        <w:ind w:left="2688" w:hanging="268"/>
      </w:pPr>
      <w:rPr>
        <w:rFonts w:hint="default"/>
      </w:rPr>
    </w:lvl>
    <w:lvl w:ilvl="3">
      <w:start w:val="0"/>
      <w:numFmt w:val="bullet"/>
      <w:lvlText w:val="•"/>
      <w:lvlJc w:val="left"/>
      <w:pPr>
        <w:ind w:left="3452" w:hanging="268"/>
      </w:pPr>
      <w:rPr>
        <w:rFonts w:hint="default"/>
      </w:rPr>
    </w:lvl>
    <w:lvl w:ilvl="4">
      <w:start w:val="0"/>
      <w:numFmt w:val="bullet"/>
      <w:lvlText w:val="•"/>
      <w:lvlJc w:val="left"/>
      <w:pPr>
        <w:ind w:left="4216" w:hanging="268"/>
      </w:pPr>
      <w:rPr>
        <w:rFonts w:hint="default"/>
      </w:rPr>
    </w:lvl>
    <w:lvl w:ilvl="5">
      <w:start w:val="0"/>
      <w:numFmt w:val="bullet"/>
      <w:lvlText w:val="•"/>
      <w:lvlJc w:val="left"/>
      <w:pPr>
        <w:ind w:left="4980" w:hanging="268"/>
      </w:pPr>
      <w:rPr>
        <w:rFonts w:hint="default"/>
      </w:rPr>
    </w:lvl>
    <w:lvl w:ilvl="6">
      <w:start w:val="0"/>
      <w:numFmt w:val="bullet"/>
      <w:lvlText w:val="•"/>
      <w:lvlJc w:val="left"/>
      <w:pPr>
        <w:ind w:left="5744" w:hanging="268"/>
      </w:pPr>
      <w:rPr>
        <w:rFonts w:hint="default"/>
      </w:rPr>
    </w:lvl>
    <w:lvl w:ilvl="7">
      <w:start w:val="0"/>
      <w:numFmt w:val="bullet"/>
      <w:lvlText w:val="•"/>
      <w:lvlJc w:val="left"/>
      <w:pPr>
        <w:ind w:left="6508" w:hanging="268"/>
      </w:pPr>
      <w:rPr>
        <w:rFonts w:hint="default"/>
      </w:rPr>
    </w:lvl>
    <w:lvl w:ilvl="8">
      <w:start w:val="0"/>
      <w:numFmt w:val="bullet"/>
      <w:lvlText w:val="•"/>
      <w:lvlJc w:val="left"/>
      <w:pPr>
        <w:ind w:left="7272" w:hanging="268"/>
      </w:pPr>
      <w:rPr>
        <w:rFonts w:hint="default"/>
      </w:rPr>
    </w:lvl>
  </w:abstractNum>
  <w:abstractNum w:abstractNumId="8">
    <w:multiLevelType w:val="hybridMultilevel"/>
    <w:lvl w:ilvl="0">
      <w:start w:val="148"/>
      <w:numFmt w:val="decimal"/>
      <w:lvlText w:val="%1"/>
      <w:lvlJc w:val="left"/>
      <w:pPr>
        <w:ind w:left="1434" w:hanging="275"/>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2176" w:hanging="275"/>
      </w:pPr>
      <w:rPr>
        <w:rFonts w:hint="default"/>
      </w:rPr>
    </w:lvl>
    <w:lvl w:ilvl="2">
      <w:start w:val="0"/>
      <w:numFmt w:val="bullet"/>
      <w:lvlText w:val="•"/>
      <w:lvlJc w:val="left"/>
      <w:pPr>
        <w:ind w:left="2912" w:hanging="275"/>
      </w:pPr>
      <w:rPr>
        <w:rFonts w:hint="default"/>
      </w:rPr>
    </w:lvl>
    <w:lvl w:ilvl="3">
      <w:start w:val="0"/>
      <w:numFmt w:val="bullet"/>
      <w:lvlText w:val="•"/>
      <w:lvlJc w:val="left"/>
      <w:pPr>
        <w:ind w:left="3648" w:hanging="275"/>
      </w:pPr>
      <w:rPr>
        <w:rFonts w:hint="default"/>
      </w:rPr>
    </w:lvl>
    <w:lvl w:ilvl="4">
      <w:start w:val="0"/>
      <w:numFmt w:val="bullet"/>
      <w:lvlText w:val="•"/>
      <w:lvlJc w:val="left"/>
      <w:pPr>
        <w:ind w:left="4384" w:hanging="275"/>
      </w:pPr>
      <w:rPr>
        <w:rFonts w:hint="default"/>
      </w:rPr>
    </w:lvl>
    <w:lvl w:ilvl="5">
      <w:start w:val="0"/>
      <w:numFmt w:val="bullet"/>
      <w:lvlText w:val="•"/>
      <w:lvlJc w:val="left"/>
      <w:pPr>
        <w:ind w:left="5120" w:hanging="275"/>
      </w:pPr>
      <w:rPr>
        <w:rFonts w:hint="default"/>
      </w:rPr>
    </w:lvl>
    <w:lvl w:ilvl="6">
      <w:start w:val="0"/>
      <w:numFmt w:val="bullet"/>
      <w:lvlText w:val="•"/>
      <w:lvlJc w:val="left"/>
      <w:pPr>
        <w:ind w:left="5856" w:hanging="275"/>
      </w:pPr>
      <w:rPr>
        <w:rFonts w:hint="default"/>
      </w:rPr>
    </w:lvl>
    <w:lvl w:ilvl="7">
      <w:start w:val="0"/>
      <w:numFmt w:val="bullet"/>
      <w:lvlText w:val="•"/>
      <w:lvlJc w:val="left"/>
      <w:pPr>
        <w:ind w:left="6592" w:hanging="275"/>
      </w:pPr>
      <w:rPr>
        <w:rFonts w:hint="default"/>
      </w:rPr>
    </w:lvl>
    <w:lvl w:ilvl="8">
      <w:start w:val="0"/>
      <w:numFmt w:val="bullet"/>
      <w:lvlText w:val="•"/>
      <w:lvlJc w:val="left"/>
      <w:pPr>
        <w:ind w:left="7328" w:hanging="275"/>
      </w:pPr>
      <w:rPr>
        <w:rFonts w:hint="default"/>
      </w:rPr>
    </w:lvl>
  </w:abstractNum>
  <w:abstractNum w:abstractNumId="7">
    <w:multiLevelType w:val="hybridMultilevel"/>
    <w:lvl w:ilvl="0">
      <w:start w:val="1"/>
      <w:numFmt w:val="decimal"/>
      <w:lvlText w:val="%1."/>
      <w:lvlJc w:val="left"/>
      <w:pPr>
        <w:ind w:left="1877" w:hanging="358"/>
        <w:jc w:val="left"/>
      </w:pPr>
      <w:rPr>
        <w:rFonts w:hint="default" w:ascii="Century Gothic" w:hAnsi="Century Gothic" w:eastAsia="Century Gothic" w:cs="Century Gothic"/>
        <w:w w:val="99"/>
        <w:sz w:val="26"/>
        <w:szCs w:val="26"/>
      </w:rPr>
    </w:lvl>
    <w:lvl w:ilvl="1">
      <w:start w:val="0"/>
      <w:numFmt w:val="bullet"/>
      <w:lvlText w:val="•"/>
      <w:lvlJc w:val="left"/>
      <w:pPr>
        <w:ind w:left="1880" w:hanging="358"/>
      </w:pPr>
      <w:rPr>
        <w:rFonts w:hint="default"/>
      </w:rPr>
    </w:lvl>
    <w:lvl w:ilvl="2">
      <w:start w:val="0"/>
      <w:numFmt w:val="bullet"/>
      <w:lvlText w:val="•"/>
      <w:lvlJc w:val="left"/>
      <w:pPr>
        <w:ind w:left="2648" w:hanging="358"/>
      </w:pPr>
      <w:rPr>
        <w:rFonts w:hint="default"/>
      </w:rPr>
    </w:lvl>
    <w:lvl w:ilvl="3">
      <w:start w:val="0"/>
      <w:numFmt w:val="bullet"/>
      <w:lvlText w:val="•"/>
      <w:lvlJc w:val="left"/>
      <w:pPr>
        <w:ind w:left="3417" w:hanging="358"/>
      </w:pPr>
      <w:rPr>
        <w:rFonts w:hint="default"/>
      </w:rPr>
    </w:lvl>
    <w:lvl w:ilvl="4">
      <w:start w:val="0"/>
      <w:numFmt w:val="bullet"/>
      <w:lvlText w:val="•"/>
      <w:lvlJc w:val="left"/>
      <w:pPr>
        <w:ind w:left="4186" w:hanging="358"/>
      </w:pPr>
      <w:rPr>
        <w:rFonts w:hint="default"/>
      </w:rPr>
    </w:lvl>
    <w:lvl w:ilvl="5">
      <w:start w:val="0"/>
      <w:numFmt w:val="bullet"/>
      <w:lvlText w:val="•"/>
      <w:lvlJc w:val="left"/>
      <w:pPr>
        <w:ind w:left="4955" w:hanging="358"/>
      </w:pPr>
      <w:rPr>
        <w:rFonts w:hint="default"/>
      </w:rPr>
    </w:lvl>
    <w:lvl w:ilvl="6">
      <w:start w:val="0"/>
      <w:numFmt w:val="bullet"/>
      <w:lvlText w:val="•"/>
      <w:lvlJc w:val="left"/>
      <w:pPr>
        <w:ind w:left="5724" w:hanging="358"/>
      </w:pPr>
      <w:rPr>
        <w:rFonts w:hint="default"/>
      </w:rPr>
    </w:lvl>
    <w:lvl w:ilvl="7">
      <w:start w:val="0"/>
      <w:numFmt w:val="bullet"/>
      <w:lvlText w:val="•"/>
      <w:lvlJc w:val="left"/>
      <w:pPr>
        <w:ind w:left="6493" w:hanging="358"/>
      </w:pPr>
      <w:rPr>
        <w:rFonts w:hint="default"/>
      </w:rPr>
    </w:lvl>
    <w:lvl w:ilvl="8">
      <w:start w:val="0"/>
      <w:numFmt w:val="bullet"/>
      <w:lvlText w:val="•"/>
      <w:lvlJc w:val="left"/>
      <w:pPr>
        <w:ind w:left="7262" w:hanging="358"/>
      </w:pPr>
      <w:rPr>
        <w:rFonts w:hint="default"/>
      </w:rPr>
    </w:lvl>
  </w:abstractNum>
  <w:abstractNum w:abstractNumId="6">
    <w:multiLevelType w:val="hybridMultilevel"/>
    <w:lvl w:ilvl="0">
      <w:start w:val="139"/>
      <w:numFmt w:val="decimal"/>
      <w:lvlText w:val="%1"/>
      <w:lvlJc w:val="left"/>
      <w:pPr>
        <w:ind w:left="1446" w:hanging="287"/>
        <w:jc w:val="left"/>
      </w:pPr>
      <w:rPr>
        <w:rFonts w:hint="default" w:ascii="Times New Roman" w:hAnsi="Times New Roman" w:eastAsia="Times New Roman" w:cs="Times New Roman"/>
        <w:spacing w:val="0"/>
        <w:w w:val="99"/>
        <w:sz w:val="14"/>
        <w:szCs w:val="14"/>
      </w:rPr>
    </w:lvl>
    <w:lvl w:ilvl="1">
      <w:start w:val="0"/>
      <w:numFmt w:val="bullet"/>
      <w:lvlText w:val="•"/>
      <w:lvlJc w:val="left"/>
      <w:pPr>
        <w:ind w:left="1520" w:hanging="287"/>
      </w:pPr>
      <w:rPr>
        <w:rFonts w:hint="default"/>
      </w:rPr>
    </w:lvl>
    <w:lvl w:ilvl="2">
      <w:start w:val="0"/>
      <w:numFmt w:val="bullet"/>
      <w:lvlText w:val="•"/>
      <w:lvlJc w:val="left"/>
      <w:pPr>
        <w:ind w:left="2328" w:hanging="287"/>
      </w:pPr>
      <w:rPr>
        <w:rFonts w:hint="default"/>
      </w:rPr>
    </w:lvl>
    <w:lvl w:ilvl="3">
      <w:start w:val="0"/>
      <w:numFmt w:val="bullet"/>
      <w:lvlText w:val="•"/>
      <w:lvlJc w:val="left"/>
      <w:pPr>
        <w:ind w:left="3137" w:hanging="287"/>
      </w:pPr>
      <w:rPr>
        <w:rFonts w:hint="default"/>
      </w:rPr>
    </w:lvl>
    <w:lvl w:ilvl="4">
      <w:start w:val="0"/>
      <w:numFmt w:val="bullet"/>
      <w:lvlText w:val="•"/>
      <w:lvlJc w:val="left"/>
      <w:pPr>
        <w:ind w:left="3946" w:hanging="287"/>
      </w:pPr>
      <w:rPr>
        <w:rFonts w:hint="default"/>
      </w:rPr>
    </w:lvl>
    <w:lvl w:ilvl="5">
      <w:start w:val="0"/>
      <w:numFmt w:val="bullet"/>
      <w:lvlText w:val="•"/>
      <w:lvlJc w:val="left"/>
      <w:pPr>
        <w:ind w:left="4755" w:hanging="287"/>
      </w:pPr>
      <w:rPr>
        <w:rFonts w:hint="default"/>
      </w:rPr>
    </w:lvl>
    <w:lvl w:ilvl="6">
      <w:start w:val="0"/>
      <w:numFmt w:val="bullet"/>
      <w:lvlText w:val="•"/>
      <w:lvlJc w:val="left"/>
      <w:pPr>
        <w:ind w:left="5564" w:hanging="287"/>
      </w:pPr>
      <w:rPr>
        <w:rFonts w:hint="default"/>
      </w:rPr>
    </w:lvl>
    <w:lvl w:ilvl="7">
      <w:start w:val="0"/>
      <w:numFmt w:val="bullet"/>
      <w:lvlText w:val="•"/>
      <w:lvlJc w:val="left"/>
      <w:pPr>
        <w:ind w:left="6373" w:hanging="287"/>
      </w:pPr>
      <w:rPr>
        <w:rFonts w:hint="default"/>
      </w:rPr>
    </w:lvl>
    <w:lvl w:ilvl="8">
      <w:start w:val="0"/>
      <w:numFmt w:val="bullet"/>
      <w:lvlText w:val="•"/>
      <w:lvlJc w:val="left"/>
      <w:pPr>
        <w:ind w:left="7182" w:hanging="287"/>
      </w:pPr>
      <w:rPr>
        <w:rFonts w:hint="default"/>
      </w:rPr>
    </w:lvl>
  </w:abstractNum>
  <w:abstractNum w:abstractNumId="5">
    <w:multiLevelType w:val="hybridMultilevel"/>
    <w:lvl w:ilvl="0">
      <w:start w:val="135"/>
      <w:numFmt w:val="decimal"/>
      <w:lvlText w:val="%1"/>
      <w:lvlJc w:val="left"/>
      <w:pPr>
        <w:ind w:left="1446" w:hanging="287"/>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2176" w:hanging="287"/>
      </w:pPr>
      <w:rPr>
        <w:rFonts w:hint="default"/>
      </w:rPr>
    </w:lvl>
    <w:lvl w:ilvl="2">
      <w:start w:val="0"/>
      <w:numFmt w:val="bullet"/>
      <w:lvlText w:val="•"/>
      <w:lvlJc w:val="left"/>
      <w:pPr>
        <w:ind w:left="2912" w:hanging="287"/>
      </w:pPr>
      <w:rPr>
        <w:rFonts w:hint="default"/>
      </w:rPr>
    </w:lvl>
    <w:lvl w:ilvl="3">
      <w:start w:val="0"/>
      <w:numFmt w:val="bullet"/>
      <w:lvlText w:val="•"/>
      <w:lvlJc w:val="left"/>
      <w:pPr>
        <w:ind w:left="3648" w:hanging="287"/>
      </w:pPr>
      <w:rPr>
        <w:rFonts w:hint="default"/>
      </w:rPr>
    </w:lvl>
    <w:lvl w:ilvl="4">
      <w:start w:val="0"/>
      <w:numFmt w:val="bullet"/>
      <w:lvlText w:val="•"/>
      <w:lvlJc w:val="left"/>
      <w:pPr>
        <w:ind w:left="4384" w:hanging="287"/>
      </w:pPr>
      <w:rPr>
        <w:rFonts w:hint="default"/>
      </w:rPr>
    </w:lvl>
    <w:lvl w:ilvl="5">
      <w:start w:val="0"/>
      <w:numFmt w:val="bullet"/>
      <w:lvlText w:val="•"/>
      <w:lvlJc w:val="left"/>
      <w:pPr>
        <w:ind w:left="5120" w:hanging="287"/>
      </w:pPr>
      <w:rPr>
        <w:rFonts w:hint="default"/>
      </w:rPr>
    </w:lvl>
    <w:lvl w:ilvl="6">
      <w:start w:val="0"/>
      <w:numFmt w:val="bullet"/>
      <w:lvlText w:val="•"/>
      <w:lvlJc w:val="left"/>
      <w:pPr>
        <w:ind w:left="5856" w:hanging="287"/>
      </w:pPr>
      <w:rPr>
        <w:rFonts w:hint="default"/>
      </w:rPr>
    </w:lvl>
    <w:lvl w:ilvl="7">
      <w:start w:val="0"/>
      <w:numFmt w:val="bullet"/>
      <w:lvlText w:val="•"/>
      <w:lvlJc w:val="left"/>
      <w:pPr>
        <w:ind w:left="6592" w:hanging="287"/>
      </w:pPr>
      <w:rPr>
        <w:rFonts w:hint="default"/>
      </w:rPr>
    </w:lvl>
    <w:lvl w:ilvl="8">
      <w:start w:val="0"/>
      <w:numFmt w:val="bullet"/>
      <w:lvlText w:val="•"/>
      <w:lvlJc w:val="left"/>
      <w:pPr>
        <w:ind w:left="7328" w:hanging="287"/>
      </w:pPr>
      <w:rPr>
        <w:rFonts w:hint="default"/>
      </w:rPr>
    </w:lvl>
  </w:abstractNum>
  <w:abstractNum w:abstractNumId="4">
    <w:multiLevelType w:val="hybridMultilevel"/>
    <w:lvl w:ilvl="0">
      <w:start w:val="130"/>
      <w:numFmt w:val="decimal"/>
      <w:lvlText w:val="%1"/>
      <w:lvlJc w:val="left"/>
      <w:pPr>
        <w:ind w:left="1421" w:hanging="261"/>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2158" w:hanging="261"/>
      </w:pPr>
      <w:rPr>
        <w:rFonts w:hint="default"/>
      </w:rPr>
    </w:lvl>
    <w:lvl w:ilvl="2">
      <w:start w:val="0"/>
      <w:numFmt w:val="bullet"/>
      <w:lvlText w:val="•"/>
      <w:lvlJc w:val="left"/>
      <w:pPr>
        <w:ind w:left="2896" w:hanging="261"/>
      </w:pPr>
      <w:rPr>
        <w:rFonts w:hint="default"/>
      </w:rPr>
    </w:lvl>
    <w:lvl w:ilvl="3">
      <w:start w:val="0"/>
      <w:numFmt w:val="bullet"/>
      <w:lvlText w:val="•"/>
      <w:lvlJc w:val="left"/>
      <w:pPr>
        <w:ind w:left="3634" w:hanging="261"/>
      </w:pPr>
      <w:rPr>
        <w:rFonts w:hint="default"/>
      </w:rPr>
    </w:lvl>
    <w:lvl w:ilvl="4">
      <w:start w:val="0"/>
      <w:numFmt w:val="bullet"/>
      <w:lvlText w:val="•"/>
      <w:lvlJc w:val="left"/>
      <w:pPr>
        <w:ind w:left="4372" w:hanging="261"/>
      </w:pPr>
      <w:rPr>
        <w:rFonts w:hint="default"/>
      </w:rPr>
    </w:lvl>
    <w:lvl w:ilvl="5">
      <w:start w:val="0"/>
      <w:numFmt w:val="bullet"/>
      <w:lvlText w:val="•"/>
      <w:lvlJc w:val="left"/>
      <w:pPr>
        <w:ind w:left="5110" w:hanging="261"/>
      </w:pPr>
      <w:rPr>
        <w:rFonts w:hint="default"/>
      </w:rPr>
    </w:lvl>
    <w:lvl w:ilvl="6">
      <w:start w:val="0"/>
      <w:numFmt w:val="bullet"/>
      <w:lvlText w:val="•"/>
      <w:lvlJc w:val="left"/>
      <w:pPr>
        <w:ind w:left="5848" w:hanging="261"/>
      </w:pPr>
      <w:rPr>
        <w:rFonts w:hint="default"/>
      </w:rPr>
    </w:lvl>
    <w:lvl w:ilvl="7">
      <w:start w:val="0"/>
      <w:numFmt w:val="bullet"/>
      <w:lvlText w:val="•"/>
      <w:lvlJc w:val="left"/>
      <w:pPr>
        <w:ind w:left="6586" w:hanging="261"/>
      </w:pPr>
      <w:rPr>
        <w:rFonts w:hint="default"/>
      </w:rPr>
    </w:lvl>
    <w:lvl w:ilvl="8">
      <w:start w:val="0"/>
      <w:numFmt w:val="bullet"/>
      <w:lvlText w:val="•"/>
      <w:lvlJc w:val="left"/>
      <w:pPr>
        <w:ind w:left="7324" w:hanging="261"/>
      </w:pPr>
      <w:rPr>
        <w:rFonts w:hint="default"/>
      </w:rPr>
    </w:lvl>
  </w:abstractNum>
  <w:abstractNum w:abstractNumId="3">
    <w:multiLevelType w:val="hybridMultilevel"/>
    <w:lvl w:ilvl="0">
      <w:start w:val="119"/>
      <w:numFmt w:val="decimal"/>
      <w:lvlText w:val="%1"/>
      <w:lvlJc w:val="left"/>
      <w:pPr>
        <w:ind w:left="1427" w:hanging="268"/>
        <w:jc w:val="left"/>
      </w:pPr>
      <w:rPr>
        <w:rFonts w:hint="default" w:ascii="Times New Roman" w:hAnsi="Times New Roman" w:eastAsia="Times New Roman" w:cs="Times New Roman"/>
        <w:spacing w:val="0"/>
        <w:w w:val="99"/>
        <w:position w:val="10"/>
        <w:sz w:val="14"/>
        <w:szCs w:val="14"/>
      </w:rPr>
    </w:lvl>
    <w:lvl w:ilvl="1">
      <w:start w:val="0"/>
      <w:numFmt w:val="bullet"/>
      <w:lvlText w:val="•"/>
      <w:lvlJc w:val="left"/>
      <w:pPr>
        <w:ind w:left="1520" w:hanging="268"/>
      </w:pPr>
      <w:rPr>
        <w:rFonts w:hint="default"/>
      </w:rPr>
    </w:lvl>
    <w:lvl w:ilvl="2">
      <w:start w:val="0"/>
      <w:numFmt w:val="bullet"/>
      <w:lvlText w:val="•"/>
      <w:lvlJc w:val="left"/>
      <w:pPr>
        <w:ind w:left="2328" w:hanging="268"/>
      </w:pPr>
      <w:rPr>
        <w:rFonts w:hint="default"/>
      </w:rPr>
    </w:lvl>
    <w:lvl w:ilvl="3">
      <w:start w:val="0"/>
      <w:numFmt w:val="bullet"/>
      <w:lvlText w:val="•"/>
      <w:lvlJc w:val="left"/>
      <w:pPr>
        <w:ind w:left="3137" w:hanging="268"/>
      </w:pPr>
      <w:rPr>
        <w:rFonts w:hint="default"/>
      </w:rPr>
    </w:lvl>
    <w:lvl w:ilvl="4">
      <w:start w:val="0"/>
      <w:numFmt w:val="bullet"/>
      <w:lvlText w:val="•"/>
      <w:lvlJc w:val="left"/>
      <w:pPr>
        <w:ind w:left="3946" w:hanging="268"/>
      </w:pPr>
      <w:rPr>
        <w:rFonts w:hint="default"/>
      </w:rPr>
    </w:lvl>
    <w:lvl w:ilvl="5">
      <w:start w:val="0"/>
      <w:numFmt w:val="bullet"/>
      <w:lvlText w:val="•"/>
      <w:lvlJc w:val="left"/>
      <w:pPr>
        <w:ind w:left="4755" w:hanging="268"/>
      </w:pPr>
      <w:rPr>
        <w:rFonts w:hint="default"/>
      </w:rPr>
    </w:lvl>
    <w:lvl w:ilvl="6">
      <w:start w:val="0"/>
      <w:numFmt w:val="bullet"/>
      <w:lvlText w:val="•"/>
      <w:lvlJc w:val="left"/>
      <w:pPr>
        <w:ind w:left="5564" w:hanging="268"/>
      </w:pPr>
      <w:rPr>
        <w:rFonts w:hint="default"/>
      </w:rPr>
    </w:lvl>
    <w:lvl w:ilvl="7">
      <w:start w:val="0"/>
      <w:numFmt w:val="bullet"/>
      <w:lvlText w:val="•"/>
      <w:lvlJc w:val="left"/>
      <w:pPr>
        <w:ind w:left="6373" w:hanging="268"/>
      </w:pPr>
      <w:rPr>
        <w:rFonts w:hint="default"/>
      </w:rPr>
    </w:lvl>
    <w:lvl w:ilvl="8">
      <w:start w:val="0"/>
      <w:numFmt w:val="bullet"/>
      <w:lvlText w:val="•"/>
      <w:lvlJc w:val="left"/>
      <w:pPr>
        <w:ind w:left="7182" w:hanging="268"/>
      </w:pPr>
      <w:rPr>
        <w:rFonts w:hint="default"/>
      </w:rPr>
    </w:lvl>
  </w:abstractNum>
  <w:abstractNum w:abstractNumId="2">
    <w:multiLevelType w:val="hybridMultilevel"/>
    <w:lvl w:ilvl="0">
      <w:start w:val="113"/>
      <w:numFmt w:val="decimal"/>
      <w:lvlText w:val="%1"/>
      <w:lvlJc w:val="left"/>
      <w:pPr>
        <w:ind w:left="1421" w:hanging="261"/>
        <w:jc w:val="left"/>
      </w:pPr>
      <w:rPr>
        <w:rFonts w:hint="default" w:ascii="Times New Roman" w:hAnsi="Times New Roman" w:eastAsia="Times New Roman" w:cs="Times New Roman"/>
        <w:spacing w:val="0"/>
        <w:w w:val="99"/>
        <w:position w:val="9"/>
        <w:sz w:val="14"/>
        <w:szCs w:val="14"/>
      </w:rPr>
    </w:lvl>
    <w:lvl w:ilvl="1">
      <w:start w:val="0"/>
      <w:numFmt w:val="bullet"/>
      <w:lvlText w:val="•"/>
      <w:lvlJc w:val="left"/>
      <w:pPr>
        <w:ind w:left="2158" w:hanging="261"/>
      </w:pPr>
      <w:rPr>
        <w:rFonts w:hint="default"/>
      </w:rPr>
    </w:lvl>
    <w:lvl w:ilvl="2">
      <w:start w:val="0"/>
      <w:numFmt w:val="bullet"/>
      <w:lvlText w:val="•"/>
      <w:lvlJc w:val="left"/>
      <w:pPr>
        <w:ind w:left="2896" w:hanging="261"/>
      </w:pPr>
      <w:rPr>
        <w:rFonts w:hint="default"/>
      </w:rPr>
    </w:lvl>
    <w:lvl w:ilvl="3">
      <w:start w:val="0"/>
      <w:numFmt w:val="bullet"/>
      <w:lvlText w:val="•"/>
      <w:lvlJc w:val="left"/>
      <w:pPr>
        <w:ind w:left="3634" w:hanging="261"/>
      </w:pPr>
      <w:rPr>
        <w:rFonts w:hint="default"/>
      </w:rPr>
    </w:lvl>
    <w:lvl w:ilvl="4">
      <w:start w:val="0"/>
      <w:numFmt w:val="bullet"/>
      <w:lvlText w:val="•"/>
      <w:lvlJc w:val="left"/>
      <w:pPr>
        <w:ind w:left="4372" w:hanging="261"/>
      </w:pPr>
      <w:rPr>
        <w:rFonts w:hint="default"/>
      </w:rPr>
    </w:lvl>
    <w:lvl w:ilvl="5">
      <w:start w:val="0"/>
      <w:numFmt w:val="bullet"/>
      <w:lvlText w:val="•"/>
      <w:lvlJc w:val="left"/>
      <w:pPr>
        <w:ind w:left="5110" w:hanging="261"/>
      </w:pPr>
      <w:rPr>
        <w:rFonts w:hint="default"/>
      </w:rPr>
    </w:lvl>
    <w:lvl w:ilvl="6">
      <w:start w:val="0"/>
      <w:numFmt w:val="bullet"/>
      <w:lvlText w:val="•"/>
      <w:lvlJc w:val="left"/>
      <w:pPr>
        <w:ind w:left="5848" w:hanging="261"/>
      </w:pPr>
      <w:rPr>
        <w:rFonts w:hint="default"/>
      </w:rPr>
    </w:lvl>
    <w:lvl w:ilvl="7">
      <w:start w:val="0"/>
      <w:numFmt w:val="bullet"/>
      <w:lvlText w:val="•"/>
      <w:lvlJc w:val="left"/>
      <w:pPr>
        <w:ind w:left="6586" w:hanging="261"/>
      </w:pPr>
      <w:rPr>
        <w:rFonts w:hint="default"/>
      </w:rPr>
    </w:lvl>
    <w:lvl w:ilvl="8">
      <w:start w:val="0"/>
      <w:numFmt w:val="bullet"/>
      <w:lvlText w:val="•"/>
      <w:lvlJc w:val="left"/>
      <w:pPr>
        <w:ind w:left="7324" w:hanging="261"/>
      </w:pPr>
      <w:rPr>
        <w:rFonts w:hint="default"/>
      </w:rPr>
    </w:lvl>
  </w:abstractNum>
  <w:abstractNum w:abstractNumId="1">
    <w:multiLevelType w:val="hybridMultilevel"/>
    <w:lvl w:ilvl="0">
      <w:start w:val="1"/>
      <w:numFmt w:val="upperLetter"/>
      <w:lvlText w:val="%1]"/>
      <w:lvlJc w:val="left"/>
      <w:pPr>
        <w:ind w:left="2240" w:hanging="720"/>
        <w:jc w:val="left"/>
      </w:pPr>
      <w:rPr>
        <w:rFonts w:hint="default" w:ascii="Century Gothic" w:hAnsi="Century Gothic" w:eastAsia="Century Gothic" w:cs="Century Gothic"/>
        <w:spacing w:val="0"/>
        <w:w w:val="99"/>
        <w:sz w:val="26"/>
        <w:szCs w:val="26"/>
      </w:rPr>
    </w:lvl>
    <w:lvl w:ilvl="1">
      <w:start w:val="0"/>
      <w:numFmt w:val="bullet"/>
      <w:lvlText w:val="•"/>
      <w:lvlJc w:val="left"/>
      <w:pPr>
        <w:ind w:left="2896" w:hanging="720"/>
      </w:pPr>
      <w:rPr>
        <w:rFonts w:hint="default"/>
      </w:rPr>
    </w:lvl>
    <w:lvl w:ilvl="2">
      <w:start w:val="0"/>
      <w:numFmt w:val="bullet"/>
      <w:lvlText w:val="•"/>
      <w:lvlJc w:val="left"/>
      <w:pPr>
        <w:ind w:left="3552" w:hanging="720"/>
      </w:pPr>
      <w:rPr>
        <w:rFonts w:hint="default"/>
      </w:rPr>
    </w:lvl>
    <w:lvl w:ilvl="3">
      <w:start w:val="0"/>
      <w:numFmt w:val="bullet"/>
      <w:lvlText w:val="•"/>
      <w:lvlJc w:val="left"/>
      <w:pPr>
        <w:ind w:left="4208" w:hanging="720"/>
      </w:pPr>
      <w:rPr>
        <w:rFonts w:hint="default"/>
      </w:rPr>
    </w:lvl>
    <w:lvl w:ilvl="4">
      <w:start w:val="0"/>
      <w:numFmt w:val="bullet"/>
      <w:lvlText w:val="•"/>
      <w:lvlJc w:val="left"/>
      <w:pPr>
        <w:ind w:left="4864" w:hanging="720"/>
      </w:pPr>
      <w:rPr>
        <w:rFonts w:hint="default"/>
      </w:rPr>
    </w:lvl>
    <w:lvl w:ilvl="5">
      <w:start w:val="0"/>
      <w:numFmt w:val="bullet"/>
      <w:lvlText w:val="•"/>
      <w:lvlJc w:val="left"/>
      <w:pPr>
        <w:ind w:left="5520" w:hanging="720"/>
      </w:pPr>
      <w:rPr>
        <w:rFonts w:hint="default"/>
      </w:rPr>
    </w:lvl>
    <w:lvl w:ilvl="6">
      <w:start w:val="0"/>
      <w:numFmt w:val="bullet"/>
      <w:lvlText w:val="•"/>
      <w:lvlJc w:val="left"/>
      <w:pPr>
        <w:ind w:left="6176" w:hanging="720"/>
      </w:pPr>
      <w:rPr>
        <w:rFonts w:hint="default"/>
      </w:rPr>
    </w:lvl>
    <w:lvl w:ilvl="7">
      <w:start w:val="0"/>
      <w:numFmt w:val="bullet"/>
      <w:lvlText w:val="•"/>
      <w:lvlJc w:val="left"/>
      <w:pPr>
        <w:ind w:left="6832" w:hanging="720"/>
      </w:pPr>
      <w:rPr>
        <w:rFonts w:hint="default"/>
      </w:rPr>
    </w:lvl>
    <w:lvl w:ilvl="8">
      <w:start w:val="0"/>
      <w:numFmt w:val="bullet"/>
      <w:lvlText w:val="•"/>
      <w:lvlJc w:val="left"/>
      <w:pPr>
        <w:ind w:left="7488" w:hanging="720"/>
      </w:pPr>
      <w:rPr>
        <w:rFonts w:hint="default"/>
      </w:rPr>
    </w:lvl>
  </w:abstractNum>
  <w:abstractNum w:abstractNumId="0">
    <w:multiLevelType w:val="hybridMultilevel"/>
    <w:lvl w:ilvl="0">
      <w:start w:val="1"/>
      <w:numFmt w:val="upperLetter"/>
      <w:lvlText w:val="%1]"/>
      <w:lvlJc w:val="left"/>
      <w:pPr>
        <w:ind w:left="1897" w:hanging="378"/>
        <w:jc w:val="left"/>
      </w:pPr>
      <w:rPr>
        <w:rFonts w:hint="default" w:ascii="Century Gothic" w:hAnsi="Century Gothic" w:eastAsia="Century Gothic" w:cs="Century Gothic"/>
        <w:spacing w:val="-6"/>
        <w:w w:val="99"/>
        <w:sz w:val="20"/>
        <w:szCs w:val="20"/>
      </w:rPr>
    </w:lvl>
    <w:lvl w:ilvl="1">
      <w:start w:val="0"/>
      <w:numFmt w:val="bullet"/>
      <w:lvlText w:val="•"/>
      <w:lvlJc w:val="left"/>
      <w:pPr>
        <w:ind w:left="2590" w:hanging="378"/>
      </w:pPr>
      <w:rPr>
        <w:rFonts w:hint="default"/>
      </w:rPr>
    </w:lvl>
    <w:lvl w:ilvl="2">
      <w:start w:val="0"/>
      <w:numFmt w:val="bullet"/>
      <w:lvlText w:val="•"/>
      <w:lvlJc w:val="left"/>
      <w:pPr>
        <w:ind w:left="3280" w:hanging="378"/>
      </w:pPr>
      <w:rPr>
        <w:rFonts w:hint="default"/>
      </w:rPr>
    </w:lvl>
    <w:lvl w:ilvl="3">
      <w:start w:val="0"/>
      <w:numFmt w:val="bullet"/>
      <w:lvlText w:val="•"/>
      <w:lvlJc w:val="left"/>
      <w:pPr>
        <w:ind w:left="3970" w:hanging="378"/>
      </w:pPr>
      <w:rPr>
        <w:rFonts w:hint="default"/>
      </w:rPr>
    </w:lvl>
    <w:lvl w:ilvl="4">
      <w:start w:val="0"/>
      <w:numFmt w:val="bullet"/>
      <w:lvlText w:val="•"/>
      <w:lvlJc w:val="left"/>
      <w:pPr>
        <w:ind w:left="4660" w:hanging="378"/>
      </w:pPr>
      <w:rPr>
        <w:rFonts w:hint="default"/>
      </w:rPr>
    </w:lvl>
    <w:lvl w:ilvl="5">
      <w:start w:val="0"/>
      <w:numFmt w:val="bullet"/>
      <w:lvlText w:val="•"/>
      <w:lvlJc w:val="left"/>
      <w:pPr>
        <w:ind w:left="5350" w:hanging="378"/>
      </w:pPr>
      <w:rPr>
        <w:rFonts w:hint="default"/>
      </w:rPr>
    </w:lvl>
    <w:lvl w:ilvl="6">
      <w:start w:val="0"/>
      <w:numFmt w:val="bullet"/>
      <w:lvlText w:val="•"/>
      <w:lvlJc w:val="left"/>
      <w:pPr>
        <w:ind w:left="6040" w:hanging="378"/>
      </w:pPr>
      <w:rPr>
        <w:rFonts w:hint="default"/>
      </w:rPr>
    </w:lvl>
    <w:lvl w:ilvl="7">
      <w:start w:val="0"/>
      <w:numFmt w:val="bullet"/>
      <w:lvlText w:val="•"/>
      <w:lvlJc w:val="left"/>
      <w:pPr>
        <w:ind w:left="6730" w:hanging="378"/>
      </w:pPr>
      <w:rPr>
        <w:rFonts w:hint="default"/>
      </w:rPr>
    </w:lvl>
    <w:lvl w:ilvl="8">
      <w:start w:val="0"/>
      <w:numFmt w:val="bullet"/>
      <w:lvlText w:val="•"/>
      <w:lvlJc w:val="left"/>
      <w:pPr>
        <w:ind w:left="7420" w:hanging="378"/>
      </w:pPr>
      <w:rPr>
        <w:rFonts w:hint="default"/>
      </w:rPr>
    </w:lvl>
  </w:abstract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rPr>
  </w:style>
  <w:style w:styleId="BodyText" w:type="paragraph">
    <w:name w:val="Body Text"/>
    <w:basedOn w:val="Normal"/>
    <w:uiPriority w:val="1"/>
    <w:qFormat/>
    <w:pPr/>
    <w:rPr>
      <w:rFonts w:ascii="Century Gothic" w:hAnsi="Century Gothic" w:eastAsia="Century Gothic" w:cs="Century Gothic"/>
      <w:sz w:val="26"/>
      <w:szCs w:val="26"/>
    </w:rPr>
  </w:style>
  <w:style w:styleId="ListParagraph" w:type="paragraph">
    <w:name w:val="List Paragraph"/>
    <w:basedOn w:val="Normal"/>
    <w:uiPriority w:val="1"/>
    <w:qFormat/>
    <w:pPr>
      <w:ind w:left="1160"/>
    </w:pPr>
    <w:rPr>
      <w:rFonts w:ascii="Times New Roman" w:hAnsi="Times New Roman" w:eastAsia="Times New Roman" w:cs="Times New Roman"/>
    </w:rPr>
  </w:style>
  <w:style w:styleId="TableParagraph" w:type="paragraph">
    <w:name w:val="Table Paragraph"/>
    <w:basedOn w:val="Normal"/>
    <w:uiPriority w:val="1"/>
    <w:qFormat/>
    <w:pPr>
      <w:spacing w:line="271" w:lineRule="exact"/>
      <w:ind w:left="47"/>
    </w:pPr>
    <w:rPr>
      <w:rFonts w:ascii="Century Gothic" w:hAnsi="Century Gothic" w:eastAsia="Century Gothic" w:cs="Century Gothic"/>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footer" Target="footer8.xml"/><Relationship Id="rId13" Type="http://schemas.openxmlformats.org/officeDocument/2006/relationships/footer" Target="footer9.xml"/><Relationship Id="rId14" Type="http://schemas.openxmlformats.org/officeDocument/2006/relationships/footer" Target="footer10.xml"/><Relationship Id="rId15" Type="http://schemas.openxmlformats.org/officeDocument/2006/relationships/footer" Target="footer11.xm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2024-05-06T07:09:30Z</dcterms:created>
  <dcterms:modified xsi:type="dcterms:W3CDTF">2024-05-06T07:09:30Z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2024-05-06T00:00:00Z</vt:filetime>
  </property>
  <property fmtid="{D5CDD505-2E9C-101B-9397-08002B2CF9AE}" pid="3" name="Creator">
    <vt:lpwstr>Adobe Acrobat Pro DC 20.6.20034</vt:lpwstr>
  </property>
  <property fmtid="{D5CDD505-2E9C-101B-9397-08002B2CF9AE}" pid="4" name="LastSaved">
    <vt:filetime>2024-05-06T00:00:00Z</vt:filetime>
  </property>
</Properties>
</file>