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Default Extension="png" ContentType="image/png"/>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4"/>
        </w:rPr>
      </w:pPr>
    </w:p>
    <w:p>
      <w:pPr>
        <w:pStyle w:val="BodyText"/>
        <w:spacing w:line="60" w:lineRule="exact"/>
        <w:ind w:left="6136"/>
        <w:rPr>
          <w:rFonts w:ascii="Times New Roman"/>
          <w:sz w:val="6"/>
        </w:rPr>
      </w:pPr>
      <w:r>
        <w:rPr>
          <w:rFonts w:ascii="Times New Roman"/>
          <w:position w:val="0"/>
          <w:sz w:val="6"/>
        </w:rPr>
        <w:pict>
          <v:group style="width:288.150pt;height:2.95pt;mso-position-horizontal-relative:char;mso-position-vertical-relative:line" coordorigin="0,0" coordsize="5763,59">
            <v:line style="position:absolute" from="0,30" to="5762,30" stroked="true" strokeweight="2.95pt" strokecolor="#000000">
              <v:stroke dashstyle="solid"/>
            </v:line>
          </v:group>
        </w:pict>
      </w:r>
      <w:r>
        <w:rPr>
          <w:rFonts w:ascii="Times New Roman"/>
          <w:position w:val="0"/>
          <w:sz w:val="6"/>
        </w:rPr>
      </w:r>
    </w:p>
    <w:p>
      <w:pPr>
        <w:pStyle w:val="BodyText"/>
        <w:spacing w:before="4"/>
        <w:rPr>
          <w:rFonts w:ascii="Times New Roman"/>
          <w:sz w:val="19"/>
        </w:rPr>
      </w:pPr>
      <w:r>
        <w:rPr/>
        <w:pict>
          <v:shape style="position:absolute;margin-left:315.348022pt;margin-top:14.587197pt;width:287.9pt;height:.1pt;mso-position-horizontal-relative:page;mso-position-vertical-relative:paragraph;z-index:-251657216;mso-wrap-distance-left:0;mso-wrap-distance-right:0" coordorigin="6307,292" coordsize="5758,0" path="m6307,292l12065,292e" filled="false" stroked="true" strokeweight="2.95pt" strokecolor="#000000">
            <v:path arrowok="t"/>
            <v:stroke dashstyle="solid"/>
            <w10:wrap type="topAndBottom"/>
          </v:shape>
        </w:pict>
      </w:r>
      <w:r>
        <w:rPr/>
        <w:pict>
          <v:shape style="position:absolute;margin-left:315.348022pt;margin-top:30.667198pt;width:145.1pt;height:.1pt;mso-position-horizontal-relative:page;mso-position-vertical-relative:paragraph;z-index:-251656192;mso-wrap-distance-left:0;mso-wrap-distance-right:0" coordorigin="6307,613" coordsize="2902,0" path="m6307,613l9209,613e" filled="false" stroked="true" strokeweight="2.95pt" strokecolor="#000000">
            <v:path arrowok="t"/>
            <v:stroke dashstyle="solid"/>
            <w10:wrap type="topAndBottom"/>
          </v:shape>
        </w:pict>
      </w:r>
    </w:p>
    <w:p>
      <w:pPr>
        <w:pStyle w:val="BodyText"/>
        <w:spacing w:before="9"/>
        <w:rPr>
          <w:rFonts w:ascii="Times New Roman"/>
          <w:sz w:val="16"/>
        </w:rPr>
      </w:pPr>
    </w:p>
    <w:p>
      <w:pPr>
        <w:pStyle w:val="BodyText"/>
        <w:spacing w:before="2"/>
        <w:rPr>
          <w:rFonts w:ascii="Times New Roman"/>
          <w:sz w:val="17"/>
        </w:rPr>
      </w:pPr>
    </w:p>
    <w:p>
      <w:pPr>
        <w:spacing w:before="34"/>
        <w:ind w:left="0" w:right="96" w:firstLine="0"/>
        <w:jc w:val="center"/>
        <w:rPr>
          <w:b/>
          <w:sz w:val="30"/>
        </w:rPr>
      </w:pPr>
      <w:r>
        <w:rPr/>
        <w:pict>
          <v:line style="position:absolute;mso-position-horizontal-relative:page;mso-position-vertical-relative:paragraph;z-index:251664384" from="465.959991pt,19.334892pt" to="603.231991pt,19.334892pt" stroked="true" strokeweight="2.95pt" strokecolor="#000000">
            <v:stroke dashstyle="solid"/>
            <w10:wrap type="none"/>
          </v:line>
        </w:pict>
      </w:r>
      <w:bookmarkStart w:name="Law and Procedure 187" w:id="1"/>
      <w:bookmarkEnd w:id="1"/>
      <w:r>
        <w:rPr/>
      </w:r>
      <w:r>
        <w:rPr>
          <w:b/>
          <w:sz w:val="30"/>
        </w:rPr>
        <w:t>CHAPTER V</w:t>
      </w:r>
    </w:p>
    <w:p>
      <w:pPr>
        <w:pStyle w:val="BodyText"/>
        <w:spacing w:before="4"/>
        <w:rPr>
          <w:b/>
          <w:sz w:val="19"/>
        </w:rPr>
      </w:pPr>
      <w:r>
        <w:rPr/>
        <w:pict>
          <v:shape style="position:absolute;margin-left:315.359985pt;margin-top:15.32472pt;width:287.75pt;height:.1pt;mso-position-horizontal-relative:page;mso-position-vertical-relative:paragraph;z-index:-251655168;mso-wrap-distance-left:0;mso-wrap-distance-right:0" coordorigin="6307,306" coordsize="5755,0" path="m6307,306l12062,306e" filled="false" stroked="true" strokeweight="2.95pt" strokecolor="#000000">
            <v:path arrowok="t"/>
            <v:stroke dashstyle="solid"/>
            <w10:wrap type="topAndBottom"/>
          </v:shape>
        </w:pict>
      </w:r>
    </w:p>
    <w:p>
      <w:pPr>
        <w:tabs>
          <w:tab w:pos="10485" w:val="left" w:leader="none"/>
        </w:tabs>
        <w:spacing w:line="260" w:lineRule="exact" w:before="0"/>
        <w:ind w:left="5108" w:right="0" w:firstLine="0"/>
        <w:jc w:val="left"/>
        <w:rPr>
          <w:b/>
          <w:sz w:val="26"/>
        </w:rPr>
      </w:pPr>
      <w:r>
        <w:rPr>
          <w:b/>
          <w:sz w:val="26"/>
        </w:rPr>
        <w:t>TIMING</w:t>
      </w:r>
      <w:r>
        <w:rPr>
          <w:b/>
          <w:spacing w:val="-6"/>
          <w:sz w:val="26"/>
        </w:rPr>
        <w:t> </w:t>
      </w:r>
      <w:r>
        <w:rPr>
          <w:b/>
          <w:sz w:val="26"/>
        </w:rPr>
        <w:t>I</w:t>
      </w:r>
      <w:r>
        <w:rPr>
          <w:b/>
          <w:sz w:val="26"/>
          <w:u w:val="thick"/>
        </w:rPr>
        <w:t>SSUES</w:t>
        <w:tab/>
      </w:r>
    </w:p>
    <w:p>
      <w:pPr>
        <w:spacing w:line="244" w:lineRule="exact" w:before="0"/>
        <w:ind w:left="0" w:right="3212" w:firstLine="0"/>
        <w:jc w:val="right"/>
        <w:rPr>
          <w:sz w:val="20"/>
        </w:rPr>
      </w:pPr>
      <w:r>
        <w:rPr/>
        <w:pict>
          <v:line style="position:absolute;mso-position-horizontal-relative:page;mso-position-vertical-relative:paragraph;z-index:251665408" from="584.414978pt,15.98288pt" to="605.004978pt,15.98288pt" stroked="true" strokeweight="2.95pt" strokecolor="#000000">
            <v:stroke dashstyle="solid"/>
            <w10:wrap type="none"/>
          </v:line>
        </w:pict>
      </w:r>
      <w:r>
        <w:rPr>
          <w:w w:val="95"/>
          <w:sz w:val="20"/>
        </w:rPr>
        <w:t>Pages</w:t>
      </w:r>
    </w:p>
    <w:p>
      <w:pPr>
        <w:pStyle w:val="ListParagraph"/>
        <w:numPr>
          <w:ilvl w:val="0"/>
          <w:numId w:val="1"/>
        </w:numPr>
        <w:tabs>
          <w:tab w:pos="3422" w:val="left" w:leader="none"/>
          <w:tab w:pos="8744" w:val="right" w:leader="none"/>
        </w:tabs>
        <w:spacing w:line="245" w:lineRule="exact" w:before="321" w:after="0"/>
        <w:ind w:left="3421" w:right="0" w:hanging="322"/>
        <w:jc w:val="left"/>
        <w:rPr>
          <w:rFonts w:ascii="Century Gothic"/>
          <w:sz w:val="20"/>
        </w:rPr>
      </w:pPr>
      <w:r>
        <w:rPr/>
        <w:pict>
          <v:line style="position:absolute;mso-position-horizontal-relative:page;mso-position-vertical-relative:paragraph;z-index:-254276608" from="317.414978pt,19.651552pt" to="536.455978pt,19.651552pt" stroked="true" strokeweight="2.95pt" strokecolor="#000000">
            <v:stroke dashstyle="solid"/>
            <w10:wrap type="none"/>
          </v:line>
        </w:pict>
      </w:r>
      <w:r>
        <w:rPr>
          <w:rFonts w:ascii="Century Gothic"/>
          <w:sz w:val="20"/>
        </w:rPr>
        <w:t>When Appraisal Should</w:t>
      </w:r>
      <w:r>
        <w:rPr>
          <w:rFonts w:ascii="Century Gothic"/>
          <w:spacing w:val="-5"/>
          <w:sz w:val="20"/>
        </w:rPr>
        <w:t> </w:t>
      </w:r>
      <w:r>
        <w:rPr>
          <w:rFonts w:ascii="Century Gothic"/>
          <w:sz w:val="20"/>
        </w:rPr>
        <w:t>be</w:t>
      </w:r>
      <w:r>
        <w:rPr>
          <w:rFonts w:ascii="Century Gothic"/>
          <w:spacing w:val="-2"/>
          <w:sz w:val="20"/>
        </w:rPr>
        <w:t> </w:t>
      </w:r>
      <w:r>
        <w:rPr>
          <w:rFonts w:ascii="Century Gothic"/>
          <w:sz w:val="20"/>
        </w:rPr>
        <w:t>Demanded</w:t>
        <w:tab/>
        <w:t>241</w:t>
      </w:r>
    </w:p>
    <w:p>
      <w:pPr>
        <w:pStyle w:val="ListParagraph"/>
        <w:numPr>
          <w:ilvl w:val="0"/>
          <w:numId w:val="1"/>
        </w:numPr>
        <w:tabs>
          <w:tab w:pos="3397" w:val="left" w:leader="none"/>
          <w:tab w:pos="8745" w:val="right" w:leader="none"/>
        </w:tabs>
        <w:spacing w:line="245" w:lineRule="exact" w:before="0" w:after="0"/>
        <w:ind w:left="3396" w:right="0" w:hanging="297"/>
        <w:jc w:val="left"/>
        <w:rPr>
          <w:rFonts w:ascii="Century Gothic"/>
          <w:sz w:val="20"/>
        </w:rPr>
      </w:pPr>
      <w:r>
        <w:rPr>
          <w:rFonts w:ascii="Century Gothic"/>
          <w:sz w:val="20"/>
        </w:rPr>
        <w:t>Responding to a Demand</w:t>
      </w:r>
      <w:r>
        <w:rPr>
          <w:rFonts w:ascii="Century Gothic"/>
          <w:spacing w:val="-7"/>
          <w:sz w:val="20"/>
        </w:rPr>
        <w:t> </w:t>
      </w:r>
      <w:r>
        <w:rPr>
          <w:rFonts w:ascii="Century Gothic"/>
          <w:sz w:val="20"/>
        </w:rPr>
        <w:t>for</w:t>
      </w:r>
      <w:r>
        <w:rPr>
          <w:rFonts w:ascii="Century Gothic"/>
          <w:spacing w:val="-1"/>
          <w:sz w:val="20"/>
        </w:rPr>
        <w:t> </w:t>
      </w:r>
      <w:r>
        <w:rPr>
          <w:rFonts w:ascii="Century Gothic"/>
          <w:sz w:val="20"/>
        </w:rPr>
        <w:t>Appraisal</w:t>
        <w:tab/>
        <w:t>279</w:t>
      </w:r>
    </w:p>
    <w:p>
      <w:pPr>
        <w:pStyle w:val="ListParagraph"/>
        <w:numPr>
          <w:ilvl w:val="0"/>
          <w:numId w:val="1"/>
        </w:numPr>
        <w:tabs>
          <w:tab w:pos="3444" w:val="left" w:leader="none"/>
        </w:tabs>
        <w:spacing w:line="245" w:lineRule="exact" w:before="0" w:after="0"/>
        <w:ind w:left="3443" w:right="0" w:hanging="344"/>
        <w:jc w:val="left"/>
        <w:rPr>
          <w:rFonts w:ascii="Century Gothic"/>
          <w:sz w:val="20"/>
        </w:rPr>
      </w:pPr>
      <w:r>
        <w:rPr>
          <w:rFonts w:ascii="Century Gothic"/>
          <w:sz w:val="20"/>
        </w:rPr>
        <w:t>The Order of Priority Between</w:t>
      </w:r>
      <w:r>
        <w:rPr>
          <w:rFonts w:ascii="Century Gothic"/>
          <w:spacing w:val="-7"/>
          <w:sz w:val="20"/>
        </w:rPr>
        <w:t> </w:t>
      </w:r>
      <w:r>
        <w:rPr>
          <w:rFonts w:ascii="Century Gothic"/>
          <w:sz w:val="20"/>
        </w:rPr>
        <w:t>Appraisal</w:t>
      </w:r>
    </w:p>
    <w:p>
      <w:pPr>
        <w:tabs>
          <w:tab w:pos="8746" w:val="right" w:leader="none"/>
        </w:tabs>
        <w:spacing w:line="245" w:lineRule="exact" w:before="0"/>
        <w:ind w:left="3431" w:right="0" w:firstLine="0"/>
        <w:jc w:val="left"/>
        <w:rPr>
          <w:sz w:val="20"/>
        </w:rPr>
      </w:pPr>
      <w:r>
        <w:rPr>
          <w:sz w:val="20"/>
        </w:rPr>
        <w:t>and</w:t>
      </w:r>
      <w:r>
        <w:rPr>
          <w:spacing w:val="-1"/>
          <w:sz w:val="20"/>
        </w:rPr>
        <w:t> </w:t>
      </w:r>
      <w:r>
        <w:rPr>
          <w:sz w:val="20"/>
        </w:rPr>
        <w:t>Litigation</w:t>
        <w:tab/>
        <w:t>284</w:t>
      </w:r>
    </w:p>
    <w:p>
      <w:pPr>
        <w:pStyle w:val="ListParagraph"/>
        <w:numPr>
          <w:ilvl w:val="0"/>
          <w:numId w:val="1"/>
        </w:numPr>
        <w:tabs>
          <w:tab w:pos="3432" w:val="left" w:leader="none"/>
          <w:tab w:pos="8746" w:val="right" w:leader="none"/>
        </w:tabs>
        <w:spacing w:line="245" w:lineRule="exact" w:before="0" w:after="0"/>
        <w:ind w:left="3431" w:right="0" w:hanging="332"/>
        <w:jc w:val="left"/>
        <w:rPr>
          <w:rFonts w:ascii="Century Gothic"/>
          <w:sz w:val="20"/>
        </w:rPr>
      </w:pPr>
      <w:r>
        <w:rPr>
          <w:rFonts w:ascii="Century Gothic"/>
          <w:sz w:val="20"/>
        </w:rPr>
        <w:t>Timing of</w:t>
      </w:r>
      <w:r>
        <w:rPr>
          <w:rFonts w:ascii="Century Gothic"/>
          <w:spacing w:val="-3"/>
          <w:sz w:val="20"/>
        </w:rPr>
        <w:t> </w:t>
      </w:r>
      <w:r>
        <w:rPr>
          <w:rFonts w:ascii="Century Gothic"/>
          <w:sz w:val="20"/>
        </w:rPr>
        <w:t>the</w:t>
      </w:r>
      <w:r>
        <w:rPr>
          <w:rFonts w:ascii="Century Gothic"/>
          <w:spacing w:val="-1"/>
          <w:sz w:val="20"/>
        </w:rPr>
        <w:t> </w:t>
      </w:r>
      <w:r>
        <w:rPr>
          <w:rFonts w:ascii="Century Gothic"/>
          <w:sz w:val="20"/>
        </w:rPr>
        <w:t>Award</w:t>
        <w:tab/>
        <w:t>299</w:t>
      </w:r>
    </w:p>
    <w:p>
      <w:pPr>
        <w:pStyle w:val="ListParagraph"/>
        <w:numPr>
          <w:ilvl w:val="0"/>
          <w:numId w:val="1"/>
        </w:numPr>
        <w:tabs>
          <w:tab w:pos="3391" w:val="left" w:leader="none"/>
          <w:tab w:pos="8746" w:val="right" w:leader="none"/>
        </w:tabs>
        <w:spacing w:line="245" w:lineRule="exact" w:before="0" w:after="0"/>
        <w:ind w:left="3390" w:right="0" w:hanging="291"/>
        <w:jc w:val="left"/>
        <w:rPr>
          <w:rFonts w:ascii="Century Gothic"/>
          <w:sz w:val="20"/>
        </w:rPr>
      </w:pPr>
      <w:r>
        <w:rPr>
          <w:rFonts w:ascii="Century Gothic"/>
          <w:sz w:val="20"/>
        </w:rPr>
        <w:t>When the Loss</w:t>
      </w:r>
      <w:r>
        <w:rPr>
          <w:rFonts w:ascii="Century Gothic"/>
          <w:spacing w:val="-4"/>
          <w:sz w:val="20"/>
        </w:rPr>
        <w:t> </w:t>
      </w:r>
      <w:r>
        <w:rPr>
          <w:rFonts w:ascii="Century Gothic"/>
          <w:sz w:val="20"/>
        </w:rPr>
        <w:t>is</w:t>
      </w:r>
      <w:r>
        <w:rPr>
          <w:rFonts w:ascii="Century Gothic"/>
          <w:spacing w:val="-1"/>
          <w:sz w:val="20"/>
        </w:rPr>
        <w:t> </w:t>
      </w:r>
      <w:r>
        <w:rPr>
          <w:rFonts w:ascii="Century Gothic"/>
          <w:sz w:val="20"/>
        </w:rPr>
        <w:t>Payable</w:t>
        <w:tab/>
        <w:t>301</w:t>
      </w:r>
    </w:p>
    <w:p>
      <w:pPr>
        <w:pStyle w:val="ListParagraph"/>
        <w:numPr>
          <w:ilvl w:val="0"/>
          <w:numId w:val="1"/>
        </w:numPr>
        <w:tabs>
          <w:tab w:pos="3379" w:val="left" w:leader="none"/>
          <w:tab w:pos="8745" w:val="right" w:leader="none"/>
        </w:tabs>
        <w:spacing w:line="245" w:lineRule="exact" w:before="0" w:after="0"/>
        <w:ind w:left="3378" w:right="0" w:hanging="279"/>
        <w:jc w:val="left"/>
        <w:rPr>
          <w:rFonts w:ascii="Century Gothic"/>
          <w:sz w:val="20"/>
        </w:rPr>
      </w:pPr>
      <w:r>
        <w:rPr>
          <w:rFonts w:ascii="Century Gothic"/>
          <w:sz w:val="20"/>
        </w:rPr>
        <w:t>Time to</w:t>
      </w:r>
      <w:r>
        <w:rPr>
          <w:rFonts w:ascii="Century Gothic"/>
          <w:spacing w:val="-5"/>
          <w:sz w:val="20"/>
        </w:rPr>
        <w:t> </w:t>
      </w:r>
      <w:r>
        <w:rPr>
          <w:rFonts w:ascii="Century Gothic"/>
          <w:sz w:val="20"/>
        </w:rPr>
        <w:t>Bring</w:t>
      </w:r>
      <w:r>
        <w:rPr>
          <w:rFonts w:ascii="Century Gothic"/>
          <w:spacing w:val="-1"/>
          <w:sz w:val="20"/>
        </w:rPr>
        <w:t> </w:t>
      </w:r>
      <w:r>
        <w:rPr>
          <w:rFonts w:ascii="Century Gothic"/>
          <w:sz w:val="20"/>
        </w:rPr>
        <w:t>Suit</w:t>
        <w:tab/>
        <w:t>306</w:t>
      </w:r>
    </w:p>
    <w:p>
      <w:pPr>
        <w:pStyle w:val="ListParagraph"/>
        <w:numPr>
          <w:ilvl w:val="0"/>
          <w:numId w:val="1"/>
        </w:numPr>
        <w:tabs>
          <w:tab w:pos="3400" w:val="left" w:leader="none"/>
          <w:tab w:pos="8746" w:val="right" w:leader="none"/>
        </w:tabs>
        <w:spacing w:line="245" w:lineRule="exact" w:before="0" w:after="0"/>
        <w:ind w:left="3399" w:right="0" w:hanging="300"/>
        <w:jc w:val="left"/>
        <w:rPr>
          <w:rFonts w:ascii="Century Gothic"/>
          <w:sz w:val="20"/>
        </w:rPr>
      </w:pPr>
      <w:r>
        <w:rPr>
          <w:rFonts w:ascii="Century Gothic"/>
          <w:sz w:val="20"/>
        </w:rPr>
        <w:t>Competing</w:t>
      </w:r>
      <w:r>
        <w:rPr>
          <w:rFonts w:ascii="Century Gothic"/>
          <w:spacing w:val="-2"/>
          <w:sz w:val="20"/>
        </w:rPr>
        <w:t> </w:t>
      </w:r>
      <w:r>
        <w:rPr>
          <w:rFonts w:ascii="Century Gothic"/>
          <w:sz w:val="20"/>
        </w:rPr>
        <w:t>Demands</w:t>
        <w:tab/>
        <w:t>316</w:t>
      </w:r>
    </w:p>
    <w:p>
      <w:pPr>
        <w:pStyle w:val="ListParagraph"/>
        <w:numPr>
          <w:ilvl w:val="0"/>
          <w:numId w:val="1"/>
        </w:numPr>
        <w:tabs>
          <w:tab w:pos="3420" w:val="left" w:leader="none"/>
        </w:tabs>
        <w:spacing w:line="245" w:lineRule="exact" w:before="0" w:after="0"/>
        <w:ind w:left="3419" w:right="0" w:hanging="320"/>
        <w:jc w:val="left"/>
        <w:rPr>
          <w:rFonts w:ascii="Century Gothic"/>
          <w:sz w:val="20"/>
        </w:rPr>
      </w:pPr>
      <w:r>
        <w:rPr>
          <w:rFonts w:ascii="Century Gothic"/>
          <w:sz w:val="20"/>
        </w:rPr>
        <w:t>Compliance </w:t>
      </w:r>
      <w:r>
        <w:rPr>
          <w:rFonts w:ascii="Century Gothic"/>
          <w:spacing w:val="2"/>
          <w:sz w:val="20"/>
        </w:rPr>
        <w:t>with</w:t>
      </w:r>
      <w:r>
        <w:rPr>
          <w:rFonts w:ascii="Century Gothic"/>
          <w:spacing w:val="-3"/>
          <w:sz w:val="20"/>
        </w:rPr>
        <w:t> </w:t>
      </w:r>
      <w:r>
        <w:rPr>
          <w:rFonts w:ascii="Century Gothic"/>
          <w:sz w:val="20"/>
        </w:rPr>
        <w:t>Post-Loss</w:t>
      </w:r>
    </w:p>
    <w:p>
      <w:pPr>
        <w:tabs>
          <w:tab w:pos="8746" w:val="right" w:leader="none"/>
        </w:tabs>
        <w:spacing w:line="245" w:lineRule="exact" w:before="0"/>
        <w:ind w:left="3541" w:right="0" w:firstLine="0"/>
        <w:jc w:val="left"/>
        <w:rPr>
          <w:sz w:val="20"/>
        </w:rPr>
      </w:pPr>
      <w:r>
        <w:rPr>
          <w:sz w:val="20"/>
        </w:rPr>
        <w:t>Policy</w:t>
      </w:r>
      <w:r>
        <w:rPr>
          <w:spacing w:val="-1"/>
          <w:sz w:val="20"/>
        </w:rPr>
        <w:t> </w:t>
      </w:r>
      <w:r>
        <w:rPr>
          <w:sz w:val="20"/>
        </w:rPr>
        <w:t>Provisions</w:t>
        <w:tab/>
        <w:t>324</w:t>
      </w:r>
    </w:p>
    <w:p>
      <w:pPr>
        <w:pStyle w:val="ListParagraph"/>
        <w:numPr>
          <w:ilvl w:val="0"/>
          <w:numId w:val="1"/>
        </w:numPr>
        <w:tabs>
          <w:tab w:pos="3331" w:val="left" w:leader="none"/>
          <w:tab w:pos="8746" w:val="right" w:leader="none"/>
        </w:tabs>
        <w:spacing w:line="245" w:lineRule="exact" w:before="0" w:after="0"/>
        <w:ind w:left="3330" w:right="0" w:hanging="231"/>
        <w:jc w:val="left"/>
        <w:rPr>
          <w:rFonts w:ascii="Century Gothic"/>
          <w:sz w:val="20"/>
        </w:rPr>
      </w:pPr>
      <w:r>
        <w:rPr>
          <w:rFonts w:ascii="Century Gothic"/>
          <w:sz w:val="20"/>
        </w:rPr>
        <w:t>Moving to Set Aside</w:t>
      </w:r>
      <w:r>
        <w:rPr>
          <w:rFonts w:ascii="Century Gothic"/>
          <w:spacing w:val="-5"/>
          <w:sz w:val="20"/>
        </w:rPr>
        <w:t> </w:t>
      </w:r>
      <w:r>
        <w:rPr>
          <w:rFonts w:ascii="Century Gothic"/>
          <w:sz w:val="20"/>
        </w:rPr>
        <w:t>an</w:t>
      </w:r>
      <w:r>
        <w:rPr>
          <w:rFonts w:ascii="Century Gothic"/>
          <w:spacing w:val="-1"/>
          <w:sz w:val="20"/>
        </w:rPr>
        <w:t> </w:t>
      </w:r>
      <w:r>
        <w:rPr>
          <w:rFonts w:ascii="Century Gothic"/>
          <w:sz w:val="20"/>
        </w:rPr>
        <w:t>Award</w:t>
        <w:tab/>
        <w:t>327</w:t>
      </w:r>
    </w:p>
    <w:p>
      <w:pPr>
        <w:pStyle w:val="BodyText"/>
        <w:spacing w:before="7"/>
      </w:pPr>
    </w:p>
    <w:p>
      <w:pPr>
        <w:pStyle w:val="ListParagraph"/>
        <w:numPr>
          <w:ilvl w:val="0"/>
          <w:numId w:val="2"/>
        </w:numPr>
        <w:tabs>
          <w:tab w:pos="719" w:val="left" w:leader="none"/>
          <w:tab w:pos="3820" w:val="left" w:leader="none"/>
        </w:tabs>
        <w:spacing w:line="240" w:lineRule="auto" w:before="0" w:after="0"/>
        <w:ind w:left="3820" w:right="100" w:hanging="3820"/>
        <w:jc w:val="left"/>
        <w:rPr>
          <w:rFonts w:ascii="Century Gothic"/>
          <w:sz w:val="26"/>
        </w:rPr>
      </w:pPr>
      <w:r>
        <w:rPr>
          <w:rFonts w:ascii="Century Gothic"/>
          <w:spacing w:val="-5"/>
          <w:sz w:val="26"/>
        </w:rPr>
        <w:t>WHEN</w:t>
      </w:r>
      <w:r>
        <w:rPr>
          <w:rFonts w:ascii="Century Gothic"/>
          <w:spacing w:val="-34"/>
          <w:sz w:val="26"/>
        </w:rPr>
        <w:t> </w:t>
      </w:r>
      <w:r>
        <w:rPr>
          <w:rFonts w:ascii="Century Gothic"/>
          <w:sz w:val="26"/>
        </w:rPr>
        <w:t>APPRAISAL</w:t>
      </w:r>
      <w:r>
        <w:rPr>
          <w:rFonts w:ascii="Century Gothic"/>
          <w:spacing w:val="-29"/>
          <w:sz w:val="26"/>
        </w:rPr>
        <w:t> </w:t>
      </w:r>
      <w:r>
        <w:rPr>
          <w:rFonts w:ascii="Century Gothic"/>
          <w:sz w:val="26"/>
        </w:rPr>
        <w:t>SHOULD</w:t>
      </w:r>
      <w:r>
        <w:rPr>
          <w:rFonts w:ascii="Century Gothic"/>
          <w:spacing w:val="-30"/>
          <w:sz w:val="26"/>
        </w:rPr>
        <w:t> </w:t>
      </w:r>
      <w:r>
        <w:rPr>
          <w:rFonts w:ascii="Century Gothic"/>
          <w:sz w:val="26"/>
        </w:rPr>
        <w:t>BE</w:t>
      </w:r>
      <w:r>
        <w:rPr>
          <w:rFonts w:ascii="Century Gothic"/>
          <w:spacing w:val="-29"/>
          <w:sz w:val="26"/>
        </w:rPr>
        <w:t> </w:t>
      </w:r>
      <w:r>
        <w:rPr>
          <w:rFonts w:ascii="Century Gothic"/>
          <w:sz w:val="26"/>
        </w:rPr>
        <w:t>DEMANDED</w:t>
      </w:r>
    </w:p>
    <w:p>
      <w:pPr>
        <w:pStyle w:val="BodyText"/>
        <w:spacing w:before="5"/>
      </w:pPr>
    </w:p>
    <w:p>
      <w:pPr>
        <w:pStyle w:val="BodyText"/>
        <w:spacing w:line="242" w:lineRule="auto"/>
        <w:ind w:left="3100" w:right="3195" w:firstLine="720"/>
        <w:jc w:val="both"/>
      </w:pPr>
      <w:r>
        <w:rPr/>
        <w:pict>
          <v:shape style="position:absolute;margin-left:277.953003pt;margin-top:22.658163pt;width:333.3pt;height:43.15pt;mso-position-horizontal-relative:page;mso-position-vertical-relative:paragraph;z-index:-254279680" coordorigin="5559,453" coordsize="6666,863" path="m10866,1161l10857,1152,5568,1152,5559,1161,5559,1307,5568,1316,10857,1316,10866,1307,10866,1161m12039,937l12030,927,5568,927,5559,937,5559,1096,5568,1105,12030,1105,12039,1096,12039,937m12224,462l12215,453,5991,453,5982,462,5982,665,5812,665,5803,674,5803,716,5748,716,5739,725,5739,884,5748,893,5812,893,5812,893,12036,893,12045,884,12045,682,12215,682,12224,673,12224,462e" filled="true" fillcolor="#a2baf1" stroked="false">
            <v:path arrowok="t"/>
            <v:fill opacity="32112f" type="solid"/>
            <w10:wrap type="none"/>
          </v:shape>
        </w:pict>
      </w:r>
      <w:r>
        <w:rPr/>
        <w:t>For a demand for appraisal to be</w:t>
      </w:r>
      <w:r>
        <w:rPr>
          <w:spacing w:val="-51"/>
        </w:rPr>
        <w:t> </w:t>
      </w:r>
      <w:r>
        <w:rPr/>
        <w:t>timely, there must actually be some disagreement between the insured and the insurer as to the amount</w:t>
      </w:r>
      <w:r>
        <w:rPr>
          <w:spacing w:val="-23"/>
        </w:rPr>
        <w:t> </w:t>
      </w:r>
      <w:r>
        <w:rPr/>
        <w:t>of</w:t>
      </w:r>
      <w:r>
        <w:rPr>
          <w:spacing w:val="-22"/>
        </w:rPr>
        <w:t> </w:t>
      </w:r>
      <w:r>
        <w:rPr/>
        <w:t>loss</w:t>
      </w:r>
      <w:r>
        <w:rPr>
          <w:spacing w:val="-18"/>
        </w:rPr>
        <w:t> </w:t>
      </w:r>
      <w:r>
        <w:rPr/>
        <w:t>or</w:t>
      </w:r>
      <w:r>
        <w:rPr>
          <w:spacing w:val="-21"/>
        </w:rPr>
        <w:t> </w:t>
      </w:r>
      <w:r>
        <w:rPr/>
        <w:t>value.</w:t>
      </w:r>
      <w:r>
        <w:rPr>
          <w:spacing w:val="32"/>
        </w:rPr>
        <w:t> </w:t>
      </w:r>
      <w:r>
        <w:rPr/>
        <w:t>There</w:t>
      </w:r>
      <w:r>
        <w:rPr>
          <w:spacing w:val="-21"/>
        </w:rPr>
        <w:t> </w:t>
      </w:r>
      <w:r>
        <w:rPr/>
        <w:t>must</w:t>
      </w:r>
      <w:r>
        <w:rPr>
          <w:spacing w:val="-23"/>
        </w:rPr>
        <w:t> </w:t>
      </w:r>
      <w:r>
        <w:rPr/>
        <w:t>have</w:t>
      </w:r>
      <w:r>
        <w:rPr>
          <w:spacing w:val="-22"/>
        </w:rPr>
        <w:t> </w:t>
      </w:r>
      <w:r>
        <w:rPr/>
        <w:t>been an honest attempt made by the parties to meet on the question of damage before the appraisal clause can be</w:t>
      </w:r>
      <w:r>
        <w:rPr>
          <w:spacing w:val="-4"/>
        </w:rPr>
        <w:t> </w:t>
      </w:r>
      <w:r>
        <w:rPr/>
        <w:t>invoked.</w:t>
      </w:r>
      <w:r>
        <w:rPr>
          <w:vertAlign w:val="superscript"/>
        </w:rPr>
        <w:t>441</w:t>
      </w:r>
    </w:p>
    <w:p>
      <w:pPr>
        <w:pStyle w:val="BodyText"/>
      </w:pPr>
    </w:p>
    <w:p>
      <w:pPr>
        <w:pStyle w:val="BodyText"/>
        <w:spacing w:line="242" w:lineRule="auto" w:before="1"/>
        <w:ind w:left="3100" w:right="3198" w:firstLine="720"/>
        <w:jc w:val="both"/>
      </w:pPr>
      <w:r>
        <w:rPr/>
        <w:t>A demand for an appraisal must </w:t>
      </w:r>
      <w:r>
        <w:rPr>
          <w:spacing w:val="-6"/>
        </w:rPr>
        <w:t>be </w:t>
      </w:r>
      <w:r>
        <w:rPr/>
        <w:t>made in good faith, within a reasonable</w:t>
      </w:r>
      <w:r>
        <w:rPr>
          <w:spacing w:val="-14"/>
        </w:rPr>
        <w:t> </w:t>
      </w:r>
      <w:r>
        <w:rPr/>
        <w:t>time, in plain and simple terms, and in</w:t>
      </w:r>
      <w:r>
        <w:rPr>
          <w:spacing w:val="14"/>
        </w:rPr>
        <w:t> </w:t>
      </w:r>
      <w:r>
        <w:rPr/>
        <w:t>compliance</w:t>
      </w:r>
    </w:p>
    <w:p>
      <w:pPr>
        <w:pStyle w:val="BodyText"/>
        <w:spacing w:before="6"/>
        <w:rPr>
          <w:sz w:val="20"/>
        </w:rPr>
      </w:pPr>
      <w:r>
        <w:rPr/>
        <w:pict>
          <v:shape style="position:absolute;margin-left:162pt;margin-top:14.997723pt;width:143.9pt;height:.1pt;mso-position-horizontal-relative:page;mso-position-vertical-relative:paragraph;z-index:-251654144;mso-wrap-distance-left:0;mso-wrap-distance-right:0" coordorigin="3240,300" coordsize="2878,0" path="m3240,300l6118,300e" filled="false" stroked="true" strokeweight=".84pt" strokecolor="#000000">
            <v:path arrowok="t"/>
            <v:stroke dashstyle="solid"/>
            <w10:wrap type="topAndBottom"/>
          </v:shape>
        </w:pict>
      </w:r>
    </w:p>
    <w:p>
      <w:pPr>
        <w:spacing w:line="244" w:lineRule="auto" w:before="140"/>
        <w:ind w:left="2740" w:right="2841" w:firstLine="0"/>
        <w:jc w:val="both"/>
        <w:rPr>
          <w:rFonts w:ascii="Times New Roman" w:hAnsi="Times New Roman"/>
          <w:sz w:val="18"/>
        </w:rPr>
      </w:pPr>
      <w:r>
        <w:rPr>
          <w:rFonts w:ascii="Times New Roman" w:hAnsi="Times New Roman"/>
          <w:position w:val="10"/>
          <w:sz w:val="14"/>
        </w:rPr>
        <w:t>441</w:t>
      </w:r>
      <w:r>
        <w:rPr>
          <w:rFonts w:ascii="Times New Roman" w:hAnsi="Times New Roman"/>
          <w:spacing w:val="-5"/>
          <w:sz w:val="14"/>
        </w:rPr>
        <w:t> </w:t>
      </w:r>
      <w:r>
        <w:rPr>
          <w:rFonts w:ascii="Times New Roman" w:hAnsi="Times New Roman"/>
          <w:sz w:val="18"/>
          <w:u w:val="single"/>
        </w:rPr>
        <w:t>Harrison</w:t>
      </w:r>
      <w:r>
        <w:rPr>
          <w:rFonts w:ascii="Times New Roman" w:hAnsi="Times New Roman"/>
          <w:spacing w:val="-15"/>
          <w:sz w:val="18"/>
          <w:u w:val="single"/>
        </w:rPr>
        <w:t> </w:t>
      </w:r>
      <w:r>
        <w:rPr>
          <w:rFonts w:ascii="Times New Roman" w:hAnsi="Times New Roman"/>
          <w:sz w:val="18"/>
          <w:u w:val="single"/>
        </w:rPr>
        <w:t>v.</w:t>
      </w:r>
      <w:r>
        <w:rPr>
          <w:rFonts w:ascii="Times New Roman" w:hAnsi="Times New Roman"/>
          <w:spacing w:val="-16"/>
          <w:sz w:val="18"/>
          <w:u w:val="single"/>
        </w:rPr>
        <w:t> </w:t>
      </w:r>
      <w:r>
        <w:rPr>
          <w:rFonts w:ascii="Times New Roman" w:hAnsi="Times New Roman"/>
          <w:sz w:val="18"/>
          <w:u w:val="single"/>
        </w:rPr>
        <w:t>Hartford</w:t>
      </w:r>
      <w:r>
        <w:rPr>
          <w:rFonts w:ascii="Times New Roman" w:hAnsi="Times New Roman"/>
          <w:spacing w:val="-15"/>
          <w:sz w:val="18"/>
          <w:u w:val="single"/>
        </w:rPr>
        <w:t> </w:t>
      </w:r>
      <w:r>
        <w:rPr>
          <w:rFonts w:ascii="Times New Roman" w:hAnsi="Times New Roman"/>
          <w:sz w:val="18"/>
          <w:u w:val="single"/>
        </w:rPr>
        <w:t>Fire</w:t>
      </w:r>
      <w:r>
        <w:rPr>
          <w:rFonts w:ascii="Times New Roman" w:hAnsi="Times New Roman"/>
          <w:spacing w:val="-17"/>
          <w:sz w:val="18"/>
          <w:u w:val="single"/>
        </w:rPr>
        <w:t> </w:t>
      </w:r>
      <w:r>
        <w:rPr>
          <w:rFonts w:ascii="Times New Roman" w:hAnsi="Times New Roman"/>
          <w:sz w:val="18"/>
          <w:u w:val="single"/>
        </w:rPr>
        <w:t>Ins.</w:t>
      </w:r>
      <w:r>
        <w:rPr>
          <w:rFonts w:ascii="Times New Roman" w:hAnsi="Times New Roman"/>
          <w:spacing w:val="-17"/>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5"/>
          <w:sz w:val="18"/>
        </w:rPr>
        <w:t> </w:t>
      </w:r>
      <w:r>
        <w:rPr>
          <w:rFonts w:ascii="Times New Roman" w:hAnsi="Times New Roman"/>
          <w:sz w:val="18"/>
        </w:rPr>
        <w:t>59</w:t>
      </w:r>
      <w:r>
        <w:rPr>
          <w:rFonts w:ascii="Times New Roman" w:hAnsi="Times New Roman"/>
          <w:spacing w:val="-15"/>
          <w:sz w:val="18"/>
        </w:rPr>
        <w:t> </w:t>
      </w:r>
      <w:r>
        <w:rPr>
          <w:rFonts w:ascii="Times New Roman" w:hAnsi="Times New Roman"/>
          <w:sz w:val="18"/>
        </w:rPr>
        <w:t>F.732</w:t>
      </w:r>
      <w:r>
        <w:rPr>
          <w:rFonts w:ascii="Times New Roman" w:hAnsi="Times New Roman"/>
          <w:spacing w:val="-15"/>
          <w:sz w:val="18"/>
        </w:rPr>
        <w:t> </w:t>
      </w:r>
      <w:r>
        <w:rPr>
          <w:rFonts w:ascii="Times New Roman" w:hAnsi="Times New Roman"/>
          <w:sz w:val="18"/>
        </w:rPr>
        <w:t>(C.C.S.D.</w:t>
      </w:r>
      <w:r>
        <w:rPr>
          <w:rFonts w:ascii="Times New Roman" w:hAnsi="Times New Roman"/>
          <w:spacing w:val="-14"/>
          <w:sz w:val="18"/>
        </w:rPr>
        <w:t> </w:t>
      </w:r>
      <w:r>
        <w:rPr>
          <w:rFonts w:ascii="Times New Roman" w:hAnsi="Times New Roman"/>
          <w:sz w:val="18"/>
        </w:rPr>
        <w:t>Iowa</w:t>
      </w:r>
      <w:r>
        <w:rPr>
          <w:rFonts w:ascii="Times New Roman" w:hAnsi="Times New Roman"/>
          <w:spacing w:val="-17"/>
          <w:sz w:val="18"/>
        </w:rPr>
        <w:t> </w:t>
      </w:r>
      <w:r>
        <w:rPr>
          <w:rFonts w:ascii="Times New Roman" w:hAnsi="Times New Roman"/>
          <w:sz w:val="18"/>
        </w:rPr>
        <w:t>1894);</w:t>
      </w:r>
      <w:r>
        <w:rPr>
          <w:rFonts w:ascii="Times New Roman" w:hAnsi="Times New Roman"/>
          <w:spacing w:val="-14"/>
          <w:sz w:val="18"/>
        </w:rPr>
        <w:t> </w:t>
      </w:r>
      <w:r>
        <w:rPr>
          <w:rFonts w:ascii="Times New Roman" w:hAnsi="Times New Roman"/>
          <w:sz w:val="18"/>
          <w:u w:val="single"/>
        </w:rPr>
        <w:t>Hanover</w:t>
      </w:r>
      <w:r>
        <w:rPr>
          <w:rFonts w:ascii="Times New Roman" w:hAnsi="Times New Roman"/>
          <w:spacing w:val="-15"/>
          <w:sz w:val="18"/>
          <w:u w:val="single"/>
        </w:rPr>
        <w:t> </w:t>
      </w:r>
      <w:r>
        <w:rPr>
          <w:rFonts w:ascii="Times New Roman" w:hAnsi="Times New Roman"/>
          <w:sz w:val="18"/>
          <w:u w:val="single"/>
        </w:rPr>
        <w:t>Fire</w:t>
      </w:r>
      <w:r>
        <w:rPr>
          <w:rFonts w:ascii="Times New Roman" w:hAnsi="Times New Roman"/>
          <w:spacing w:val="-14"/>
          <w:sz w:val="18"/>
          <w:u w:val="single"/>
        </w:rPr>
        <w:t> </w:t>
      </w:r>
      <w:r>
        <w:rPr>
          <w:rFonts w:ascii="Times New Roman" w:hAnsi="Times New Roman"/>
          <w:sz w:val="18"/>
          <w:u w:val="single"/>
        </w:rPr>
        <w:t>Ins.</w:t>
      </w:r>
      <w:r>
        <w:rPr>
          <w:rFonts w:ascii="Times New Roman" w:hAnsi="Times New Roman"/>
          <w:spacing w:val="-17"/>
          <w:sz w:val="18"/>
          <w:u w:val="single"/>
        </w:rPr>
        <w:t> </w:t>
      </w:r>
      <w:r>
        <w:rPr>
          <w:rFonts w:ascii="Times New Roman" w:hAnsi="Times New Roman"/>
          <w:sz w:val="18"/>
          <w:u w:val="single"/>
        </w:rPr>
        <w:t>Co. v. Harper</w:t>
      </w:r>
      <w:r>
        <w:rPr>
          <w:rFonts w:ascii="Times New Roman" w:hAnsi="Times New Roman"/>
          <w:sz w:val="18"/>
        </w:rPr>
        <w:t>, 77 Ill. App. 453 (4</w:t>
      </w:r>
      <w:r>
        <w:rPr>
          <w:rFonts w:ascii="Times New Roman" w:hAnsi="Times New Roman"/>
          <w:position w:val="7"/>
          <w:sz w:val="10"/>
        </w:rPr>
        <w:t>th </w:t>
      </w:r>
      <w:r>
        <w:rPr>
          <w:rFonts w:ascii="Times New Roman" w:hAnsi="Times New Roman"/>
          <w:sz w:val="18"/>
        </w:rPr>
        <w:t>Dist. </w:t>
      </w:r>
      <w:r>
        <w:rPr>
          <w:rFonts w:ascii="Times New Roman" w:hAnsi="Times New Roman"/>
          <w:spacing w:val="2"/>
          <w:sz w:val="18"/>
        </w:rPr>
        <w:t>1898); </w:t>
      </w:r>
      <w:r>
        <w:rPr>
          <w:rFonts w:ascii="Times New Roman" w:hAnsi="Times New Roman"/>
          <w:sz w:val="18"/>
          <w:u w:val="single"/>
        </w:rPr>
        <w:t>Maimes v. Automobile Ins. Co. of Hartford, Conn.</w:t>
      </w:r>
      <w:r>
        <w:rPr>
          <w:rFonts w:ascii="Times New Roman" w:hAnsi="Times New Roman"/>
          <w:sz w:val="18"/>
        </w:rPr>
        <w:t>,</w:t>
      </w:r>
      <w:r>
        <w:rPr>
          <w:rFonts w:ascii="Times New Roman" w:hAnsi="Times New Roman"/>
          <w:spacing w:val="-10"/>
          <w:sz w:val="18"/>
        </w:rPr>
        <w:t> </w:t>
      </w:r>
      <w:r>
        <w:rPr>
          <w:rFonts w:ascii="Times New Roman" w:hAnsi="Times New Roman"/>
          <w:sz w:val="18"/>
        </w:rPr>
        <w:t>112</w:t>
      </w:r>
      <w:r>
        <w:rPr>
          <w:rFonts w:ascii="Times New Roman" w:hAnsi="Times New Roman"/>
          <w:spacing w:val="-9"/>
          <w:sz w:val="18"/>
        </w:rPr>
        <w:t> </w:t>
      </w:r>
      <w:r>
        <w:rPr>
          <w:rFonts w:ascii="Times New Roman" w:hAnsi="Times New Roman"/>
          <w:sz w:val="18"/>
        </w:rPr>
        <w:t>Misc.</w:t>
      </w:r>
      <w:r>
        <w:rPr>
          <w:rFonts w:ascii="Times New Roman" w:hAnsi="Times New Roman"/>
          <w:spacing w:val="-13"/>
          <w:sz w:val="18"/>
        </w:rPr>
        <w:t> </w:t>
      </w:r>
      <w:r>
        <w:rPr>
          <w:rFonts w:ascii="Times New Roman" w:hAnsi="Times New Roman"/>
          <w:sz w:val="18"/>
        </w:rPr>
        <w:t>656,</w:t>
      </w:r>
      <w:r>
        <w:rPr>
          <w:rFonts w:ascii="Times New Roman" w:hAnsi="Times New Roman"/>
          <w:spacing w:val="-13"/>
          <w:sz w:val="18"/>
        </w:rPr>
        <w:t> </w:t>
      </w:r>
      <w:r>
        <w:rPr>
          <w:rFonts w:ascii="Times New Roman" w:hAnsi="Times New Roman"/>
          <w:sz w:val="18"/>
        </w:rPr>
        <w:t>183</w:t>
      </w:r>
      <w:r>
        <w:rPr>
          <w:rFonts w:ascii="Times New Roman" w:hAnsi="Times New Roman"/>
          <w:spacing w:val="-12"/>
          <w:sz w:val="18"/>
        </w:rPr>
        <w:t> </w:t>
      </w:r>
      <w:r>
        <w:rPr>
          <w:rFonts w:ascii="Times New Roman" w:hAnsi="Times New Roman"/>
          <w:sz w:val="18"/>
        </w:rPr>
        <w:t>N.Y.S.</w:t>
      </w:r>
      <w:r>
        <w:rPr>
          <w:rFonts w:ascii="Times New Roman" w:hAnsi="Times New Roman"/>
          <w:spacing w:val="-10"/>
          <w:sz w:val="18"/>
        </w:rPr>
        <w:t> </w:t>
      </w:r>
      <w:r>
        <w:rPr>
          <w:rFonts w:ascii="Times New Roman" w:hAnsi="Times New Roman"/>
          <w:sz w:val="18"/>
        </w:rPr>
        <w:t>690</w:t>
      </w:r>
      <w:r>
        <w:rPr>
          <w:rFonts w:ascii="Times New Roman" w:hAnsi="Times New Roman"/>
          <w:spacing w:val="-12"/>
          <w:sz w:val="18"/>
        </w:rPr>
        <w:t> </w:t>
      </w:r>
      <w:r>
        <w:rPr>
          <w:rFonts w:ascii="Times New Roman" w:hAnsi="Times New Roman"/>
          <w:sz w:val="18"/>
        </w:rPr>
        <w:t>(Sup.</w:t>
      </w:r>
      <w:r>
        <w:rPr>
          <w:rFonts w:ascii="Times New Roman" w:hAnsi="Times New Roman"/>
          <w:spacing w:val="-12"/>
          <w:sz w:val="18"/>
        </w:rPr>
        <w:t> </w:t>
      </w:r>
      <w:r>
        <w:rPr>
          <w:rFonts w:ascii="Times New Roman" w:hAnsi="Times New Roman"/>
          <w:sz w:val="18"/>
        </w:rPr>
        <w:t>Ct.</w:t>
      </w:r>
      <w:r>
        <w:rPr>
          <w:rFonts w:ascii="Times New Roman" w:hAnsi="Times New Roman"/>
          <w:spacing w:val="-11"/>
          <w:sz w:val="18"/>
        </w:rPr>
        <w:t> </w:t>
      </w:r>
      <w:r>
        <w:rPr>
          <w:rFonts w:ascii="Times New Roman" w:hAnsi="Times New Roman"/>
          <w:sz w:val="18"/>
        </w:rPr>
        <w:t>1920),</w:t>
      </w:r>
      <w:r>
        <w:rPr>
          <w:rFonts w:ascii="Times New Roman" w:hAnsi="Times New Roman"/>
          <w:spacing w:val="-13"/>
          <w:sz w:val="18"/>
        </w:rPr>
        <w:t> </w:t>
      </w:r>
      <w:r>
        <w:rPr>
          <w:rFonts w:ascii="Times New Roman" w:hAnsi="Times New Roman"/>
          <w:i/>
          <w:sz w:val="18"/>
        </w:rPr>
        <w:t>aff’d,</w:t>
      </w:r>
      <w:r>
        <w:rPr>
          <w:rFonts w:ascii="Times New Roman" w:hAnsi="Times New Roman"/>
          <w:i/>
          <w:spacing w:val="-12"/>
          <w:sz w:val="18"/>
        </w:rPr>
        <w:t> </w:t>
      </w:r>
      <w:r>
        <w:rPr>
          <w:rFonts w:ascii="Times New Roman" w:hAnsi="Times New Roman"/>
          <w:sz w:val="18"/>
        </w:rPr>
        <w:t>196</w:t>
      </w:r>
      <w:r>
        <w:rPr>
          <w:rFonts w:ascii="Times New Roman" w:hAnsi="Times New Roman"/>
          <w:spacing w:val="-12"/>
          <w:sz w:val="18"/>
        </w:rPr>
        <w:t> </w:t>
      </w:r>
      <w:r>
        <w:rPr>
          <w:rFonts w:ascii="Times New Roman" w:hAnsi="Times New Roman"/>
          <w:sz w:val="18"/>
        </w:rPr>
        <w:t>A.D.</w:t>
      </w:r>
      <w:r>
        <w:rPr>
          <w:rFonts w:ascii="Times New Roman" w:hAnsi="Times New Roman"/>
          <w:spacing w:val="-11"/>
          <w:sz w:val="18"/>
        </w:rPr>
        <w:t> </w:t>
      </w:r>
      <w:r>
        <w:rPr>
          <w:rFonts w:ascii="Times New Roman" w:hAnsi="Times New Roman"/>
          <w:sz w:val="18"/>
        </w:rPr>
        <w:t>921,</w:t>
      </w:r>
      <w:r>
        <w:rPr>
          <w:rFonts w:ascii="Times New Roman" w:hAnsi="Times New Roman"/>
          <w:spacing w:val="-13"/>
          <w:sz w:val="18"/>
        </w:rPr>
        <w:t> </w:t>
      </w:r>
      <w:r>
        <w:rPr>
          <w:rFonts w:ascii="Times New Roman" w:hAnsi="Times New Roman"/>
          <w:sz w:val="18"/>
        </w:rPr>
        <w:t>187</w:t>
      </w:r>
      <w:r>
        <w:rPr>
          <w:rFonts w:ascii="Times New Roman" w:hAnsi="Times New Roman"/>
          <w:spacing w:val="-11"/>
          <w:sz w:val="18"/>
        </w:rPr>
        <w:t> </w:t>
      </w:r>
      <w:r>
        <w:rPr>
          <w:rFonts w:ascii="Times New Roman" w:hAnsi="Times New Roman"/>
          <w:sz w:val="18"/>
        </w:rPr>
        <w:t>N.Y.S.</w:t>
      </w:r>
      <w:r>
        <w:rPr>
          <w:rFonts w:ascii="Times New Roman" w:hAnsi="Times New Roman"/>
          <w:spacing w:val="-11"/>
          <w:sz w:val="18"/>
        </w:rPr>
        <w:t> </w:t>
      </w:r>
      <w:r>
        <w:rPr>
          <w:rFonts w:ascii="Times New Roman" w:hAnsi="Times New Roman"/>
          <w:sz w:val="18"/>
        </w:rPr>
        <w:t>943</w:t>
      </w:r>
    </w:p>
    <w:p>
      <w:pPr>
        <w:spacing w:before="0"/>
        <w:ind w:left="2740" w:right="0" w:firstLine="0"/>
        <w:jc w:val="left"/>
        <w:rPr>
          <w:rFonts w:ascii="Times New Roman"/>
          <w:sz w:val="18"/>
        </w:rPr>
      </w:pPr>
      <w:r>
        <w:rPr>
          <w:rFonts w:ascii="Times New Roman"/>
          <w:sz w:val="18"/>
        </w:rPr>
        <w:t>(4</w:t>
      </w:r>
      <w:r>
        <w:rPr>
          <w:rFonts w:ascii="Times New Roman"/>
          <w:position w:val="7"/>
          <w:sz w:val="10"/>
        </w:rPr>
        <w:t>th  </w:t>
      </w:r>
      <w:r>
        <w:rPr>
          <w:rFonts w:ascii="Times New Roman"/>
          <w:sz w:val="18"/>
        </w:rPr>
        <w:t>Dept. 1921); </w:t>
      </w:r>
      <w:r>
        <w:rPr>
          <w:rFonts w:ascii="Times New Roman"/>
          <w:sz w:val="18"/>
          <w:u w:val="single"/>
        </w:rPr>
        <w:t>Phoenix Ins. Co. v. Badger</w:t>
      </w:r>
      <w:r>
        <w:rPr>
          <w:rFonts w:ascii="Times New Roman"/>
          <w:sz w:val="18"/>
        </w:rPr>
        <w:t>, 53 Wis. 283, 10 N.E. 504 (1881); </w:t>
      </w:r>
      <w:r>
        <w:rPr>
          <w:rFonts w:ascii="Times New Roman"/>
          <w:spacing w:val="3"/>
          <w:sz w:val="18"/>
        </w:rPr>
        <w:t> </w:t>
      </w:r>
      <w:r>
        <w:rPr>
          <w:rFonts w:ascii="Times New Roman"/>
          <w:sz w:val="18"/>
          <w:u w:val="single"/>
        </w:rPr>
        <w:t>Ciapanna</w:t>
      </w:r>
    </w:p>
    <w:p>
      <w:pPr>
        <w:spacing w:before="5"/>
        <w:ind w:left="2740" w:right="0" w:firstLine="0"/>
        <w:jc w:val="left"/>
        <w:rPr>
          <w:rFonts w:ascii="Times New Roman" w:hAnsi="Times New Roman"/>
          <w:sz w:val="18"/>
        </w:rPr>
      </w:pPr>
      <w:r>
        <w:rPr>
          <w:rFonts w:ascii="Times New Roman" w:hAnsi="Times New Roman"/>
          <w:sz w:val="18"/>
          <w:u w:val="single"/>
        </w:rPr>
        <w:t>v.</w:t>
      </w:r>
      <w:r>
        <w:rPr>
          <w:rFonts w:ascii="Times New Roman" w:hAnsi="Times New Roman"/>
          <w:spacing w:val="-13"/>
          <w:sz w:val="18"/>
          <w:u w:val="single"/>
        </w:rPr>
        <w:t> </w:t>
      </w:r>
      <w:r>
        <w:rPr>
          <w:rFonts w:ascii="Times New Roman" w:hAnsi="Times New Roman"/>
          <w:sz w:val="18"/>
          <w:u w:val="single"/>
        </w:rPr>
        <w:t>Lincoln</w:t>
      </w:r>
      <w:r>
        <w:rPr>
          <w:rFonts w:ascii="Times New Roman" w:hAnsi="Times New Roman"/>
          <w:spacing w:val="-13"/>
          <w:sz w:val="18"/>
          <w:u w:val="single"/>
        </w:rPr>
        <w:t> </w:t>
      </w:r>
      <w:r>
        <w:rPr>
          <w:rFonts w:ascii="Times New Roman" w:hAnsi="Times New Roman"/>
          <w:sz w:val="18"/>
          <w:u w:val="single"/>
        </w:rPr>
        <w:t>Fire</w:t>
      </w:r>
      <w:r>
        <w:rPr>
          <w:rFonts w:ascii="Times New Roman" w:hAnsi="Times New Roman"/>
          <w:spacing w:val="-15"/>
          <w:sz w:val="18"/>
          <w:u w:val="single"/>
        </w:rPr>
        <w:t> </w:t>
      </w:r>
      <w:r>
        <w:rPr>
          <w:rFonts w:ascii="Times New Roman" w:hAnsi="Times New Roman"/>
          <w:sz w:val="18"/>
          <w:u w:val="single"/>
        </w:rPr>
        <w:t>Ins.</w:t>
      </w:r>
      <w:r>
        <w:rPr>
          <w:rFonts w:ascii="Times New Roman" w:hAnsi="Times New Roman"/>
          <w:spacing w:val="-16"/>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3"/>
          <w:sz w:val="18"/>
        </w:rPr>
        <w:t> </w:t>
      </w:r>
      <w:r>
        <w:rPr>
          <w:rFonts w:ascii="Times New Roman" w:hAnsi="Times New Roman"/>
          <w:sz w:val="18"/>
        </w:rPr>
        <w:t>153</w:t>
      </w:r>
      <w:r>
        <w:rPr>
          <w:rFonts w:ascii="Times New Roman" w:hAnsi="Times New Roman"/>
          <w:spacing w:val="-14"/>
          <w:sz w:val="18"/>
        </w:rPr>
        <w:t> </w:t>
      </w:r>
      <w:r>
        <w:rPr>
          <w:rFonts w:ascii="Times New Roman" w:hAnsi="Times New Roman"/>
          <w:sz w:val="18"/>
        </w:rPr>
        <w:t>Or.</w:t>
      </w:r>
      <w:r>
        <w:rPr>
          <w:rFonts w:ascii="Times New Roman" w:hAnsi="Times New Roman"/>
          <w:spacing w:val="-15"/>
          <w:sz w:val="18"/>
        </w:rPr>
        <w:t> </w:t>
      </w:r>
      <w:r>
        <w:rPr>
          <w:rFonts w:ascii="Times New Roman" w:hAnsi="Times New Roman"/>
          <w:sz w:val="18"/>
        </w:rPr>
        <w:t>395,</w:t>
      </w:r>
      <w:r>
        <w:rPr>
          <w:rFonts w:ascii="Times New Roman" w:hAnsi="Times New Roman"/>
          <w:spacing w:val="-15"/>
          <w:sz w:val="18"/>
        </w:rPr>
        <w:t> </w:t>
      </w:r>
      <w:r>
        <w:rPr>
          <w:rFonts w:ascii="Times New Roman" w:hAnsi="Times New Roman"/>
          <w:sz w:val="18"/>
        </w:rPr>
        <w:t>56</w:t>
      </w:r>
      <w:r>
        <w:rPr>
          <w:rFonts w:ascii="Times New Roman" w:hAnsi="Times New Roman"/>
          <w:spacing w:val="-13"/>
          <w:sz w:val="18"/>
        </w:rPr>
        <w:t> </w:t>
      </w:r>
      <w:r>
        <w:rPr>
          <w:rFonts w:ascii="Times New Roman" w:hAnsi="Times New Roman"/>
          <w:sz w:val="18"/>
        </w:rPr>
        <w:t>P.2d</w:t>
      </w:r>
      <w:r>
        <w:rPr>
          <w:rFonts w:ascii="Times New Roman" w:hAnsi="Times New Roman"/>
          <w:spacing w:val="-14"/>
          <w:sz w:val="18"/>
        </w:rPr>
        <w:t> </w:t>
      </w:r>
      <w:r>
        <w:rPr>
          <w:rFonts w:ascii="Times New Roman" w:hAnsi="Times New Roman"/>
          <w:sz w:val="18"/>
        </w:rPr>
        <w:t>1113</w:t>
      </w:r>
      <w:r>
        <w:rPr>
          <w:rFonts w:ascii="Times New Roman" w:hAnsi="Times New Roman"/>
          <w:spacing w:val="-12"/>
          <w:sz w:val="18"/>
        </w:rPr>
        <w:t> </w:t>
      </w:r>
      <w:r>
        <w:rPr>
          <w:rFonts w:ascii="Times New Roman" w:hAnsi="Times New Roman"/>
          <w:sz w:val="18"/>
        </w:rPr>
        <w:t>(1936);</w:t>
      </w:r>
      <w:r>
        <w:rPr>
          <w:rFonts w:ascii="Times New Roman" w:hAnsi="Times New Roman"/>
          <w:spacing w:val="-12"/>
          <w:sz w:val="18"/>
        </w:rPr>
        <w:t> </w:t>
      </w:r>
      <w:r>
        <w:rPr>
          <w:rFonts w:ascii="Times New Roman" w:hAnsi="Times New Roman"/>
          <w:sz w:val="18"/>
        </w:rPr>
        <w:t>15</w:t>
      </w:r>
      <w:r>
        <w:rPr>
          <w:rFonts w:ascii="Times New Roman" w:hAnsi="Times New Roman"/>
          <w:spacing w:val="-13"/>
          <w:sz w:val="18"/>
        </w:rPr>
        <w:t> </w:t>
      </w:r>
      <w:r>
        <w:rPr>
          <w:rFonts w:ascii="Times New Roman" w:hAnsi="Times New Roman"/>
          <w:i/>
          <w:sz w:val="18"/>
        </w:rPr>
        <w:t>Couch</w:t>
      </w:r>
      <w:r>
        <w:rPr>
          <w:rFonts w:ascii="Times New Roman" w:hAnsi="Times New Roman"/>
          <w:i/>
          <w:spacing w:val="-13"/>
          <w:sz w:val="18"/>
        </w:rPr>
        <w:t> </w:t>
      </w:r>
      <w:r>
        <w:rPr>
          <w:rFonts w:ascii="Times New Roman" w:hAnsi="Times New Roman"/>
          <w:i/>
          <w:sz w:val="18"/>
        </w:rPr>
        <w:t>on</w:t>
      </w:r>
      <w:r>
        <w:rPr>
          <w:rFonts w:ascii="Times New Roman" w:hAnsi="Times New Roman"/>
          <w:i/>
          <w:spacing w:val="-13"/>
          <w:sz w:val="18"/>
        </w:rPr>
        <w:t> </w:t>
      </w:r>
      <w:r>
        <w:rPr>
          <w:rFonts w:ascii="Times New Roman" w:hAnsi="Times New Roman"/>
          <w:i/>
          <w:sz w:val="18"/>
        </w:rPr>
        <w:t>Insurance</w:t>
      </w:r>
      <w:r>
        <w:rPr>
          <w:rFonts w:ascii="Times New Roman" w:hAnsi="Times New Roman"/>
          <w:sz w:val="18"/>
        </w:rPr>
        <w:t>,</w:t>
      </w:r>
      <w:r>
        <w:rPr>
          <w:rFonts w:ascii="Times New Roman" w:hAnsi="Times New Roman"/>
          <w:spacing w:val="-12"/>
          <w:sz w:val="18"/>
        </w:rPr>
        <w:t> </w:t>
      </w:r>
      <w:r>
        <w:rPr>
          <w:rFonts w:ascii="Times New Roman" w:hAnsi="Times New Roman"/>
          <w:sz w:val="18"/>
        </w:rPr>
        <w:t>§210:77</w:t>
      </w:r>
    </w:p>
    <w:p>
      <w:pPr>
        <w:spacing w:before="4"/>
        <w:ind w:left="2740" w:right="0" w:firstLine="0"/>
        <w:jc w:val="left"/>
        <w:rPr>
          <w:rFonts w:ascii="Times New Roman"/>
          <w:sz w:val="18"/>
        </w:rPr>
      </w:pPr>
      <w:r>
        <w:rPr>
          <w:rFonts w:ascii="Times New Roman"/>
          <w:sz w:val="18"/>
        </w:rPr>
        <w:t>(3d ed. 2003).</w:t>
      </w:r>
    </w:p>
    <w:p>
      <w:pPr>
        <w:spacing w:after="0"/>
        <w:jc w:val="left"/>
        <w:rPr>
          <w:rFonts w:ascii="Times New Roman"/>
          <w:sz w:val="18"/>
        </w:rPr>
        <w:sectPr>
          <w:footerReference w:type="default" r:id="rId5"/>
          <w:type w:val="continuous"/>
          <w:pgSz w:w="12240" w:h="15840"/>
          <w:pgMar w:footer="2273" w:top="1500" w:bottom="2460" w:left="140" w:right="40"/>
          <w:pgNumType w:start="241"/>
        </w:sectPr>
      </w:pPr>
    </w:p>
    <w:p>
      <w:pPr>
        <w:pStyle w:val="BodyText"/>
        <w:spacing w:before="2"/>
        <w:rPr>
          <w:rFonts w:ascii="Times New Roman"/>
          <w:sz w:val="21"/>
        </w:rPr>
      </w:pPr>
    </w:p>
    <w:p>
      <w:pPr>
        <w:pStyle w:val="BodyText"/>
        <w:spacing w:line="60" w:lineRule="exact"/>
        <w:ind w:left="10350"/>
        <w:rPr>
          <w:rFonts w:ascii="Times New Roman"/>
          <w:sz w:val="6"/>
        </w:rPr>
      </w:pPr>
      <w:r>
        <w:rPr>
          <w:rFonts w:ascii="Times New Roman"/>
          <w:position w:val="0"/>
          <w:sz w:val="6"/>
        </w:rPr>
        <w:pict>
          <v:group style="width:77.05pt;height:2.95pt;mso-position-horizontal-relative:char;mso-position-vertical-relative:line" coordorigin="0,0" coordsize="1541,59">
            <v:line style="position:absolute" from="0,30" to="1541,30" stroked="true" strokeweight="2.95pt" strokecolor="#000000">
              <v:stroke dashstyle="solid"/>
            </v:line>
          </v:group>
        </w:pict>
      </w:r>
      <w:r>
        <w:rPr>
          <w:rFonts w:ascii="Times New Roman"/>
          <w:position w:val="0"/>
          <w:sz w:val="6"/>
        </w:rPr>
      </w:r>
    </w:p>
    <w:p>
      <w:pPr>
        <w:pStyle w:val="BodyText"/>
        <w:spacing w:before="4"/>
        <w:rPr>
          <w:rFonts w:ascii="Times New Roman"/>
          <w:sz w:val="19"/>
        </w:rPr>
      </w:pPr>
      <w:r>
        <w:rPr/>
        <w:pict>
          <v:shape style="position:absolute;margin-left:315.343994pt;margin-top:14.58pt;width:287.9pt;height:.1pt;mso-position-horizontal-relative:page;mso-position-vertical-relative:paragraph;z-index:-251648000;mso-wrap-distance-left:0;mso-wrap-distance-right:0" coordorigin="6307,292" coordsize="5758,0" path="m6307,292l12064,292e" filled="false" stroked="true" strokeweight="2.95pt" strokecolor="#000000">
            <v:path arrowok="t"/>
            <v:stroke dashstyle="solid"/>
            <w10:wrap type="topAndBottom"/>
          </v:shape>
        </w:pict>
      </w:r>
      <w:r>
        <w:rPr/>
        <w:pict>
          <v:shape style="position:absolute;margin-left:315.343994pt;margin-top:30.66pt;width:287.9pt;height:.1pt;mso-position-horizontal-relative:page;mso-position-vertical-relative:paragraph;z-index:-251646976;mso-wrap-distance-left:0;mso-wrap-distance-right:0" coordorigin="6307,613" coordsize="5758,0" path="m6307,613l12064,613e" filled="false" stroked="true" strokeweight="2.95pt" strokecolor="#000000">
            <v:path arrowok="t"/>
            <v:stroke dashstyle="solid"/>
            <w10:wrap type="topAndBottom"/>
          </v:shape>
        </w:pict>
      </w:r>
    </w:p>
    <w:p>
      <w:pPr>
        <w:pStyle w:val="BodyText"/>
        <w:spacing w:before="9"/>
        <w:rPr>
          <w:rFonts w:ascii="Times New Roman"/>
          <w:sz w:val="16"/>
        </w:rPr>
      </w:pPr>
    </w:p>
    <w:p>
      <w:pPr>
        <w:pStyle w:val="BodyText"/>
        <w:spacing w:line="242" w:lineRule="auto" w:before="51"/>
        <w:ind w:left="3100" w:right="3200"/>
        <w:jc w:val="both"/>
      </w:pPr>
      <w:bookmarkStart w:name="Law and Procedure 188" w:id="2"/>
      <w:bookmarkEnd w:id="2"/>
      <w:r>
        <w:rPr/>
      </w:r>
      <w:r>
        <w:rPr/>
        <w:t>with the terms of the policy.</w:t>
      </w:r>
      <w:r>
        <w:rPr>
          <w:vertAlign w:val="superscript"/>
        </w:rPr>
        <w:t>442</w:t>
      </w:r>
      <w:r>
        <w:rPr>
          <w:vertAlign w:val="baseline"/>
        </w:rPr>
        <w:t> The right </w:t>
      </w:r>
      <w:r>
        <w:rPr>
          <w:spacing w:val="-18"/>
          <w:vertAlign w:val="baseline"/>
        </w:rPr>
        <w:t>to </w:t>
      </w:r>
      <w:r>
        <w:rPr>
          <w:vertAlign w:val="baseline"/>
        </w:rPr>
        <w:t>demand appraisal is not indefinite as to time, but must be exercised within a</w:t>
      </w:r>
      <w:r>
        <w:rPr>
          <w:spacing w:val="53"/>
          <w:vertAlign w:val="baseline"/>
        </w:rPr>
        <w:t> </w:t>
      </w:r>
      <w:r>
        <w:rPr>
          <w:vertAlign w:val="baseline"/>
        </w:rPr>
        <w:t>reasonable period, depending upon the facts of </w:t>
      </w:r>
      <w:r>
        <w:rPr>
          <w:spacing w:val="-6"/>
          <w:vertAlign w:val="baseline"/>
        </w:rPr>
        <w:t>the </w:t>
      </w:r>
      <w:r>
        <w:rPr>
          <w:vertAlign w:val="baseline"/>
        </w:rPr>
        <w:t>particular</w:t>
      </w:r>
      <w:r>
        <w:rPr>
          <w:spacing w:val="-23"/>
          <w:vertAlign w:val="baseline"/>
        </w:rPr>
        <w:t> </w:t>
      </w:r>
      <w:r>
        <w:rPr>
          <w:vertAlign w:val="baseline"/>
        </w:rPr>
        <w:t>case.</w:t>
      </w:r>
      <w:r>
        <w:rPr>
          <w:vertAlign w:val="superscript"/>
        </w:rPr>
        <w:t>443</w:t>
      </w:r>
      <w:r>
        <w:rPr>
          <w:spacing w:val="-27"/>
          <w:vertAlign w:val="baseline"/>
        </w:rPr>
        <w:t> </w:t>
      </w:r>
      <w:r>
        <w:rPr>
          <w:vertAlign w:val="baseline"/>
        </w:rPr>
        <w:t>Certainly,</w:t>
      </w:r>
      <w:r>
        <w:rPr>
          <w:spacing w:val="-26"/>
          <w:vertAlign w:val="baseline"/>
        </w:rPr>
        <w:t> </w:t>
      </w:r>
      <w:r>
        <w:rPr>
          <w:vertAlign w:val="baseline"/>
        </w:rPr>
        <w:t>where</w:t>
      </w:r>
      <w:r>
        <w:rPr>
          <w:spacing w:val="-25"/>
          <w:vertAlign w:val="baseline"/>
        </w:rPr>
        <w:t> </w:t>
      </w:r>
      <w:r>
        <w:rPr>
          <w:vertAlign w:val="baseline"/>
        </w:rPr>
        <w:t>the</w:t>
      </w:r>
      <w:r>
        <w:rPr>
          <w:spacing w:val="-25"/>
          <w:vertAlign w:val="baseline"/>
        </w:rPr>
        <w:t> </w:t>
      </w:r>
      <w:r>
        <w:rPr>
          <w:vertAlign w:val="baseline"/>
        </w:rPr>
        <w:t>policy</w:t>
      </w:r>
      <w:r>
        <w:rPr>
          <w:spacing w:val="-25"/>
          <w:vertAlign w:val="baseline"/>
        </w:rPr>
        <w:t> </w:t>
      </w:r>
      <w:r>
        <w:rPr>
          <w:spacing w:val="-17"/>
          <w:vertAlign w:val="baseline"/>
        </w:rPr>
        <w:t>is </w:t>
      </w:r>
      <w:r>
        <w:rPr>
          <w:vertAlign w:val="baseline"/>
        </w:rPr>
        <w:t>silent as to the time for invoking the right to appraisal,</w:t>
      </w:r>
      <w:r>
        <w:rPr>
          <w:spacing w:val="-21"/>
          <w:vertAlign w:val="baseline"/>
        </w:rPr>
        <w:t> </w:t>
      </w:r>
      <w:r>
        <w:rPr>
          <w:vertAlign w:val="baseline"/>
        </w:rPr>
        <w:t>the</w:t>
      </w:r>
      <w:r>
        <w:rPr>
          <w:spacing w:val="-22"/>
          <w:vertAlign w:val="baseline"/>
        </w:rPr>
        <w:t> </w:t>
      </w:r>
      <w:r>
        <w:rPr>
          <w:vertAlign w:val="baseline"/>
        </w:rPr>
        <w:t>law</w:t>
      </w:r>
      <w:r>
        <w:rPr>
          <w:spacing w:val="-23"/>
          <w:vertAlign w:val="baseline"/>
        </w:rPr>
        <w:t> </w:t>
      </w:r>
      <w:r>
        <w:rPr>
          <w:vertAlign w:val="baseline"/>
        </w:rPr>
        <w:t>will</w:t>
      </w:r>
      <w:r>
        <w:rPr>
          <w:spacing w:val="-18"/>
          <w:vertAlign w:val="baseline"/>
        </w:rPr>
        <w:t> </w:t>
      </w:r>
      <w:r>
        <w:rPr>
          <w:vertAlign w:val="baseline"/>
        </w:rPr>
        <w:t>require</w:t>
      </w:r>
      <w:r>
        <w:rPr>
          <w:spacing w:val="-21"/>
          <w:vertAlign w:val="baseline"/>
        </w:rPr>
        <w:t> </w:t>
      </w:r>
      <w:r>
        <w:rPr>
          <w:vertAlign w:val="baseline"/>
        </w:rPr>
        <w:t>that</w:t>
      </w:r>
      <w:r>
        <w:rPr>
          <w:spacing w:val="-21"/>
          <w:vertAlign w:val="baseline"/>
        </w:rPr>
        <w:t> </w:t>
      </w:r>
      <w:r>
        <w:rPr>
          <w:vertAlign w:val="baseline"/>
        </w:rPr>
        <w:t>the</w:t>
      </w:r>
      <w:r>
        <w:rPr>
          <w:spacing w:val="-21"/>
          <w:vertAlign w:val="baseline"/>
        </w:rPr>
        <w:t> </w:t>
      </w:r>
      <w:r>
        <w:rPr>
          <w:vertAlign w:val="baseline"/>
        </w:rPr>
        <w:t>demand be made within a reasonable time.</w:t>
      </w:r>
      <w:r>
        <w:rPr>
          <w:vertAlign w:val="superscript"/>
        </w:rPr>
        <w:t>444</w:t>
      </w:r>
      <w:r>
        <w:rPr>
          <w:vertAlign w:val="baseline"/>
        </w:rPr>
        <w:t> </w:t>
      </w:r>
      <w:r>
        <w:rPr>
          <w:spacing w:val="-17"/>
          <w:vertAlign w:val="baseline"/>
        </w:rPr>
        <w:t>In </w:t>
      </w:r>
      <w:r>
        <w:rPr>
          <w:vertAlign w:val="baseline"/>
        </w:rPr>
        <w:t>determining whether a demand for an appraisal has been presented within a reasonable period of time, the definition of timeliness is often fact</w:t>
      </w:r>
      <w:r>
        <w:rPr>
          <w:spacing w:val="-4"/>
          <w:vertAlign w:val="baseline"/>
        </w:rPr>
        <w:t> </w:t>
      </w:r>
      <w:r>
        <w:rPr>
          <w:vertAlign w:val="baseline"/>
        </w:rPr>
        <w:t>specific.</w:t>
      </w:r>
      <w:r>
        <w:rPr>
          <w:vertAlign w:val="superscript"/>
        </w:rPr>
        <w:t>445</w:t>
      </w:r>
    </w:p>
    <w:p>
      <w:pPr>
        <w:pStyle w:val="BodyText"/>
        <w:spacing w:before="10"/>
        <w:rPr>
          <w:sz w:val="25"/>
        </w:rPr>
      </w:pPr>
    </w:p>
    <w:p>
      <w:pPr>
        <w:pStyle w:val="BodyText"/>
        <w:spacing w:line="242" w:lineRule="auto"/>
        <w:ind w:left="3100" w:right="3197" w:firstLine="720"/>
        <w:jc w:val="both"/>
      </w:pPr>
      <w:r>
        <w:rPr/>
        <w:pict>
          <v:line style="position:absolute;mso-position-horizontal-relative:page;mso-position-vertical-relative:paragraph;z-index:-254271488" from="315.343994pt,-198.456848pt" to="603.173994pt,-198.456848pt" stroked="true" strokeweight="2.95pt" strokecolor="#000000">
            <v:stroke dashstyle="solid"/>
            <w10:wrap type="none"/>
          </v:line>
        </w:pict>
      </w:r>
      <w:r>
        <w:rPr/>
        <w:pict>
          <v:line style="position:absolute;mso-position-horizontal-relative:page;mso-position-vertical-relative:paragraph;z-index:-254270464" from="315.343994pt,-182.376862pt" to="603.601994pt,-182.376862pt" stroked="true" strokeweight="2.95pt" strokecolor="#000000">
            <v:stroke dashstyle="solid"/>
            <w10:wrap type="none"/>
          </v:line>
        </w:pict>
      </w:r>
      <w:r>
        <w:rPr/>
        <w:pict>
          <v:line style="position:absolute;mso-position-horizontal-relative:page;mso-position-vertical-relative:paragraph;z-index:-254269440" from="315.343994pt,-166.296860pt" to="603.346994pt,-166.296860pt" stroked="true" strokeweight="2.95pt" strokecolor="#000000">
            <v:stroke dashstyle="solid"/>
            <w10:wrap type="none"/>
          </v:line>
        </w:pict>
      </w:r>
      <w:r>
        <w:rPr/>
        <w:t>Under New York law, determining the timeliness of an appraisal demand</w:t>
      </w:r>
      <w:r>
        <w:rPr>
          <w:spacing w:val="62"/>
        </w:rPr>
        <w:t> </w:t>
      </w:r>
      <w:r>
        <w:rPr/>
        <w:t>involves consideration of three factors, none of which are dispositive. They include: 1) whether the appraisal sought is impractical and</w:t>
      </w:r>
      <w:r>
        <w:rPr>
          <w:spacing w:val="-28"/>
        </w:rPr>
        <w:t> </w:t>
      </w:r>
      <w:r>
        <w:rPr/>
        <w:t>impossible in that the appraisal demand would result in prejudice</w:t>
      </w:r>
      <w:r>
        <w:rPr>
          <w:spacing w:val="-33"/>
        </w:rPr>
        <w:t> </w:t>
      </w:r>
      <w:r>
        <w:rPr/>
        <w:t>to</w:t>
      </w:r>
      <w:r>
        <w:rPr>
          <w:spacing w:val="-33"/>
        </w:rPr>
        <w:t> </w:t>
      </w:r>
      <w:r>
        <w:rPr/>
        <w:t>the</w:t>
      </w:r>
      <w:r>
        <w:rPr>
          <w:spacing w:val="-33"/>
        </w:rPr>
        <w:t> </w:t>
      </w:r>
      <w:r>
        <w:rPr/>
        <w:t>opposing</w:t>
      </w:r>
      <w:r>
        <w:rPr>
          <w:spacing w:val="-31"/>
        </w:rPr>
        <w:t> </w:t>
      </w:r>
      <w:r>
        <w:rPr/>
        <w:t>party,</w:t>
      </w:r>
      <w:r>
        <w:rPr>
          <w:spacing w:val="-35"/>
        </w:rPr>
        <w:t> </w:t>
      </w:r>
      <w:r>
        <w:rPr/>
        <w:t>2)</w:t>
      </w:r>
      <w:r>
        <w:rPr>
          <w:spacing w:val="-39"/>
        </w:rPr>
        <w:t> </w:t>
      </w:r>
      <w:r>
        <w:rPr/>
        <w:t>whether</w:t>
      </w:r>
      <w:r>
        <w:rPr>
          <w:spacing w:val="-35"/>
        </w:rPr>
        <w:t> </w:t>
      </w:r>
      <w:r>
        <w:rPr/>
        <w:t>the party</w:t>
      </w:r>
      <w:r>
        <w:rPr>
          <w:spacing w:val="-29"/>
        </w:rPr>
        <w:t> </w:t>
      </w:r>
      <w:r>
        <w:rPr/>
        <w:t>engaged</w:t>
      </w:r>
      <w:r>
        <w:rPr>
          <w:spacing w:val="-25"/>
        </w:rPr>
        <w:t> </w:t>
      </w:r>
      <w:r>
        <w:rPr/>
        <w:t>in</w:t>
      </w:r>
      <w:r>
        <w:rPr>
          <w:spacing w:val="-29"/>
        </w:rPr>
        <w:t> </w:t>
      </w:r>
      <w:r>
        <w:rPr/>
        <w:t>good-faith</w:t>
      </w:r>
      <w:r>
        <w:rPr>
          <w:spacing w:val="-30"/>
        </w:rPr>
        <w:t> </w:t>
      </w:r>
      <w:r>
        <w:rPr/>
        <w:t>negotiations</w:t>
      </w:r>
      <w:r>
        <w:rPr>
          <w:spacing w:val="-28"/>
        </w:rPr>
        <w:t> </w:t>
      </w:r>
      <w:r>
        <w:rPr/>
        <w:t>over valuation</w:t>
      </w:r>
      <w:r>
        <w:rPr>
          <w:spacing w:val="-26"/>
        </w:rPr>
        <w:t> </w:t>
      </w:r>
      <w:r>
        <w:rPr/>
        <w:t>of</w:t>
      </w:r>
      <w:r>
        <w:rPr>
          <w:spacing w:val="-26"/>
        </w:rPr>
        <w:t> </w:t>
      </w:r>
      <w:r>
        <w:rPr/>
        <w:t>loss</w:t>
      </w:r>
      <w:r>
        <w:rPr>
          <w:spacing w:val="-24"/>
        </w:rPr>
        <w:t> </w:t>
      </w:r>
      <w:r>
        <w:rPr/>
        <w:t>prior</w:t>
      </w:r>
      <w:r>
        <w:rPr>
          <w:spacing w:val="-27"/>
        </w:rPr>
        <w:t> </w:t>
      </w:r>
      <w:r>
        <w:rPr/>
        <w:t>to</w:t>
      </w:r>
      <w:r>
        <w:rPr>
          <w:spacing w:val="-26"/>
        </w:rPr>
        <w:t> </w:t>
      </w:r>
      <w:r>
        <w:rPr/>
        <w:t>the</w:t>
      </w:r>
      <w:r>
        <w:rPr>
          <w:spacing w:val="-27"/>
        </w:rPr>
        <w:t> </w:t>
      </w:r>
      <w:r>
        <w:rPr/>
        <w:t>appraisal</w:t>
      </w:r>
      <w:r>
        <w:rPr>
          <w:spacing w:val="-28"/>
        </w:rPr>
        <w:t> </w:t>
      </w:r>
      <w:r>
        <w:rPr/>
        <w:t>demand,</w:t>
      </w:r>
    </w:p>
    <w:p>
      <w:pPr>
        <w:pStyle w:val="BodyText"/>
        <w:rPr>
          <w:sz w:val="20"/>
        </w:rPr>
      </w:pPr>
    </w:p>
    <w:p>
      <w:pPr>
        <w:pStyle w:val="BodyText"/>
        <w:spacing w:before="3"/>
        <w:rPr>
          <w:sz w:val="16"/>
        </w:rPr>
      </w:pPr>
      <w:r>
        <w:rPr/>
        <w:pict>
          <v:shape style="position:absolute;margin-left:162pt;margin-top:12.3809pt;width:143.9pt;height:.1pt;mso-position-horizontal-relative:page;mso-position-vertical-relative:paragraph;z-index:-251645952;mso-wrap-distance-left:0;mso-wrap-distance-right:0" coordorigin="3240,248" coordsize="2878,0" path="m3240,248l6118,248e" filled="false" stroked="true" strokeweight=".84pt" strokecolor="#000000">
            <v:path arrowok="t"/>
            <v:stroke dashstyle="solid"/>
            <w10:wrap type="topAndBottom"/>
          </v:shape>
        </w:pict>
      </w:r>
    </w:p>
    <w:p>
      <w:pPr>
        <w:spacing w:line="244" w:lineRule="auto" w:before="140"/>
        <w:ind w:left="2740" w:right="2848" w:firstLine="0"/>
        <w:jc w:val="both"/>
        <w:rPr>
          <w:rFonts w:ascii="Times New Roman"/>
          <w:sz w:val="18"/>
        </w:rPr>
      </w:pPr>
      <w:r>
        <w:rPr>
          <w:rFonts w:ascii="Times New Roman"/>
          <w:position w:val="10"/>
          <w:sz w:val="14"/>
        </w:rPr>
        <w:t>442</w:t>
      </w:r>
      <w:r>
        <w:rPr>
          <w:rFonts w:ascii="Times New Roman"/>
          <w:sz w:val="14"/>
        </w:rPr>
        <w:t> </w:t>
      </w:r>
      <w:r>
        <w:rPr>
          <w:rFonts w:ascii="Times New Roman"/>
          <w:sz w:val="18"/>
          <w:u w:val="single"/>
        </w:rPr>
        <w:t>Grand Rapids Fire Ins. Co. v. Finn</w:t>
      </w:r>
      <w:r>
        <w:rPr>
          <w:rFonts w:ascii="Times New Roman"/>
          <w:sz w:val="18"/>
        </w:rPr>
        <w:t>, 60 Ohio St. 513, 54 N.E. 545 (1899), </w:t>
      </w:r>
      <w:r>
        <w:rPr>
          <w:rFonts w:ascii="Times New Roman"/>
          <w:i/>
          <w:sz w:val="18"/>
        </w:rPr>
        <w:t>overruled in </w:t>
      </w:r>
      <w:r>
        <w:rPr>
          <w:rFonts w:ascii="Times New Roman"/>
          <w:i/>
          <w:sz w:val="18"/>
        </w:rPr>
        <w:t>part on other grounds by, </w:t>
      </w:r>
      <w:r>
        <w:rPr>
          <w:rFonts w:ascii="Times New Roman"/>
          <w:sz w:val="18"/>
          <w:u w:val="single"/>
        </w:rPr>
        <w:t>Graham v. German Am. Ins. Co.</w:t>
      </w:r>
      <w:r>
        <w:rPr>
          <w:rFonts w:ascii="Times New Roman"/>
          <w:sz w:val="18"/>
        </w:rPr>
        <w:t>, 75 Ohio St. 374, 79 N.E. 930 (1907).</w:t>
      </w:r>
    </w:p>
    <w:p>
      <w:pPr>
        <w:spacing w:line="207" w:lineRule="exact" w:before="0"/>
        <w:ind w:left="2740" w:right="0" w:firstLine="0"/>
        <w:jc w:val="both"/>
        <w:rPr>
          <w:rFonts w:ascii="Times New Roman"/>
          <w:sz w:val="18"/>
        </w:rPr>
      </w:pPr>
      <w:r>
        <w:rPr>
          <w:rFonts w:ascii="Times New Roman"/>
          <w:position w:val="10"/>
          <w:sz w:val="14"/>
        </w:rPr>
        <w:t>443</w:t>
      </w:r>
      <w:r>
        <w:rPr>
          <w:rFonts w:ascii="Times New Roman"/>
          <w:sz w:val="14"/>
        </w:rPr>
        <w:t> </w:t>
      </w:r>
      <w:r>
        <w:rPr>
          <w:rFonts w:ascii="Times New Roman"/>
          <w:sz w:val="18"/>
          <w:u w:val="single"/>
        </w:rPr>
        <w:t>Chainless Cycle Mfg. Co. v. Security Ins. Co. of New Haven</w:t>
      </w:r>
      <w:r>
        <w:rPr>
          <w:rFonts w:ascii="Times New Roman"/>
          <w:sz w:val="18"/>
        </w:rPr>
        <w:t>, 169 N.Y. 304, 62 N.E.</w:t>
      </w:r>
    </w:p>
    <w:p>
      <w:pPr>
        <w:spacing w:line="244" w:lineRule="auto" w:before="4"/>
        <w:ind w:left="2740" w:right="3191" w:firstLine="0"/>
        <w:jc w:val="left"/>
        <w:rPr>
          <w:rFonts w:ascii="Times New Roman"/>
          <w:sz w:val="18"/>
        </w:rPr>
      </w:pPr>
      <w:r>
        <w:rPr>
          <w:rFonts w:ascii="Times New Roman"/>
          <w:sz w:val="18"/>
        </w:rPr>
        <w:t>392 (1901); </w:t>
      </w:r>
      <w:r>
        <w:rPr>
          <w:rFonts w:ascii="Times New Roman"/>
          <w:sz w:val="18"/>
          <w:u w:val="single"/>
        </w:rPr>
        <w:t>Amerex Group, Inc. v. Lexington Ins. Co.</w:t>
      </w:r>
      <w:r>
        <w:rPr>
          <w:rFonts w:ascii="Times New Roman"/>
          <w:sz w:val="18"/>
        </w:rPr>
        <w:t>, 678 F.3d193 (L.A.2 (N.Y.) 2012)</w:t>
      </w:r>
    </w:p>
    <w:p>
      <w:pPr>
        <w:spacing w:line="207" w:lineRule="exact" w:before="0"/>
        <w:ind w:left="2740" w:right="0" w:firstLine="0"/>
        <w:jc w:val="left"/>
        <w:rPr>
          <w:rFonts w:ascii="Times New Roman"/>
          <w:sz w:val="18"/>
        </w:rPr>
      </w:pPr>
      <w:r>
        <w:rPr>
          <w:rFonts w:ascii="Times New Roman"/>
          <w:position w:val="10"/>
          <w:sz w:val="14"/>
        </w:rPr>
        <w:t>444</w:t>
      </w:r>
      <w:r>
        <w:rPr>
          <w:rFonts w:ascii="Times New Roman"/>
          <w:sz w:val="14"/>
        </w:rPr>
        <w:t> </w:t>
      </w:r>
      <w:r>
        <w:rPr>
          <w:rFonts w:ascii="Times New Roman"/>
          <w:sz w:val="18"/>
          <w:u w:val="single"/>
        </w:rPr>
        <w:t>Tran d/b/a Imperial Shopping Center v. American Economy Ins. Co.</w:t>
      </w:r>
      <w:r>
        <w:rPr>
          <w:rFonts w:ascii="Times New Roman"/>
          <w:sz w:val="18"/>
        </w:rPr>
        <w:t>, 2010 W.L.</w:t>
      </w:r>
    </w:p>
    <w:p>
      <w:pPr>
        <w:spacing w:line="178" w:lineRule="exact" w:before="5"/>
        <w:ind w:left="2740" w:right="0" w:firstLine="0"/>
        <w:jc w:val="left"/>
        <w:rPr>
          <w:rFonts w:ascii="Times New Roman"/>
          <w:sz w:val="18"/>
        </w:rPr>
      </w:pPr>
      <w:r>
        <w:rPr>
          <w:rFonts w:ascii="Times New Roman"/>
          <w:sz w:val="18"/>
        </w:rPr>
        <w:t>2680616 (S.D. Tex. 2010).</w:t>
      </w:r>
    </w:p>
    <w:p>
      <w:pPr>
        <w:spacing w:line="240" w:lineRule="exact" w:before="0"/>
        <w:ind w:left="2740" w:right="0" w:firstLine="0"/>
        <w:jc w:val="left"/>
        <w:rPr>
          <w:rFonts w:ascii="Times New Roman"/>
          <w:i/>
          <w:sz w:val="18"/>
        </w:rPr>
      </w:pPr>
      <w:r>
        <w:rPr>
          <w:rFonts w:ascii="Times New Roman"/>
          <w:position w:val="10"/>
          <w:sz w:val="14"/>
        </w:rPr>
        <w:t>445</w:t>
      </w:r>
      <w:r>
        <w:rPr>
          <w:rFonts w:ascii="Times New Roman"/>
          <w:sz w:val="18"/>
          <w:u w:val="single"/>
        </w:rPr>
        <w:t>Kester v. State Farm Fire and Cas. Co.</w:t>
      </w:r>
      <w:r>
        <w:rPr>
          <w:rFonts w:ascii="Times New Roman"/>
          <w:sz w:val="18"/>
        </w:rPr>
        <w:t>, 726 F.Supp. 1015, 1019 (E.D.Pa. 1989); </w:t>
      </w:r>
      <w:r>
        <w:rPr>
          <w:rFonts w:ascii="Times New Roman"/>
          <w:i/>
          <w:sz w:val="18"/>
        </w:rPr>
        <w:t>See</w:t>
      </w:r>
    </w:p>
    <w:p>
      <w:pPr>
        <w:spacing w:line="244" w:lineRule="auto" w:before="4"/>
        <w:ind w:left="2740" w:right="2839" w:firstLine="0"/>
        <w:jc w:val="both"/>
        <w:rPr>
          <w:rFonts w:ascii="Times New Roman"/>
          <w:sz w:val="18"/>
        </w:rPr>
      </w:pPr>
      <w:r>
        <w:rPr>
          <w:rFonts w:ascii="Times New Roman"/>
          <w:i/>
          <w:sz w:val="18"/>
        </w:rPr>
        <w:t>generally</w:t>
      </w:r>
      <w:r>
        <w:rPr>
          <w:rFonts w:ascii="Times New Roman"/>
          <w:sz w:val="18"/>
        </w:rPr>
        <w:t>,</w:t>
      </w:r>
      <w:r>
        <w:rPr>
          <w:rFonts w:ascii="Times New Roman"/>
          <w:spacing w:val="-11"/>
          <w:sz w:val="18"/>
        </w:rPr>
        <w:t> </w:t>
      </w:r>
      <w:r>
        <w:rPr>
          <w:rFonts w:ascii="Times New Roman"/>
          <w:sz w:val="18"/>
        </w:rPr>
        <w:t>A.L.</w:t>
      </w:r>
      <w:r>
        <w:rPr>
          <w:rFonts w:ascii="Times New Roman"/>
          <w:spacing w:val="-12"/>
          <w:sz w:val="18"/>
        </w:rPr>
        <w:t> </w:t>
      </w:r>
      <w:r>
        <w:rPr>
          <w:rFonts w:ascii="Times New Roman"/>
          <w:sz w:val="18"/>
        </w:rPr>
        <w:t>Frechette</w:t>
      </w:r>
      <w:r>
        <w:rPr>
          <w:rFonts w:ascii="Times New Roman"/>
          <w:spacing w:val="-14"/>
          <w:sz w:val="18"/>
        </w:rPr>
        <w:t> </w:t>
      </w:r>
      <w:r>
        <w:rPr>
          <w:rFonts w:ascii="Times New Roman"/>
          <w:sz w:val="18"/>
        </w:rPr>
        <w:t>and</w:t>
      </w:r>
      <w:r>
        <w:rPr>
          <w:rFonts w:ascii="Times New Roman"/>
          <w:spacing w:val="-12"/>
          <w:sz w:val="18"/>
        </w:rPr>
        <w:t> </w:t>
      </w:r>
      <w:r>
        <w:rPr>
          <w:rFonts w:ascii="Times New Roman"/>
          <w:sz w:val="18"/>
        </w:rPr>
        <w:t>A.M.</w:t>
      </w:r>
      <w:r>
        <w:rPr>
          <w:rFonts w:ascii="Times New Roman"/>
          <w:spacing w:val="-11"/>
          <w:sz w:val="18"/>
        </w:rPr>
        <w:t> </w:t>
      </w:r>
      <w:r>
        <w:rPr>
          <w:rFonts w:ascii="Times New Roman"/>
          <w:sz w:val="18"/>
        </w:rPr>
        <w:t>Swarthart,</w:t>
      </w:r>
      <w:r>
        <w:rPr>
          <w:rFonts w:ascii="Times New Roman"/>
          <w:spacing w:val="-10"/>
          <w:sz w:val="18"/>
        </w:rPr>
        <w:t> </w:t>
      </w:r>
      <w:r>
        <w:rPr>
          <w:rFonts w:ascii="Times New Roman"/>
          <w:sz w:val="18"/>
        </w:rPr>
        <w:t>Annotation,</w:t>
      </w:r>
      <w:r>
        <w:rPr>
          <w:rFonts w:ascii="Times New Roman"/>
          <w:spacing w:val="-10"/>
          <w:sz w:val="18"/>
        </w:rPr>
        <w:t> </w:t>
      </w:r>
      <w:r>
        <w:rPr>
          <w:rFonts w:ascii="Times New Roman"/>
          <w:i/>
          <w:sz w:val="18"/>
        </w:rPr>
        <w:t>Time</w:t>
      </w:r>
      <w:r>
        <w:rPr>
          <w:rFonts w:ascii="Times New Roman"/>
          <w:i/>
          <w:spacing w:val="-12"/>
          <w:sz w:val="18"/>
        </w:rPr>
        <w:t> </w:t>
      </w:r>
      <w:r>
        <w:rPr>
          <w:rFonts w:ascii="Times New Roman"/>
          <w:i/>
          <w:sz w:val="18"/>
        </w:rPr>
        <w:t>Within</w:t>
      </w:r>
      <w:r>
        <w:rPr>
          <w:rFonts w:ascii="Times New Roman"/>
          <w:i/>
          <w:spacing w:val="-9"/>
          <w:sz w:val="18"/>
        </w:rPr>
        <w:t> </w:t>
      </w:r>
      <w:r>
        <w:rPr>
          <w:rFonts w:ascii="Times New Roman"/>
          <w:i/>
          <w:sz w:val="18"/>
        </w:rPr>
        <w:t>Which</w:t>
      </w:r>
      <w:r>
        <w:rPr>
          <w:rFonts w:ascii="Times New Roman"/>
          <w:i/>
          <w:spacing w:val="-11"/>
          <w:sz w:val="18"/>
        </w:rPr>
        <w:t> </w:t>
      </w:r>
      <w:r>
        <w:rPr>
          <w:rFonts w:ascii="Times New Roman"/>
          <w:i/>
          <w:sz w:val="18"/>
        </w:rPr>
        <w:t>Demand</w:t>
      </w:r>
      <w:r>
        <w:rPr>
          <w:rFonts w:ascii="Times New Roman"/>
          <w:i/>
          <w:spacing w:val="-9"/>
          <w:sz w:val="18"/>
        </w:rPr>
        <w:t> </w:t>
      </w:r>
      <w:r>
        <w:rPr>
          <w:rFonts w:ascii="Times New Roman"/>
          <w:i/>
          <w:sz w:val="18"/>
        </w:rPr>
        <w:t>for </w:t>
      </w:r>
      <w:r>
        <w:rPr>
          <w:rFonts w:ascii="Times New Roman"/>
          <w:i/>
          <w:sz w:val="18"/>
        </w:rPr>
        <w:t>Appraisal of Property Loss Must be Made Under Insurance Policy Providing for Such Appraisal</w:t>
      </w:r>
      <w:r>
        <w:rPr>
          <w:rFonts w:ascii="Times New Roman"/>
          <w:sz w:val="18"/>
        </w:rPr>
        <w:t>,</w:t>
      </w:r>
      <w:r>
        <w:rPr>
          <w:rFonts w:ascii="Times New Roman"/>
          <w:spacing w:val="-9"/>
          <w:sz w:val="18"/>
        </w:rPr>
        <w:t> </w:t>
      </w:r>
      <w:r>
        <w:rPr>
          <w:rFonts w:ascii="Times New Roman"/>
          <w:sz w:val="18"/>
        </w:rPr>
        <w:t>14</w:t>
      </w:r>
      <w:r>
        <w:rPr>
          <w:rFonts w:ascii="Times New Roman"/>
          <w:spacing w:val="-7"/>
          <w:sz w:val="18"/>
        </w:rPr>
        <w:t> </w:t>
      </w:r>
      <w:r>
        <w:rPr>
          <w:rFonts w:ascii="Times New Roman"/>
          <w:sz w:val="18"/>
        </w:rPr>
        <w:t>A.L.R.3d</w:t>
      </w:r>
      <w:r>
        <w:rPr>
          <w:rFonts w:ascii="Times New Roman"/>
          <w:spacing w:val="-8"/>
          <w:sz w:val="18"/>
        </w:rPr>
        <w:t> </w:t>
      </w:r>
      <w:r>
        <w:rPr>
          <w:rFonts w:ascii="Times New Roman"/>
          <w:sz w:val="18"/>
        </w:rPr>
        <w:t>674</w:t>
      </w:r>
      <w:r>
        <w:rPr>
          <w:rFonts w:ascii="Times New Roman"/>
          <w:spacing w:val="-8"/>
          <w:sz w:val="18"/>
        </w:rPr>
        <w:t> </w:t>
      </w:r>
      <w:r>
        <w:rPr>
          <w:rFonts w:ascii="Times New Roman"/>
          <w:sz w:val="18"/>
        </w:rPr>
        <w:t>(1967);</w:t>
      </w:r>
      <w:r>
        <w:rPr>
          <w:rFonts w:ascii="Times New Roman"/>
          <w:spacing w:val="-9"/>
          <w:sz w:val="18"/>
        </w:rPr>
        <w:t> </w:t>
      </w:r>
      <w:r>
        <w:rPr>
          <w:rFonts w:ascii="Times New Roman"/>
          <w:sz w:val="18"/>
          <w:u w:val="single"/>
        </w:rPr>
        <w:t>Hamilton</w:t>
      </w:r>
      <w:r>
        <w:rPr>
          <w:rFonts w:ascii="Times New Roman"/>
          <w:spacing w:val="-7"/>
          <w:sz w:val="18"/>
          <w:u w:val="single"/>
        </w:rPr>
        <w:t> </w:t>
      </w:r>
      <w:r>
        <w:rPr>
          <w:rFonts w:ascii="Times New Roman"/>
          <w:sz w:val="18"/>
          <w:u w:val="single"/>
        </w:rPr>
        <w:t>v.</w:t>
      </w:r>
      <w:r>
        <w:rPr>
          <w:rFonts w:ascii="Times New Roman"/>
          <w:spacing w:val="-11"/>
          <w:sz w:val="18"/>
          <w:u w:val="single"/>
        </w:rPr>
        <w:t> </w:t>
      </w:r>
      <w:r>
        <w:rPr>
          <w:rFonts w:ascii="Times New Roman"/>
          <w:sz w:val="18"/>
          <w:u w:val="single"/>
        </w:rPr>
        <w:t>Phoenix</w:t>
      </w:r>
      <w:r>
        <w:rPr>
          <w:rFonts w:ascii="Times New Roman"/>
          <w:spacing w:val="-9"/>
          <w:sz w:val="18"/>
          <w:u w:val="single"/>
        </w:rPr>
        <w:t> </w:t>
      </w:r>
      <w:r>
        <w:rPr>
          <w:rFonts w:ascii="Times New Roman"/>
          <w:sz w:val="18"/>
          <w:u w:val="single"/>
        </w:rPr>
        <w:t>Ins.</w:t>
      </w:r>
      <w:r>
        <w:rPr>
          <w:rFonts w:ascii="Times New Roman"/>
          <w:spacing w:val="-8"/>
          <w:sz w:val="18"/>
          <w:u w:val="single"/>
        </w:rPr>
        <w:t> </w:t>
      </w:r>
      <w:r>
        <w:rPr>
          <w:rFonts w:ascii="Times New Roman"/>
          <w:sz w:val="18"/>
          <w:u w:val="single"/>
        </w:rPr>
        <w:t>Co.</w:t>
      </w:r>
      <w:r>
        <w:rPr>
          <w:rFonts w:ascii="Times New Roman"/>
          <w:sz w:val="18"/>
        </w:rPr>
        <w:t>,</w:t>
      </w:r>
      <w:r>
        <w:rPr>
          <w:rFonts w:ascii="Times New Roman"/>
          <w:spacing w:val="-8"/>
          <w:sz w:val="18"/>
        </w:rPr>
        <w:t> </w:t>
      </w:r>
      <w:r>
        <w:rPr>
          <w:rFonts w:ascii="Times New Roman"/>
          <w:sz w:val="18"/>
        </w:rPr>
        <w:t>61</w:t>
      </w:r>
      <w:r>
        <w:rPr>
          <w:rFonts w:ascii="Times New Roman"/>
          <w:spacing w:val="-7"/>
          <w:sz w:val="18"/>
        </w:rPr>
        <w:t> </w:t>
      </w:r>
      <w:r>
        <w:rPr>
          <w:rFonts w:ascii="Times New Roman"/>
          <w:sz w:val="18"/>
        </w:rPr>
        <w:t>F.</w:t>
      </w:r>
      <w:r>
        <w:rPr>
          <w:rFonts w:ascii="Times New Roman"/>
          <w:spacing w:val="-8"/>
          <w:sz w:val="18"/>
        </w:rPr>
        <w:t> </w:t>
      </w:r>
      <w:r>
        <w:rPr>
          <w:rFonts w:ascii="Times New Roman"/>
          <w:sz w:val="18"/>
        </w:rPr>
        <w:t>379</w:t>
      </w:r>
      <w:r>
        <w:rPr>
          <w:rFonts w:ascii="Times New Roman"/>
          <w:spacing w:val="-7"/>
          <w:sz w:val="18"/>
        </w:rPr>
        <w:t> </w:t>
      </w:r>
      <w:r>
        <w:rPr>
          <w:rFonts w:ascii="Times New Roman"/>
          <w:sz w:val="18"/>
        </w:rPr>
        <w:t>(6</w:t>
      </w:r>
      <w:r>
        <w:rPr>
          <w:rFonts w:ascii="Times New Roman"/>
          <w:position w:val="7"/>
          <w:sz w:val="10"/>
        </w:rPr>
        <w:t>th</w:t>
      </w:r>
      <w:r>
        <w:rPr>
          <w:rFonts w:ascii="Times New Roman"/>
          <w:spacing w:val="12"/>
          <w:position w:val="7"/>
          <w:sz w:val="10"/>
        </w:rPr>
        <w:t> </w:t>
      </w:r>
      <w:r>
        <w:rPr>
          <w:rFonts w:ascii="Times New Roman"/>
          <w:sz w:val="18"/>
        </w:rPr>
        <w:t>Cir.</w:t>
      </w:r>
      <w:r>
        <w:rPr>
          <w:rFonts w:ascii="Times New Roman"/>
          <w:spacing w:val="-8"/>
          <w:sz w:val="18"/>
        </w:rPr>
        <w:t> </w:t>
      </w:r>
      <w:r>
        <w:rPr>
          <w:rFonts w:ascii="Times New Roman"/>
          <w:sz w:val="18"/>
        </w:rPr>
        <w:t>1894) (what constitutes a reasonable time depends upon all the surrounding</w:t>
      </w:r>
      <w:r>
        <w:rPr>
          <w:rFonts w:ascii="Times New Roman"/>
          <w:spacing w:val="1"/>
          <w:sz w:val="18"/>
        </w:rPr>
        <w:t> </w:t>
      </w:r>
      <w:r>
        <w:rPr>
          <w:rFonts w:ascii="Times New Roman"/>
          <w:sz w:val="18"/>
        </w:rPr>
        <w:t>circumstances).</w:t>
      </w:r>
    </w:p>
    <w:p>
      <w:pPr>
        <w:spacing w:after="0" w:line="244" w:lineRule="auto"/>
        <w:jc w:val="both"/>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3822" w:val="left" w:leader="none"/>
          <w:tab w:pos="4265" w:val="left" w:leader="none"/>
          <w:tab w:pos="5501" w:val="left" w:leader="none"/>
          <w:tab w:pos="6882" w:val="left" w:leader="none"/>
          <w:tab w:pos="7245" w:val="left" w:leader="none"/>
          <w:tab w:pos="8607" w:val="left" w:leader="none"/>
        </w:tabs>
        <w:spacing w:line="242" w:lineRule="auto" w:before="42"/>
        <w:ind w:left="3100" w:right="3202"/>
        <w:rPr>
          <w:sz w:val="14"/>
        </w:rPr>
      </w:pPr>
      <w:bookmarkStart w:name="Law and Procedure 189" w:id="3"/>
      <w:bookmarkEnd w:id="3"/>
      <w:r>
        <w:rPr/>
      </w:r>
      <w:r>
        <w:rPr/>
        <w:t>and</w:t>
        <w:tab/>
        <w:t>3)</w:t>
        <w:tab/>
        <w:t>whether</w:t>
        <w:tab/>
        <w:t>appraisal</w:t>
        <w:tab/>
        <w:t>is</w:t>
        <w:tab/>
        <w:t>desirable</w:t>
        <w:tab/>
      </w:r>
      <w:r>
        <w:rPr>
          <w:spacing w:val="-9"/>
        </w:rPr>
        <w:t>or </w:t>
      </w:r>
      <w:r>
        <w:rPr/>
        <w:t>necessary under the</w:t>
      </w:r>
      <w:r>
        <w:rPr>
          <w:spacing w:val="-8"/>
        </w:rPr>
        <w:t> </w:t>
      </w:r>
      <w:r>
        <w:rPr/>
        <w:t>circumstances.</w:t>
      </w:r>
      <w:r>
        <w:rPr>
          <w:position w:val="10"/>
          <w:sz w:val="14"/>
        </w:rPr>
        <w:t>446</w:t>
      </w:r>
    </w:p>
    <w:p>
      <w:pPr>
        <w:pStyle w:val="BodyText"/>
        <w:spacing w:before="9"/>
        <w:rPr>
          <w:sz w:val="23"/>
        </w:rPr>
      </w:pPr>
    </w:p>
    <w:p>
      <w:pPr>
        <w:pStyle w:val="BodyText"/>
        <w:spacing w:line="242" w:lineRule="auto" w:before="1"/>
        <w:ind w:left="3100" w:right="3198" w:firstLine="720"/>
        <w:jc w:val="both"/>
      </w:pPr>
      <w:r>
        <w:rPr/>
        <w:pict>
          <v:line style="position:absolute;mso-position-horizontal-relative:page;mso-position-vertical-relative:paragraph;z-index:-254267392" from="431.227997pt,105.673187pt" to="604.910997pt,105.673187pt" stroked="true" strokeweight="2.95pt" strokecolor="#000000">
            <v:stroke dashstyle="solid"/>
            <w10:wrap type="none"/>
          </v:line>
        </w:pict>
      </w:r>
      <w:r>
        <w:rPr/>
        <w:pict>
          <v:line style="position:absolute;mso-position-horizontal-relative:page;mso-position-vertical-relative:paragraph;z-index:-254266368" from="317.167999pt,121.753189pt" to="544.541999pt,121.753189pt" stroked="true" strokeweight="2.95pt" strokecolor="#000000">
            <v:stroke dashstyle="solid"/>
            <w10:wrap type="none"/>
          </v:line>
        </w:pict>
      </w:r>
      <w:r>
        <w:rPr>
          <w:spacing w:val="5"/>
        </w:rPr>
        <w:t>In </w:t>
      </w:r>
      <w:r>
        <w:rPr>
          <w:spacing w:val="4"/>
        </w:rPr>
        <w:t>essence, </w:t>
      </w:r>
      <w:r>
        <w:rPr>
          <w:spacing w:val="5"/>
        </w:rPr>
        <w:t>“[t]his </w:t>
      </w:r>
      <w:r>
        <w:rPr>
          <w:spacing w:val="4"/>
        </w:rPr>
        <w:t>means </w:t>
      </w:r>
      <w:r>
        <w:rPr>
          <w:spacing w:val="3"/>
        </w:rPr>
        <w:t>that </w:t>
      </w:r>
      <w:r>
        <w:rPr>
          <w:spacing w:val="2"/>
        </w:rPr>
        <w:t>the </w:t>
      </w:r>
      <w:r>
        <w:rPr/>
        <w:t>existence of a real difference in fact, arising out of an honest effort to agree between the insured and the insurer, is necessary to render operative a provision in a policy for</w:t>
      </w:r>
      <w:r>
        <w:rPr>
          <w:spacing w:val="-47"/>
        </w:rPr>
        <w:t> </w:t>
      </w:r>
      <w:r>
        <w:rPr/>
        <w:t>arbitration of differences. Furthermore, there must be an actual and honest effort to reach an agreement between the parties, as it is only then that the clause for arbitration becomes operative, the remedies being successive. For example, a mere arbitrary refusal to pay the amount demanded, and the offer of a </w:t>
      </w:r>
      <w:r>
        <w:rPr>
          <w:spacing w:val="-4"/>
        </w:rPr>
        <w:t>less</w:t>
      </w:r>
      <w:r>
        <w:rPr>
          <w:spacing w:val="63"/>
        </w:rPr>
        <w:t> </w:t>
      </w:r>
      <w:r>
        <w:rPr/>
        <w:t>amount,</w:t>
      </w:r>
      <w:r>
        <w:rPr>
          <w:spacing w:val="-17"/>
        </w:rPr>
        <w:t> </w:t>
      </w:r>
      <w:r>
        <w:rPr/>
        <w:t>without</w:t>
      </w:r>
      <w:r>
        <w:rPr>
          <w:spacing w:val="-14"/>
        </w:rPr>
        <w:t> </w:t>
      </w:r>
      <w:r>
        <w:rPr/>
        <w:t>any</w:t>
      </w:r>
      <w:r>
        <w:rPr>
          <w:spacing w:val="-18"/>
        </w:rPr>
        <w:t> </w:t>
      </w:r>
      <w:r>
        <w:rPr/>
        <w:t>attempt</w:t>
      </w:r>
      <w:r>
        <w:rPr>
          <w:spacing w:val="-19"/>
        </w:rPr>
        <w:t> </w:t>
      </w:r>
      <w:r>
        <w:rPr/>
        <w:t>upon</w:t>
      </w:r>
      <w:r>
        <w:rPr>
          <w:spacing w:val="-14"/>
        </w:rPr>
        <w:t> </w:t>
      </w:r>
      <w:r>
        <w:rPr/>
        <w:t>the</w:t>
      </w:r>
      <w:r>
        <w:rPr>
          <w:spacing w:val="-17"/>
        </w:rPr>
        <w:t> </w:t>
      </w:r>
      <w:r>
        <w:rPr/>
        <w:t>part</w:t>
      </w:r>
      <w:r>
        <w:rPr>
          <w:spacing w:val="-18"/>
        </w:rPr>
        <w:t> </w:t>
      </w:r>
      <w:r>
        <w:rPr/>
        <w:t>of the insurer to ascertain and estimate the amount</w:t>
      </w:r>
      <w:r>
        <w:rPr>
          <w:spacing w:val="-17"/>
        </w:rPr>
        <w:t> </w:t>
      </w:r>
      <w:r>
        <w:rPr/>
        <w:t>of</w:t>
      </w:r>
      <w:r>
        <w:rPr>
          <w:spacing w:val="-16"/>
        </w:rPr>
        <w:t> </w:t>
      </w:r>
      <w:r>
        <w:rPr/>
        <w:t>loss</w:t>
      </w:r>
      <w:r>
        <w:rPr>
          <w:spacing w:val="-16"/>
        </w:rPr>
        <w:t> </w:t>
      </w:r>
      <w:r>
        <w:rPr/>
        <w:t>and</w:t>
      </w:r>
      <w:r>
        <w:rPr>
          <w:spacing w:val="-16"/>
        </w:rPr>
        <w:t> </w:t>
      </w:r>
      <w:r>
        <w:rPr/>
        <w:t>damage,</w:t>
      </w:r>
      <w:r>
        <w:rPr>
          <w:spacing w:val="-19"/>
        </w:rPr>
        <w:t> </w:t>
      </w:r>
      <w:r>
        <w:rPr/>
        <w:t>do</w:t>
      </w:r>
      <w:r>
        <w:rPr>
          <w:spacing w:val="-17"/>
        </w:rPr>
        <w:t> </w:t>
      </w:r>
      <w:r>
        <w:rPr/>
        <w:t>not</w:t>
      </w:r>
      <w:r>
        <w:rPr>
          <w:spacing w:val="-18"/>
        </w:rPr>
        <w:t> </w:t>
      </w:r>
      <w:r>
        <w:rPr>
          <w:spacing w:val="-3"/>
        </w:rPr>
        <w:t>constitute </w:t>
      </w:r>
      <w:r>
        <w:rPr/>
        <w:t>such a disagreement as is</w:t>
      </w:r>
      <w:r>
        <w:rPr>
          <w:spacing w:val="-9"/>
        </w:rPr>
        <w:t> </w:t>
      </w:r>
      <w:r>
        <w:rPr/>
        <w:t>contemplated.”</w:t>
      </w:r>
      <w:r>
        <w:rPr>
          <w:vertAlign w:val="superscript"/>
        </w:rPr>
        <w:t>447</w:t>
      </w:r>
    </w:p>
    <w:p>
      <w:pPr>
        <w:pStyle w:val="BodyText"/>
        <w:spacing w:before="9"/>
        <w:rPr>
          <w:sz w:val="25"/>
        </w:rPr>
      </w:pPr>
    </w:p>
    <w:p>
      <w:pPr>
        <w:pStyle w:val="BodyText"/>
        <w:spacing w:line="242" w:lineRule="auto"/>
        <w:ind w:left="3100" w:right="3197" w:firstLine="720"/>
        <w:jc w:val="both"/>
      </w:pPr>
      <w:r>
        <w:rPr>
          <w:spacing w:val="3"/>
        </w:rPr>
        <w:t>In</w:t>
      </w:r>
      <w:r>
        <w:rPr>
          <w:spacing w:val="-34"/>
        </w:rPr>
        <w:t> </w:t>
      </w:r>
      <w:r>
        <w:rPr/>
        <w:t>Texas,</w:t>
      </w:r>
      <w:r>
        <w:rPr>
          <w:spacing w:val="-35"/>
        </w:rPr>
        <w:t> </w:t>
      </w:r>
      <w:r>
        <w:rPr/>
        <w:t>it</w:t>
      </w:r>
      <w:r>
        <w:rPr>
          <w:spacing w:val="-36"/>
        </w:rPr>
        <w:t> </w:t>
      </w:r>
      <w:r>
        <w:rPr/>
        <w:t>has</w:t>
      </w:r>
      <w:r>
        <w:rPr>
          <w:spacing w:val="-35"/>
        </w:rPr>
        <w:t> </w:t>
      </w:r>
      <w:r>
        <w:rPr/>
        <w:t>been</w:t>
      </w:r>
      <w:r>
        <w:rPr>
          <w:spacing w:val="-34"/>
        </w:rPr>
        <w:t> </w:t>
      </w:r>
      <w:r>
        <w:rPr/>
        <w:t>determined</w:t>
      </w:r>
      <w:r>
        <w:rPr>
          <w:spacing w:val="-33"/>
        </w:rPr>
        <w:t> </w:t>
      </w:r>
      <w:r>
        <w:rPr/>
        <w:t>that</w:t>
      </w:r>
      <w:r>
        <w:rPr>
          <w:spacing w:val="-36"/>
        </w:rPr>
        <w:t> </w:t>
      </w:r>
      <w:r>
        <w:rPr/>
        <w:t>“the proper point of reference for determining whether an insurer waived the right to invoke appraisal by delay is the point at which the insurer knew the appraisal clause could be invoked because of a disagreement over the amount of damages, that is, the point of impasse with the</w:t>
      </w:r>
      <w:r>
        <w:rPr>
          <w:spacing w:val="-4"/>
        </w:rPr>
        <w:t> </w:t>
      </w:r>
      <w:r>
        <w:rPr/>
        <w:t>insured.”</w:t>
      </w:r>
      <w:r>
        <w:rPr>
          <w:vertAlign w:val="superscript"/>
        </w:rPr>
        <w:t>448</w:t>
      </w:r>
    </w:p>
    <w:p>
      <w:pPr>
        <w:pStyle w:val="BodyText"/>
        <w:rPr>
          <w:sz w:val="20"/>
        </w:rPr>
      </w:pPr>
    </w:p>
    <w:p>
      <w:pPr>
        <w:pStyle w:val="BodyText"/>
        <w:spacing w:before="10"/>
        <w:rPr>
          <w:sz w:val="15"/>
        </w:rPr>
      </w:pPr>
      <w:r>
        <w:rPr/>
        <w:pict>
          <v:shape style="position:absolute;margin-left:162pt;margin-top:12.13541pt;width:143.9pt;height:.1pt;mso-position-horizontal-relative:page;mso-position-vertical-relative:paragraph;z-index:-251641856;mso-wrap-distance-left:0;mso-wrap-distance-right:0" coordorigin="3240,243" coordsize="2878,0" path="m3240,243l6118,24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3015" w:val="left" w:leader="none"/>
        </w:tabs>
        <w:spacing w:line="240" w:lineRule="auto" w:before="80" w:after="0"/>
        <w:ind w:left="3014" w:right="0" w:hanging="275"/>
        <w:jc w:val="left"/>
        <w:rPr>
          <w:sz w:val="18"/>
        </w:rPr>
      </w:pPr>
      <w:r>
        <w:rPr>
          <w:sz w:val="18"/>
          <w:u w:val="single"/>
        </w:rPr>
        <w:t>Amerex Group, Inc. v. Lexington Ins. Co.</w:t>
      </w:r>
      <w:r>
        <w:rPr>
          <w:sz w:val="18"/>
        </w:rPr>
        <w:t>, 678 F.3d 193 ( (L.A.2 (N.Y.)</w:t>
      </w:r>
      <w:r>
        <w:rPr>
          <w:spacing w:val="-1"/>
          <w:sz w:val="18"/>
        </w:rPr>
        <w:t> </w:t>
      </w:r>
      <w:r>
        <w:rPr>
          <w:sz w:val="18"/>
        </w:rPr>
        <w:t>2012).</w:t>
      </w:r>
    </w:p>
    <w:p>
      <w:pPr>
        <w:pStyle w:val="ListParagraph"/>
        <w:numPr>
          <w:ilvl w:val="0"/>
          <w:numId w:val="3"/>
        </w:numPr>
        <w:tabs>
          <w:tab w:pos="3015" w:val="left" w:leader="none"/>
        </w:tabs>
        <w:spacing w:line="240" w:lineRule="auto" w:before="15" w:after="0"/>
        <w:ind w:left="3014" w:right="0" w:hanging="275"/>
        <w:jc w:val="left"/>
        <w:rPr>
          <w:sz w:val="18"/>
        </w:rPr>
      </w:pPr>
      <w:r>
        <w:rPr>
          <w:sz w:val="18"/>
        </w:rPr>
        <w:t>14 </w:t>
      </w:r>
      <w:r>
        <w:rPr>
          <w:i/>
          <w:sz w:val="18"/>
        </w:rPr>
        <w:t>Couch on Insurance </w:t>
      </w:r>
      <w:r>
        <w:rPr>
          <w:sz w:val="18"/>
        </w:rPr>
        <w:t>2d §50:56</w:t>
      </w:r>
      <w:r>
        <w:rPr>
          <w:spacing w:val="3"/>
          <w:sz w:val="18"/>
        </w:rPr>
        <w:t> </w:t>
      </w:r>
      <w:r>
        <w:rPr>
          <w:sz w:val="18"/>
        </w:rPr>
        <w:t>(1982).</w:t>
      </w:r>
    </w:p>
    <w:p>
      <w:pPr>
        <w:pStyle w:val="ListParagraph"/>
        <w:numPr>
          <w:ilvl w:val="0"/>
          <w:numId w:val="3"/>
        </w:numPr>
        <w:tabs>
          <w:tab w:pos="3015" w:val="left" w:leader="none"/>
        </w:tabs>
        <w:spacing w:line="240" w:lineRule="auto" w:before="13" w:after="0"/>
        <w:ind w:left="3014" w:right="0" w:hanging="275"/>
        <w:jc w:val="left"/>
        <w:rPr>
          <w:sz w:val="24"/>
        </w:rPr>
      </w:pPr>
      <w:r>
        <w:rPr>
          <w:sz w:val="18"/>
          <w:u w:val="single"/>
        </w:rPr>
        <w:t>Sheridan v. American Bankers Ins. Co.</w:t>
      </w:r>
      <w:r>
        <w:rPr>
          <w:sz w:val="18"/>
        </w:rPr>
        <w:t>, 2011 WL 1542819 (S.D.Tex.</w:t>
      </w:r>
      <w:r>
        <w:rPr>
          <w:spacing w:val="-1"/>
          <w:sz w:val="18"/>
        </w:rPr>
        <w:t> </w:t>
      </w:r>
      <w:r>
        <w:rPr>
          <w:sz w:val="18"/>
        </w:rPr>
        <w:t>2011)</w:t>
      </w:r>
      <w:r>
        <w:rPr>
          <w:sz w:val="24"/>
        </w:rPr>
        <w:t>.</w:t>
      </w:r>
    </w:p>
    <w:p>
      <w:pPr>
        <w:spacing w:after="0" w:line="240" w:lineRule="auto"/>
        <w:jc w:val="left"/>
        <w:rPr>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4"/>
        </w:rPr>
      </w:pPr>
    </w:p>
    <w:p>
      <w:pPr>
        <w:pStyle w:val="BodyText"/>
        <w:spacing w:line="242" w:lineRule="auto" w:before="41"/>
        <w:ind w:left="3100" w:right="3197" w:firstLine="720"/>
        <w:jc w:val="both"/>
      </w:pPr>
      <w:r>
        <w:rPr/>
        <w:pict>
          <v:shape style="position:absolute;margin-left:122.961998pt;margin-top:-5.869831pt;width:367.4pt;height:572.950pt;mso-position-horizontal-relative:page;mso-position-vertical-relative:paragraph;z-index:-254265344" coordorigin="2459,-117" coordsize="7348,11459" path="m4893,9353l12240,9353m12240,-2105l4893,-2105,4893,9353e" filled="false" stroked="true" strokeweight="2.56pt" strokecolor="#87261f">
            <v:path arrowok="t"/>
            <v:stroke dashstyle="solid"/>
            <w10:wrap type="none"/>
          </v:shape>
        </w:pict>
      </w:r>
      <w:bookmarkStart w:name="Law and Procedure 190" w:id="4"/>
      <w:bookmarkEnd w:id="4"/>
      <w:r>
        <w:rPr/>
      </w:r>
      <w:r>
        <w:rPr/>
        <w:t>The</w:t>
      </w:r>
      <w:r>
        <w:rPr>
          <w:spacing w:val="-34"/>
        </w:rPr>
        <w:t> </w:t>
      </w:r>
      <w:r>
        <w:rPr/>
        <w:t>point</w:t>
      </w:r>
      <w:r>
        <w:rPr>
          <w:spacing w:val="-34"/>
        </w:rPr>
        <w:t> </w:t>
      </w:r>
      <w:r>
        <w:rPr/>
        <w:t>of</w:t>
      </w:r>
      <w:r>
        <w:rPr>
          <w:spacing w:val="-32"/>
        </w:rPr>
        <w:t> </w:t>
      </w:r>
      <w:r>
        <w:rPr/>
        <w:t>impasse</w:t>
      </w:r>
      <w:r>
        <w:rPr>
          <w:spacing w:val="-33"/>
        </w:rPr>
        <w:t> </w:t>
      </w:r>
      <w:r>
        <w:rPr/>
        <w:t>was</w:t>
      </w:r>
      <w:r>
        <w:rPr>
          <w:spacing w:val="-34"/>
        </w:rPr>
        <w:t> </w:t>
      </w:r>
      <w:r>
        <w:rPr/>
        <w:t>not</w:t>
      </w:r>
      <w:r>
        <w:rPr>
          <w:spacing w:val="-34"/>
        </w:rPr>
        <w:t> </w:t>
      </w:r>
      <w:r>
        <w:rPr/>
        <w:t>yet</w:t>
      </w:r>
      <w:r>
        <w:rPr>
          <w:spacing w:val="-35"/>
        </w:rPr>
        <w:t> </w:t>
      </w:r>
      <w:r>
        <w:rPr/>
        <w:t>reached and thus appraisal was invoked within a reasonable time where an insurer waited approximately one month beyond the </w:t>
      </w:r>
      <w:r>
        <w:rPr>
          <w:spacing w:val="-5"/>
        </w:rPr>
        <w:t>date </w:t>
      </w:r>
      <w:r>
        <w:rPr/>
        <w:t>the insured began litigation before seeking appraisal. The Court in that case held that while unreasonable delay was a factor to be </w:t>
      </w:r>
      <w:r>
        <w:rPr>
          <w:spacing w:val="23"/>
        </w:rPr>
        <w:t>considered </w:t>
      </w:r>
      <w:r>
        <w:rPr>
          <w:spacing w:val="14"/>
        </w:rPr>
        <w:t>in </w:t>
      </w:r>
      <w:r>
        <w:rPr>
          <w:spacing w:val="23"/>
        </w:rPr>
        <w:t>determining </w:t>
      </w:r>
      <w:r>
        <w:rPr>
          <w:spacing w:val="21"/>
        </w:rPr>
        <w:t>waiver, </w:t>
      </w:r>
      <w:r>
        <w:rPr/>
        <w:t>reasonableness needed to be measured</w:t>
      </w:r>
      <w:r>
        <w:rPr>
          <w:spacing w:val="-35"/>
        </w:rPr>
        <w:t> </w:t>
      </w:r>
      <w:r>
        <w:rPr>
          <w:spacing w:val="-4"/>
        </w:rPr>
        <w:t>from </w:t>
      </w:r>
      <w:r>
        <w:rPr/>
        <w:t>the    point    of    impasse    –    requiring  </w:t>
      </w:r>
      <w:r>
        <w:rPr>
          <w:spacing w:val="65"/>
        </w:rPr>
        <w:t> </w:t>
      </w:r>
      <w:r>
        <w:rPr/>
        <w:t>“an</w:t>
      </w:r>
    </w:p>
    <w:p>
      <w:pPr>
        <w:pStyle w:val="BodyText"/>
        <w:spacing w:line="316" w:lineRule="exact"/>
        <w:ind w:right="100"/>
        <w:jc w:val="center"/>
      </w:pPr>
      <w:r>
        <w:rPr/>
        <w:t>examination  of  the  circumstances  and </w:t>
      </w:r>
      <w:r>
        <w:rPr>
          <w:spacing w:val="30"/>
        </w:rPr>
        <w:t> </w:t>
      </w:r>
      <w:r>
        <w:rPr/>
        <w:t>the</w:t>
      </w:r>
    </w:p>
    <w:p>
      <w:pPr>
        <w:pStyle w:val="BodyText"/>
        <w:spacing w:line="242" w:lineRule="auto" w:before="3"/>
        <w:ind w:left="3100" w:right="3198"/>
        <w:jc w:val="both"/>
      </w:pPr>
      <w:r>
        <w:rPr/>
        <w:t>parties’ conduct, not merely a measure of</w:t>
      </w:r>
      <w:r>
        <w:rPr>
          <w:spacing w:val="-53"/>
        </w:rPr>
        <w:t> </w:t>
      </w:r>
      <w:r>
        <w:rPr>
          <w:spacing w:val="-5"/>
        </w:rPr>
        <w:t>the </w:t>
      </w:r>
      <w:r>
        <w:rPr/>
        <w:t>amount</w:t>
      </w:r>
      <w:r>
        <w:rPr>
          <w:spacing w:val="-14"/>
        </w:rPr>
        <w:t> </w:t>
      </w:r>
      <w:r>
        <w:rPr/>
        <w:t>of</w:t>
      </w:r>
      <w:r>
        <w:rPr>
          <w:spacing w:val="-15"/>
        </w:rPr>
        <w:t> </w:t>
      </w:r>
      <w:r>
        <w:rPr/>
        <w:t>time</w:t>
      </w:r>
      <w:r>
        <w:rPr>
          <w:spacing w:val="-16"/>
        </w:rPr>
        <w:t> </w:t>
      </w:r>
      <w:r>
        <w:rPr/>
        <w:t>involved</w:t>
      </w:r>
      <w:r>
        <w:rPr>
          <w:spacing w:val="-14"/>
        </w:rPr>
        <w:t> </w:t>
      </w:r>
      <w:r>
        <w:rPr/>
        <w:t>in</w:t>
      </w:r>
      <w:r>
        <w:rPr>
          <w:spacing w:val="-14"/>
        </w:rPr>
        <w:t> </w:t>
      </w:r>
      <w:r>
        <w:rPr/>
        <w:t>seeking</w:t>
      </w:r>
      <w:r>
        <w:rPr>
          <w:spacing w:val="-15"/>
        </w:rPr>
        <w:t> </w:t>
      </w:r>
      <w:r>
        <w:rPr/>
        <w:t>appraisal.” </w:t>
      </w:r>
      <w:r>
        <w:rPr>
          <w:spacing w:val="3"/>
        </w:rPr>
        <w:t>It </w:t>
      </w:r>
      <w:r>
        <w:rPr/>
        <w:t>clarified that impasse was not synonymous with</w:t>
      </w:r>
      <w:r>
        <w:rPr>
          <w:spacing w:val="-25"/>
        </w:rPr>
        <w:t> </w:t>
      </w:r>
      <w:r>
        <w:rPr/>
        <w:t>a</w:t>
      </w:r>
      <w:r>
        <w:rPr>
          <w:spacing w:val="-24"/>
        </w:rPr>
        <w:t> </w:t>
      </w:r>
      <w:r>
        <w:rPr/>
        <w:t>disagreement</w:t>
      </w:r>
      <w:r>
        <w:rPr>
          <w:spacing w:val="-26"/>
        </w:rPr>
        <w:t> </w:t>
      </w:r>
      <w:r>
        <w:rPr/>
        <w:t>as</w:t>
      </w:r>
      <w:r>
        <w:rPr>
          <w:spacing w:val="-24"/>
        </w:rPr>
        <w:t> </w:t>
      </w:r>
      <w:r>
        <w:rPr/>
        <w:t>to</w:t>
      </w:r>
      <w:r>
        <w:rPr>
          <w:spacing w:val="-23"/>
        </w:rPr>
        <w:t> </w:t>
      </w:r>
      <w:r>
        <w:rPr/>
        <w:t>the</w:t>
      </w:r>
      <w:r>
        <w:rPr>
          <w:spacing w:val="-27"/>
        </w:rPr>
        <w:t> </w:t>
      </w:r>
      <w:r>
        <w:rPr/>
        <w:t>amount</w:t>
      </w:r>
      <w:r>
        <w:rPr>
          <w:spacing w:val="-25"/>
        </w:rPr>
        <w:t> </w:t>
      </w:r>
      <w:r>
        <w:rPr/>
        <w:t>of</w:t>
      </w:r>
      <w:r>
        <w:rPr>
          <w:spacing w:val="-23"/>
        </w:rPr>
        <w:t> </w:t>
      </w:r>
      <w:r>
        <w:rPr/>
        <w:t>loss</w:t>
      </w:r>
      <w:r>
        <w:rPr>
          <w:spacing w:val="-22"/>
        </w:rPr>
        <w:t> </w:t>
      </w:r>
      <w:r>
        <w:rPr>
          <w:spacing w:val="-6"/>
        </w:rPr>
        <w:t>or </w:t>
      </w:r>
      <w:r>
        <w:rPr/>
        <w:t>an</w:t>
      </w:r>
      <w:r>
        <w:rPr>
          <w:spacing w:val="-14"/>
        </w:rPr>
        <w:t> </w:t>
      </w:r>
      <w:r>
        <w:rPr/>
        <w:t>insurer’s</w:t>
      </w:r>
      <w:r>
        <w:rPr>
          <w:spacing w:val="-15"/>
        </w:rPr>
        <w:t> </w:t>
      </w:r>
      <w:r>
        <w:rPr/>
        <w:t>monetary</w:t>
      </w:r>
      <w:r>
        <w:rPr>
          <w:spacing w:val="-16"/>
        </w:rPr>
        <w:t> </w:t>
      </w:r>
      <w:r>
        <w:rPr/>
        <w:t>offer</w:t>
      </w:r>
      <w:r>
        <w:rPr>
          <w:spacing w:val="-16"/>
        </w:rPr>
        <w:t> </w:t>
      </w:r>
      <w:r>
        <w:rPr/>
        <w:t>to</w:t>
      </w:r>
      <w:r>
        <w:rPr>
          <w:spacing w:val="-16"/>
        </w:rPr>
        <w:t> </w:t>
      </w:r>
      <w:r>
        <w:rPr/>
        <w:t>cover</w:t>
      </w:r>
      <w:r>
        <w:rPr>
          <w:spacing w:val="-17"/>
        </w:rPr>
        <w:t> </w:t>
      </w:r>
      <w:r>
        <w:rPr/>
        <w:t>damages,</w:t>
      </w:r>
    </w:p>
    <w:p>
      <w:pPr>
        <w:spacing w:after="0" w:line="242" w:lineRule="auto"/>
        <w:jc w:val="both"/>
        <w:sectPr>
          <w:pgSz w:w="12240" w:h="15840"/>
          <w:pgMar w:header="0" w:footer="2273" w:top="360" w:bottom="2460" w:left="140" w:right="40"/>
        </w:sectPr>
      </w:pPr>
    </w:p>
    <w:p>
      <w:pPr>
        <w:pStyle w:val="BodyText"/>
        <w:tabs>
          <w:tab w:pos="3949" w:val="left" w:leader="none"/>
        </w:tabs>
        <w:spacing w:line="242" w:lineRule="auto"/>
        <w:ind w:left="3100"/>
      </w:pPr>
      <w:r>
        <w:rPr>
          <w:spacing w:val="8"/>
        </w:rPr>
        <w:t>and</w:t>
        <w:tab/>
      </w:r>
      <w:r>
        <w:rPr>
          <w:spacing w:val="6"/>
        </w:rPr>
        <w:t>was </w:t>
      </w:r>
      <w:r>
        <w:rPr/>
        <w:t>negotiations.</w:t>
      </w:r>
    </w:p>
    <w:p>
      <w:pPr>
        <w:pStyle w:val="BodyText"/>
        <w:tabs>
          <w:tab w:pos="750" w:val="left" w:leader="none"/>
          <w:tab w:pos="2308" w:val="left" w:leader="none"/>
          <w:tab w:pos="2945" w:val="left" w:leader="none"/>
        </w:tabs>
        <w:spacing w:line="242" w:lineRule="auto"/>
        <w:ind w:left="62" w:right="3201" w:hanging="63"/>
      </w:pPr>
      <w:r>
        <w:rPr/>
        <w:br w:type="column"/>
      </w:r>
      <w:r>
        <w:rPr>
          <w:spacing w:val="8"/>
        </w:rPr>
        <w:t>not</w:t>
        <w:tab/>
      </w:r>
      <w:r>
        <w:rPr>
          <w:spacing w:val="9"/>
        </w:rPr>
        <w:t>triggered</w:t>
        <w:tab/>
      </w:r>
      <w:r>
        <w:rPr>
          <w:spacing w:val="6"/>
        </w:rPr>
        <w:t>by</w:t>
        <w:tab/>
      </w:r>
      <w:r>
        <w:rPr>
          <w:spacing w:val="10"/>
        </w:rPr>
        <w:t>ongoing </w:t>
      </w:r>
      <w:r>
        <w:rPr/>
        <w:t>Circumstances weighed by</w:t>
      </w:r>
      <w:r>
        <w:rPr>
          <w:spacing w:val="8"/>
        </w:rPr>
        <w:t> </w:t>
      </w:r>
      <w:r>
        <w:rPr>
          <w:spacing w:val="-6"/>
        </w:rPr>
        <w:t>the</w:t>
      </w:r>
    </w:p>
    <w:p>
      <w:pPr>
        <w:spacing w:after="0" w:line="242" w:lineRule="auto"/>
        <w:sectPr>
          <w:type w:val="continuous"/>
          <w:pgSz w:w="12240" w:h="15840"/>
          <w:pgMar w:top="1500" w:bottom="2460" w:left="140" w:right="40"/>
          <w:cols w:num="2" w:equalWidth="0">
            <w:col w:w="4735" w:space="40"/>
            <w:col w:w="7285"/>
          </w:cols>
        </w:sectPr>
      </w:pPr>
    </w:p>
    <w:p>
      <w:pPr>
        <w:pStyle w:val="BodyText"/>
        <w:spacing w:line="242" w:lineRule="auto"/>
        <w:ind w:left="3100" w:right="3191"/>
      </w:pPr>
      <w:r>
        <w:rPr/>
        <w:t>Court</w:t>
      </w:r>
      <w:r>
        <w:rPr>
          <w:spacing w:val="-23"/>
        </w:rPr>
        <w:t> </w:t>
      </w:r>
      <w:r>
        <w:rPr/>
        <w:t>in</w:t>
      </w:r>
      <w:r>
        <w:rPr>
          <w:spacing w:val="-21"/>
        </w:rPr>
        <w:t> </w:t>
      </w:r>
      <w:r>
        <w:rPr/>
        <w:t>contemplating</w:t>
      </w:r>
      <w:r>
        <w:rPr>
          <w:spacing w:val="-20"/>
        </w:rPr>
        <w:t> </w:t>
      </w:r>
      <w:r>
        <w:rPr/>
        <w:t>waiver</w:t>
      </w:r>
      <w:r>
        <w:rPr>
          <w:spacing w:val="-22"/>
        </w:rPr>
        <w:t> </w:t>
      </w:r>
      <w:r>
        <w:rPr/>
        <w:t>include</w:t>
      </w:r>
      <w:r>
        <w:rPr>
          <w:spacing w:val="-22"/>
        </w:rPr>
        <w:t> </w:t>
      </w:r>
      <w:r>
        <w:rPr/>
        <w:t>“(1)</w:t>
      </w:r>
      <w:r>
        <w:rPr>
          <w:spacing w:val="-26"/>
        </w:rPr>
        <w:t> </w:t>
      </w:r>
      <w:r>
        <w:rPr/>
        <w:t>the time</w:t>
      </w:r>
      <w:r>
        <w:rPr>
          <w:spacing w:val="40"/>
        </w:rPr>
        <w:t> </w:t>
      </w:r>
      <w:r>
        <w:rPr/>
        <w:t>between</w:t>
      </w:r>
      <w:r>
        <w:rPr>
          <w:spacing w:val="39"/>
        </w:rPr>
        <w:t> </w:t>
      </w:r>
      <w:r>
        <w:rPr/>
        <w:t>the</w:t>
      </w:r>
      <w:r>
        <w:rPr>
          <w:spacing w:val="40"/>
        </w:rPr>
        <w:t> </w:t>
      </w:r>
      <w:r>
        <w:rPr/>
        <w:t>breakdown</w:t>
      </w:r>
      <w:r>
        <w:rPr>
          <w:spacing w:val="40"/>
        </w:rPr>
        <w:t> </w:t>
      </w:r>
      <w:r>
        <w:rPr/>
        <w:t>of</w:t>
      </w:r>
      <w:r>
        <w:rPr>
          <w:spacing w:val="41"/>
        </w:rPr>
        <w:t> </w:t>
      </w:r>
      <w:r>
        <w:rPr/>
        <w:t>good</w:t>
      </w:r>
      <w:r>
        <w:rPr>
          <w:spacing w:val="41"/>
        </w:rPr>
        <w:t> </w:t>
      </w:r>
      <w:r>
        <w:rPr/>
        <w:t>faith</w:t>
      </w:r>
    </w:p>
    <w:p>
      <w:pPr>
        <w:spacing w:after="0" w:line="242" w:lineRule="auto"/>
        <w:sectPr>
          <w:type w:val="continuous"/>
          <w:pgSz w:w="12240" w:h="15840"/>
          <w:pgMar w:top="1500" w:bottom="2460" w:left="140" w:right="40"/>
        </w:sectPr>
      </w:pPr>
    </w:p>
    <w:p>
      <w:pPr>
        <w:pStyle w:val="BodyText"/>
        <w:spacing w:line="242" w:lineRule="auto"/>
        <w:ind w:left="3100" w:right="-19"/>
      </w:pPr>
      <w:r>
        <w:rPr/>
        <w:t>negotiations</w:t>
      </w:r>
      <w:r>
        <w:rPr>
          <w:w w:val="99"/>
        </w:rPr>
        <w:t> </w:t>
      </w:r>
      <w:r>
        <w:rPr/>
        <w:t>suffered by</w:t>
      </w:r>
    </w:p>
    <w:p>
      <w:pPr>
        <w:pStyle w:val="BodyText"/>
        <w:spacing w:line="242" w:lineRule="auto"/>
        <w:ind w:left="66" w:right="3039" w:firstLine="24"/>
      </w:pPr>
      <w:r>
        <w:rPr/>
        <w:br w:type="column"/>
      </w:r>
      <w:r>
        <w:rPr/>
        <w:t>concerning the amount of loss the insured and the appraisal</w:t>
      </w:r>
    </w:p>
    <w:p>
      <w:pPr>
        <w:spacing w:after="0" w:line="242" w:lineRule="auto"/>
        <w:sectPr>
          <w:type w:val="continuous"/>
          <w:pgSz w:w="12240" w:h="15840"/>
          <w:pgMar w:top="1500" w:bottom="2460" w:left="140" w:right="40"/>
          <w:cols w:num="2" w:equalWidth="0">
            <w:col w:w="4662" w:space="40"/>
            <w:col w:w="7358"/>
          </w:cols>
        </w:sectPr>
      </w:pPr>
    </w:p>
    <w:p>
      <w:pPr>
        <w:pStyle w:val="BodyText"/>
        <w:spacing w:line="242" w:lineRule="auto"/>
        <w:ind w:left="3100" w:right="3198"/>
        <w:jc w:val="both"/>
      </w:pPr>
      <w:r>
        <w:rPr/>
        <w:t>demand;</w:t>
      </w:r>
      <w:r>
        <w:rPr>
          <w:spacing w:val="-14"/>
        </w:rPr>
        <w:t> </w:t>
      </w:r>
      <w:r>
        <w:rPr/>
        <w:t>and</w:t>
      </w:r>
      <w:r>
        <w:rPr>
          <w:spacing w:val="-9"/>
        </w:rPr>
        <w:t> </w:t>
      </w:r>
      <w:r>
        <w:rPr/>
        <w:t>(2)</w:t>
      </w:r>
      <w:r>
        <w:rPr>
          <w:spacing w:val="-14"/>
        </w:rPr>
        <w:t> </w:t>
      </w:r>
      <w:r>
        <w:rPr/>
        <w:t>whether</w:t>
      </w:r>
      <w:r>
        <w:rPr>
          <w:spacing w:val="-12"/>
        </w:rPr>
        <w:t> </w:t>
      </w:r>
      <w:r>
        <w:rPr/>
        <w:t>there</w:t>
      </w:r>
      <w:r>
        <w:rPr>
          <w:spacing w:val="-12"/>
        </w:rPr>
        <w:t> </w:t>
      </w:r>
      <w:r>
        <w:rPr/>
        <w:t>would</w:t>
      </w:r>
      <w:r>
        <w:rPr>
          <w:spacing w:val="-7"/>
        </w:rPr>
        <w:t> </w:t>
      </w:r>
      <w:r>
        <w:rPr/>
        <w:t>be</w:t>
      </w:r>
      <w:r>
        <w:rPr>
          <w:spacing w:val="-10"/>
        </w:rPr>
        <w:t> </w:t>
      </w:r>
      <w:r>
        <w:rPr/>
        <w:t>any prejudice to the other party resulting from the delay</w:t>
      </w:r>
      <w:r>
        <w:rPr>
          <w:spacing w:val="-26"/>
        </w:rPr>
        <w:t> </w:t>
      </w:r>
      <w:r>
        <w:rPr/>
        <w:t>in</w:t>
      </w:r>
      <w:r>
        <w:rPr>
          <w:spacing w:val="-23"/>
        </w:rPr>
        <w:t> </w:t>
      </w:r>
      <w:r>
        <w:rPr/>
        <w:t>demanding</w:t>
      </w:r>
      <w:r>
        <w:rPr>
          <w:spacing w:val="-23"/>
        </w:rPr>
        <w:t> </w:t>
      </w:r>
      <w:r>
        <w:rPr/>
        <w:t>the</w:t>
      </w:r>
      <w:r>
        <w:rPr>
          <w:spacing w:val="-24"/>
        </w:rPr>
        <w:t> </w:t>
      </w:r>
      <w:r>
        <w:rPr/>
        <w:t>appraisal.”</w:t>
      </w:r>
      <w:r>
        <w:rPr>
          <w:spacing w:val="-24"/>
        </w:rPr>
        <w:t> </w:t>
      </w:r>
      <w:r>
        <w:rPr/>
        <w:t>Essentially, appraisal</w:t>
      </w:r>
      <w:r>
        <w:rPr>
          <w:spacing w:val="-21"/>
        </w:rPr>
        <w:t> </w:t>
      </w:r>
      <w:r>
        <w:rPr/>
        <w:t>must</w:t>
      </w:r>
      <w:r>
        <w:rPr>
          <w:spacing w:val="-24"/>
        </w:rPr>
        <w:t> </w:t>
      </w:r>
      <w:r>
        <w:rPr/>
        <w:t>be</w:t>
      </w:r>
      <w:r>
        <w:rPr>
          <w:spacing w:val="-22"/>
        </w:rPr>
        <w:t> </w:t>
      </w:r>
      <w:r>
        <w:rPr/>
        <w:t>invoked</w:t>
      </w:r>
      <w:r>
        <w:rPr>
          <w:spacing w:val="-22"/>
        </w:rPr>
        <w:t> </w:t>
      </w:r>
      <w:r>
        <w:rPr/>
        <w:t>within</w:t>
      </w:r>
      <w:r>
        <w:rPr>
          <w:spacing w:val="-20"/>
        </w:rPr>
        <w:t> </w:t>
      </w:r>
      <w:r>
        <w:rPr/>
        <w:t>a</w:t>
      </w:r>
      <w:r>
        <w:rPr>
          <w:spacing w:val="-20"/>
        </w:rPr>
        <w:t> </w:t>
      </w:r>
      <w:r>
        <w:rPr/>
        <w:t>reasonable time after impasse occurs. </w:t>
      </w:r>
      <w:r>
        <w:rPr>
          <w:spacing w:val="2"/>
        </w:rPr>
        <w:t>In </w:t>
      </w:r>
      <w:r>
        <w:rPr/>
        <w:t>the present action, the insurer invoked appraisal within a reasonable</w:t>
      </w:r>
      <w:r>
        <w:rPr>
          <w:spacing w:val="-30"/>
        </w:rPr>
        <w:t> </w:t>
      </w:r>
      <w:r>
        <w:rPr/>
        <w:t>time</w:t>
      </w:r>
      <w:r>
        <w:rPr>
          <w:spacing w:val="-34"/>
        </w:rPr>
        <w:t> </w:t>
      </w:r>
      <w:r>
        <w:rPr/>
        <w:t>post</w:t>
      </w:r>
      <w:r>
        <w:rPr>
          <w:spacing w:val="-36"/>
        </w:rPr>
        <w:t> </w:t>
      </w:r>
      <w:r>
        <w:rPr/>
        <w:t>impasse,</w:t>
      </w:r>
      <w:r>
        <w:rPr>
          <w:spacing w:val="-33"/>
        </w:rPr>
        <w:t> </w:t>
      </w:r>
      <w:r>
        <w:rPr/>
        <w:t>as</w:t>
      </w:r>
      <w:r>
        <w:rPr>
          <w:spacing w:val="-31"/>
        </w:rPr>
        <w:t> </w:t>
      </w:r>
      <w:r>
        <w:rPr/>
        <w:t>the</w:t>
      </w:r>
      <w:r>
        <w:rPr>
          <w:spacing w:val="-32"/>
        </w:rPr>
        <w:t> </w:t>
      </w:r>
      <w:r>
        <w:rPr/>
        <w:t>policy</w:t>
      </w:r>
      <w:r>
        <w:rPr>
          <w:spacing w:val="-34"/>
        </w:rPr>
        <w:t> </w:t>
      </w:r>
      <w:r>
        <w:rPr/>
        <w:t>did not</w:t>
      </w:r>
      <w:r>
        <w:rPr>
          <w:spacing w:val="-33"/>
        </w:rPr>
        <w:t> </w:t>
      </w:r>
      <w:r>
        <w:rPr/>
        <w:t>indicate</w:t>
      </w:r>
      <w:r>
        <w:rPr>
          <w:spacing w:val="-32"/>
        </w:rPr>
        <w:t> </w:t>
      </w:r>
      <w:r>
        <w:rPr/>
        <w:t>a</w:t>
      </w:r>
      <w:r>
        <w:rPr>
          <w:spacing w:val="-32"/>
        </w:rPr>
        <w:t> </w:t>
      </w:r>
      <w:r>
        <w:rPr/>
        <w:t>deadline</w:t>
      </w:r>
      <w:r>
        <w:rPr>
          <w:spacing w:val="-31"/>
        </w:rPr>
        <w:t> </w:t>
      </w:r>
      <w:r>
        <w:rPr/>
        <w:t>for</w:t>
      </w:r>
      <w:r>
        <w:rPr>
          <w:spacing w:val="-32"/>
        </w:rPr>
        <w:t> </w:t>
      </w:r>
      <w:r>
        <w:rPr/>
        <w:t>making</w:t>
      </w:r>
      <w:r>
        <w:rPr>
          <w:spacing w:val="-31"/>
        </w:rPr>
        <w:t> </w:t>
      </w:r>
      <w:r>
        <w:rPr/>
        <w:t>the</w:t>
      </w:r>
      <w:r>
        <w:rPr>
          <w:spacing w:val="-31"/>
        </w:rPr>
        <w:t> </w:t>
      </w:r>
      <w:r>
        <w:rPr/>
        <w:t>request, the insurer had not denied liability, and the insured</w:t>
      </w:r>
      <w:r>
        <w:rPr>
          <w:spacing w:val="18"/>
        </w:rPr>
        <w:t> </w:t>
      </w:r>
      <w:r>
        <w:rPr/>
        <w:t>had</w:t>
      </w:r>
      <w:r>
        <w:rPr>
          <w:spacing w:val="19"/>
        </w:rPr>
        <w:t> </w:t>
      </w:r>
      <w:r>
        <w:rPr/>
        <w:t>not</w:t>
      </w:r>
      <w:r>
        <w:rPr>
          <w:spacing w:val="18"/>
        </w:rPr>
        <w:t> </w:t>
      </w:r>
      <w:r>
        <w:rPr/>
        <w:t>indicated</w:t>
      </w:r>
      <w:r>
        <w:rPr>
          <w:spacing w:val="19"/>
        </w:rPr>
        <w:t> </w:t>
      </w:r>
      <w:r>
        <w:rPr/>
        <w:t>a</w:t>
      </w:r>
      <w:r>
        <w:rPr>
          <w:spacing w:val="19"/>
        </w:rPr>
        <w:t> </w:t>
      </w:r>
      <w:r>
        <w:rPr/>
        <w:t>refusal</w:t>
      </w:r>
      <w:r>
        <w:rPr>
          <w:spacing w:val="20"/>
        </w:rPr>
        <w:t> </w:t>
      </w:r>
      <w:r>
        <w:rPr/>
        <w:t>to</w:t>
      </w:r>
      <w:r>
        <w:rPr>
          <w:spacing w:val="20"/>
        </w:rPr>
        <w:t> </w:t>
      </w:r>
      <w:r>
        <w:rPr/>
        <w:t>further</w:t>
      </w:r>
    </w:p>
    <w:p>
      <w:pPr>
        <w:spacing w:after="0" w:line="242" w:lineRule="auto"/>
        <w:jc w:val="both"/>
        <w:sectPr>
          <w:type w:val="continuous"/>
          <w:pgSz w:w="12240" w:h="15840"/>
          <w:pgMar w:top="1500" w:bottom="2460" w:left="140" w:right="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76"/>
        <w:ind w:left="3100"/>
      </w:pPr>
      <w:r>
        <w:rPr/>
        <w:pict>
          <v:shape style="position:absolute;margin-left:92.9785pt;margin-top:214.870163pt;width:427.35pt;height:115.1pt;mso-position-horizontal-relative:page;mso-position-vertical-relative:paragraph;z-index:-254263296" coordorigin="1860,4297" coordsize="8547,2302" path="m3678,-150l12225,-150,12225,-2451m3678,-2451l3678,-150e" filled="false" stroked="true" strokeweight="4.12pt" strokecolor="#e44234">
            <v:path arrowok="t"/>
            <v:stroke dashstyle="solid"/>
            <w10:wrap type="none"/>
          </v:shape>
        </w:pict>
      </w:r>
      <w:bookmarkStart w:name="Law and Procedure 191" w:id="5"/>
      <w:bookmarkEnd w:id="5"/>
      <w:r>
        <w:rPr/>
      </w:r>
      <w:r>
        <w:rPr/>
        <w:t>discuss the matter.</w:t>
      </w:r>
      <w:r>
        <w:rPr>
          <w:vertAlign w:val="superscript"/>
        </w:rPr>
        <w:t>449</w:t>
      </w:r>
    </w:p>
    <w:p>
      <w:pPr>
        <w:pStyle w:val="BodyText"/>
        <w:spacing w:before="6"/>
      </w:pPr>
    </w:p>
    <w:p>
      <w:pPr>
        <w:pStyle w:val="BodyText"/>
        <w:spacing w:line="242" w:lineRule="auto"/>
        <w:ind w:left="3100" w:right="3196" w:firstLine="720"/>
        <w:jc w:val="both"/>
      </w:pPr>
      <w:r>
        <w:rPr/>
        <w:t>The same Court also emphasized the importance of establishing prejudice</w:t>
      </w:r>
      <w:r>
        <w:rPr>
          <w:spacing w:val="61"/>
        </w:rPr>
        <w:t> </w:t>
      </w:r>
      <w:r>
        <w:rPr/>
        <w:t>in addition to mere delay in showing waiver of the right to appraisal. </w:t>
      </w:r>
      <w:r>
        <w:rPr>
          <w:spacing w:val="3"/>
        </w:rPr>
        <w:t>It </w:t>
      </w:r>
      <w:r>
        <w:rPr/>
        <w:t>stated that prejudice may arise in a variety of ways which cause legal or financial harm to a party, but absent prejudice, appraisal should not be prohibited where it could pose an efficient and</w:t>
      </w:r>
      <w:r>
        <w:rPr>
          <w:spacing w:val="55"/>
        </w:rPr>
        <w:t> </w:t>
      </w:r>
      <w:r>
        <w:rPr/>
        <w:t>cost- effective</w:t>
      </w:r>
      <w:r>
        <w:rPr>
          <w:spacing w:val="-21"/>
        </w:rPr>
        <w:t> </w:t>
      </w:r>
      <w:r>
        <w:rPr/>
        <w:t>means</w:t>
      </w:r>
      <w:r>
        <w:rPr>
          <w:spacing w:val="-20"/>
        </w:rPr>
        <w:t> </w:t>
      </w:r>
      <w:r>
        <w:rPr/>
        <w:t>of</w:t>
      </w:r>
      <w:r>
        <w:rPr>
          <w:spacing w:val="-19"/>
        </w:rPr>
        <w:t> </w:t>
      </w:r>
      <w:r>
        <w:rPr/>
        <w:t>resolution.</w:t>
      </w:r>
      <w:r>
        <w:rPr>
          <w:spacing w:val="-22"/>
        </w:rPr>
        <w:t> </w:t>
      </w:r>
      <w:r>
        <w:rPr>
          <w:spacing w:val="3"/>
        </w:rPr>
        <w:t>In</w:t>
      </w:r>
      <w:r>
        <w:rPr>
          <w:spacing w:val="-18"/>
        </w:rPr>
        <w:t> </w:t>
      </w:r>
      <w:r>
        <w:rPr/>
        <w:t>that</w:t>
      </w:r>
      <w:r>
        <w:rPr>
          <w:spacing w:val="-18"/>
        </w:rPr>
        <w:t> </w:t>
      </w:r>
      <w:r>
        <w:rPr/>
        <w:t>particular case, the insured did not attempt to</w:t>
      </w:r>
      <w:r>
        <w:rPr>
          <w:spacing w:val="57"/>
        </w:rPr>
        <w:t> </w:t>
      </w:r>
      <w:r>
        <w:rPr/>
        <w:t>show prejudice and the court did not explicitly require it, a failure it attributed to “the</w:t>
      </w:r>
      <w:r>
        <w:rPr>
          <w:spacing w:val="-29"/>
        </w:rPr>
        <w:t> </w:t>
      </w:r>
      <w:r>
        <w:rPr/>
        <w:t>paucity of</w:t>
      </w:r>
      <w:r>
        <w:rPr>
          <w:spacing w:val="-7"/>
        </w:rPr>
        <w:t> </w:t>
      </w:r>
      <w:r>
        <w:rPr/>
        <w:t>cases”</w:t>
      </w:r>
      <w:r>
        <w:rPr>
          <w:spacing w:val="-6"/>
        </w:rPr>
        <w:t> </w:t>
      </w:r>
      <w:r>
        <w:rPr/>
        <w:t>in</w:t>
      </w:r>
      <w:r>
        <w:rPr>
          <w:spacing w:val="-6"/>
        </w:rPr>
        <w:t> </w:t>
      </w:r>
      <w:r>
        <w:rPr/>
        <w:t>which</w:t>
      </w:r>
      <w:r>
        <w:rPr>
          <w:spacing w:val="-5"/>
        </w:rPr>
        <w:t> </w:t>
      </w:r>
      <w:r>
        <w:rPr/>
        <w:t>the</w:t>
      </w:r>
      <w:r>
        <w:rPr>
          <w:spacing w:val="-8"/>
        </w:rPr>
        <w:t> </w:t>
      </w:r>
      <w:r>
        <w:rPr/>
        <w:t>waiver</w:t>
      </w:r>
      <w:r>
        <w:rPr>
          <w:spacing w:val="-10"/>
        </w:rPr>
        <w:t> </w:t>
      </w:r>
      <w:r>
        <w:rPr/>
        <w:t>of</w:t>
      </w:r>
      <w:r>
        <w:rPr>
          <w:spacing w:val="-7"/>
        </w:rPr>
        <w:t> </w:t>
      </w:r>
      <w:r>
        <w:rPr/>
        <w:t>appraisal</w:t>
      </w:r>
      <w:r>
        <w:rPr>
          <w:spacing w:val="-8"/>
        </w:rPr>
        <w:t> </w:t>
      </w:r>
      <w:r>
        <w:rPr/>
        <w:t>was addressed rather than its inapplicability. The Court also reasoned the difficulty of showing prejudice under the circumstances since the policy provided both the insured and insurer with an opportunity to invoke</w:t>
      </w:r>
      <w:r>
        <w:rPr>
          <w:spacing w:val="-9"/>
        </w:rPr>
        <w:t> </w:t>
      </w:r>
      <w:r>
        <w:rPr/>
        <w:t>appraisal.</w:t>
      </w:r>
      <w:r>
        <w:rPr>
          <w:vertAlign w:val="superscript"/>
        </w:rPr>
        <w:t>450</w:t>
      </w:r>
    </w:p>
    <w:p>
      <w:pPr>
        <w:pStyle w:val="BodyText"/>
        <w:spacing w:before="8"/>
        <w:rPr>
          <w:sz w:val="25"/>
        </w:rPr>
      </w:pPr>
    </w:p>
    <w:p>
      <w:pPr>
        <w:pStyle w:val="BodyText"/>
        <w:spacing w:line="242" w:lineRule="auto"/>
        <w:ind w:left="3100" w:right="3198" w:firstLine="720"/>
        <w:jc w:val="both"/>
      </w:pPr>
      <w:r>
        <w:rPr/>
        <w:t>In another Texas matter, waiver of the right to invoke appraisal was not established where circumstances did not amount to prejudice. Where the option to pursue appraisal was provided by the policy, the Court reasoned that insureds opposing an</w:t>
      </w:r>
    </w:p>
    <w:p>
      <w:pPr>
        <w:pStyle w:val="BodyText"/>
        <w:rPr>
          <w:sz w:val="20"/>
        </w:rPr>
      </w:pPr>
    </w:p>
    <w:p>
      <w:pPr>
        <w:pStyle w:val="BodyText"/>
        <w:spacing w:before="3"/>
        <w:rPr>
          <w:sz w:val="11"/>
        </w:rPr>
      </w:pPr>
      <w:r>
        <w:rPr/>
        <w:pict>
          <v:shape style="position:absolute;margin-left:162pt;margin-top:9.310508pt;width:143.9pt;height:.1pt;mso-position-horizontal-relative:page;mso-position-vertical-relative:paragraph;z-index:-251637760;mso-wrap-distance-left:0;mso-wrap-distance-right:0" coordorigin="3240,186" coordsize="2878,0" path="m3240,186l6118,186e" filled="false" stroked="true" strokeweight=".84pt" strokecolor="#000000">
            <v:path arrowok="t"/>
            <v:stroke dashstyle="solid"/>
            <w10:wrap type="topAndBottom"/>
          </v:shape>
        </w:pict>
      </w:r>
    </w:p>
    <w:p>
      <w:pPr>
        <w:pStyle w:val="ListParagraph"/>
        <w:numPr>
          <w:ilvl w:val="0"/>
          <w:numId w:val="3"/>
        </w:numPr>
        <w:tabs>
          <w:tab w:pos="2956" w:val="left" w:leader="none"/>
        </w:tabs>
        <w:spacing w:line="244" w:lineRule="auto" w:before="140" w:after="0"/>
        <w:ind w:left="2740" w:right="2846" w:firstLine="0"/>
        <w:jc w:val="both"/>
        <w:rPr>
          <w:sz w:val="18"/>
        </w:rPr>
      </w:pPr>
      <w:r>
        <w:rPr>
          <w:spacing w:val="-3"/>
          <w:sz w:val="18"/>
          <w:u w:val="single"/>
        </w:rPr>
        <w:t> </w:t>
      </w:r>
      <w:r>
        <w:rPr>
          <w:sz w:val="18"/>
          <w:u w:val="single"/>
        </w:rPr>
        <w:t>In re Universal Und. of Texas Ins. Co.</w:t>
      </w:r>
      <w:r>
        <w:rPr>
          <w:sz w:val="18"/>
        </w:rPr>
        <w:t>, 345 S.W.3d 404 (Tex., 2011), citing </w:t>
      </w:r>
      <w:r>
        <w:rPr>
          <w:sz w:val="18"/>
          <w:u w:val="single"/>
        </w:rPr>
        <w:t>Terra</w:t>
      </w:r>
      <w:r>
        <w:rPr>
          <w:spacing w:val="-30"/>
          <w:sz w:val="18"/>
          <w:u w:val="single"/>
        </w:rPr>
        <w:t> </w:t>
      </w:r>
      <w:r>
        <w:rPr>
          <w:sz w:val="18"/>
          <w:u w:val="single"/>
        </w:rPr>
        <w:t>Ind. Inc. v. Commonwealth Ins. Co. of America</w:t>
      </w:r>
      <w:r>
        <w:rPr>
          <w:sz w:val="18"/>
        </w:rPr>
        <w:t>, 981 F.Supp. 581 (N.D.Iowa 1997); 29</w:t>
      </w:r>
      <w:r>
        <w:rPr>
          <w:spacing w:val="-28"/>
          <w:sz w:val="18"/>
        </w:rPr>
        <w:t> </w:t>
      </w:r>
      <w:r>
        <w:rPr>
          <w:sz w:val="18"/>
        </w:rPr>
        <w:t>U.S.C. 151 and </w:t>
      </w:r>
      <w:r>
        <w:rPr>
          <w:sz w:val="18"/>
          <w:u w:val="single"/>
        </w:rPr>
        <w:t>Beverly Farm Foundation v.. NLRB</w:t>
      </w:r>
      <w:r>
        <w:rPr>
          <w:sz w:val="18"/>
        </w:rPr>
        <w:t>, 144 F.3d 1048, 1052 (7</w:t>
      </w:r>
      <w:r>
        <w:rPr>
          <w:position w:val="7"/>
          <w:sz w:val="10"/>
        </w:rPr>
        <w:t>th </w:t>
      </w:r>
      <w:r>
        <w:rPr>
          <w:sz w:val="18"/>
        </w:rPr>
        <w:t>Cir.</w:t>
      </w:r>
      <w:r>
        <w:rPr>
          <w:spacing w:val="7"/>
          <w:sz w:val="18"/>
        </w:rPr>
        <w:t> </w:t>
      </w:r>
      <w:r>
        <w:rPr>
          <w:sz w:val="18"/>
        </w:rPr>
        <w:t>1998).</w:t>
      </w:r>
    </w:p>
    <w:p>
      <w:pPr>
        <w:pStyle w:val="ListParagraph"/>
        <w:numPr>
          <w:ilvl w:val="0"/>
          <w:numId w:val="3"/>
        </w:numPr>
        <w:tabs>
          <w:tab w:pos="3015" w:val="left" w:leader="none"/>
        </w:tabs>
        <w:spacing w:line="265" w:lineRule="exact" w:before="0" w:after="0"/>
        <w:ind w:left="3014" w:right="0" w:hanging="275"/>
        <w:jc w:val="both"/>
        <w:rPr>
          <w:sz w:val="18"/>
        </w:rPr>
      </w:pPr>
      <w:r>
        <w:rPr>
          <w:sz w:val="18"/>
          <w:u w:val="single"/>
        </w:rPr>
        <w:t>In re Universal Und. of Texas Ins. Co.</w:t>
      </w:r>
      <w:r>
        <w:rPr>
          <w:sz w:val="18"/>
        </w:rPr>
        <w:t>, 345 S.W.3d 404 (Tex., 2011).</w:t>
      </w:r>
    </w:p>
    <w:p>
      <w:pPr>
        <w:spacing w:after="0" w:line="265" w:lineRule="exact"/>
        <w:jc w:val="both"/>
        <w:rPr>
          <w:sz w:val="18"/>
        </w:rPr>
        <w:sectPr>
          <w:pgSz w:w="12240" w:h="15840"/>
          <w:pgMar w:header="0" w:footer="2273" w:top="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pPr>
      <w:bookmarkStart w:name="Law and Procedure 192" w:id="6"/>
      <w:bookmarkEnd w:id="6"/>
      <w:r>
        <w:rPr/>
      </w:r>
      <w:r>
        <w:rPr/>
        <w:t>insurer’s invocation of appraisal could have avoided</w:t>
      </w:r>
      <w:r>
        <w:rPr>
          <w:spacing w:val="-33"/>
        </w:rPr>
        <w:t> </w:t>
      </w:r>
      <w:r>
        <w:rPr/>
        <w:t>costs</w:t>
      </w:r>
      <w:r>
        <w:rPr>
          <w:spacing w:val="-31"/>
        </w:rPr>
        <w:t> </w:t>
      </w:r>
      <w:r>
        <w:rPr/>
        <w:t>incurred</w:t>
      </w:r>
      <w:r>
        <w:rPr>
          <w:spacing w:val="-33"/>
        </w:rPr>
        <w:t> </w:t>
      </w:r>
      <w:r>
        <w:rPr/>
        <w:t>by</w:t>
      </w:r>
      <w:r>
        <w:rPr>
          <w:spacing w:val="-35"/>
        </w:rPr>
        <w:t> </w:t>
      </w:r>
      <w:r>
        <w:rPr/>
        <w:t>requesting</w:t>
      </w:r>
      <w:r>
        <w:rPr>
          <w:spacing w:val="-32"/>
        </w:rPr>
        <w:t> </w:t>
      </w:r>
      <w:r>
        <w:rPr/>
        <w:t>appraisal themselves and that there was no evidence that the insurer would have resisted such a request.</w:t>
      </w:r>
      <w:r>
        <w:rPr>
          <w:spacing w:val="-19"/>
        </w:rPr>
        <w:t> </w:t>
      </w:r>
      <w:r>
        <w:rPr>
          <w:spacing w:val="-3"/>
        </w:rPr>
        <w:t>The</w:t>
      </w:r>
      <w:r>
        <w:rPr>
          <w:spacing w:val="-13"/>
        </w:rPr>
        <w:t> </w:t>
      </w:r>
      <w:r>
        <w:rPr/>
        <w:t>Court</w:t>
      </w:r>
      <w:r>
        <w:rPr>
          <w:spacing w:val="-16"/>
        </w:rPr>
        <w:t> </w:t>
      </w:r>
      <w:r>
        <w:rPr/>
        <w:t>conditionally</w:t>
      </w:r>
      <w:r>
        <w:rPr>
          <w:spacing w:val="-13"/>
        </w:rPr>
        <w:t> </w:t>
      </w:r>
      <w:r>
        <w:rPr/>
        <w:t>granted</w:t>
      </w:r>
      <w:r>
        <w:rPr>
          <w:spacing w:val="-14"/>
        </w:rPr>
        <w:t> </w:t>
      </w:r>
      <w:r>
        <w:rPr/>
        <w:t>a</w:t>
      </w:r>
      <w:r>
        <w:rPr>
          <w:spacing w:val="-13"/>
        </w:rPr>
        <w:t> </w:t>
      </w:r>
      <w:r>
        <w:rPr/>
        <w:t>writ of mandamus with instructions that the lower court enforce the policy’s appraisal provision, stating,</w:t>
      </w:r>
      <w:r>
        <w:rPr>
          <w:spacing w:val="-21"/>
        </w:rPr>
        <w:t> </w:t>
      </w:r>
      <w:r>
        <w:rPr/>
        <w:t>“[w]here</w:t>
      </w:r>
      <w:r>
        <w:rPr>
          <w:spacing w:val="-20"/>
        </w:rPr>
        <w:t> </w:t>
      </w:r>
      <w:r>
        <w:rPr/>
        <w:t>the</w:t>
      </w:r>
      <w:r>
        <w:rPr>
          <w:spacing w:val="-20"/>
        </w:rPr>
        <w:t> </w:t>
      </w:r>
      <w:r>
        <w:rPr/>
        <w:t>insurance</w:t>
      </w:r>
      <w:r>
        <w:rPr>
          <w:spacing w:val="-17"/>
        </w:rPr>
        <w:t> </w:t>
      </w:r>
      <w:r>
        <w:rPr/>
        <w:t>policy</w:t>
      </w:r>
      <w:r>
        <w:rPr>
          <w:spacing w:val="-19"/>
        </w:rPr>
        <w:t> </w:t>
      </w:r>
      <w:r>
        <w:rPr/>
        <w:t>provides for an appraisal process, compliance </w:t>
      </w:r>
      <w:r>
        <w:rPr>
          <w:spacing w:val="-4"/>
        </w:rPr>
        <w:t>is </w:t>
      </w:r>
      <w:r>
        <w:rPr/>
        <w:t>excused</w:t>
      </w:r>
      <w:r>
        <w:rPr>
          <w:spacing w:val="-14"/>
        </w:rPr>
        <w:t> </w:t>
      </w:r>
      <w:r>
        <w:rPr/>
        <w:t>only</w:t>
      </w:r>
      <w:r>
        <w:rPr>
          <w:spacing w:val="-17"/>
        </w:rPr>
        <w:t> </w:t>
      </w:r>
      <w:r>
        <w:rPr/>
        <w:t>if</w:t>
      </w:r>
      <w:r>
        <w:rPr>
          <w:spacing w:val="-17"/>
        </w:rPr>
        <w:t> </w:t>
      </w:r>
      <w:r>
        <w:rPr/>
        <w:t>the</w:t>
      </w:r>
      <w:r>
        <w:rPr>
          <w:spacing w:val="-17"/>
        </w:rPr>
        <w:t> </w:t>
      </w:r>
      <w:r>
        <w:rPr/>
        <w:t>party</w:t>
      </w:r>
      <w:r>
        <w:rPr>
          <w:spacing w:val="-20"/>
        </w:rPr>
        <w:t> </w:t>
      </w:r>
      <w:r>
        <w:rPr/>
        <w:t>resisting</w:t>
      </w:r>
      <w:r>
        <w:rPr>
          <w:spacing w:val="-16"/>
        </w:rPr>
        <w:t> </w:t>
      </w:r>
      <w:r>
        <w:rPr/>
        <w:t>the</w:t>
      </w:r>
      <w:r>
        <w:rPr>
          <w:spacing w:val="-15"/>
        </w:rPr>
        <w:t> </w:t>
      </w:r>
      <w:r>
        <w:rPr/>
        <w:t>appraisal can</w:t>
      </w:r>
      <w:r>
        <w:rPr>
          <w:spacing w:val="-27"/>
        </w:rPr>
        <w:t> </w:t>
      </w:r>
      <w:r>
        <w:rPr/>
        <w:t>show</w:t>
      </w:r>
      <w:r>
        <w:rPr>
          <w:spacing w:val="-31"/>
        </w:rPr>
        <w:t> </w:t>
      </w:r>
      <w:r>
        <w:rPr/>
        <w:t>prejudice…When</w:t>
      </w:r>
      <w:r>
        <w:rPr>
          <w:spacing w:val="-30"/>
        </w:rPr>
        <w:t> </w:t>
      </w:r>
      <w:r>
        <w:rPr/>
        <w:t>a</w:t>
      </w:r>
      <w:r>
        <w:rPr>
          <w:spacing w:val="-30"/>
        </w:rPr>
        <w:t> </w:t>
      </w:r>
      <w:r>
        <w:rPr/>
        <w:t>party</w:t>
      </w:r>
      <w:r>
        <w:rPr>
          <w:spacing w:val="-32"/>
        </w:rPr>
        <w:t> </w:t>
      </w:r>
      <w:r>
        <w:rPr/>
        <w:t>knows</w:t>
      </w:r>
      <w:r>
        <w:rPr>
          <w:spacing w:val="-30"/>
        </w:rPr>
        <w:t> </w:t>
      </w:r>
      <w:r>
        <w:rPr/>
        <w:t>of</w:t>
      </w:r>
      <w:r>
        <w:rPr>
          <w:spacing w:val="-27"/>
        </w:rPr>
        <w:t> </w:t>
      </w:r>
      <w:r>
        <w:rPr/>
        <w:t>its right to request an appraisal and does not make that request, it is difficult to attribute</w:t>
      </w:r>
      <w:r>
        <w:rPr>
          <w:spacing w:val="-38"/>
        </w:rPr>
        <w:t> </w:t>
      </w:r>
      <w:r>
        <w:rPr/>
        <w:t>the costs incurred to the</w:t>
      </w:r>
      <w:r>
        <w:rPr>
          <w:spacing w:val="-6"/>
        </w:rPr>
        <w:t> </w:t>
      </w:r>
      <w:r>
        <w:rPr/>
        <w:t>opponent.”</w:t>
      </w:r>
      <w:r>
        <w:rPr>
          <w:vertAlign w:val="superscript"/>
        </w:rPr>
        <w:t>451</w:t>
      </w:r>
    </w:p>
    <w:p>
      <w:pPr>
        <w:pStyle w:val="BodyText"/>
        <w:spacing w:before="9"/>
        <w:rPr>
          <w:sz w:val="25"/>
        </w:rPr>
      </w:pPr>
    </w:p>
    <w:p>
      <w:pPr>
        <w:pStyle w:val="BodyText"/>
        <w:spacing w:line="242" w:lineRule="auto" w:before="1"/>
        <w:ind w:left="3100" w:right="3197" w:firstLine="720"/>
        <w:jc w:val="both"/>
      </w:pPr>
      <w:r>
        <w:rPr/>
        <w:t>A</w:t>
      </w:r>
      <w:r>
        <w:rPr>
          <w:spacing w:val="-21"/>
        </w:rPr>
        <w:t> </w:t>
      </w:r>
      <w:r>
        <w:rPr/>
        <w:t>case</w:t>
      </w:r>
      <w:r>
        <w:rPr>
          <w:spacing w:val="-24"/>
        </w:rPr>
        <w:t> </w:t>
      </w:r>
      <w:r>
        <w:rPr/>
        <w:t>which</w:t>
      </w:r>
      <w:r>
        <w:rPr>
          <w:spacing w:val="-24"/>
        </w:rPr>
        <w:t> </w:t>
      </w:r>
      <w:r>
        <w:rPr/>
        <w:t>further</w:t>
      </w:r>
      <w:r>
        <w:rPr>
          <w:spacing w:val="-24"/>
        </w:rPr>
        <w:t> </w:t>
      </w:r>
      <w:r>
        <w:rPr/>
        <w:t>explored</w:t>
      </w:r>
      <w:r>
        <w:rPr>
          <w:spacing w:val="-25"/>
        </w:rPr>
        <w:t> </w:t>
      </w:r>
      <w:r>
        <w:rPr/>
        <w:t>the</w:t>
      </w:r>
      <w:r>
        <w:rPr>
          <w:spacing w:val="-25"/>
        </w:rPr>
        <w:t> </w:t>
      </w:r>
      <w:r>
        <w:rPr>
          <w:spacing w:val="-3"/>
        </w:rPr>
        <w:t>matter </w:t>
      </w:r>
      <w:r>
        <w:rPr/>
        <w:t>of impasse found that an insurer had not waived its right to seek appraisal where there was not a “sufficiently lengthy delay” in</w:t>
      </w:r>
      <w:r>
        <w:rPr>
          <w:spacing w:val="56"/>
        </w:rPr>
        <w:t> </w:t>
      </w:r>
      <w:r>
        <w:rPr/>
        <w:t>its appraisal demand seven days after receiving the insured’s notice of intent to sue. The Court declared that impasse had not yet </w:t>
      </w:r>
      <w:r>
        <w:rPr>
          <w:spacing w:val="-4"/>
        </w:rPr>
        <w:t>been</w:t>
      </w:r>
      <w:r>
        <w:rPr>
          <w:spacing w:val="63"/>
        </w:rPr>
        <w:t> </w:t>
      </w:r>
      <w:r>
        <w:rPr/>
        <w:t>reached,</w:t>
      </w:r>
      <w:r>
        <w:rPr>
          <w:spacing w:val="-14"/>
        </w:rPr>
        <w:t> </w:t>
      </w:r>
      <w:r>
        <w:rPr/>
        <w:t>as</w:t>
      </w:r>
      <w:r>
        <w:rPr>
          <w:spacing w:val="-11"/>
        </w:rPr>
        <w:t> </w:t>
      </w:r>
      <w:r>
        <w:rPr/>
        <w:t>the</w:t>
      </w:r>
      <w:r>
        <w:rPr>
          <w:spacing w:val="-12"/>
        </w:rPr>
        <w:t> </w:t>
      </w:r>
      <w:r>
        <w:rPr/>
        <w:t>record</w:t>
      </w:r>
      <w:r>
        <w:rPr>
          <w:spacing w:val="-12"/>
        </w:rPr>
        <w:t> </w:t>
      </w:r>
      <w:r>
        <w:rPr/>
        <w:t>did</w:t>
      </w:r>
      <w:r>
        <w:rPr>
          <w:spacing w:val="-12"/>
        </w:rPr>
        <w:t> </w:t>
      </w:r>
      <w:r>
        <w:rPr/>
        <w:t>not</w:t>
      </w:r>
      <w:r>
        <w:rPr>
          <w:spacing w:val="-12"/>
        </w:rPr>
        <w:t> </w:t>
      </w:r>
      <w:r>
        <w:rPr/>
        <w:t>reflect</w:t>
      </w:r>
      <w:r>
        <w:rPr>
          <w:spacing w:val="-13"/>
        </w:rPr>
        <w:t> </w:t>
      </w:r>
      <w:r>
        <w:rPr/>
        <w:t>that</w:t>
      </w:r>
      <w:r>
        <w:rPr>
          <w:spacing w:val="-12"/>
        </w:rPr>
        <w:t> </w:t>
      </w:r>
      <w:r>
        <w:rPr/>
        <w:t>the insurer</w:t>
      </w:r>
      <w:r>
        <w:rPr>
          <w:spacing w:val="-36"/>
        </w:rPr>
        <w:t> </w:t>
      </w:r>
      <w:r>
        <w:rPr>
          <w:spacing w:val="-3"/>
        </w:rPr>
        <w:t>knew</w:t>
      </w:r>
      <w:r>
        <w:rPr>
          <w:spacing w:val="-40"/>
        </w:rPr>
        <w:t> </w:t>
      </w:r>
      <w:r>
        <w:rPr>
          <w:spacing w:val="-3"/>
        </w:rPr>
        <w:t>further</w:t>
      </w:r>
      <w:r>
        <w:rPr>
          <w:spacing w:val="-38"/>
        </w:rPr>
        <w:t> </w:t>
      </w:r>
      <w:r>
        <w:rPr/>
        <w:t>negotiations</w:t>
      </w:r>
      <w:r>
        <w:rPr>
          <w:spacing w:val="-32"/>
        </w:rPr>
        <w:t> </w:t>
      </w:r>
      <w:r>
        <w:rPr/>
        <w:t>would</w:t>
      </w:r>
      <w:r>
        <w:rPr>
          <w:spacing w:val="-32"/>
        </w:rPr>
        <w:t> </w:t>
      </w:r>
      <w:r>
        <w:rPr/>
        <w:t>be</w:t>
      </w:r>
      <w:r>
        <w:rPr>
          <w:spacing w:val="-34"/>
        </w:rPr>
        <w:t> </w:t>
      </w:r>
      <w:r>
        <w:rPr/>
        <w:t>futile until it received the notice of suit from the insured.</w:t>
      </w:r>
      <w:r>
        <w:rPr>
          <w:spacing w:val="-16"/>
        </w:rPr>
        <w:t> </w:t>
      </w:r>
      <w:r>
        <w:rPr>
          <w:spacing w:val="3"/>
        </w:rPr>
        <w:t>It</w:t>
      </w:r>
      <w:r>
        <w:rPr>
          <w:spacing w:val="-14"/>
        </w:rPr>
        <w:t> </w:t>
      </w:r>
      <w:r>
        <w:rPr/>
        <w:t>asserted</w:t>
      </w:r>
      <w:r>
        <w:rPr>
          <w:spacing w:val="-13"/>
        </w:rPr>
        <w:t> </w:t>
      </w:r>
      <w:r>
        <w:rPr/>
        <w:t>that</w:t>
      </w:r>
      <w:r>
        <w:rPr>
          <w:spacing w:val="-15"/>
        </w:rPr>
        <w:t> </w:t>
      </w:r>
      <w:r>
        <w:rPr/>
        <w:t>“if</w:t>
      </w:r>
      <w:r>
        <w:rPr>
          <w:spacing w:val="-14"/>
        </w:rPr>
        <w:t> </w:t>
      </w:r>
      <w:r>
        <w:rPr/>
        <w:t>one</w:t>
      </w:r>
      <w:r>
        <w:rPr>
          <w:spacing w:val="-15"/>
        </w:rPr>
        <w:t> </w:t>
      </w:r>
      <w:r>
        <w:rPr/>
        <w:t>party</w:t>
      </w:r>
      <w:r>
        <w:rPr>
          <w:spacing w:val="-14"/>
        </w:rPr>
        <w:t> </w:t>
      </w:r>
      <w:r>
        <w:rPr/>
        <w:t>genuinely believes</w:t>
      </w:r>
      <w:r>
        <w:rPr>
          <w:spacing w:val="-12"/>
        </w:rPr>
        <w:t> </w:t>
      </w:r>
      <w:r>
        <w:rPr/>
        <w:t>negotiations</w:t>
      </w:r>
      <w:r>
        <w:rPr>
          <w:spacing w:val="-10"/>
        </w:rPr>
        <w:t> </w:t>
      </w:r>
      <w:r>
        <w:rPr/>
        <w:t>to</w:t>
      </w:r>
      <w:r>
        <w:rPr>
          <w:spacing w:val="-13"/>
        </w:rPr>
        <w:t> </w:t>
      </w:r>
      <w:r>
        <w:rPr/>
        <w:t>be</w:t>
      </w:r>
      <w:r>
        <w:rPr>
          <w:spacing w:val="-12"/>
        </w:rPr>
        <w:t> </w:t>
      </w:r>
      <w:r>
        <w:rPr/>
        <w:t>ongoing,</w:t>
      </w:r>
      <w:r>
        <w:rPr>
          <w:spacing w:val="-12"/>
        </w:rPr>
        <w:t> </w:t>
      </w:r>
      <w:r>
        <w:rPr/>
        <w:t>it</w:t>
      </w:r>
      <w:r>
        <w:rPr>
          <w:spacing w:val="-14"/>
        </w:rPr>
        <w:t> </w:t>
      </w:r>
      <w:r>
        <w:rPr/>
        <w:t>cannot have</w:t>
      </w:r>
      <w:r>
        <w:rPr>
          <w:spacing w:val="-29"/>
        </w:rPr>
        <w:t> </w:t>
      </w:r>
      <w:r>
        <w:rPr/>
        <w:t>intended</w:t>
      </w:r>
      <w:r>
        <w:rPr>
          <w:spacing w:val="-28"/>
        </w:rPr>
        <w:t> </w:t>
      </w:r>
      <w:r>
        <w:rPr/>
        <w:t>to</w:t>
      </w:r>
      <w:r>
        <w:rPr>
          <w:spacing w:val="-27"/>
        </w:rPr>
        <w:t> </w:t>
      </w:r>
      <w:r>
        <w:rPr/>
        <w:t>relinquish</w:t>
      </w:r>
      <w:r>
        <w:rPr>
          <w:spacing w:val="-28"/>
        </w:rPr>
        <w:t> </w:t>
      </w:r>
      <w:r>
        <w:rPr/>
        <w:t>its</w:t>
      </w:r>
      <w:r>
        <w:rPr>
          <w:spacing w:val="-25"/>
        </w:rPr>
        <w:t> </w:t>
      </w:r>
      <w:r>
        <w:rPr/>
        <w:t>right</w:t>
      </w:r>
      <w:r>
        <w:rPr>
          <w:spacing w:val="-29"/>
        </w:rPr>
        <w:t> </w:t>
      </w:r>
      <w:r>
        <w:rPr/>
        <w:t>to</w:t>
      </w:r>
      <w:r>
        <w:rPr>
          <w:spacing w:val="-28"/>
        </w:rPr>
        <w:t> </w:t>
      </w:r>
      <w:r>
        <w:rPr/>
        <w:t>appraisal</w:t>
      </w:r>
    </w:p>
    <w:p>
      <w:pPr>
        <w:pStyle w:val="BodyText"/>
        <w:rPr>
          <w:sz w:val="20"/>
        </w:rPr>
      </w:pPr>
    </w:p>
    <w:p>
      <w:pPr>
        <w:pStyle w:val="BodyText"/>
        <w:rPr>
          <w:sz w:val="20"/>
        </w:rPr>
      </w:pPr>
    </w:p>
    <w:p>
      <w:pPr>
        <w:pStyle w:val="BodyText"/>
        <w:rPr>
          <w:sz w:val="20"/>
        </w:rPr>
      </w:pPr>
    </w:p>
    <w:p>
      <w:pPr>
        <w:pStyle w:val="BodyText"/>
        <w:spacing w:before="6"/>
        <w:rPr>
          <w:sz w:val="19"/>
        </w:rPr>
      </w:pPr>
      <w:r>
        <w:rPr/>
        <w:pict>
          <v:shape style="position:absolute;margin-left:162pt;margin-top:14.385425pt;width:143.9pt;height:.1pt;mso-position-horizontal-relative:page;mso-position-vertical-relative:paragraph;z-index:-251635712;mso-wrap-distance-left:0;mso-wrap-distance-right:0" coordorigin="3240,288" coordsize="2878,0" path="m3240,288l6118,28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3015" w:val="left" w:leader="none"/>
        </w:tabs>
        <w:spacing w:line="240" w:lineRule="auto" w:before="71" w:after="0"/>
        <w:ind w:left="3014" w:right="0" w:hanging="275"/>
        <w:jc w:val="left"/>
        <w:rPr>
          <w:sz w:val="18"/>
        </w:rPr>
      </w:pPr>
      <w:r>
        <w:rPr>
          <w:sz w:val="18"/>
          <w:u w:val="single"/>
        </w:rPr>
        <w:t>In re Cypress Texas Lloyds</w:t>
      </w:r>
      <w:r>
        <w:rPr>
          <w:sz w:val="18"/>
        </w:rPr>
        <w:t>, 419 S.W.3d 443 (Tex.App.</w:t>
      </w:r>
      <w:r>
        <w:rPr>
          <w:spacing w:val="3"/>
          <w:sz w:val="18"/>
        </w:rPr>
        <w:t> </w:t>
      </w:r>
      <w:r>
        <w:rPr>
          <w:sz w:val="18"/>
        </w:rPr>
        <w:t>2012).</w:t>
      </w:r>
    </w:p>
    <w:p>
      <w:pPr>
        <w:spacing w:after="0" w:line="240" w:lineRule="auto"/>
        <w:jc w:val="left"/>
        <w:rPr>
          <w:sz w:val="18"/>
        </w:rPr>
        <w:sectPr>
          <w:pgSz w:w="12240" w:h="15840"/>
          <w:pgMar w:header="0" w:footer="2273" w:top="1500" w:bottom="2460" w:left="140" w:right="40"/>
        </w:sectPr>
      </w:pPr>
    </w:p>
    <w:p>
      <w:pPr>
        <w:spacing w:before="63"/>
        <w:ind w:left="1300" w:right="0" w:firstLine="0"/>
        <w:jc w:val="left"/>
        <w:rPr>
          <w:rFonts w:ascii="Arial"/>
          <w:b/>
          <w:sz w:val="22"/>
        </w:rPr>
      </w:pPr>
      <w:bookmarkStart w:name="Law and Procedure 193" w:id="7"/>
      <w:bookmarkEnd w:id="7"/>
      <w:r>
        <w:rPr/>
      </w:r>
      <w:r>
        <w:rPr>
          <w:rFonts w:ascii="Arial"/>
          <w:b/>
          <w:spacing w:val="-159"/>
          <w:sz w:val="22"/>
          <w:u w:val="single"/>
        </w:rPr>
        <w:t>K</w:t>
      </w:r>
      <w:r>
        <w:rPr>
          <w:rFonts w:ascii="Arial"/>
          <w:b/>
          <w:spacing w:val="99"/>
          <w:sz w:val="22"/>
        </w:rPr>
        <w:t> </w:t>
      </w:r>
      <w:r>
        <w:rPr>
          <w:rFonts w:ascii="Arial"/>
          <w:b/>
          <w:sz w:val="22"/>
          <w:u w:val="single"/>
        </w:rPr>
        <w:t>ester v. State Farm Fire and Cas. Co., 726 F. Supp. 1015 (E.D. Pa. 1989)</w:t>
      </w:r>
    </w:p>
    <w:p>
      <w:pPr>
        <w:pStyle w:val="BodyText"/>
        <w:spacing w:before="1"/>
        <w:rPr>
          <w:rFonts w:ascii="Arial"/>
          <w:b/>
          <w:sz w:val="22"/>
        </w:rPr>
      </w:pPr>
    </w:p>
    <w:p>
      <w:pPr>
        <w:spacing w:line="285" w:lineRule="auto" w:before="93"/>
        <w:ind w:left="1300" w:right="1442" w:firstLine="0"/>
        <w:jc w:val="left"/>
        <w:rPr>
          <w:rFonts w:ascii="Arial"/>
          <w:sz w:val="22"/>
        </w:rPr>
      </w:pPr>
      <w:r>
        <w:rPr>
          <w:rFonts w:ascii="Arial"/>
          <w:sz w:val="22"/>
        </w:rPr>
        <w:t>U.S. District Court for the Eastern District of Pennsylvania - 726 F. Supp. 1015 (E.D. Pa. 1989) December 11, 1989</w:t>
      </w:r>
    </w:p>
    <w:p>
      <w:pPr>
        <w:pStyle w:val="BodyText"/>
        <w:spacing w:before="11"/>
        <w:rPr>
          <w:rFonts w:ascii="Arial"/>
          <w:sz w:val="25"/>
        </w:rPr>
      </w:pPr>
    </w:p>
    <w:p>
      <w:pPr>
        <w:spacing w:line="285" w:lineRule="auto" w:before="0"/>
        <w:ind w:left="1300" w:right="9065" w:firstLine="0"/>
        <w:jc w:val="left"/>
        <w:rPr>
          <w:rFonts w:ascii="Arial"/>
          <w:sz w:val="22"/>
        </w:rPr>
      </w:pPr>
      <w:r>
        <w:rPr>
          <w:rFonts w:ascii="Arial"/>
          <w:sz w:val="22"/>
        </w:rPr>
        <w:t>Patricia KESTER v.</w:t>
      </w:r>
    </w:p>
    <w:p>
      <w:pPr>
        <w:spacing w:line="285" w:lineRule="auto" w:before="0"/>
        <w:ind w:left="1300" w:right="5462" w:firstLine="0"/>
        <w:jc w:val="left"/>
        <w:rPr>
          <w:rFonts w:ascii="Arial"/>
          <w:sz w:val="22"/>
        </w:rPr>
      </w:pPr>
      <w:r>
        <w:rPr>
          <w:rFonts w:ascii="Arial"/>
          <w:sz w:val="22"/>
        </w:rPr>
        <w:t>STATE FARM FIRE AND CASUALTY COMPANY. Civ. A. No. 88-9844.</w:t>
      </w:r>
    </w:p>
    <w:p>
      <w:pPr>
        <w:spacing w:line="251" w:lineRule="exact" w:before="0"/>
        <w:ind w:left="1300" w:right="0" w:firstLine="0"/>
        <w:jc w:val="left"/>
        <w:rPr>
          <w:rFonts w:ascii="Arial"/>
          <w:sz w:val="22"/>
        </w:rPr>
      </w:pPr>
      <w:r>
        <w:rPr>
          <w:rFonts w:ascii="Arial"/>
          <w:sz w:val="22"/>
        </w:rPr>
        <w:t>United States District Court, E.D. Pennsylvania.</w:t>
      </w:r>
    </w:p>
    <w:p>
      <w:pPr>
        <w:pStyle w:val="BodyText"/>
        <w:rPr>
          <w:rFonts w:ascii="Arial"/>
          <w:sz w:val="30"/>
        </w:rPr>
      </w:pPr>
    </w:p>
    <w:p>
      <w:pPr>
        <w:spacing w:before="0"/>
        <w:ind w:left="1300" w:right="0" w:firstLine="0"/>
        <w:jc w:val="left"/>
        <w:rPr>
          <w:rFonts w:ascii="Arial"/>
          <w:sz w:val="22"/>
        </w:rPr>
      </w:pPr>
      <w:r>
        <w:rPr>
          <w:rFonts w:ascii="Arial"/>
          <w:sz w:val="22"/>
        </w:rPr>
        <w:t>December 11, 1989.</w:t>
      </w:r>
    </w:p>
    <w:p>
      <w:pPr>
        <w:spacing w:line="568" w:lineRule="auto" w:before="47"/>
        <w:ind w:left="1300" w:right="4567" w:firstLine="0"/>
        <w:jc w:val="left"/>
        <w:rPr>
          <w:rFonts w:ascii="Arial"/>
          <w:sz w:val="22"/>
        </w:rPr>
      </w:pPr>
      <w:r>
        <w:rPr>
          <w:rFonts w:ascii="Arial"/>
          <w:sz w:val="22"/>
        </w:rPr>
        <w:t>*1016 Roger J. Harrington, Philadelphia, Pa., for plaintiff. Bonnie Sue Donahey Stein, Morrisville, Pa., for defendant.</w:t>
      </w:r>
    </w:p>
    <w:p>
      <w:pPr>
        <w:pStyle w:val="BodyText"/>
        <w:spacing w:before="2"/>
        <w:rPr>
          <w:rFonts w:ascii="Arial"/>
        </w:rPr>
      </w:pPr>
    </w:p>
    <w:p>
      <w:pPr>
        <w:spacing w:before="0"/>
        <w:ind w:left="1300" w:right="0" w:firstLine="0"/>
        <w:jc w:val="left"/>
        <w:rPr>
          <w:rFonts w:ascii="Arial"/>
          <w:sz w:val="22"/>
        </w:rPr>
      </w:pPr>
      <w:r>
        <w:rPr>
          <w:rFonts w:ascii="Arial"/>
          <w:sz w:val="22"/>
        </w:rPr>
        <w:t>OPINION AND ORDER</w:t>
      </w:r>
    </w:p>
    <w:p>
      <w:pPr>
        <w:spacing w:before="47"/>
        <w:ind w:left="1300" w:right="0" w:firstLine="0"/>
        <w:jc w:val="left"/>
        <w:rPr>
          <w:rFonts w:ascii="Arial"/>
          <w:sz w:val="22"/>
        </w:rPr>
      </w:pPr>
      <w:r>
        <w:rPr>
          <w:rFonts w:ascii="Arial"/>
          <w:sz w:val="22"/>
        </w:rPr>
        <w:t>VAN ANTWERPEN, District Judge.</w:t>
      </w:r>
    </w:p>
    <w:p>
      <w:pPr>
        <w:pStyle w:val="BodyText"/>
        <w:spacing w:before="2"/>
        <w:rPr>
          <w:rFonts w:ascii="Arial"/>
          <w:sz w:val="30"/>
        </w:rPr>
      </w:pPr>
    </w:p>
    <w:p>
      <w:pPr>
        <w:spacing w:line="285" w:lineRule="auto" w:before="0"/>
        <w:ind w:left="1300" w:right="1442" w:firstLine="0"/>
        <w:jc w:val="left"/>
        <w:rPr>
          <w:rFonts w:ascii="Arial"/>
          <w:sz w:val="22"/>
        </w:rPr>
      </w:pPr>
      <w:r>
        <w:rPr>
          <w:rFonts w:ascii="Arial"/>
          <w:sz w:val="22"/>
        </w:rPr>
        <w:t>This diversity matter comes before the court upon the defendant's motion for summary judgment. Oral argument on this motion was heard by the court on October 27, 1989. For the reasons expressed below, we believe that the defendant's motion should be granted, subject to the condition stated herein.</w:t>
      </w:r>
    </w:p>
    <w:p>
      <w:pPr>
        <w:pStyle w:val="BodyText"/>
        <w:spacing w:before="8"/>
        <w:rPr>
          <w:rFonts w:ascii="Arial"/>
          <w:sz w:val="25"/>
        </w:rPr>
      </w:pPr>
    </w:p>
    <w:p>
      <w:pPr>
        <w:spacing w:line="285" w:lineRule="auto" w:before="0"/>
        <w:ind w:left="1300" w:right="1400" w:firstLine="0"/>
        <w:jc w:val="left"/>
        <w:rPr>
          <w:rFonts w:ascii="Arial"/>
          <w:sz w:val="22"/>
        </w:rPr>
      </w:pPr>
      <w:r>
        <w:rPr>
          <w:rFonts w:ascii="Arial"/>
          <w:sz w:val="22"/>
        </w:rPr>
        <w:t>Before embarking upon a discussion of the relevant law, it is first necessary to provide a brief chronology of events in the instant case. On or about February 11, 1988, the plaintiff's dwelling allegedly sustained windstorm damage. At the time of this incident, homeowner's insurance policy # XX-XX-XXXX-X was in effect between the plaintiff and the defendant. The defendant first received notice of the alleged loss on July 19, 1988, when it received a letter from Eastern Public Adjusters ("Eastern") who represented the plaintiff. Eastern had evaluated the plaintiff's claim at $12,782.96 and submitted an estimate for that amount to the attention of Robert Evans, the claims adjuster assigned to handle this case for the defendant. Mr. Evans prepared an estimate for the defendant, after an inspection of the plaintiff's property. That estimate came to</w:t>
      </w:r>
    </w:p>
    <w:p>
      <w:pPr>
        <w:spacing w:line="244" w:lineRule="exact" w:before="0"/>
        <w:ind w:left="1300" w:right="0" w:firstLine="0"/>
        <w:jc w:val="left"/>
        <w:rPr>
          <w:rFonts w:ascii="Arial"/>
          <w:sz w:val="22"/>
        </w:rPr>
      </w:pPr>
      <w:r>
        <w:rPr>
          <w:rFonts w:ascii="Arial"/>
          <w:sz w:val="22"/>
        </w:rPr>
        <w:t>$1,878.64.</w:t>
      </w:r>
    </w:p>
    <w:p>
      <w:pPr>
        <w:pStyle w:val="BodyText"/>
        <w:spacing w:before="2"/>
        <w:rPr>
          <w:rFonts w:ascii="Arial"/>
          <w:sz w:val="30"/>
        </w:rPr>
      </w:pPr>
    </w:p>
    <w:p>
      <w:pPr>
        <w:spacing w:line="285" w:lineRule="auto" w:before="0"/>
        <w:ind w:left="1300" w:right="1442" w:firstLine="0"/>
        <w:jc w:val="left"/>
        <w:rPr>
          <w:rFonts w:ascii="Arial"/>
          <w:sz w:val="22"/>
        </w:rPr>
      </w:pPr>
      <w:r>
        <w:rPr>
          <w:rFonts w:ascii="Arial"/>
          <w:sz w:val="22"/>
        </w:rPr>
        <w:t>On September 6, 1988, the defendant wrote a letter to the plaintiff, questioning whether or not the defendant was obligated for the loss because of the plaintiff's delay in providing written notice of the loss to the company. On or about November 22, 1988, Mr. Evans sent a letter to the plaintiff's agent concerning the defendant's estimate. On November 30, 1988, the plaintiff filed suit in the Philadelphia County Court of Common Pleas. The defendant answered the complaint and also removed the case to Federal court on the grounds of diversity jurisdiction. On or about December 1, 1988, the defendant received a sworn proof of loss on behalf of the</w:t>
      </w:r>
    </w:p>
    <w:p>
      <w:pPr>
        <w:spacing w:after="0" w:line="285" w:lineRule="auto"/>
        <w:jc w:val="left"/>
        <w:rPr>
          <w:rFonts w:ascii="Arial"/>
          <w:sz w:val="22"/>
        </w:rPr>
        <w:sectPr>
          <w:footerReference w:type="default" r:id="rId6"/>
          <w:pgSz w:w="12240" w:h="15840"/>
          <w:pgMar w:footer="0" w:header="0" w:top="1380" w:bottom="280" w:left="140" w:right="40"/>
        </w:sectPr>
      </w:pPr>
    </w:p>
    <w:p>
      <w:pPr>
        <w:spacing w:line="285" w:lineRule="auto" w:before="63"/>
        <w:ind w:left="1300" w:right="1400" w:firstLine="0"/>
        <w:jc w:val="left"/>
        <w:rPr>
          <w:rFonts w:ascii="Arial"/>
          <w:sz w:val="22"/>
        </w:rPr>
      </w:pPr>
      <w:bookmarkStart w:name="Law and Procedure 194" w:id="8"/>
      <w:bookmarkEnd w:id="8"/>
      <w:r>
        <w:rPr/>
      </w:r>
      <w:r>
        <w:rPr>
          <w:rFonts w:ascii="Arial"/>
          <w:sz w:val="22"/>
        </w:rPr>
        <w:t>plaintiff. On March 23, 1989, the defendant, through its counsel, made a written demand upon the plaintiff for appraisal under the terms of the insurance policy. By letter, dated April 4, 1989, the defendant notified the plaintiff's counsel that it was appointing Michael Potter of Maryland as its appraiser. The plaintiff has not designated an appraiser.</w:t>
      </w:r>
    </w:p>
    <w:p>
      <w:pPr>
        <w:pStyle w:val="BodyText"/>
        <w:spacing w:before="8"/>
        <w:rPr>
          <w:rFonts w:ascii="Arial"/>
          <w:sz w:val="25"/>
        </w:rPr>
      </w:pPr>
    </w:p>
    <w:p>
      <w:pPr>
        <w:spacing w:before="1"/>
        <w:ind w:left="1300" w:right="0" w:firstLine="0"/>
        <w:jc w:val="left"/>
        <w:rPr>
          <w:rFonts w:ascii="Arial"/>
          <w:sz w:val="22"/>
        </w:rPr>
      </w:pPr>
      <w:r>
        <w:rPr>
          <w:rFonts w:ascii="Arial"/>
          <w:sz w:val="22"/>
        </w:rPr>
        <w:t>Paragraph 6 of the homeowner's policy issued by the defendant reads in pertinent part:</w:t>
      </w:r>
    </w:p>
    <w:p>
      <w:pPr>
        <w:pStyle w:val="BodyText"/>
        <w:rPr>
          <w:rFonts w:ascii="Arial"/>
          <w:sz w:val="24"/>
        </w:rPr>
      </w:pPr>
    </w:p>
    <w:p>
      <w:pPr>
        <w:pStyle w:val="BodyText"/>
        <w:spacing w:before="3"/>
        <w:rPr>
          <w:rFonts w:ascii="Arial"/>
          <w:sz w:val="32"/>
        </w:rPr>
      </w:pPr>
    </w:p>
    <w:p>
      <w:pPr>
        <w:spacing w:line="285" w:lineRule="auto" w:before="0"/>
        <w:ind w:left="1300" w:right="1442" w:firstLine="0"/>
        <w:jc w:val="left"/>
        <w:rPr>
          <w:rFonts w:ascii="Arial"/>
          <w:i/>
          <w:sz w:val="22"/>
        </w:rPr>
      </w:pPr>
      <w:r>
        <w:rPr>
          <w:rFonts w:ascii="Arial"/>
          <w:i/>
          <w:sz w:val="22"/>
        </w:rPr>
        <w:t>Appraisal. If you and we fail to agree on the amount of loss, either one can demand that the </w:t>
      </w:r>
      <w:r>
        <w:rPr>
          <w:rFonts w:ascii="Arial"/>
          <w:i/>
          <w:sz w:val="22"/>
        </w:rPr>
        <w:t>amount of the loss be set by appraisal. If either makes a written demand for appraisal, each shall select a competent, independent appraiser. Each shall notify the other of the appraiser's identity within 20 days of receipt of the written demand. The two appraisers shall then select a competent, impartial umpire....</w:t>
      </w:r>
    </w:p>
    <w:p>
      <w:pPr>
        <w:spacing w:line="285" w:lineRule="auto" w:before="0"/>
        <w:ind w:left="1300" w:right="1442" w:firstLine="0"/>
        <w:jc w:val="left"/>
        <w:rPr>
          <w:rFonts w:ascii="Arial"/>
          <w:i/>
          <w:sz w:val="22"/>
        </w:rPr>
      </w:pPr>
      <w:r>
        <w:rPr>
          <w:rFonts w:ascii="Arial"/>
          <w:i/>
          <w:sz w:val="22"/>
        </w:rPr>
        <w:t>Paragraph 6 also states: "If the appraisers submit a written report of an agreement to us, the </w:t>
      </w:r>
      <w:r>
        <w:rPr>
          <w:rFonts w:ascii="Arial"/>
          <w:i/>
          <w:sz w:val="22"/>
        </w:rPr>
        <w:t>amount agreed upon shall be the amount of the loss."</w:t>
      </w:r>
    </w:p>
    <w:p>
      <w:pPr>
        <w:pStyle w:val="BodyText"/>
        <w:spacing w:before="5"/>
        <w:rPr>
          <w:rFonts w:ascii="Arial"/>
          <w:i/>
          <w:sz w:val="25"/>
        </w:rPr>
      </w:pPr>
    </w:p>
    <w:p>
      <w:pPr>
        <w:spacing w:line="285" w:lineRule="auto" w:before="0"/>
        <w:ind w:left="1300" w:right="1641" w:firstLine="0"/>
        <w:jc w:val="both"/>
        <w:rPr>
          <w:rFonts w:ascii="Arial"/>
          <w:i/>
          <w:sz w:val="22"/>
        </w:rPr>
      </w:pPr>
      <w:r>
        <w:rPr>
          <w:rFonts w:ascii="Arial"/>
          <w:sz w:val="22"/>
        </w:rPr>
        <w:t>Paragraph 8 of the policy further provides: "</w:t>
      </w:r>
      <w:r>
        <w:rPr>
          <w:rFonts w:ascii="Arial"/>
          <w:i/>
          <w:sz w:val="22"/>
        </w:rPr>
        <w:t>Suit Against Us. No action shall be brought unless </w:t>
      </w:r>
      <w:r>
        <w:rPr>
          <w:rFonts w:ascii="Arial"/>
          <w:i/>
          <w:sz w:val="22"/>
        </w:rPr>
        <w:t>there</w:t>
      </w:r>
      <w:r>
        <w:rPr>
          <w:rFonts w:ascii="Arial"/>
          <w:i/>
          <w:spacing w:val="-6"/>
          <w:sz w:val="22"/>
        </w:rPr>
        <w:t> </w:t>
      </w:r>
      <w:r>
        <w:rPr>
          <w:rFonts w:ascii="Arial"/>
          <w:i/>
          <w:sz w:val="22"/>
        </w:rPr>
        <w:t>has</w:t>
      </w:r>
      <w:r>
        <w:rPr>
          <w:rFonts w:ascii="Arial"/>
          <w:i/>
          <w:spacing w:val="-5"/>
          <w:sz w:val="22"/>
        </w:rPr>
        <w:t> </w:t>
      </w:r>
      <w:r>
        <w:rPr>
          <w:rFonts w:ascii="Arial"/>
          <w:i/>
          <w:sz w:val="22"/>
        </w:rPr>
        <w:t>been</w:t>
      </w:r>
      <w:r>
        <w:rPr>
          <w:rFonts w:ascii="Arial"/>
          <w:i/>
          <w:spacing w:val="-5"/>
          <w:sz w:val="22"/>
        </w:rPr>
        <w:t> </w:t>
      </w:r>
      <w:r>
        <w:rPr>
          <w:rFonts w:ascii="Arial"/>
          <w:i/>
          <w:sz w:val="22"/>
        </w:rPr>
        <w:t>compliance</w:t>
      </w:r>
      <w:r>
        <w:rPr>
          <w:rFonts w:ascii="Arial"/>
          <w:i/>
          <w:spacing w:val="-5"/>
          <w:sz w:val="22"/>
        </w:rPr>
        <w:t> </w:t>
      </w:r>
      <w:r>
        <w:rPr>
          <w:rFonts w:ascii="Arial"/>
          <w:i/>
          <w:sz w:val="22"/>
        </w:rPr>
        <w:t>with</w:t>
      </w:r>
      <w:r>
        <w:rPr>
          <w:rFonts w:ascii="Arial"/>
          <w:i/>
          <w:spacing w:val="-5"/>
          <w:sz w:val="22"/>
        </w:rPr>
        <w:t> </w:t>
      </w:r>
      <w:r>
        <w:rPr>
          <w:rFonts w:ascii="Arial"/>
          <w:i/>
          <w:sz w:val="22"/>
        </w:rPr>
        <w:t>the</w:t>
      </w:r>
      <w:r>
        <w:rPr>
          <w:rFonts w:ascii="Arial"/>
          <w:i/>
          <w:spacing w:val="-6"/>
          <w:sz w:val="22"/>
        </w:rPr>
        <w:t> </w:t>
      </w:r>
      <w:r>
        <w:rPr>
          <w:rFonts w:ascii="Arial"/>
          <w:i/>
          <w:sz w:val="22"/>
        </w:rPr>
        <w:t>policy</w:t>
      </w:r>
      <w:r>
        <w:rPr>
          <w:rFonts w:ascii="Arial"/>
          <w:i/>
          <w:spacing w:val="-5"/>
          <w:sz w:val="22"/>
        </w:rPr>
        <w:t> </w:t>
      </w:r>
      <w:r>
        <w:rPr>
          <w:rFonts w:ascii="Arial"/>
          <w:i/>
          <w:sz w:val="22"/>
        </w:rPr>
        <w:t>provisions.</w:t>
      </w:r>
      <w:r>
        <w:rPr>
          <w:rFonts w:ascii="Arial"/>
          <w:i/>
          <w:spacing w:val="-5"/>
          <w:sz w:val="22"/>
        </w:rPr>
        <w:t> </w:t>
      </w:r>
      <w:r>
        <w:rPr>
          <w:rFonts w:ascii="Arial"/>
          <w:i/>
          <w:sz w:val="22"/>
        </w:rPr>
        <w:t>The</w:t>
      </w:r>
      <w:r>
        <w:rPr>
          <w:rFonts w:ascii="Arial"/>
          <w:i/>
          <w:spacing w:val="-5"/>
          <w:sz w:val="22"/>
        </w:rPr>
        <w:t> </w:t>
      </w:r>
      <w:r>
        <w:rPr>
          <w:rFonts w:ascii="Arial"/>
          <w:i/>
          <w:sz w:val="22"/>
        </w:rPr>
        <w:t>action</w:t>
      </w:r>
      <w:r>
        <w:rPr>
          <w:rFonts w:ascii="Arial"/>
          <w:i/>
          <w:spacing w:val="-6"/>
          <w:sz w:val="22"/>
        </w:rPr>
        <w:t> </w:t>
      </w:r>
      <w:r>
        <w:rPr>
          <w:rFonts w:ascii="Arial"/>
          <w:i/>
          <w:sz w:val="22"/>
        </w:rPr>
        <w:t>*1017</w:t>
      </w:r>
      <w:r>
        <w:rPr>
          <w:rFonts w:ascii="Arial"/>
          <w:i/>
          <w:spacing w:val="-5"/>
          <w:sz w:val="22"/>
        </w:rPr>
        <w:t> </w:t>
      </w:r>
      <w:r>
        <w:rPr>
          <w:rFonts w:ascii="Arial"/>
          <w:i/>
          <w:sz w:val="22"/>
        </w:rPr>
        <w:t>must</w:t>
      </w:r>
      <w:r>
        <w:rPr>
          <w:rFonts w:ascii="Arial"/>
          <w:i/>
          <w:spacing w:val="-5"/>
          <w:sz w:val="22"/>
        </w:rPr>
        <w:t> </w:t>
      </w:r>
      <w:r>
        <w:rPr>
          <w:rFonts w:ascii="Arial"/>
          <w:i/>
          <w:sz w:val="22"/>
        </w:rPr>
        <w:t>be</w:t>
      </w:r>
      <w:r>
        <w:rPr>
          <w:rFonts w:ascii="Arial"/>
          <w:i/>
          <w:spacing w:val="-5"/>
          <w:sz w:val="22"/>
        </w:rPr>
        <w:t> </w:t>
      </w:r>
      <w:r>
        <w:rPr>
          <w:rFonts w:ascii="Arial"/>
          <w:i/>
          <w:sz w:val="22"/>
        </w:rPr>
        <w:t>started</w:t>
      </w:r>
      <w:r>
        <w:rPr>
          <w:rFonts w:ascii="Arial"/>
          <w:i/>
          <w:spacing w:val="-5"/>
          <w:sz w:val="22"/>
        </w:rPr>
        <w:t> </w:t>
      </w:r>
      <w:r>
        <w:rPr>
          <w:rFonts w:ascii="Arial"/>
          <w:i/>
          <w:sz w:val="22"/>
        </w:rPr>
        <w:t>within one year after the date of loss or</w:t>
      </w:r>
      <w:r>
        <w:rPr>
          <w:rFonts w:ascii="Arial"/>
          <w:i/>
          <w:spacing w:val="-11"/>
          <w:sz w:val="22"/>
        </w:rPr>
        <w:t> </w:t>
      </w:r>
      <w:r>
        <w:rPr>
          <w:rFonts w:ascii="Arial"/>
          <w:i/>
          <w:sz w:val="22"/>
        </w:rPr>
        <w:t>damage."</w:t>
      </w:r>
    </w:p>
    <w:p>
      <w:pPr>
        <w:pStyle w:val="BodyText"/>
        <w:spacing w:before="9"/>
        <w:rPr>
          <w:rFonts w:ascii="Arial"/>
          <w:i/>
          <w:sz w:val="25"/>
        </w:rPr>
      </w:pPr>
    </w:p>
    <w:p>
      <w:pPr>
        <w:spacing w:line="285" w:lineRule="auto" w:before="0"/>
        <w:ind w:left="1300" w:right="1442" w:firstLine="0"/>
        <w:jc w:val="left"/>
        <w:rPr>
          <w:rFonts w:ascii="Arial"/>
          <w:sz w:val="22"/>
        </w:rPr>
      </w:pPr>
      <w:r>
        <w:rPr>
          <w:rFonts w:ascii="Arial"/>
          <w:sz w:val="22"/>
        </w:rPr>
        <w:t>Fed.R.Civ.P. 56(c) instructs a court to enter summary judgment when the record reveals that "there is no genuine issue as to any material fact and that the moving party is entitled to a judgment as a matter of law."</w:t>
      </w:r>
    </w:p>
    <w:p>
      <w:pPr>
        <w:pStyle w:val="BodyText"/>
        <w:spacing w:before="10"/>
        <w:rPr>
          <w:rFonts w:ascii="Arial"/>
          <w:sz w:val="25"/>
        </w:rPr>
      </w:pPr>
    </w:p>
    <w:p>
      <w:pPr>
        <w:spacing w:line="285" w:lineRule="auto" w:before="0"/>
        <w:ind w:left="1300" w:right="1442" w:firstLine="0"/>
        <w:jc w:val="left"/>
        <w:rPr>
          <w:rFonts w:ascii="Arial"/>
          <w:sz w:val="22"/>
        </w:rPr>
      </w:pPr>
      <w:r>
        <w:rPr>
          <w:rFonts w:ascii="Arial"/>
          <w:sz w:val="22"/>
        </w:rPr>
        <w:t>This rule provides the court with a useful tool when the critical facts are undisputed, facilitating the resolution of a pending controversy without the expense and delay of conducting a trial made unnecessary by the absence of factual dispute. Peterson v. Lehigh Valley Dist. Council, 676 F.2d 81, 84 (3d Cir. 1982); Goodman v. Mead Johnson &amp; Co., 534 F.2d 566, 573 (3d</w:t>
      </w:r>
    </w:p>
    <w:p>
      <w:pPr>
        <w:spacing w:line="249" w:lineRule="exact" w:before="0"/>
        <w:ind w:left="1300" w:right="0" w:firstLine="0"/>
        <w:jc w:val="left"/>
        <w:rPr>
          <w:rFonts w:ascii="Arial"/>
          <w:sz w:val="22"/>
        </w:rPr>
      </w:pPr>
      <w:r>
        <w:rPr>
          <w:rFonts w:ascii="Arial"/>
          <w:sz w:val="22"/>
        </w:rPr>
        <w:t>Cir.1976), cert. denied, 429 U.S. 1038, 97 S. Ct. 732, 50 L. Ed. 2d 748 (1977).</w:t>
      </w:r>
    </w:p>
    <w:p>
      <w:pPr>
        <w:pStyle w:val="BodyText"/>
        <w:spacing w:before="2"/>
        <w:rPr>
          <w:rFonts w:ascii="Arial"/>
          <w:sz w:val="30"/>
        </w:rPr>
      </w:pPr>
    </w:p>
    <w:p>
      <w:pPr>
        <w:spacing w:line="285" w:lineRule="auto" w:before="0"/>
        <w:ind w:left="1300" w:right="1442" w:firstLine="0"/>
        <w:jc w:val="left"/>
        <w:rPr>
          <w:rFonts w:ascii="Arial"/>
          <w:sz w:val="22"/>
        </w:rPr>
      </w:pPr>
      <w:r>
        <w:rPr>
          <w:rFonts w:ascii="Arial"/>
          <w:sz w:val="22"/>
        </w:rPr>
        <w:t>Summary judgment is inappropriate, however, where the evidence before the court reveals a genuine factual disagreement requiring submission to a jury. An issue is "genuine" only if the evidence is such that a reasonable jury could find for the non-moving party. Anderson v. Liberty Lobby, Inc., 477 U.S. 242, 106 S. Ct. 2505, 2510, 91 L. Ed. 2d 202 (1986). At the summary</w:t>
      </w:r>
    </w:p>
    <w:p>
      <w:pPr>
        <w:spacing w:line="285" w:lineRule="auto" w:before="0"/>
        <w:ind w:left="1300" w:right="1442" w:firstLine="0"/>
        <w:jc w:val="left"/>
        <w:rPr>
          <w:rFonts w:ascii="Arial"/>
          <w:sz w:val="22"/>
        </w:rPr>
      </w:pPr>
      <w:r>
        <w:rPr>
          <w:rFonts w:ascii="Arial"/>
          <w:sz w:val="22"/>
        </w:rPr>
        <w:t>judgment stage, "the judge's function is not himself to weigh the evidence and determine the truth of the matter but to determine whether there is a genuine issue for trial." Id. 106 S. Ct. at 2511. However, if the evidence is merely "colorable" or is "not significantly probative," summary judgment may be granted. Id.</w:t>
      </w:r>
    </w:p>
    <w:p>
      <w:pPr>
        <w:pStyle w:val="BodyText"/>
        <w:spacing w:before="4"/>
        <w:rPr>
          <w:rFonts w:ascii="Arial"/>
          <w:sz w:val="25"/>
        </w:rPr>
      </w:pPr>
    </w:p>
    <w:p>
      <w:pPr>
        <w:spacing w:line="285" w:lineRule="auto" w:before="0"/>
        <w:ind w:left="1300" w:right="1442" w:firstLine="0"/>
        <w:jc w:val="left"/>
        <w:rPr>
          <w:rFonts w:ascii="Arial"/>
          <w:sz w:val="22"/>
        </w:rPr>
      </w:pPr>
      <w:r>
        <w:rPr>
          <w:rFonts w:ascii="Arial"/>
          <w:sz w:val="22"/>
        </w:rPr>
        <w:t>In a summary judgment action, the moving party bears the initial burden of identifying for the court those portions of the record which it believes demonstrate the absence of a material fact. Celotex Corp. v. Catrett, 477 U.S. 317, 106 S. Ct. 2548, 2553, 91 L. Ed. 2d 265 (1986).</w:t>
      </w:r>
    </w:p>
    <w:p>
      <w:pPr>
        <w:spacing w:line="250" w:lineRule="exact" w:before="0"/>
        <w:ind w:left="1300" w:right="0" w:firstLine="0"/>
        <w:jc w:val="left"/>
        <w:rPr>
          <w:rFonts w:ascii="Arial"/>
          <w:sz w:val="22"/>
        </w:rPr>
      </w:pPr>
      <w:r>
        <w:rPr>
          <w:rFonts w:ascii="Arial"/>
          <w:sz w:val="22"/>
        </w:rPr>
        <w:t>Following such a showing in a case where the non-moving party is the plaintiff and therefore</w:t>
      </w:r>
    </w:p>
    <w:p>
      <w:pPr>
        <w:spacing w:after="0" w:line="250" w:lineRule="exact"/>
        <w:jc w:val="left"/>
        <w:rPr>
          <w:rFonts w:ascii="Arial"/>
          <w:sz w:val="22"/>
        </w:rPr>
        <w:sectPr>
          <w:footerReference w:type="default" r:id="rId7"/>
          <w:pgSz w:w="12240" w:h="15840"/>
          <w:pgMar w:footer="0" w:header="0" w:top="1380" w:bottom="280" w:left="140" w:right="40"/>
        </w:sectPr>
      </w:pPr>
    </w:p>
    <w:p>
      <w:pPr>
        <w:spacing w:line="285" w:lineRule="auto" w:before="63"/>
        <w:ind w:left="1300" w:right="1442" w:firstLine="0"/>
        <w:jc w:val="left"/>
        <w:rPr>
          <w:rFonts w:ascii="Arial"/>
          <w:sz w:val="22"/>
        </w:rPr>
      </w:pPr>
      <w:bookmarkStart w:name="Law and Procedure 195" w:id="9"/>
      <w:bookmarkEnd w:id="9"/>
      <w:r>
        <w:rPr/>
      </w:r>
      <w:r>
        <w:rPr>
          <w:rFonts w:ascii="Arial"/>
          <w:sz w:val="22"/>
        </w:rPr>
        <w:t>bears the burden of proof, it must by affidavits or by the depositions and admissions on file "make a showing sufficient to establish the existence of [every] element essential to that party's case." Id. 106 S.Ct. at 2552-53; Anderson, 106 S. Ct. at 2514; Matsushita Elec. Indus. Co. v.</w:t>
      </w:r>
    </w:p>
    <w:p>
      <w:pPr>
        <w:spacing w:line="250" w:lineRule="exact" w:before="0"/>
        <w:ind w:left="1300" w:right="0" w:firstLine="0"/>
        <w:jc w:val="left"/>
        <w:rPr>
          <w:rFonts w:ascii="Arial"/>
          <w:sz w:val="22"/>
        </w:rPr>
      </w:pPr>
      <w:r>
        <w:rPr>
          <w:rFonts w:ascii="Arial"/>
          <w:sz w:val="22"/>
        </w:rPr>
        <w:t>Zenith Radio Corp., 475 U.S. 574, 106 S. Ct. 1348, 89 L. Ed. 2d 538 (1986); Fed.R.Civ.P. 56(e).</w:t>
      </w:r>
    </w:p>
    <w:p>
      <w:pPr>
        <w:spacing w:line="285" w:lineRule="auto" w:before="47"/>
        <w:ind w:left="1300" w:right="1400" w:firstLine="0"/>
        <w:jc w:val="left"/>
        <w:rPr>
          <w:rFonts w:ascii="Arial"/>
          <w:sz w:val="22"/>
        </w:rPr>
      </w:pPr>
      <w:r>
        <w:rPr>
          <w:rFonts w:ascii="Arial"/>
          <w:sz w:val="22"/>
        </w:rPr>
        <w:t>In making its ruling on a summary judgment motion, the court must view all inferences in a light most favorable to the non-moving party, United States v. Diebold, Inc., 369 U.S. 654, 655, 82 S. Ct. 993, 994, 8 L. Ed. 2d 176 (1962); Continental Ins. Co. v. Bodie, 682 F.2d 436, 438 (3d Cir.1982), must resolve all doubts against the moving party, Gans v. Mundy, 762 F.2d 338, 341 (3d Cir.1985), cert. denied, 474 U.S. 1010, 106 S. Ct. 537, 88 L. Ed. 2d 467 (1985), and must take as true all allegations of the non-moving party that conflict with those of the movant, Anderson, 106 S. Ct. at 2513.</w:t>
      </w:r>
    </w:p>
    <w:p>
      <w:pPr>
        <w:pStyle w:val="BodyText"/>
        <w:spacing w:before="5"/>
        <w:rPr>
          <w:rFonts w:ascii="Arial"/>
          <w:sz w:val="25"/>
        </w:rPr>
      </w:pPr>
    </w:p>
    <w:p>
      <w:pPr>
        <w:spacing w:line="285" w:lineRule="auto" w:before="1"/>
        <w:ind w:left="1300" w:right="1388" w:firstLine="0"/>
        <w:jc w:val="left"/>
        <w:rPr>
          <w:rFonts w:ascii="Arial"/>
          <w:sz w:val="22"/>
        </w:rPr>
      </w:pPr>
      <w:r>
        <w:rPr>
          <w:rFonts w:ascii="Arial"/>
          <w:sz w:val="22"/>
        </w:rPr>
        <w:t>With these standards in mind, we now turn our attention to the motion before us. The central issue in the instant case is this: does the existence of the policy's appraisal clause preclude the plaintiff from bringing this court action? We do not find the parties to be in disagreement with the facts which we have set forth above. We, therefore, consider the disposition of the instant case to turn upon the application of the relevant law to these facts.</w:t>
      </w:r>
    </w:p>
    <w:p>
      <w:pPr>
        <w:pStyle w:val="BodyText"/>
        <w:spacing w:before="7"/>
        <w:rPr>
          <w:rFonts w:ascii="Arial"/>
          <w:sz w:val="25"/>
        </w:rPr>
      </w:pPr>
    </w:p>
    <w:p>
      <w:pPr>
        <w:spacing w:line="285" w:lineRule="auto" w:before="0"/>
        <w:ind w:left="1300" w:right="1433" w:firstLine="0"/>
        <w:jc w:val="left"/>
        <w:rPr>
          <w:rFonts w:ascii="Arial"/>
          <w:sz w:val="22"/>
        </w:rPr>
      </w:pPr>
      <w:r>
        <w:rPr>
          <w:rFonts w:ascii="Arial"/>
          <w:sz w:val="22"/>
        </w:rPr>
        <w:t>In order to invoke the appraisal provision of a policy, the insurer must admit liability and there must be a dispute only as to the amount of the loss. Ice City, Inc. v. Insurance Company of North America, 456 Pa. 210, 314 A.2d 236, 240 (1974). Also, "if appraisal is not requested, or the request is fruitless, or appraisal proceedings are inclusive or abandoned by the parties' joint consent or liability is denied, then the appraisal provision in the contract may not bar the insured from bringing an action for relief in the courts." Id. 314 A.2d at 239 (footnotes omitted) (emphasis</w:t>
      </w:r>
      <w:r>
        <w:rPr>
          <w:rFonts w:ascii="Arial"/>
          <w:spacing w:val="-6"/>
          <w:sz w:val="22"/>
        </w:rPr>
        <w:t> </w:t>
      </w:r>
      <w:r>
        <w:rPr>
          <w:rFonts w:ascii="Arial"/>
          <w:sz w:val="22"/>
        </w:rPr>
        <w:t>supplied).</w:t>
      </w:r>
      <w:r>
        <w:rPr>
          <w:rFonts w:ascii="Arial"/>
          <w:spacing w:val="-6"/>
          <w:sz w:val="22"/>
        </w:rPr>
        <w:t> </w:t>
      </w:r>
      <w:r>
        <w:rPr>
          <w:rFonts w:ascii="Arial"/>
          <w:sz w:val="22"/>
        </w:rPr>
        <w:t>In</w:t>
      </w:r>
      <w:r>
        <w:rPr>
          <w:rFonts w:ascii="Arial"/>
          <w:spacing w:val="-6"/>
          <w:sz w:val="22"/>
        </w:rPr>
        <w:t> </w:t>
      </w:r>
      <w:r>
        <w:rPr>
          <w:rFonts w:ascii="Arial"/>
          <w:sz w:val="22"/>
        </w:rPr>
        <w:t>none</w:t>
      </w:r>
      <w:r>
        <w:rPr>
          <w:rFonts w:ascii="Arial"/>
          <w:spacing w:val="-6"/>
          <w:sz w:val="22"/>
        </w:rPr>
        <w:t> </w:t>
      </w:r>
      <w:r>
        <w:rPr>
          <w:rFonts w:ascii="Arial"/>
          <w:sz w:val="22"/>
        </w:rPr>
        <w:t>of</w:t>
      </w:r>
      <w:r>
        <w:rPr>
          <w:rFonts w:ascii="Arial"/>
          <w:spacing w:val="-6"/>
          <w:sz w:val="22"/>
        </w:rPr>
        <w:t> </w:t>
      </w:r>
      <w:r>
        <w:rPr>
          <w:rFonts w:ascii="Arial"/>
          <w:sz w:val="22"/>
        </w:rPr>
        <w:t>its</w:t>
      </w:r>
      <w:r>
        <w:rPr>
          <w:rFonts w:ascii="Arial"/>
          <w:spacing w:val="-6"/>
          <w:sz w:val="22"/>
        </w:rPr>
        <w:t> </w:t>
      </w:r>
      <w:r>
        <w:rPr>
          <w:rFonts w:ascii="Arial"/>
          <w:sz w:val="22"/>
        </w:rPr>
        <w:t>communications</w:t>
      </w:r>
      <w:r>
        <w:rPr>
          <w:rFonts w:ascii="Arial"/>
          <w:spacing w:val="-6"/>
          <w:sz w:val="22"/>
        </w:rPr>
        <w:t> </w:t>
      </w:r>
      <w:r>
        <w:rPr>
          <w:rFonts w:ascii="Arial"/>
          <w:sz w:val="22"/>
        </w:rPr>
        <w:t>with</w:t>
      </w:r>
      <w:r>
        <w:rPr>
          <w:rFonts w:ascii="Arial"/>
          <w:spacing w:val="-6"/>
          <w:sz w:val="22"/>
        </w:rPr>
        <w:t> </w:t>
      </w:r>
      <w:r>
        <w:rPr>
          <w:rFonts w:ascii="Arial"/>
          <w:sz w:val="22"/>
        </w:rPr>
        <w:t>the</w:t>
      </w:r>
      <w:r>
        <w:rPr>
          <w:rFonts w:ascii="Arial"/>
          <w:spacing w:val="-5"/>
          <w:sz w:val="22"/>
        </w:rPr>
        <w:t> </w:t>
      </w:r>
      <w:r>
        <w:rPr>
          <w:rFonts w:ascii="Arial"/>
          <w:sz w:val="22"/>
        </w:rPr>
        <w:t>plaintiff</w:t>
      </w:r>
      <w:r>
        <w:rPr>
          <w:rFonts w:ascii="Arial"/>
          <w:spacing w:val="-6"/>
          <w:sz w:val="22"/>
        </w:rPr>
        <w:t> </w:t>
      </w:r>
      <w:r>
        <w:rPr>
          <w:rFonts w:ascii="Arial"/>
          <w:sz w:val="22"/>
        </w:rPr>
        <w:t>did</w:t>
      </w:r>
      <w:r>
        <w:rPr>
          <w:rFonts w:ascii="Arial"/>
          <w:spacing w:val="-6"/>
          <w:sz w:val="22"/>
        </w:rPr>
        <w:t> </w:t>
      </w:r>
      <w:r>
        <w:rPr>
          <w:rFonts w:ascii="Arial"/>
          <w:sz w:val="22"/>
        </w:rPr>
        <w:t>the</w:t>
      </w:r>
      <w:r>
        <w:rPr>
          <w:rFonts w:ascii="Arial"/>
          <w:spacing w:val="-6"/>
          <w:sz w:val="22"/>
        </w:rPr>
        <w:t> </w:t>
      </w:r>
      <w:r>
        <w:rPr>
          <w:rFonts w:ascii="Arial"/>
          <w:sz w:val="22"/>
        </w:rPr>
        <w:t>defendant</w:t>
      </w:r>
      <w:r>
        <w:rPr>
          <w:rFonts w:ascii="Arial"/>
          <w:spacing w:val="-6"/>
          <w:sz w:val="22"/>
        </w:rPr>
        <w:t> </w:t>
      </w:r>
      <w:r>
        <w:rPr>
          <w:rFonts w:ascii="Arial"/>
          <w:sz w:val="22"/>
        </w:rPr>
        <w:t>expressly deny liability for the claim and the defendant explicitly admitted liability in open court at the hearing on this motion held on October 27,</w:t>
      </w:r>
      <w:r>
        <w:rPr>
          <w:rFonts w:ascii="Arial"/>
          <w:spacing w:val="-11"/>
          <w:sz w:val="22"/>
        </w:rPr>
        <w:t> </w:t>
      </w:r>
      <w:r>
        <w:rPr>
          <w:rFonts w:ascii="Arial"/>
          <w:sz w:val="22"/>
        </w:rPr>
        <w:t>1989.</w:t>
      </w:r>
    </w:p>
    <w:p>
      <w:pPr>
        <w:pStyle w:val="BodyText"/>
        <w:spacing w:before="3"/>
        <w:rPr>
          <w:rFonts w:ascii="Arial"/>
          <w:sz w:val="25"/>
        </w:rPr>
      </w:pPr>
    </w:p>
    <w:p>
      <w:pPr>
        <w:spacing w:line="285" w:lineRule="auto" w:before="0"/>
        <w:ind w:left="1300" w:right="1465" w:firstLine="0"/>
        <w:jc w:val="left"/>
        <w:rPr>
          <w:rFonts w:ascii="Arial"/>
          <w:sz w:val="22"/>
        </w:rPr>
      </w:pPr>
      <w:r>
        <w:rPr>
          <w:rFonts w:ascii="Arial"/>
          <w:sz w:val="22"/>
        </w:rPr>
        <w:t>The plaintiff argues, however, that the defendant definitively denied liability when it answered her complaint. While it is true that the answer filed by the defendant in response to the plaintiff's complaint *1018 denied liability on fraud and other grounds, there is authority to suggest that such</w:t>
      </w:r>
      <w:r>
        <w:rPr>
          <w:rFonts w:ascii="Arial"/>
          <w:spacing w:val="-5"/>
          <w:sz w:val="22"/>
        </w:rPr>
        <w:t> </w:t>
      </w:r>
      <w:r>
        <w:rPr>
          <w:rFonts w:ascii="Arial"/>
          <w:sz w:val="22"/>
        </w:rPr>
        <w:t>response</w:t>
      </w:r>
      <w:r>
        <w:rPr>
          <w:rFonts w:ascii="Arial"/>
          <w:spacing w:val="-5"/>
          <w:sz w:val="22"/>
        </w:rPr>
        <w:t> </w:t>
      </w:r>
      <w:r>
        <w:rPr>
          <w:rFonts w:ascii="Arial"/>
          <w:sz w:val="22"/>
        </w:rPr>
        <w:t>does</w:t>
      </w:r>
      <w:r>
        <w:rPr>
          <w:rFonts w:ascii="Arial"/>
          <w:spacing w:val="-5"/>
          <w:sz w:val="22"/>
        </w:rPr>
        <w:t> </w:t>
      </w:r>
      <w:r>
        <w:rPr>
          <w:rFonts w:ascii="Arial"/>
          <w:sz w:val="22"/>
        </w:rPr>
        <w:t>not</w:t>
      </w:r>
      <w:r>
        <w:rPr>
          <w:rFonts w:ascii="Arial"/>
          <w:spacing w:val="-5"/>
          <w:sz w:val="22"/>
        </w:rPr>
        <w:t> </w:t>
      </w:r>
      <w:r>
        <w:rPr>
          <w:rFonts w:ascii="Arial"/>
          <w:sz w:val="22"/>
        </w:rPr>
        <w:t>constitute</w:t>
      </w:r>
      <w:r>
        <w:rPr>
          <w:rFonts w:ascii="Arial"/>
          <w:spacing w:val="-5"/>
          <w:sz w:val="22"/>
        </w:rPr>
        <w:t> </w:t>
      </w:r>
      <w:r>
        <w:rPr>
          <w:rFonts w:ascii="Arial"/>
          <w:sz w:val="22"/>
        </w:rPr>
        <w:t>a</w:t>
      </w:r>
      <w:r>
        <w:rPr>
          <w:rFonts w:ascii="Arial"/>
          <w:spacing w:val="-5"/>
          <w:sz w:val="22"/>
        </w:rPr>
        <w:t> </w:t>
      </w:r>
      <w:r>
        <w:rPr>
          <w:rFonts w:ascii="Arial"/>
          <w:sz w:val="22"/>
        </w:rPr>
        <w:t>denial.</w:t>
      </w:r>
      <w:r>
        <w:rPr>
          <w:rFonts w:ascii="Arial"/>
          <w:spacing w:val="-5"/>
          <w:sz w:val="22"/>
        </w:rPr>
        <w:t> </w:t>
      </w:r>
      <w:r>
        <w:rPr>
          <w:rFonts w:ascii="Arial"/>
          <w:sz w:val="22"/>
        </w:rPr>
        <w:t>Authorities</w:t>
      </w:r>
      <w:r>
        <w:rPr>
          <w:rFonts w:ascii="Arial"/>
          <w:spacing w:val="-5"/>
          <w:sz w:val="22"/>
        </w:rPr>
        <w:t> </w:t>
      </w:r>
      <w:r>
        <w:rPr>
          <w:rFonts w:ascii="Arial"/>
          <w:sz w:val="22"/>
        </w:rPr>
        <w:t>cited</w:t>
      </w:r>
      <w:r>
        <w:rPr>
          <w:rFonts w:ascii="Arial"/>
          <w:spacing w:val="-5"/>
          <w:sz w:val="22"/>
        </w:rPr>
        <w:t> </w:t>
      </w:r>
      <w:r>
        <w:rPr>
          <w:rFonts w:ascii="Arial"/>
          <w:sz w:val="22"/>
        </w:rPr>
        <w:t>in</w:t>
      </w:r>
      <w:r>
        <w:rPr>
          <w:rFonts w:ascii="Arial"/>
          <w:spacing w:val="-5"/>
          <w:sz w:val="22"/>
        </w:rPr>
        <w:t> </w:t>
      </w:r>
      <w:r>
        <w:rPr>
          <w:rFonts w:ascii="Arial"/>
          <w:sz w:val="22"/>
        </w:rPr>
        <w:t>3</w:t>
      </w:r>
      <w:r>
        <w:rPr>
          <w:rFonts w:ascii="Arial"/>
          <w:spacing w:val="-5"/>
          <w:sz w:val="22"/>
        </w:rPr>
        <w:t> </w:t>
      </w:r>
      <w:r>
        <w:rPr>
          <w:rFonts w:ascii="Arial"/>
          <w:sz w:val="22"/>
        </w:rPr>
        <w:t>A.L.R.3d</w:t>
      </w:r>
      <w:r>
        <w:rPr>
          <w:rFonts w:ascii="Arial"/>
          <w:spacing w:val="-5"/>
          <w:sz w:val="22"/>
        </w:rPr>
        <w:t> </w:t>
      </w:r>
      <w:r>
        <w:rPr>
          <w:rFonts w:ascii="Arial"/>
          <w:sz w:val="22"/>
        </w:rPr>
        <w:t>383,</w:t>
      </w:r>
      <w:r>
        <w:rPr>
          <w:rFonts w:ascii="Arial"/>
          <w:spacing w:val="-5"/>
          <w:sz w:val="22"/>
        </w:rPr>
        <w:t> </w:t>
      </w:r>
      <w:r>
        <w:rPr>
          <w:rFonts w:ascii="Arial"/>
          <w:sz w:val="22"/>
        </w:rPr>
        <w:t>416</w:t>
      </w:r>
      <w:r>
        <w:rPr>
          <w:rFonts w:ascii="Arial"/>
          <w:spacing w:val="-5"/>
          <w:sz w:val="22"/>
        </w:rPr>
        <w:t> </w:t>
      </w:r>
      <w:r>
        <w:rPr>
          <w:rFonts w:ascii="Arial"/>
          <w:sz w:val="22"/>
        </w:rPr>
        <w:t>(1949)</w:t>
      </w:r>
      <w:r>
        <w:rPr>
          <w:rFonts w:ascii="Arial"/>
          <w:spacing w:val="-5"/>
          <w:sz w:val="22"/>
        </w:rPr>
        <w:t> </w:t>
      </w:r>
      <w:r>
        <w:rPr>
          <w:rFonts w:ascii="Arial"/>
          <w:sz w:val="22"/>
        </w:rPr>
        <w:t>hold that an insurer's denial of liability, which is raised for the first time in an answer to a complaint, does not amount to a waiver of the condition precedent. In Kahnweiler v. Phoenix Insurance Co.,</w:t>
      </w:r>
      <w:r>
        <w:rPr>
          <w:rFonts w:ascii="Arial"/>
          <w:spacing w:val="-5"/>
          <w:sz w:val="22"/>
        </w:rPr>
        <w:t> </w:t>
      </w:r>
      <w:r>
        <w:rPr>
          <w:rFonts w:ascii="Arial"/>
          <w:sz w:val="22"/>
        </w:rPr>
        <w:t>57</w:t>
      </w:r>
      <w:r>
        <w:rPr>
          <w:rFonts w:ascii="Arial"/>
          <w:spacing w:val="-4"/>
          <w:sz w:val="22"/>
        </w:rPr>
        <w:t> </w:t>
      </w:r>
      <w:r>
        <w:rPr>
          <w:rFonts w:ascii="Arial"/>
          <w:sz w:val="22"/>
        </w:rPr>
        <w:t>F.</w:t>
      </w:r>
      <w:r>
        <w:rPr>
          <w:rFonts w:ascii="Arial"/>
          <w:spacing w:val="-5"/>
          <w:sz w:val="22"/>
        </w:rPr>
        <w:t> </w:t>
      </w:r>
      <w:r>
        <w:rPr>
          <w:rFonts w:ascii="Arial"/>
          <w:sz w:val="22"/>
        </w:rPr>
        <w:t>562</w:t>
      </w:r>
      <w:r>
        <w:rPr>
          <w:rFonts w:ascii="Arial"/>
          <w:spacing w:val="-4"/>
          <w:sz w:val="22"/>
        </w:rPr>
        <w:t> </w:t>
      </w:r>
      <w:r>
        <w:rPr>
          <w:rFonts w:ascii="Arial"/>
          <w:sz w:val="22"/>
        </w:rPr>
        <w:t>(D.Kan.1893),</w:t>
      </w:r>
      <w:r>
        <w:rPr>
          <w:rFonts w:ascii="Arial"/>
          <w:spacing w:val="-5"/>
          <w:sz w:val="22"/>
        </w:rPr>
        <w:t> </w:t>
      </w:r>
      <w:r>
        <w:rPr>
          <w:rFonts w:ascii="Arial"/>
          <w:sz w:val="22"/>
        </w:rPr>
        <w:t>rev'd</w:t>
      </w:r>
      <w:r>
        <w:rPr>
          <w:rFonts w:ascii="Arial"/>
          <w:spacing w:val="-5"/>
          <w:sz w:val="22"/>
        </w:rPr>
        <w:t> </w:t>
      </w:r>
      <w:r>
        <w:rPr>
          <w:rFonts w:ascii="Arial"/>
          <w:sz w:val="22"/>
        </w:rPr>
        <w:t>on</w:t>
      </w:r>
      <w:r>
        <w:rPr>
          <w:rFonts w:ascii="Arial"/>
          <w:spacing w:val="-4"/>
          <w:sz w:val="22"/>
        </w:rPr>
        <w:t> </w:t>
      </w:r>
      <w:r>
        <w:rPr>
          <w:rFonts w:ascii="Arial"/>
          <w:sz w:val="22"/>
        </w:rPr>
        <w:t>other</w:t>
      </w:r>
      <w:r>
        <w:rPr>
          <w:rFonts w:ascii="Arial"/>
          <w:spacing w:val="-5"/>
          <w:sz w:val="22"/>
        </w:rPr>
        <w:t> </w:t>
      </w:r>
      <w:r>
        <w:rPr>
          <w:rFonts w:ascii="Arial"/>
          <w:sz w:val="22"/>
        </w:rPr>
        <w:t>grounds,</w:t>
      </w:r>
      <w:r>
        <w:rPr>
          <w:rFonts w:ascii="Arial"/>
          <w:spacing w:val="-4"/>
          <w:sz w:val="22"/>
        </w:rPr>
        <w:t> </w:t>
      </w:r>
      <w:r>
        <w:rPr>
          <w:rFonts w:ascii="Arial"/>
          <w:sz w:val="22"/>
        </w:rPr>
        <w:t>67</w:t>
      </w:r>
      <w:r>
        <w:rPr>
          <w:rFonts w:ascii="Arial"/>
          <w:spacing w:val="-5"/>
          <w:sz w:val="22"/>
        </w:rPr>
        <w:t> </w:t>
      </w:r>
      <w:r>
        <w:rPr>
          <w:rFonts w:ascii="Arial"/>
          <w:sz w:val="22"/>
        </w:rPr>
        <w:t>F.</w:t>
      </w:r>
      <w:r>
        <w:rPr>
          <w:rFonts w:ascii="Arial"/>
          <w:spacing w:val="-4"/>
          <w:sz w:val="22"/>
        </w:rPr>
        <w:t> </w:t>
      </w:r>
      <w:r>
        <w:rPr>
          <w:rFonts w:ascii="Arial"/>
          <w:sz w:val="22"/>
        </w:rPr>
        <w:t>483</w:t>
      </w:r>
      <w:r>
        <w:rPr>
          <w:rFonts w:ascii="Arial"/>
          <w:spacing w:val="-5"/>
          <w:sz w:val="22"/>
        </w:rPr>
        <w:t> </w:t>
      </w:r>
      <w:r>
        <w:rPr>
          <w:rFonts w:ascii="Arial"/>
          <w:sz w:val="22"/>
        </w:rPr>
        <w:t>(8th</w:t>
      </w:r>
      <w:r>
        <w:rPr>
          <w:rFonts w:ascii="Arial"/>
          <w:spacing w:val="-4"/>
          <w:sz w:val="22"/>
        </w:rPr>
        <w:t> </w:t>
      </w:r>
      <w:r>
        <w:rPr>
          <w:rFonts w:ascii="Arial"/>
          <w:sz w:val="22"/>
        </w:rPr>
        <w:t>Cir.1895),</w:t>
      </w:r>
      <w:r>
        <w:rPr>
          <w:rFonts w:ascii="Arial"/>
          <w:spacing w:val="-5"/>
          <w:sz w:val="22"/>
        </w:rPr>
        <w:t> </w:t>
      </w:r>
      <w:r>
        <w:rPr>
          <w:rFonts w:ascii="Arial"/>
          <w:sz w:val="22"/>
        </w:rPr>
        <w:t>the</w:t>
      </w:r>
      <w:r>
        <w:rPr>
          <w:rFonts w:ascii="Arial"/>
          <w:spacing w:val="-4"/>
          <w:sz w:val="22"/>
        </w:rPr>
        <w:t> </w:t>
      </w:r>
      <w:r>
        <w:rPr>
          <w:rFonts w:ascii="Arial"/>
          <w:sz w:val="22"/>
        </w:rPr>
        <w:t>court</w:t>
      </w:r>
      <w:r>
        <w:rPr>
          <w:rFonts w:ascii="Arial"/>
          <w:spacing w:val="-5"/>
          <w:sz w:val="22"/>
        </w:rPr>
        <w:t> </w:t>
      </w:r>
      <w:r>
        <w:rPr>
          <w:rFonts w:ascii="Arial"/>
          <w:sz w:val="22"/>
        </w:rPr>
        <w:t>stated:</w:t>
      </w:r>
    </w:p>
    <w:p>
      <w:pPr>
        <w:pStyle w:val="BodyText"/>
        <w:rPr>
          <w:rFonts w:ascii="Arial"/>
          <w:sz w:val="24"/>
        </w:rPr>
      </w:pPr>
    </w:p>
    <w:p>
      <w:pPr>
        <w:pStyle w:val="BodyText"/>
        <w:spacing w:before="6"/>
        <w:rPr>
          <w:rFonts w:ascii="Arial"/>
          <w:sz w:val="27"/>
        </w:rPr>
      </w:pPr>
    </w:p>
    <w:p>
      <w:pPr>
        <w:pStyle w:val="ListParagraph"/>
        <w:numPr>
          <w:ilvl w:val="0"/>
          <w:numId w:val="4"/>
        </w:numPr>
        <w:tabs>
          <w:tab w:pos="1558" w:val="left" w:leader="none"/>
        </w:tabs>
        <w:spacing w:line="285" w:lineRule="auto" w:before="0" w:after="0"/>
        <w:ind w:left="1300" w:right="1408" w:firstLine="0"/>
        <w:jc w:val="left"/>
        <w:rPr>
          <w:rFonts w:ascii="Arial"/>
          <w:sz w:val="22"/>
        </w:rPr>
      </w:pPr>
      <w:r>
        <w:rPr>
          <w:rFonts w:ascii="Arial"/>
          <w:sz w:val="22"/>
        </w:rPr>
        <w:t>he plaintiffs insist that the provision in the policy for arbitration has been waived by the company,</w:t>
      </w:r>
      <w:r>
        <w:rPr>
          <w:rFonts w:ascii="Arial"/>
          <w:spacing w:val="-5"/>
          <w:sz w:val="22"/>
        </w:rPr>
        <w:t> </w:t>
      </w:r>
      <w:r>
        <w:rPr>
          <w:rFonts w:ascii="Arial"/>
          <w:sz w:val="22"/>
        </w:rPr>
        <w:t>and</w:t>
      </w:r>
      <w:r>
        <w:rPr>
          <w:rFonts w:ascii="Arial"/>
          <w:spacing w:val="-5"/>
          <w:sz w:val="22"/>
        </w:rPr>
        <w:t> </w:t>
      </w:r>
      <w:r>
        <w:rPr>
          <w:rFonts w:ascii="Arial"/>
          <w:sz w:val="22"/>
        </w:rPr>
        <w:t>is</w:t>
      </w:r>
      <w:r>
        <w:rPr>
          <w:rFonts w:ascii="Arial"/>
          <w:spacing w:val="-5"/>
          <w:sz w:val="22"/>
        </w:rPr>
        <w:t> </w:t>
      </w:r>
      <w:r>
        <w:rPr>
          <w:rFonts w:ascii="Arial"/>
          <w:sz w:val="22"/>
        </w:rPr>
        <w:t>inoperative;</w:t>
      </w:r>
      <w:r>
        <w:rPr>
          <w:rFonts w:ascii="Arial"/>
          <w:spacing w:val="-5"/>
          <w:sz w:val="22"/>
        </w:rPr>
        <w:t> </w:t>
      </w:r>
      <w:r>
        <w:rPr>
          <w:rFonts w:ascii="Arial"/>
          <w:sz w:val="22"/>
        </w:rPr>
        <w:t>that</w:t>
      </w:r>
      <w:r>
        <w:rPr>
          <w:rFonts w:ascii="Arial"/>
          <w:spacing w:val="-5"/>
          <w:sz w:val="22"/>
        </w:rPr>
        <w:t> </w:t>
      </w:r>
      <w:r>
        <w:rPr>
          <w:rFonts w:ascii="Arial"/>
          <w:sz w:val="22"/>
        </w:rPr>
        <w:t>the</w:t>
      </w:r>
      <w:r>
        <w:rPr>
          <w:rFonts w:ascii="Arial"/>
          <w:spacing w:val="-5"/>
          <w:sz w:val="22"/>
        </w:rPr>
        <w:t> </w:t>
      </w:r>
      <w:r>
        <w:rPr>
          <w:rFonts w:ascii="Arial"/>
          <w:sz w:val="22"/>
        </w:rPr>
        <w:t>company</w:t>
      </w:r>
      <w:r>
        <w:rPr>
          <w:rFonts w:ascii="Arial"/>
          <w:spacing w:val="-5"/>
          <w:sz w:val="22"/>
        </w:rPr>
        <w:t> </w:t>
      </w:r>
      <w:r>
        <w:rPr>
          <w:rFonts w:ascii="Arial"/>
          <w:sz w:val="22"/>
        </w:rPr>
        <w:t>could</w:t>
      </w:r>
      <w:r>
        <w:rPr>
          <w:rFonts w:ascii="Arial"/>
          <w:spacing w:val="-5"/>
          <w:sz w:val="22"/>
        </w:rPr>
        <w:t> </w:t>
      </w:r>
      <w:r>
        <w:rPr>
          <w:rFonts w:ascii="Arial"/>
          <w:sz w:val="22"/>
        </w:rPr>
        <w:t>not</w:t>
      </w:r>
      <w:r>
        <w:rPr>
          <w:rFonts w:ascii="Arial"/>
          <w:spacing w:val="-5"/>
          <w:sz w:val="22"/>
        </w:rPr>
        <w:t> </w:t>
      </w:r>
      <w:r>
        <w:rPr>
          <w:rFonts w:ascii="Arial"/>
          <w:sz w:val="22"/>
        </w:rPr>
        <w:t>invoke</w:t>
      </w:r>
      <w:r>
        <w:rPr>
          <w:rFonts w:ascii="Arial"/>
          <w:spacing w:val="-5"/>
          <w:sz w:val="22"/>
        </w:rPr>
        <w:t> </w:t>
      </w:r>
      <w:r>
        <w:rPr>
          <w:rFonts w:ascii="Arial"/>
          <w:sz w:val="22"/>
        </w:rPr>
        <w:t>that</w:t>
      </w:r>
      <w:r>
        <w:rPr>
          <w:rFonts w:ascii="Arial"/>
          <w:spacing w:val="-5"/>
          <w:sz w:val="22"/>
        </w:rPr>
        <w:t> </w:t>
      </w:r>
      <w:r>
        <w:rPr>
          <w:rFonts w:ascii="Arial"/>
          <w:sz w:val="22"/>
        </w:rPr>
        <w:t>provision</w:t>
      </w:r>
      <w:r>
        <w:rPr>
          <w:rFonts w:ascii="Arial"/>
          <w:spacing w:val="-5"/>
          <w:sz w:val="22"/>
        </w:rPr>
        <w:t> </w:t>
      </w:r>
      <w:r>
        <w:rPr>
          <w:rFonts w:ascii="Arial"/>
          <w:sz w:val="22"/>
        </w:rPr>
        <w:t>to</w:t>
      </w:r>
      <w:r>
        <w:rPr>
          <w:rFonts w:ascii="Arial"/>
          <w:spacing w:val="-5"/>
          <w:sz w:val="22"/>
        </w:rPr>
        <w:t> </w:t>
      </w:r>
      <w:r>
        <w:rPr>
          <w:rFonts w:ascii="Arial"/>
          <w:sz w:val="22"/>
        </w:rPr>
        <w:t>abate</w:t>
      </w:r>
      <w:r>
        <w:rPr>
          <w:rFonts w:ascii="Arial"/>
          <w:spacing w:val="-5"/>
          <w:sz w:val="22"/>
        </w:rPr>
        <w:t> </w:t>
      </w:r>
      <w:r>
        <w:rPr>
          <w:rFonts w:ascii="Arial"/>
          <w:sz w:val="22"/>
        </w:rPr>
        <w:t>or</w:t>
      </w:r>
      <w:r>
        <w:rPr>
          <w:rFonts w:ascii="Arial"/>
          <w:spacing w:val="-5"/>
          <w:sz w:val="22"/>
        </w:rPr>
        <w:t> </w:t>
      </w:r>
      <w:r>
        <w:rPr>
          <w:rFonts w:ascii="Arial"/>
          <w:sz w:val="22"/>
        </w:rPr>
        <w:t>defeat the plaintiffs' suit, because it made no demand for arbitration, and because it denies its liability in toto. This denial of liability in toto appears for the first time in the answer of the defendant in this suit. Up to that time the company had offered to pay its proportion of what it claimed was the</w:t>
      </w:r>
      <w:r>
        <w:rPr>
          <w:rFonts w:ascii="Arial"/>
          <w:spacing w:val="-5"/>
          <w:sz w:val="22"/>
        </w:rPr>
        <w:t> </w:t>
      </w:r>
      <w:r>
        <w:rPr>
          <w:rFonts w:ascii="Arial"/>
          <w:sz w:val="22"/>
        </w:rPr>
        <w:t>actual</w:t>
      </w:r>
      <w:r>
        <w:rPr>
          <w:rFonts w:ascii="Arial"/>
          <w:spacing w:val="-5"/>
          <w:sz w:val="22"/>
        </w:rPr>
        <w:t> </w:t>
      </w:r>
      <w:r>
        <w:rPr>
          <w:rFonts w:ascii="Arial"/>
          <w:sz w:val="22"/>
        </w:rPr>
        <w:t>loss</w:t>
      </w:r>
      <w:r>
        <w:rPr>
          <w:rFonts w:ascii="Arial"/>
          <w:spacing w:val="-4"/>
          <w:sz w:val="22"/>
        </w:rPr>
        <w:t> </w:t>
      </w:r>
      <w:r>
        <w:rPr>
          <w:rFonts w:ascii="Arial"/>
          <w:sz w:val="22"/>
        </w:rPr>
        <w:t>of</w:t>
      </w:r>
      <w:r>
        <w:rPr>
          <w:rFonts w:ascii="Arial"/>
          <w:spacing w:val="-5"/>
          <w:sz w:val="22"/>
        </w:rPr>
        <w:t> </w:t>
      </w:r>
      <w:r>
        <w:rPr>
          <w:rFonts w:ascii="Arial"/>
          <w:sz w:val="22"/>
        </w:rPr>
        <w:t>the</w:t>
      </w:r>
      <w:r>
        <w:rPr>
          <w:rFonts w:ascii="Arial"/>
          <w:spacing w:val="-4"/>
          <w:sz w:val="22"/>
        </w:rPr>
        <w:t> </w:t>
      </w:r>
      <w:r>
        <w:rPr>
          <w:rFonts w:ascii="Arial"/>
          <w:sz w:val="22"/>
        </w:rPr>
        <w:t>insured,</w:t>
      </w:r>
      <w:r>
        <w:rPr>
          <w:rFonts w:ascii="Arial"/>
          <w:spacing w:val="-5"/>
          <w:sz w:val="22"/>
        </w:rPr>
        <w:t> </w:t>
      </w:r>
      <w:r>
        <w:rPr>
          <w:rFonts w:ascii="Arial"/>
          <w:sz w:val="22"/>
        </w:rPr>
        <w:t>but</w:t>
      </w:r>
      <w:r>
        <w:rPr>
          <w:rFonts w:ascii="Arial"/>
          <w:spacing w:val="-4"/>
          <w:sz w:val="22"/>
        </w:rPr>
        <w:t> </w:t>
      </w:r>
      <w:r>
        <w:rPr>
          <w:rFonts w:ascii="Arial"/>
          <w:sz w:val="22"/>
        </w:rPr>
        <w:t>there</w:t>
      </w:r>
      <w:r>
        <w:rPr>
          <w:rFonts w:ascii="Arial"/>
          <w:spacing w:val="-5"/>
          <w:sz w:val="22"/>
        </w:rPr>
        <w:t> </w:t>
      </w:r>
      <w:r>
        <w:rPr>
          <w:rFonts w:ascii="Arial"/>
          <w:sz w:val="22"/>
        </w:rPr>
        <w:t>was</w:t>
      </w:r>
      <w:r>
        <w:rPr>
          <w:rFonts w:ascii="Arial"/>
          <w:spacing w:val="-4"/>
          <w:sz w:val="22"/>
        </w:rPr>
        <w:t> </w:t>
      </w:r>
      <w:r>
        <w:rPr>
          <w:rFonts w:ascii="Arial"/>
          <w:sz w:val="22"/>
        </w:rPr>
        <w:t>an</w:t>
      </w:r>
      <w:r>
        <w:rPr>
          <w:rFonts w:ascii="Arial"/>
          <w:spacing w:val="-5"/>
          <w:sz w:val="22"/>
        </w:rPr>
        <w:t> </w:t>
      </w:r>
      <w:r>
        <w:rPr>
          <w:rFonts w:ascii="Arial"/>
          <w:sz w:val="22"/>
        </w:rPr>
        <w:t>irreconcilable</w:t>
      </w:r>
      <w:r>
        <w:rPr>
          <w:rFonts w:ascii="Arial"/>
          <w:spacing w:val="-4"/>
          <w:sz w:val="22"/>
        </w:rPr>
        <w:t> </w:t>
      </w:r>
      <w:r>
        <w:rPr>
          <w:rFonts w:ascii="Arial"/>
          <w:sz w:val="22"/>
        </w:rPr>
        <w:t>difference</w:t>
      </w:r>
      <w:r>
        <w:rPr>
          <w:rFonts w:ascii="Arial"/>
          <w:spacing w:val="-5"/>
          <w:sz w:val="22"/>
        </w:rPr>
        <w:t> </w:t>
      </w:r>
      <w:r>
        <w:rPr>
          <w:rFonts w:ascii="Arial"/>
          <w:sz w:val="22"/>
        </w:rPr>
        <w:t>between</w:t>
      </w:r>
      <w:r>
        <w:rPr>
          <w:rFonts w:ascii="Arial"/>
          <w:spacing w:val="-4"/>
          <w:sz w:val="22"/>
        </w:rPr>
        <w:t> </w:t>
      </w:r>
      <w:r>
        <w:rPr>
          <w:rFonts w:ascii="Arial"/>
          <w:sz w:val="22"/>
        </w:rPr>
        <w:t>the</w:t>
      </w:r>
      <w:r>
        <w:rPr>
          <w:rFonts w:ascii="Arial"/>
          <w:spacing w:val="-5"/>
          <w:sz w:val="22"/>
        </w:rPr>
        <w:t> </w:t>
      </w:r>
      <w:r>
        <w:rPr>
          <w:rFonts w:ascii="Arial"/>
          <w:sz w:val="22"/>
        </w:rPr>
        <w:t>parties</w:t>
      </w:r>
      <w:r>
        <w:rPr>
          <w:rFonts w:ascii="Arial"/>
          <w:spacing w:val="-4"/>
          <w:sz w:val="22"/>
        </w:rPr>
        <w:t> </w:t>
      </w:r>
      <w:r>
        <w:rPr>
          <w:rFonts w:ascii="Arial"/>
          <w:sz w:val="22"/>
        </w:rPr>
        <w:t>as</w:t>
      </w:r>
    </w:p>
    <w:p>
      <w:pPr>
        <w:spacing w:after="0" w:line="285" w:lineRule="auto"/>
        <w:jc w:val="left"/>
        <w:rPr>
          <w:rFonts w:ascii="Arial"/>
          <w:sz w:val="22"/>
        </w:rPr>
        <w:sectPr>
          <w:footerReference w:type="default" r:id="rId8"/>
          <w:pgSz w:w="12240" w:h="15840"/>
          <w:pgMar w:footer="0" w:header="0" w:top="1380" w:bottom="280" w:left="140" w:right="40"/>
        </w:sectPr>
      </w:pPr>
    </w:p>
    <w:p>
      <w:pPr>
        <w:spacing w:line="285" w:lineRule="auto" w:before="63"/>
        <w:ind w:left="1300" w:right="1464" w:firstLine="0"/>
        <w:jc w:val="left"/>
        <w:rPr>
          <w:rFonts w:ascii="Arial"/>
          <w:sz w:val="22"/>
        </w:rPr>
      </w:pPr>
      <w:bookmarkStart w:name="Law and Procedure 196" w:id="10"/>
      <w:bookmarkEnd w:id="10"/>
      <w:r>
        <w:rPr/>
      </w:r>
      <w:r>
        <w:rPr>
          <w:rFonts w:ascii="Arial"/>
          <w:sz w:val="22"/>
        </w:rPr>
        <w:t>to the amount of that loss, thus bringing the case within the provisions of the arbitration clause of the policy. Inasmuch as the arbitration should precede any suit, at no time during the period for arbitration did the company deny its liability for the loss. That the company has set up in one count of its answer a denial of any liability does not affect the case. It might waive any objection to the cause of the fire, and offer to settle, to avoid litigation; but this would not effect [sic] its right, when sued, to set up in its answer any legal defense it had to the action....</w:t>
      </w:r>
    </w:p>
    <w:p>
      <w:pPr>
        <w:spacing w:line="285" w:lineRule="auto" w:before="0"/>
        <w:ind w:left="1300" w:right="1474" w:firstLine="0"/>
        <w:jc w:val="left"/>
        <w:rPr>
          <w:rFonts w:ascii="Arial"/>
          <w:sz w:val="22"/>
        </w:rPr>
      </w:pPr>
      <w:r>
        <w:rPr>
          <w:rFonts w:ascii="Arial"/>
          <w:sz w:val="22"/>
        </w:rPr>
        <w:t>In Carp v. Queen Insurance Co., 104 Mo.App. 502, 79 S.W. 757 (1904), the court also considered whether the denial of liability in an answer to the complaint constituted such denial of liability as would preclude resort to appraisement. The Carp court concluded that it did not, stating:</w:t>
      </w:r>
    </w:p>
    <w:p>
      <w:pPr>
        <w:pStyle w:val="BodyText"/>
        <w:spacing w:before="2"/>
        <w:rPr>
          <w:rFonts w:ascii="Arial"/>
          <w:sz w:val="25"/>
        </w:rPr>
      </w:pPr>
    </w:p>
    <w:p>
      <w:pPr>
        <w:spacing w:line="285" w:lineRule="auto" w:before="0"/>
        <w:ind w:left="1300" w:right="1442" w:firstLine="0"/>
        <w:jc w:val="left"/>
        <w:rPr>
          <w:rFonts w:ascii="Arial"/>
          <w:sz w:val="22"/>
        </w:rPr>
      </w:pPr>
      <w:r>
        <w:rPr>
          <w:rFonts w:ascii="Arial"/>
          <w:sz w:val="22"/>
        </w:rPr>
        <w:t>"The denial of liability which dispenses with the necessity of an appraisal must occur, except under special circumstances, before answering in a suit on the policy; for a suit will not lie without previous appraisal, when the company has not denied liability or otherwise waived the condition." Id. 79 S.W. at 760.</w:t>
      </w:r>
    </w:p>
    <w:p>
      <w:pPr>
        <w:pStyle w:val="BodyText"/>
        <w:spacing w:before="9"/>
        <w:rPr>
          <w:rFonts w:ascii="Arial"/>
          <w:sz w:val="25"/>
        </w:rPr>
      </w:pPr>
    </w:p>
    <w:p>
      <w:pPr>
        <w:spacing w:line="285" w:lineRule="auto" w:before="0"/>
        <w:ind w:left="1300" w:right="1442" w:firstLine="0"/>
        <w:jc w:val="left"/>
        <w:rPr>
          <w:rFonts w:ascii="Arial"/>
          <w:sz w:val="22"/>
        </w:rPr>
      </w:pPr>
      <w:r>
        <w:rPr>
          <w:rFonts w:ascii="Arial"/>
          <w:sz w:val="22"/>
        </w:rPr>
        <w:t>In the instant case, the defendant did not deny liability before filing its answer to the plaintiff's complaint.</w:t>
      </w:r>
    </w:p>
    <w:p>
      <w:pPr>
        <w:pStyle w:val="BodyText"/>
        <w:spacing w:before="10"/>
        <w:rPr>
          <w:rFonts w:ascii="Arial"/>
          <w:sz w:val="25"/>
        </w:rPr>
      </w:pPr>
    </w:p>
    <w:p>
      <w:pPr>
        <w:spacing w:line="285" w:lineRule="auto" w:before="0"/>
        <w:ind w:left="1300" w:right="1442" w:firstLine="0"/>
        <w:jc w:val="left"/>
        <w:rPr>
          <w:rFonts w:ascii="Arial"/>
          <w:sz w:val="22"/>
        </w:rPr>
      </w:pPr>
      <w:r>
        <w:rPr>
          <w:rFonts w:ascii="Arial"/>
          <w:sz w:val="22"/>
        </w:rPr>
        <w:t>The plaintiff raises, but does not brief, an argument that, under Pennsylvania law, as expressed in Judge v. Celina Mutual Insurance Company, 303 Pa.Super. 221, 449 A.2d 658, 661 (1982),</w:t>
      </w:r>
    </w:p>
    <w:p>
      <w:pPr>
        <w:pStyle w:val="BodyText"/>
        <w:spacing w:before="10"/>
        <w:rPr>
          <w:rFonts w:ascii="Arial"/>
          <w:sz w:val="25"/>
        </w:rPr>
      </w:pPr>
    </w:p>
    <w:p>
      <w:pPr>
        <w:spacing w:before="1"/>
        <w:ind w:left="1300" w:right="0" w:firstLine="0"/>
        <w:jc w:val="left"/>
        <w:rPr>
          <w:rFonts w:ascii="Arial"/>
          <w:sz w:val="22"/>
        </w:rPr>
      </w:pPr>
      <w:r>
        <w:rPr>
          <w:rFonts w:ascii="Arial"/>
          <w:sz w:val="22"/>
        </w:rPr>
        <w:t>"an affirmative defense not properly pleaded is waived."</w:t>
      </w:r>
    </w:p>
    <w:p>
      <w:pPr>
        <w:pStyle w:val="BodyText"/>
        <w:spacing w:before="2"/>
        <w:rPr>
          <w:rFonts w:ascii="Arial"/>
          <w:sz w:val="30"/>
        </w:rPr>
      </w:pPr>
    </w:p>
    <w:p>
      <w:pPr>
        <w:tabs>
          <w:tab w:pos="7006" w:val="left" w:leader="dot"/>
        </w:tabs>
        <w:spacing w:line="285" w:lineRule="auto" w:before="0"/>
        <w:ind w:left="1300" w:right="1442" w:firstLine="0"/>
        <w:jc w:val="left"/>
        <w:rPr>
          <w:rFonts w:ascii="Arial"/>
          <w:sz w:val="22"/>
        </w:rPr>
      </w:pPr>
      <w:r>
        <w:rPr>
          <w:rFonts w:ascii="Arial"/>
          <w:sz w:val="22"/>
        </w:rPr>
        <w:t>The plaintiff is here referring to the appraisal clause in the policy. The plaintiff has not explained why a Pennsylvania Rule of Civil Procedure (Pa.R.C.P. 1030) should be applicable to the instant case in Federal court. Under the Federal Rules of Civil Procedure, Rule 8(c) deals with "Affirmative Defenses". That rule reads, in pertinent part: "In pleading to a preceding pleading, a party shall set forth affirmatively ... arbitration</w:t>
      </w:r>
      <w:r>
        <w:rPr>
          <w:rFonts w:ascii="Arial"/>
          <w:spacing w:val="-38"/>
          <w:sz w:val="22"/>
        </w:rPr>
        <w:t> </w:t>
      </w:r>
      <w:r>
        <w:rPr>
          <w:rFonts w:ascii="Arial"/>
          <w:sz w:val="22"/>
        </w:rPr>
        <w:t>and</w:t>
      </w:r>
      <w:r>
        <w:rPr>
          <w:rFonts w:ascii="Arial"/>
          <w:spacing w:val="-5"/>
          <w:sz w:val="22"/>
        </w:rPr>
        <w:t> </w:t>
      </w:r>
      <w:r>
        <w:rPr>
          <w:rFonts w:ascii="Arial"/>
          <w:sz w:val="22"/>
        </w:rPr>
        <w:t>award</w:t>
        <w:tab/>
        <w:t>" It is true that the answer filed by</w:t>
      </w:r>
      <w:r>
        <w:rPr>
          <w:rFonts w:ascii="Arial"/>
          <w:spacing w:val="-30"/>
          <w:sz w:val="22"/>
        </w:rPr>
        <w:t> </w:t>
      </w:r>
      <w:r>
        <w:rPr>
          <w:rFonts w:ascii="Arial"/>
          <w:sz w:val="22"/>
        </w:rPr>
        <w:t>the</w:t>
      </w:r>
    </w:p>
    <w:p>
      <w:pPr>
        <w:spacing w:line="285" w:lineRule="auto" w:before="0"/>
        <w:ind w:left="1300" w:right="1400" w:firstLine="0"/>
        <w:jc w:val="left"/>
        <w:rPr>
          <w:rFonts w:ascii="Arial"/>
          <w:sz w:val="22"/>
        </w:rPr>
      </w:pPr>
      <w:r>
        <w:rPr>
          <w:rFonts w:ascii="Arial"/>
          <w:sz w:val="22"/>
        </w:rPr>
        <w:t>defendant does not raise the appraisal clause among its affirmative defenses. Kahnweiler, 67 F. 483 (8th Cir. 1895), was, in fact, reversed by the appellate court because of the failure to raise the existence of an arbitration clause in the answer to the complaint. Karno-Smith Co. v. School District of City of Scranton, 44 F. Supp. 860 (M.D.Pa.1942), addressed the propriety of the raising of the existence of an arbitration clause in a motion to dismiss. Said the court in</w:t>
      </w:r>
    </w:p>
    <w:p>
      <w:pPr>
        <w:spacing w:line="248" w:lineRule="exact" w:before="0"/>
        <w:ind w:left="1300" w:right="0" w:firstLine="0"/>
        <w:jc w:val="left"/>
        <w:rPr>
          <w:rFonts w:ascii="Arial"/>
          <w:sz w:val="22"/>
        </w:rPr>
      </w:pPr>
      <w:r>
        <w:rPr>
          <w:rFonts w:ascii="Arial"/>
          <w:sz w:val="22"/>
        </w:rPr>
        <w:t>Karno-Smith:</w:t>
      </w:r>
    </w:p>
    <w:p>
      <w:pPr>
        <w:pStyle w:val="BodyText"/>
        <w:rPr>
          <w:rFonts w:ascii="Arial"/>
          <w:sz w:val="24"/>
        </w:rPr>
      </w:pPr>
    </w:p>
    <w:p>
      <w:pPr>
        <w:pStyle w:val="BodyText"/>
        <w:spacing w:before="9"/>
        <w:rPr>
          <w:rFonts w:ascii="Arial"/>
          <w:sz w:val="31"/>
        </w:rPr>
      </w:pPr>
    </w:p>
    <w:p>
      <w:pPr>
        <w:tabs>
          <w:tab w:pos="2436" w:val="left" w:leader="dot"/>
        </w:tabs>
        <w:spacing w:before="0"/>
        <w:ind w:left="1300" w:right="0" w:firstLine="0"/>
        <w:jc w:val="left"/>
        <w:rPr>
          <w:rFonts w:ascii="Arial"/>
          <w:i/>
          <w:sz w:val="22"/>
        </w:rPr>
      </w:pPr>
      <w:r>
        <w:rPr>
          <w:rFonts w:ascii="Arial"/>
          <w:i/>
          <w:sz w:val="22"/>
        </w:rPr>
        <w:t>It</w:t>
      </w:r>
      <w:r>
        <w:rPr>
          <w:rFonts w:ascii="Arial"/>
          <w:i/>
          <w:spacing w:val="-3"/>
          <w:sz w:val="22"/>
        </w:rPr>
        <w:t> </w:t>
      </w:r>
      <w:r>
        <w:rPr>
          <w:rFonts w:ascii="Arial"/>
          <w:i/>
          <w:sz w:val="22"/>
        </w:rPr>
        <w:t>should</w:t>
        <w:tab/>
        <w:t>be</w:t>
      </w:r>
      <w:r>
        <w:rPr>
          <w:rFonts w:ascii="Arial"/>
          <w:i/>
          <w:spacing w:val="-5"/>
          <w:sz w:val="22"/>
        </w:rPr>
        <w:t> </w:t>
      </w:r>
      <w:r>
        <w:rPr>
          <w:rFonts w:ascii="Arial"/>
          <w:i/>
          <w:sz w:val="22"/>
        </w:rPr>
        <w:t>noted</w:t>
      </w:r>
      <w:r>
        <w:rPr>
          <w:rFonts w:ascii="Arial"/>
          <w:i/>
          <w:spacing w:val="-6"/>
          <w:sz w:val="22"/>
        </w:rPr>
        <w:t> </w:t>
      </w:r>
      <w:r>
        <w:rPr>
          <w:rFonts w:ascii="Arial"/>
          <w:i/>
          <w:sz w:val="22"/>
        </w:rPr>
        <w:t>that</w:t>
      </w:r>
      <w:r>
        <w:rPr>
          <w:rFonts w:ascii="Arial"/>
          <w:i/>
          <w:spacing w:val="-5"/>
          <w:sz w:val="22"/>
        </w:rPr>
        <w:t> </w:t>
      </w:r>
      <w:r>
        <w:rPr>
          <w:rFonts w:ascii="Arial"/>
          <w:i/>
          <w:sz w:val="22"/>
        </w:rPr>
        <w:t>rule</w:t>
      </w:r>
      <w:r>
        <w:rPr>
          <w:rFonts w:ascii="Arial"/>
          <w:i/>
          <w:spacing w:val="-5"/>
          <w:sz w:val="22"/>
        </w:rPr>
        <w:t> </w:t>
      </w:r>
      <w:r>
        <w:rPr>
          <w:rFonts w:ascii="Arial"/>
          <w:i/>
          <w:sz w:val="22"/>
        </w:rPr>
        <w:t>8(c)</w:t>
      </w:r>
      <w:r>
        <w:rPr>
          <w:rFonts w:ascii="Arial"/>
          <w:i/>
          <w:spacing w:val="-5"/>
          <w:sz w:val="22"/>
        </w:rPr>
        <w:t> </w:t>
      </w:r>
      <w:r>
        <w:rPr>
          <w:rFonts w:ascii="Arial"/>
          <w:i/>
          <w:sz w:val="22"/>
        </w:rPr>
        <w:t>of</w:t>
      </w:r>
      <w:r>
        <w:rPr>
          <w:rFonts w:ascii="Arial"/>
          <w:i/>
          <w:spacing w:val="-5"/>
          <w:sz w:val="22"/>
        </w:rPr>
        <w:t> </w:t>
      </w:r>
      <w:r>
        <w:rPr>
          <w:rFonts w:ascii="Arial"/>
          <w:i/>
          <w:sz w:val="22"/>
        </w:rPr>
        <w:t>the</w:t>
      </w:r>
      <w:r>
        <w:rPr>
          <w:rFonts w:ascii="Arial"/>
          <w:i/>
          <w:spacing w:val="-5"/>
          <w:sz w:val="22"/>
        </w:rPr>
        <w:t> </w:t>
      </w:r>
      <w:r>
        <w:rPr>
          <w:rFonts w:ascii="Arial"/>
          <w:i/>
          <w:sz w:val="22"/>
        </w:rPr>
        <w:t>Federal</w:t>
      </w:r>
      <w:r>
        <w:rPr>
          <w:rFonts w:ascii="Arial"/>
          <w:i/>
          <w:spacing w:val="-5"/>
          <w:sz w:val="22"/>
        </w:rPr>
        <w:t> </w:t>
      </w:r>
      <w:r>
        <w:rPr>
          <w:rFonts w:ascii="Arial"/>
          <w:i/>
          <w:sz w:val="22"/>
        </w:rPr>
        <w:t>Rules</w:t>
      </w:r>
      <w:r>
        <w:rPr>
          <w:rFonts w:ascii="Arial"/>
          <w:i/>
          <w:spacing w:val="-5"/>
          <w:sz w:val="22"/>
        </w:rPr>
        <w:t> </w:t>
      </w:r>
      <w:r>
        <w:rPr>
          <w:rFonts w:ascii="Arial"/>
          <w:i/>
          <w:sz w:val="22"/>
        </w:rPr>
        <w:t>of</w:t>
      </w:r>
      <w:r>
        <w:rPr>
          <w:rFonts w:ascii="Arial"/>
          <w:i/>
          <w:spacing w:val="-5"/>
          <w:sz w:val="22"/>
        </w:rPr>
        <w:t> </w:t>
      </w:r>
      <w:r>
        <w:rPr>
          <w:rFonts w:ascii="Arial"/>
          <w:i/>
          <w:sz w:val="22"/>
        </w:rPr>
        <w:t>Civil</w:t>
      </w:r>
      <w:r>
        <w:rPr>
          <w:rFonts w:ascii="Arial"/>
          <w:i/>
          <w:spacing w:val="-5"/>
          <w:sz w:val="22"/>
        </w:rPr>
        <w:t> </w:t>
      </w:r>
      <w:r>
        <w:rPr>
          <w:rFonts w:ascii="Arial"/>
          <w:i/>
          <w:sz w:val="22"/>
        </w:rPr>
        <w:t>Procedure,</w:t>
      </w:r>
      <w:r>
        <w:rPr>
          <w:rFonts w:ascii="Arial"/>
          <w:i/>
          <w:spacing w:val="-5"/>
          <w:sz w:val="22"/>
        </w:rPr>
        <w:t> </w:t>
      </w:r>
      <w:r>
        <w:rPr>
          <w:rFonts w:ascii="Arial"/>
          <w:i/>
          <w:sz w:val="22"/>
        </w:rPr>
        <w:t>28</w:t>
      </w:r>
      <w:r>
        <w:rPr>
          <w:rFonts w:ascii="Arial"/>
          <w:i/>
          <w:spacing w:val="-5"/>
          <w:sz w:val="22"/>
        </w:rPr>
        <w:t> </w:t>
      </w:r>
      <w:r>
        <w:rPr>
          <w:rFonts w:ascii="Arial"/>
          <w:i/>
          <w:sz w:val="22"/>
        </w:rPr>
        <w:t>U.S.C.A.</w:t>
      </w:r>
      <w:r>
        <w:rPr>
          <w:rFonts w:ascii="Arial"/>
          <w:i/>
          <w:spacing w:val="-5"/>
          <w:sz w:val="22"/>
        </w:rPr>
        <w:t> </w:t>
      </w:r>
      <w:r>
        <w:rPr>
          <w:rFonts w:ascii="Arial"/>
          <w:i/>
          <w:sz w:val="22"/>
        </w:rPr>
        <w:t>following</w:t>
      </w:r>
    </w:p>
    <w:p>
      <w:pPr>
        <w:tabs>
          <w:tab w:pos="8448" w:val="left" w:leader="dot"/>
        </w:tabs>
        <w:spacing w:line="285" w:lineRule="auto" w:before="47"/>
        <w:ind w:left="1300" w:right="1470" w:firstLine="0"/>
        <w:jc w:val="left"/>
        <w:rPr>
          <w:rFonts w:ascii="Arial"/>
          <w:i/>
          <w:sz w:val="22"/>
        </w:rPr>
      </w:pPr>
      <w:r>
        <w:rPr>
          <w:rFonts w:ascii="Arial"/>
          <w:i/>
          <w:sz w:val="22"/>
        </w:rPr>
        <w:t>section 734c, requires certain defenses to be set forth affirmatively. Among these defenses </w:t>
      </w:r>
      <w:r>
        <w:rPr>
          <w:rFonts w:ascii="Arial"/>
          <w:i/>
          <w:sz w:val="22"/>
        </w:rPr>
        <w:t>which</w:t>
      </w:r>
      <w:r>
        <w:rPr>
          <w:rFonts w:ascii="Arial"/>
          <w:i/>
          <w:spacing w:val="-6"/>
          <w:sz w:val="22"/>
        </w:rPr>
        <w:t> </w:t>
      </w:r>
      <w:r>
        <w:rPr>
          <w:rFonts w:ascii="Arial"/>
          <w:i/>
          <w:sz w:val="22"/>
        </w:rPr>
        <w:t>must</w:t>
      </w:r>
      <w:r>
        <w:rPr>
          <w:rFonts w:ascii="Arial"/>
          <w:i/>
          <w:spacing w:val="-5"/>
          <w:sz w:val="22"/>
        </w:rPr>
        <w:t> </w:t>
      </w:r>
      <w:r>
        <w:rPr>
          <w:rFonts w:ascii="Arial"/>
          <w:i/>
          <w:sz w:val="22"/>
        </w:rPr>
        <w:t>be</w:t>
      </w:r>
      <w:r>
        <w:rPr>
          <w:rFonts w:ascii="Arial"/>
          <w:i/>
          <w:spacing w:val="-5"/>
          <w:sz w:val="22"/>
        </w:rPr>
        <w:t> </w:t>
      </w:r>
      <w:r>
        <w:rPr>
          <w:rFonts w:ascii="Arial"/>
          <w:i/>
          <w:sz w:val="22"/>
        </w:rPr>
        <w:t>affirmatively</w:t>
      </w:r>
      <w:r>
        <w:rPr>
          <w:rFonts w:ascii="Arial"/>
          <w:i/>
          <w:spacing w:val="-5"/>
          <w:sz w:val="22"/>
        </w:rPr>
        <w:t> </w:t>
      </w:r>
      <w:r>
        <w:rPr>
          <w:rFonts w:ascii="Arial"/>
          <w:i/>
          <w:sz w:val="22"/>
        </w:rPr>
        <w:t>pleaded</w:t>
      </w:r>
      <w:r>
        <w:rPr>
          <w:rFonts w:ascii="Arial"/>
          <w:i/>
          <w:spacing w:val="-5"/>
          <w:sz w:val="22"/>
        </w:rPr>
        <w:t> </w:t>
      </w:r>
      <w:r>
        <w:rPr>
          <w:rFonts w:ascii="Arial"/>
          <w:i/>
          <w:sz w:val="22"/>
        </w:rPr>
        <w:t>are</w:t>
      </w:r>
      <w:r>
        <w:rPr>
          <w:rFonts w:ascii="Arial"/>
          <w:i/>
          <w:spacing w:val="-5"/>
          <w:sz w:val="22"/>
        </w:rPr>
        <w:t> </w:t>
      </w:r>
      <w:r>
        <w:rPr>
          <w:rFonts w:ascii="Arial"/>
          <w:i/>
          <w:sz w:val="22"/>
        </w:rPr>
        <w:t>arbitration</w:t>
      </w:r>
      <w:r>
        <w:rPr>
          <w:rFonts w:ascii="Arial"/>
          <w:i/>
          <w:spacing w:val="-5"/>
          <w:sz w:val="22"/>
        </w:rPr>
        <w:t> </w:t>
      </w:r>
      <w:r>
        <w:rPr>
          <w:rFonts w:ascii="Arial"/>
          <w:i/>
          <w:sz w:val="22"/>
        </w:rPr>
        <w:t>and</w:t>
      </w:r>
      <w:r>
        <w:rPr>
          <w:rFonts w:ascii="Arial"/>
          <w:i/>
          <w:spacing w:val="-5"/>
          <w:sz w:val="22"/>
        </w:rPr>
        <w:t> </w:t>
      </w:r>
      <w:r>
        <w:rPr>
          <w:rFonts w:ascii="Arial"/>
          <w:i/>
          <w:sz w:val="22"/>
        </w:rPr>
        <w:t>award,</w:t>
      </w:r>
      <w:r>
        <w:rPr>
          <w:rFonts w:ascii="Arial"/>
          <w:i/>
          <w:spacing w:val="-6"/>
          <w:sz w:val="22"/>
        </w:rPr>
        <w:t> </w:t>
      </w:r>
      <w:r>
        <w:rPr>
          <w:rFonts w:ascii="Arial"/>
          <w:i/>
          <w:sz w:val="22"/>
        </w:rPr>
        <w:t>...</w:t>
      </w:r>
      <w:r>
        <w:rPr>
          <w:rFonts w:ascii="Arial"/>
          <w:i/>
          <w:spacing w:val="-5"/>
          <w:sz w:val="22"/>
        </w:rPr>
        <w:t> </w:t>
      </w:r>
      <w:r>
        <w:rPr>
          <w:rFonts w:ascii="Arial"/>
          <w:i/>
          <w:sz w:val="22"/>
        </w:rPr>
        <w:t>Thus</w:t>
        <w:tab/>
      </w:r>
      <w:r>
        <w:rPr>
          <w:rFonts w:ascii="Arial"/>
          <w:i/>
          <w:sz w:val="22"/>
        </w:rPr>
        <w:t>these grounds are</w:t>
      </w:r>
      <w:r>
        <w:rPr>
          <w:rFonts w:ascii="Arial"/>
          <w:i/>
          <w:spacing w:val="-17"/>
          <w:sz w:val="22"/>
        </w:rPr>
        <w:t> </w:t>
      </w:r>
      <w:r>
        <w:rPr>
          <w:rFonts w:ascii="Arial"/>
          <w:i/>
          <w:sz w:val="22"/>
        </w:rPr>
        <w:t>not</w:t>
      </w:r>
    </w:p>
    <w:p>
      <w:pPr>
        <w:spacing w:line="251" w:lineRule="exact" w:before="0"/>
        <w:ind w:left="1300" w:right="0" w:firstLine="0"/>
        <w:jc w:val="left"/>
        <w:rPr>
          <w:rFonts w:ascii="Arial"/>
          <w:i/>
          <w:sz w:val="22"/>
        </w:rPr>
      </w:pPr>
      <w:r>
        <w:rPr>
          <w:rFonts w:ascii="Arial"/>
          <w:i/>
          <w:sz w:val="22"/>
        </w:rPr>
        <w:t>properly before the court on defendant's motion to dismiss....</w:t>
      </w:r>
    </w:p>
    <w:p>
      <w:pPr>
        <w:spacing w:before="47"/>
        <w:ind w:left="1300" w:right="0" w:firstLine="0"/>
        <w:jc w:val="left"/>
        <w:rPr>
          <w:rFonts w:ascii="Arial"/>
          <w:sz w:val="22"/>
        </w:rPr>
      </w:pPr>
      <w:r>
        <w:rPr>
          <w:rFonts w:ascii="Arial"/>
          <w:sz w:val="22"/>
        </w:rPr>
        <w:t>Id. at 862.</w:t>
      </w:r>
    </w:p>
    <w:p>
      <w:pPr>
        <w:spacing w:after="0"/>
        <w:jc w:val="left"/>
        <w:rPr>
          <w:rFonts w:ascii="Arial"/>
          <w:sz w:val="22"/>
        </w:rPr>
        <w:sectPr>
          <w:footerReference w:type="default" r:id="rId9"/>
          <w:pgSz w:w="12240" w:h="15840"/>
          <w:pgMar w:footer="0" w:header="0" w:top="1380" w:bottom="280" w:left="140" w:right="40"/>
        </w:sectPr>
      </w:pPr>
    </w:p>
    <w:p>
      <w:pPr>
        <w:spacing w:line="285" w:lineRule="auto" w:before="63"/>
        <w:ind w:left="1300" w:right="1442" w:firstLine="0"/>
        <w:jc w:val="left"/>
        <w:rPr>
          <w:rFonts w:ascii="Arial"/>
          <w:sz w:val="22"/>
        </w:rPr>
      </w:pPr>
      <w:bookmarkStart w:name="Law and Procedure 197" w:id="11"/>
      <w:bookmarkEnd w:id="11"/>
      <w:r>
        <w:rPr/>
      </w:r>
      <w:r>
        <w:rPr>
          <w:rFonts w:ascii="Arial"/>
          <w:sz w:val="22"/>
        </w:rPr>
        <w:t>The court in Karno-Smith denied the motion to dismiss and directed that an answer to the complaint be filed within twenty days from notice of its order.</w:t>
      </w:r>
    </w:p>
    <w:p>
      <w:pPr>
        <w:pStyle w:val="BodyText"/>
        <w:spacing w:before="11"/>
        <w:rPr>
          <w:rFonts w:ascii="Arial"/>
          <w:sz w:val="25"/>
        </w:rPr>
      </w:pPr>
    </w:p>
    <w:p>
      <w:pPr>
        <w:spacing w:line="285" w:lineRule="auto" w:before="0"/>
        <w:ind w:left="1300" w:right="1419" w:firstLine="0"/>
        <w:jc w:val="left"/>
        <w:rPr>
          <w:rFonts w:ascii="Arial"/>
          <w:sz w:val="22"/>
        </w:rPr>
      </w:pPr>
      <w:r>
        <w:rPr>
          <w:rFonts w:ascii="Arial"/>
          <w:sz w:val="22"/>
        </w:rPr>
        <w:t>In the instant case, we have no motion to dismiss before us, but we do have a motion for summary judgment which raises the issue of the appraisal clause as a bar to the *1019 litigation of the amount of the plaintiff's loss. Fed.R.Civ.P. 15(a) stipulates the conditions and the timetable under which a party may amend its pleading. It reads in part pertinent to the instant case:</w:t>
      </w:r>
    </w:p>
    <w:p>
      <w:pPr>
        <w:pStyle w:val="BodyText"/>
        <w:spacing w:before="7"/>
        <w:rPr>
          <w:rFonts w:ascii="Arial"/>
          <w:sz w:val="25"/>
        </w:rPr>
      </w:pPr>
    </w:p>
    <w:p>
      <w:pPr>
        <w:spacing w:line="285" w:lineRule="auto" w:before="0"/>
        <w:ind w:left="1300" w:right="1442" w:firstLine="0"/>
        <w:jc w:val="left"/>
        <w:rPr>
          <w:rFonts w:ascii="Arial"/>
          <w:sz w:val="22"/>
        </w:rPr>
      </w:pPr>
      <w:r>
        <w:rPr>
          <w:rFonts w:ascii="Arial"/>
          <w:sz w:val="22"/>
        </w:rPr>
        <w:t>"Otherwise a party may amend the party's pleading only by leave of court or by written consent of the adverse party; and leave shall be freely given when justice so requires." In Howze v.</w:t>
      </w:r>
    </w:p>
    <w:p>
      <w:pPr>
        <w:spacing w:line="285" w:lineRule="auto" w:before="0"/>
        <w:ind w:left="1300" w:right="1442" w:firstLine="0"/>
        <w:jc w:val="left"/>
        <w:rPr>
          <w:rFonts w:ascii="Arial"/>
          <w:sz w:val="22"/>
        </w:rPr>
      </w:pPr>
      <w:r>
        <w:rPr>
          <w:rFonts w:ascii="Arial"/>
          <w:sz w:val="22"/>
        </w:rPr>
        <w:t>Jones &amp; Laughlin Steel Corp., 750 F.2d 1208 (3d Cir.1984), the Third Circuit has spoken of certain considerations which must be taken into account before an actual motion to amend may be granted. That court has said:</w:t>
      </w:r>
    </w:p>
    <w:p>
      <w:pPr>
        <w:pStyle w:val="BodyText"/>
        <w:rPr>
          <w:rFonts w:ascii="Arial"/>
          <w:sz w:val="24"/>
        </w:rPr>
      </w:pPr>
    </w:p>
    <w:p>
      <w:pPr>
        <w:pStyle w:val="BodyText"/>
        <w:spacing w:before="8"/>
        <w:rPr>
          <w:rFonts w:ascii="Arial"/>
          <w:sz w:val="27"/>
        </w:rPr>
      </w:pPr>
    </w:p>
    <w:p>
      <w:pPr>
        <w:spacing w:line="285" w:lineRule="auto" w:before="0"/>
        <w:ind w:left="1300" w:right="1442" w:firstLine="0"/>
        <w:jc w:val="left"/>
        <w:rPr>
          <w:rFonts w:ascii="Arial"/>
          <w:sz w:val="22"/>
        </w:rPr>
      </w:pPr>
      <w:r>
        <w:rPr>
          <w:rFonts w:ascii="Arial"/>
          <w:sz w:val="22"/>
        </w:rPr>
        <w:t>Delay alone, however, is an insufficient ground upon which to deny a motion to amend. Cornell and Co., Inc. v. Occupational Safety and Health Review Commission, 573 F.2d 820 (3d Cir.1978). Rather, the touchstone is whether the non-moving party will be prejudiced if the amendment is allowed. Id. at 823. ...</w:t>
      </w:r>
    </w:p>
    <w:p>
      <w:pPr>
        <w:spacing w:line="249" w:lineRule="exact" w:before="0"/>
        <w:ind w:left="1300" w:right="0" w:firstLine="0"/>
        <w:jc w:val="left"/>
        <w:rPr>
          <w:rFonts w:ascii="Arial"/>
          <w:sz w:val="22"/>
        </w:rPr>
      </w:pPr>
      <w:r>
        <w:rPr>
          <w:rFonts w:ascii="Arial"/>
          <w:sz w:val="22"/>
        </w:rPr>
        <w:t>Id. at 1212.</w:t>
      </w:r>
    </w:p>
    <w:p>
      <w:pPr>
        <w:pStyle w:val="BodyText"/>
        <w:spacing w:before="2"/>
        <w:rPr>
          <w:rFonts w:ascii="Arial"/>
          <w:sz w:val="30"/>
        </w:rPr>
      </w:pPr>
    </w:p>
    <w:p>
      <w:pPr>
        <w:spacing w:line="285" w:lineRule="auto" w:before="0"/>
        <w:ind w:left="1300" w:right="1442" w:firstLine="0"/>
        <w:jc w:val="left"/>
        <w:rPr>
          <w:rFonts w:ascii="Arial"/>
          <w:sz w:val="22"/>
        </w:rPr>
      </w:pPr>
      <w:r>
        <w:rPr>
          <w:rFonts w:ascii="Arial"/>
          <w:sz w:val="22"/>
        </w:rPr>
        <w:t>We are mindful that there is not now before us a motion to amend the defendant's answer. We believe, however, that the words of the Third Circuit are equally applicable to the situation here. The Pennsylvania Supreme Court has stated: "It is beyond cavil that settlement of disputes by arbitration or appraisal is the approved public policy of this Commonwealth. [Citations omitted]." Ice City, 314 A.2d at 241</w:t>
      </w:r>
    </w:p>
    <w:p>
      <w:pPr>
        <w:pStyle w:val="BodyText"/>
        <w:spacing w:before="8"/>
        <w:rPr>
          <w:rFonts w:ascii="Arial"/>
          <w:sz w:val="25"/>
        </w:rPr>
      </w:pPr>
    </w:p>
    <w:p>
      <w:pPr>
        <w:spacing w:line="285" w:lineRule="auto" w:before="0"/>
        <w:ind w:left="1300" w:right="1316" w:firstLine="0"/>
        <w:jc w:val="left"/>
        <w:rPr>
          <w:rFonts w:ascii="Arial"/>
          <w:sz w:val="22"/>
        </w:rPr>
      </w:pPr>
      <w:r>
        <w:rPr>
          <w:rFonts w:ascii="Arial"/>
          <w:sz w:val="22"/>
        </w:rPr>
        <w:t>We can conceive of no prejudice to the plaintiff in allowing the defendant to file an amended answer raising the affirmative defense of the appraisal clause. The plaintiff will be in no worse position after such amendment as she has been before it. Moreover, amendment would serve to honor Pennsylvania's public policy in favor of arbitration of disputes.[1]</w:t>
      </w:r>
    </w:p>
    <w:p>
      <w:pPr>
        <w:pStyle w:val="BodyText"/>
        <w:spacing w:before="8"/>
        <w:rPr>
          <w:rFonts w:ascii="Arial"/>
          <w:sz w:val="25"/>
        </w:rPr>
      </w:pPr>
    </w:p>
    <w:p>
      <w:pPr>
        <w:spacing w:line="285" w:lineRule="auto" w:before="0"/>
        <w:ind w:left="1300" w:right="1702" w:firstLine="0"/>
        <w:jc w:val="both"/>
        <w:rPr>
          <w:rFonts w:ascii="Arial"/>
          <w:sz w:val="22"/>
        </w:rPr>
      </w:pPr>
      <w:r>
        <w:rPr>
          <w:rFonts w:ascii="Arial"/>
          <w:sz w:val="22"/>
        </w:rPr>
        <w:t>We shall next proceed to dispose of the plaintiff's remaining arguments in the instant opinion. The</w:t>
      </w:r>
      <w:r>
        <w:rPr>
          <w:rFonts w:ascii="Arial"/>
          <w:spacing w:val="-6"/>
          <w:sz w:val="22"/>
        </w:rPr>
        <w:t> </w:t>
      </w:r>
      <w:r>
        <w:rPr>
          <w:rFonts w:ascii="Arial"/>
          <w:sz w:val="22"/>
        </w:rPr>
        <w:t>plaintiff</w:t>
      </w:r>
      <w:r>
        <w:rPr>
          <w:rFonts w:ascii="Arial"/>
          <w:spacing w:val="-5"/>
          <w:sz w:val="22"/>
        </w:rPr>
        <w:t> </w:t>
      </w:r>
      <w:r>
        <w:rPr>
          <w:rFonts w:ascii="Arial"/>
          <w:sz w:val="22"/>
        </w:rPr>
        <w:t>also</w:t>
      </w:r>
      <w:r>
        <w:rPr>
          <w:rFonts w:ascii="Arial"/>
          <w:spacing w:val="-5"/>
          <w:sz w:val="22"/>
        </w:rPr>
        <w:t> </w:t>
      </w:r>
      <w:r>
        <w:rPr>
          <w:rFonts w:ascii="Arial"/>
          <w:sz w:val="22"/>
        </w:rPr>
        <w:t>argues</w:t>
      </w:r>
      <w:r>
        <w:rPr>
          <w:rFonts w:ascii="Arial"/>
          <w:spacing w:val="-5"/>
          <w:sz w:val="22"/>
        </w:rPr>
        <w:t> </w:t>
      </w:r>
      <w:r>
        <w:rPr>
          <w:rFonts w:ascii="Arial"/>
          <w:sz w:val="22"/>
        </w:rPr>
        <w:t>that</w:t>
      </w:r>
      <w:r>
        <w:rPr>
          <w:rFonts w:ascii="Arial"/>
          <w:spacing w:val="-5"/>
          <w:sz w:val="22"/>
        </w:rPr>
        <w:t> </w:t>
      </w:r>
      <w:r>
        <w:rPr>
          <w:rFonts w:ascii="Arial"/>
          <w:sz w:val="22"/>
        </w:rPr>
        <w:t>the</w:t>
      </w:r>
      <w:r>
        <w:rPr>
          <w:rFonts w:ascii="Arial"/>
          <w:spacing w:val="-5"/>
          <w:sz w:val="22"/>
        </w:rPr>
        <w:t> </w:t>
      </w:r>
      <w:r>
        <w:rPr>
          <w:rFonts w:ascii="Arial"/>
          <w:sz w:val="22"/>
        </w:rPr>
        <w:t>defendant</w:t>
      </w:r>
      <w:r>
        <w:rPr>
          <w:rFonts w:ascii="Arial"/>
          <w:spacing w:val="-5"/>
          <w:sz w:val="22"/>
        </w:rPr>
        <w:t> </w:t>
      </w:r>
      <w:r>
        <w:rPr>
          <w:rFonts w:ascii="Arial"/>
          <w:sz w:val="22"/>
        </w:rPr>
        <w:t>waived</w:t>
      </w:r>
      <w:r>
        <w:rPr>
          <w:rFonts w:ascii="Arial"/>
          <w:spacing w:val="-5"/>
          <w:sz w:val="22"/>
        </w:rPr>
        <w:t> </w:t>
      </w:r>
      <w:r>
        <w:rPr>
          <w:rFonts w:ascii="Arial"/>
          <w:sz w:val="22"/>
        </w:rPr>
        <w:t>its</w:t>
      </w:r>
      <w:r>
        <w:rPr>
          <w:rFonts w:ascii="Arial"/>
          <w:spacing w:val="-5"/>
          <w:sz w:val="22"/>
        </w:rPr>
        <w:t> </w:t>
      </w:r>
      <w:r>
        <w:rPr>
          <w:rFonts w:ascii="Arial"/>
          <w:sz w:val="22"/>
        </w:rPr>
        <w:t>right</w:t>
      </w:r>
      <w:r>
        <w:rPr>
          <w:rFonts w:ascii="Arial"/>
          <w:spacing w:val="-5"/>
          <w:sz w:val="22"/>
        </w:rPr>
        <w:t> </w:t>
      </w:r>
      <w:r>
        <w:rPr>
          <w:rFonts w:ascii="Arial"/>
          <w:sz w:val="22"/>
        </w:rPr>
        <w:t>to</w:t>
      </w:r>
      <w:r>
        <w:rPr>
          <w:rFonts w:ascii="Arial"/>
          <w:spacing w:val="-5"/>
          <w:sz w:val="22"/>
        </w:rPr>
        <w:t> </w:t>
      </w:r>
      <w:r>
        <w:rPr>
          <w:rFonts w:ascii="Arial"/>
          <w:sz w:val="22"/>
        </w:rPr>
        <w:t>appraisal</w:t>
      </w:r>
      <w:r>
        <w:rPr>
          <w:rFonts w:ascii="Arial"/>
          <w:spacing w:val="-5"/>
          <w:sz w:val="22"/>
        </w:rPr>
        <w:t> </w:t>
      </w:r>
      <w:r>
        <w:rPr>
          <w:rFonts w:ascii="Arial"/>
          <w:sz w:val="22"/>
        </w:rPr>
        <w:t>by</w:t>
      </w:r>
      <w:r>
        <w:rPr>
          <w:rFonts w:ascii="Arial"/>
          <w:spacing w:val="-5"/>
          <w:sz w:val="22"/>
        </w:rPr>
        <w:t> </w:t>
      </w:r>
      <w:r>
        <w:rPr>
          <w:rFonts w:ascii="Arial"/>
          <w:sz w:val="22"/>
        </w:rPr>
        <w:t>waiting</w:t>
      </w:r>
      <w:r>
        <w:rPr>
          <w:rFonts w:ascii="Arial"/>
          <w:spacing w:val="-5"/>
          <w:sz w:val="22"/>
        </w:rPr>
        <w:t> </w:t>
      </w:r>
      <w:r>
        <w:rPr>
          <w:rFonts w:ascii="Arial"/>
          <w:sz w:val="22"/>
        </w:rPr>
        <w:t>until</w:t>
      </w:r>
      <w:r>
        <w:rPr>
          <w:rFonts w:ascii="Arial"/>
          <w:spacing w:val="-5"/>
          <w:sz w:val="22"/>
        </w:rPr>
        <w:t> </w:t>
      </w:r>
      <w:r>
        <w:rPr>
          <w:rFonts w:ascii="Arial"/>
          <w:sz w:val="22"/>
        </w:rPr>
        <w:t>March 23, 1989 before requesting</w:t>
      </w:r>
      <w:r>
        <w:rPr>
          <w:rFonts w:ascii="Arial"/>
          <w:spacing w:val="-5"/>
          <w:sz w:val="22"/>
        </w:rPr>
        <w:t> </w:t>
      </w:r>
      <w:r>
        <w:rPr>
          <w:rFonts w:ascii="Arial"/>
          <w:sz w:val="22"/>
        </w:rPr>
        <w:t>it.</w:t>
      </w:r>
    </w:p>
    <w:p>
      <w:pPr>
        <w:pStyle w:val="BodyText"/>
        <w:spacing w:before="9"/>
        <w:rPr>
          <w:rFonts w:ascii="Arial"/>
          <w:sz w:val="25"/>
        </w:rPr>
      </w:pPr>
    </w:p>
    <w:p>
      <w:pPr>
        <w:tabs>
          <w:tab w:pos="8472" w:val="left" w:leader="dot"/>
        </w:tabs>
        <w:spacing w:line="285" w:lineRule="auto" w:before="0"/>
        <w:ind w:left="1300" w:right="1442" w:firstLine="0"/>
        <w:jc w:val="left"/>
        <w:rPr>
          <w:rFonts w:ascii="Arial"/>
          <w:sz w:val="22"/>
        </w:rPr>
      </w:pPr>
      <w:r>
        <w:rPr>
          <w:rFonts w:ascii="Arial"/>
          <w:sz w:val="22"/>
        </w:rPr>
        <w:t>The policy in the instant case makes no provision for a time when appraisal must be requested. However, in Lefkowitz v. Hummel Furniture Co., 385 Pa. 244, 122 A.2d 802, 804 (1956), the Pennsylvania</w:t>
      </w:r>
      <w:r>
        <w:rPr>
          <w:rFonts w:ascii="Arial"/>
          <w:spacing w:val="-6"/>
          <w:sz w:val="22"/>
        </w:rPr>
        <w:t> </w:t>
      </w:r>
      <w:r>
        <w:rPr>
          <w:rFonts w:ascii="Arial"/>
          <w:sz w:val="22"/>
        </w:rPr>
        <w:t>Supreme</w:t>
      </w:r>
      <w:r>
        <w:rPr>
          <w:rFonts w:ascii="Arial"/>
          <w:spacing w:val="-6"/>
          <w:sz w:val="22"/>
        </w:rPr>
        <w:t> </w:t>
      </w:r>
      <w:r>
        <w:rPr>
          <w:rFonts w:ascii="Arial"/>
          <w:sz w:val="22"/>
        </w:rPr>
        <w:t>Court</w:t>
      </w:r>
      <w:r>
        <w:rPr>
          <w:rFonts w:ascii="Arial"/>
          <w:spacing w:val="-6"/>
          <w:sz w:val="22"/>
        </w:rPr>
        <w:t> </w:t>
      </w:r>
      <w:r>
        <w:rPr>
          <w:rFonts w:ascii="Arial"/>
          <w:sz w:val="22"/>
        </w:rPr>
        <w:t>stated:</w:t>
      </w:r>
      <w:r>
        <w:rPr>
          <w:rFonts w:ascii="Arial"/>
          <w:spacing w:val="-5"/>
          <w:sz w:val="22"/>
        </w:rPr>
        <w:t> </w:t>
      </w:r>
      <w:r>
        <w:rPr>
          <w:rFonts w:ascii="Arial"/>
          <w:sz w:val="22"/>
        </w:rPr>
        <w:t>"[W]here</w:t>
      </w:r>
      <w:r>
        <w:rPr>
          <w:rFonts w:ascii="Arial"/>
          <w:spacing w:val="-6"/>
          <w:sz w:val="22"/>
        </w:rPr>
        <w:t> </w:t>
      </w:r>
      <w:r>
        <w:rPr>
          <w:rFonts w:ascii="Arial"/>
          <w:sz w:val="22"/>
        </w:rPr>
        <w:t>no</w:t>
      </w:r>
      <w:r>
        <w:rPr>
          <w:rFonts w:ascii="Arial"/>
          <w:spacing w:val="-6"/>
          <w:sz w:val="22"/>
        </w:rPr>
        <w:t> </w:t>
      </w:r>
      <w:r>
        <w:rPr>
          <w:rFonts w:ascii="Arial"/>
          <w:sz w:val="22"/>
        </w:rPr>
        <w:t>time</w:t>
      </w:r>
      <w:r>
        <w:rPr>
          <w:rFonts w:ascii="Arial"/>
          <w:spacing w:val="-5"/>
          <w:sz w:val="22"/>
        </w:rPr>
        <w:t> </w:t>
      </w:r>
      <w:r>
        <w:rPr>
          <w:rFonts w:ascii="Arial"/>
          <w:sz w:val="22"/>
        </w:rPr>
        <w:t>for</w:t>
      </w:r>
      <w:r>
        <w:rPr>
          <w:rFonts w:ascii="Arial"/>
          <w:spacing w:val="-6"/>
          <w:sz w:val="22"/>
        </w:rPr>
        <w:t> </w:t>
      </w:r>
      <w:r>
        <w:rPr>
          <w:rFonts w:ascii="Arial"/>
          <w:sz w:val="22"/>
        </w:rPr>
        <w:t>performance</w:t>
      </w:r>
      <w:r>
        <w:rPr>
          <w:rFonts w:ascii="Arial"/>
          <w:spacing w:val="-6"/>
          <w:sz w:val="22"/>
        </w:rPr>
        <w:t> </w:t>
      </w:r>
      <w:r>
        <w:rPr>
          <w:rFonts w:ascii="Arial"/>
          <w:sz w:val="22"/>
        </w:rPr>
        <w:t>is</w:t>
      </w:r>
      <w:r>
        <w:rPr>
          <w:rFonts w:ascii="Arial"/>
          <w:spacing w:val="-5"/>
          <w:sz w:val="22"/>
        </w:rPr>
        <w:t> </w:t>
      </w:r>
      <w:r>
        <w:rPr>
          <w:rFonts w:ascii="Arial"/>
          <w:sz w:val="22"/>
        </w:rPr>
        <w:t>provided</w:t>
      </w:r>
      <w:r>
        <w:rPr>
          <w:rFonts w:ascii="Arial"/>
          <w:spacing w:val="-6"/>
          <w:sz w:val="22"/>
        </w:rPr>
        <w:t> </w:t>
      </w:r>
      <w:r>
        <w:rPr>
          <w:rFonts w:ascii="Arial"/>
          <w:sz w:val="22"/>
        </w:rPr>
        <w:t>in</w:t>
      </w:r>
      <w:r>
        <w:rPr>
          <w:rFonts w:ascii="Arial"/>
          <w:spacing w:val="-6"/>
          <w:sz w:val="22"/>
        </w:rPr>
        <w:t> </w:t>
      </w:r>
      <w:r>
        <w:rPr>
          <w:rFonts w:ascii="Arial"/>
          <w:sz w:val="22"/>
        </w:rPr>
        <w:t>the</w:t>
      </w:r>
      <w:r>
        <w:rPr>
          <w:rFonts w:ascii="Arial"/>
          <w:spacing w:val="-6"/>
          <w:sz w:val="22"/>
        </w:rPr>
        <w:t> </w:t>
      </w:r>
      <w:r>
        <w:rPr>
          <w:rFonts w:ascii="Arial"/>
          <w:sz w:val="22"/>
        </w:rPr>
        <w:t>written instrument</w:t>
      </w:r>
      <w:r>
        <w:rPr>
          <w:rFonts w:ascii="Arial"/>
          <w:spacing w:val="-5"/>
          <w:sz w:val="22"/>
        </w:rPr>
        <w:t> </w:t>
      </w:r>
      <w:r>
        <w:rPr>
          <w:rFonts w:ascii="Arial"/>
          <w:sz w:val="22"/>
        </w:rPr>
        <w:t>the</w:t>
      </w:r>
      <w:r>
        <w:rPr>
          <w:rFonts w:ascii="Arial"/>
          <w:spacing w:val="-4"/>
          <w:sz w:val="22"/>
        </w:rPr>
        <w:t> </w:t>
      </w:r>
      <w:r>
        <w:rPr>
          <w:rFonts w:ascii="Arial"/>
          <w:sz w:val="22"/>
        </w:rPr>
        <w:t>law</w:t>
      </w:r>
      <w:r>
        <w:rPr>
          <w:rFonts w:ascii="Arial"/>
          <w:spacing w:val="-5"/>
          <w:sz w:val="22"/>
        </w:rPr>
        <w:t> </w:t>
      </w:r>
      <w:r>
        <w:rPr>
          <w:rFonts w:ascii="Arial"/>
          <w:sz w:val="22"/>
        </w:rPr>
        <w:t>implies</w:t>
      </w:r>
      <w:r>
        <w:rPr>
          <w:rFonts w:ascii="Arial"/>
          <w:spacing w:val="-4"/>
          <w:sz w:val="22"/>
        </w:rPr>
        <w:t> </w:t>
      </w:r>
      <w:r>
        <w:rPr>
          <w:rFonts w:ascii="Arial"/>
          <w:sz w:val="22"/>
        </w:rPr>
        <w:t>that</w:t>
      </w:r>
      <w:r>
        <w:rPr>
          <w:rFonts w:ascii="Arial"/>
          <w:spacing w:val="-4"/>
          <w:sz w:val="22"/>
        </w:rPr>
        <w:t> </w:t>
      </w:r>
      <w:r>
        <w:rPr>
          <w:rFonts w:ascii="Arial"/>
          <w:sz w:val="22"/>
        </w:rPr>
        <w:t>it</w:t>
      </w:r>
      <w:r>
        <w:rPr>
          <w:rFonts w:ascii="Arial"/>
          <w:spacing w:val="-5"/>
          <w:sz w:val="22"/>
        </w:rPr>
        <w:t> </w:t>
      </w:r>
      <w:r>
        <w:rPr>
          <w:rFonts w:ascii="Arial"/>
          <w:sz w:val="22"/>
        </w:rPr>
        <w:t>shall</w:t>
      </w:r>
      <w:r>
        <w:rPr>
          <w:rFonts w:ascii="Arial"/>
          <w:spacing w:val="-4"/>
          <w:sz w:val="22"/>
        </w:rPr>
        <w:t> </w:t>
      </w:r>
      <w:r>
        <w:rPr>
          <w:rFonts w:ascii="Arial"/>
          <w:sz w:val="22"/>
        </w:rPr>
        <w:t>be</w:t>
      </w:r>
      <w:r>
        <w:rPr>
          <w:rFonts w:ascii="Arial"/>
          <w:spacing w:val="-5"/>
          <w:sz w:val="22"/>
        </w:rPr>
        <w:t> </w:t>
      </w:r>
      <w:r>
        <w:rPr>
          <w:rFonts w:ascii="Arial"/>
          <w:sz w:val="22"/>
        </w:rPr>
        <w:t>done</w:t>
      </w:r>
      <w:r>
        <w:rPr>
          <w:rFonts w:ascii="Arial"/>
          <w:spacing w:val="-4"/>
          <w:sz w:val="22"/>
        </w:rPr>
        <w:t> </w:t>
      </w:r>
      <w:r>
        <w:rPr>
          <w:rFonts w:ascii="Arial"/>
          <w:sz w:val="22"/>
        </w:rPr>
        <w:t>within</w:t>
      </w:r>
      <w:r>
        <w:rPr>
          <w:rFonts w:ascii="Arial"/>
          <w:spacing w:val="-4"/>
          <w:sz w:val="22"/>
        </w:rPr>
        <w:t> </w:t>
      </w:r>
      <w:r>
        <w:rPr>
          <w:rFonts w:ascii="Arial"/>
          <w:sz w:val="22"/>
        </w:rPr>
        <w:t>a</w:t>
      </w:r>
      <w:r>
        <w:rPr>
          <w:rFonts w:ascii="Arial"/>
          <w:spacing w:val="-5"/>
          <w:sz w:val="22"/>
        </w:rPr>
        <w:t> </w:t>
      </w:r>
      <w:r>
        <w:rPr>
          <w:rFonts w:ascii="Arial"/>
          <w:sz w:val="22"/>
        </w:rPr>
        <w:t>reasonable</w:t>
      </w:r>
      <w:r>
        <w:rPr>
          <w:rFonts w:ascii="Arial"/>
          <w:spacing w:val="-4"/>
          <w:sz w:val="22"/>
        </w:rPr>
        <w:t> </w:t>
      </w:r>
      <w:r>
        <w:rPr>
          <w:rFonts w:ascii="Arial"/>
          <w:sz w:val="22"/>
        </w:rPr>
        <w:t>time</w:t>
        <w:tab/>
        <w:t>"</w:t>
      </w:r>
    </w:p>
    <w:p>
      <w:pPr>
        <w:spacing w:after="0" w:line="285" w:lineRule="auto"/>
        <w:jc w:val="left"/>
        <w:rPr>
          <w:rFonts w:ascii="Arial"/>
          <w:sz w:val="22"/>
        </w:rPr>
        <w:sectPr>
          <w:footerReference w:type="default" r:id="rId10"/>
          <w:pgSz w:w="12240" w:h="15840"/>
          <w:pgMar w:footer="0" w:header="0" w:top="1380" w:bottom="280" w:left="140" w:right="40"/>
        </w:sectPr>
      </w:pPr>
    </w:p>
    <w:p>
      <w:pPr>
        <w:spacing w:line="285" w:lineRule="auto" w:before="63"/>
        <w:ind w:left="1300" w:right="1442" w:firstLine="0"/>
        <w:jc w:val="left"/>
        <w:rPr>
          <w:rFonts w:ascii="Arial"/>
          <w:sz w:val="22"/>
        </w:rPr>
      </w:pPr>
      <w:bookmarkStart w:name="Law and Procedure 198" w:id="12"/>
      <w:bookmarkEnd w:id="12"/>
      <w:r>
        <w:rPr/>
      </w:r>
      <w:r>
        <w:rPr>
          <w:rFonts w:ascii="Arial"/>
          <w:sz w:val="22"/>
        </w:rPr>
        <w:t>In the instant case, eight months elapsed between the insurer's first awareness of the plaintiff's loss (July 19, 1988) and its request for appraisal (March 23, 1989). We must now decide whether eight months constituted a "reasonable time."</w:t>
      </w:r>
    </w:p>
    <w:p>
      <w:pPr>
        <w:pStyle w:val="BodyText"/>
        <w:spacing w:before="10"/>
        <w:rPr>
          <w:rFonts w:ascii="Arial"/>
          <w:sz w:val="25"/>
        </w:rPr>
      </w:pPr>
    </w:p>
    <w:p>
      <w:pPr>
        <w:spacing w:line="285" w:lineRule="auto" w:before="0"/>
        <w:ind w:left="1300" w:right="1426" w:firstLine="0"/>
        <w:jc w:val="left"/>
        <w:rPr>
          <w:rFonts w:ascii="Arial"/>
          <w:sz w:val="22"/>
        </w:rPr>
      </w:pPr>
      <w:r>
        <w:rPr>
          <w:rFonts w:ascii="Arial"/>
          <w:sz w:val="22"/>
        </w:rPr>
        <w:t>Neither the parties' research nor our own has uncovered Pennsylvania case law regarding the issue of timeliness of a demand for appraisal. Other jurisdictions, however, have considered the matter and have concluded that "[t]he timeliness of a demand for an appraisal in each case depends upon the circumstances as they existed at the time the demand was made. Annot., 14 A.L.R.3d 674 (1967)." Keesling v. Western Fire Insurance Company of Fort Scott, Kansas, 10 Wash. App. 841, 520 P.2d 622, 626 (1974). See also Hanby v. Maryland Casualty Co., 265 A.2d</w:t>
      </w:r>
      <w:r>
        <w:rPr>
          <w:rFonts w:ascii="Arial"/>
          <w:spacing w:val="-5"/>
          <w:sz w:val="22"/>
        </w:rPr>
        <w:t> </w:t>
      </w:r>
      <w:r>
        <w:rPr>
          <w:rFonts w:ascii="Arial"/>
          <w:sz w:val="22"/>
        </w:rPr>
        <w:t>28,</w:t>
      </w:r>
      <w:r>
        <w:rPr>
          <w:rFonts w:ascii="Arial"/>
          <w:spacing w:val="-5"/>
          <w:sz w:val="22"/>
        </w:rPr>
        <w:t> </w:t>
      </w:r>
      <w:r>
        <w:rPr>
          <w:rFonts w:ascii="Arial"/>
          <w:sz w:val="22"/>
        </w:rPr>
        <w:t>30</w:t>
      </w:r>
      <w:r>
        <w:rPr>
          <w:rFonts w:ascii="Arial"/>
          <w:spacing w:val="-4"/>
          <w:sz w:val="22"/>
        </w:rPr>
        <w:t> </w:t>
      </w:r>
      <w:r>
        <w:rPr>
          <w:rFonts w:ascii="Arial"/>
          <w:sz w:val="22"/>
        </w:rPr>
        <w:t>(Del.1970);</w:t>
      </w:r>
      <w:r>
        <w:rPr>
          <w:rFonts w:ascii="Arial"/>
          <w:spacing w:val="-5"/>
          <w:sz w:val="22"/>
        </w:rPr>
        <w:t> </w:t>
      </w:r>
      <w:r>
        <w:rPr>
          <w:rFonts w:ascii="Arial"/>
          <w:sz w:val="22"/>
        </w:rPr>
        <w:t>School</w:t>
      </w:r>
      <w:r>
        <w:rPr>
          <w:rFonts w:ascii="Arial"/>
          <w:spacing w:val="-4"/>
          <w:sz w:val="22"/>
        </w:rPr>
        <w:t> </w:t>
      </w:r>
      <w:r>
        <w:rPr>
          <w:rFonts w:ascii="Arial"/>
          <w:sz w:val="22"/>
        </w:rPr>
        <w:t>District</w:t>
      </w:r>
      <w:r>
        <w:rPr>
          <w:rFonts w:ascii="Arial"/>
          <w:spacing w:val="-5"/>
          <w:sz w:val="22"/>
        </w:rPr>
        <w:t> </w:t>
      </w:r>
      <w:r>
        <w:rPr>
          <w:rFonts w:ascii="Arial"/>
          <w:sz w:val="22"/>
        </w:rPr>
        <w:t>No.</w:t>
      </w:r>
      <w:r>
        <w:rPr>
          <w:rFonts w:ascii="Arial"/>
          <w:spacing w:val="-5"/>
          <w:sz w:val="22"/>
        </w:rPr>
        <w:t> </w:t>
      </w:r>
      <w:r>
        <w:rPr>
          <w:rFonts w:ascii="Arial"/>
          <w:sz w:val="22"/>
        </w:rPr>
        <w:t>1</w:t>
      </w:r>
      <w:r>
        <w:rPr>
          <w:rFonts w:ascii="Arial"/>
          <w:spacing w:val="-4"/>
          <w:sz w:val="22"/>
        </w:rPr>
        <w:t> </w:t>
      </w:r>
      <w:r>
        <w:rPr>
          <w:rFonts w:ascii="Arial"/>
          <w:sz w:val="22"/>
        </w:rPr>
        <w:t>v.</w:t>
      </w:r>
      <w:r>
        <w:rPr>
          <w:rFonts w:ascii="Arial"/>
          <w:spacing w:val="-5"/>
          <w:sz w:val="22"/>
        </w:rPr>
        <w:t> </w:t>
      </w:r>
      <w:r>
        <w:rPr>
          <w:rFonts w:ascii="Arial"/>
          <w:sz w:val="22"/>
        </w:rPr>
        <w:t>Globe</w:t>
      </w:r>
      <w:r>
        <w:rPr>
          <w:rFonts w:ascii="Arial"/>
          <w:spacing w:val="-4"/>
          <w:sz w:val="22"/>
        </w:rPr>
        <w:t> </w:t>
      </w:r>
      <w:r>
        <w:rPr>
          <w:rFonts w:ascii="Arial"/>
          <w:sz w:val="22"/>
        </w:rPr>
        <w:t>&amp;</w:t>
      </w:r>
      <w:r>
        <w:rPr>
          <w:rFonts w:ascii="Arial"/>
          <w:spacing w:val="-5"/>
          <w:sz w:val="22"/>
        </w:rPr>
        <w:t> </w:t>
      </w:r>
      <w:r>
        <w:rPr>
          <w:rFonts w:ascii="Arial"/>
          <w:sz w:val="22"/>
        </w:rPr>
        <w:t>Republic</w:t>
      </w:r>
      <w:r>
        <w:rPr>
          <w:rFonts w:ascii="Arial"/>
          <w:spacing w:val="-5"/>
          <w:sz w:val="22"/>
        </w:rPr>
        <w:t> </w:t>
      </w:r>
      <w:r>
        <w:rPr>
          <w:rFonts w:ascii="Arial"/>
          <w:sz w:val="22"/>
        </w:rPr>
        <w:t>Insurance</w:t>
      </w:r>
      <w:r>
        <w:rPr>
          <w:rFonts w:ascii="Arial"/>
          <w:spacing w:val="-4"/>
          <w:sz w:val="22"/>
        </w:rPr>
        <w:t> </w:t>
      </w:r>
      <w:r>
        <w:rPr>
          <w:rFonts w:ascii="Arial"/>
          <w:sz w:val="22"/>
        </w:rPr>
        <w:t>Co.,</w:t>
      </w:r>
      <w:r>
        <w:rPr>
          <w:rFonts w:ascii="Arial"/>
          <w:spacing w:val="-5"/>
          <w:sz w:val="22"/>
        </w:rPr>
        <w:t> </w:t>
      </w:r>
      <w:r>
        <w:rPr>
          <w:rFonts w:ascii="Arial"/>
          <w:sz w:val="22"/>
        </w:rPr>
        <w:t>146</w:t>
      </w:r>
      <w:r>
        <w:rPr>
          <w:rFonts w:ascii="Arial"/>
          <w:spacing w:val="-4"/>
          <w:sz w:val="22"/>
        </w:rPr>
        <w:t> </w:t>
      </w:r>
      <w:r>
        <w:rPr>
          <w:rFonts w:ascii="Arial"/>
          <w:sz w:val="22"/>
        </w:rPr>
        <w:t>Mont.</w:t>
      </w:r>
      <w:r>
        <w:rPr>
          <w:rFonts w:ascii="Arial"/>
          <w:spacing w:val="-5"/>
          <w:sz w:val="22"/>
        </w:rPr>
        <w:t> </w:t>
      </w:r>
      <w:r>
        <w:rPr>
          <w:rFonts w:ascii="Arial"/>
          <w:sz w:val="22"/>
        </w:rPr>
        <w:t>208, 404 P.2d 889, 893 (1965). Also, the "circumstances" which have proven to be most *1020 decisive are two: prejudice resulting from the delay and the breakdown of good-faith negotiations concerning the amount of the loss suffered by the insured. Keesling, 520 P.2d at 628; School District No. 1, 404 P.2d at</w:t>
      </w:r>
      <w:r>
        <w:rPr>
          <w:rFonts w:ascii="Arial"/>
          <w:spacing w:val="-11"/>
          <w:sz w:val="22"/>
        </w:rPr>
        <w:t> </w:t>
      </w:r>
      <w:r>
        <w:rPr>
          <w:rFonts w:ascii="Arial"/>
          <w:sz w:val="22"/>
        </w:rPr>
        <w:t>893.</w:t>
      </w:r>
    </w:p>
    <w:p>
      <w:pPr>
        <w:pStyle w:val="BodyText"/>
        <w:spacing w:before="1"/>
        <w:rPr>
          <w:rFonts w:ascii="Arial"/>
          <w:sz w:val="25"/>
        </w:rPr>
      </w:pPr>
    </w:p>
    <w:p>
      <w:pPr>
        <w:spacing w:line="285" w:lineRule="auto" w:before="0"/>
        <w:ind w:left="1300" w:right="1428" w:firstLine="0"/>
        <w:jc w:val="left"/>
        <w:rPr>
          <w:rFonts w:ascii="Arial"/>
          <w:sz w:val="22"/>
        </w:rPr>
      </w:pPr>
      <w:r>
        <w:rPr>
          <w:rFonts w:ascii="Arial"/>
          <w:sz w:val="22"/>
        </w:rPr>
        <w:t>In</w:t>
      </w:r>
      <w:r>
        <w:rPr>
          <w:rFonts w:ascii="Arial"/>
          <w:spacing w:val="-6"/>
          <w:sz w:val="22"/>
        </w:rPr>
        <w:t> </w:t>
      </w:r>
      <w:r>
        <w:rPr>
          <w:rFonts w:ascii="Arial"/>
          <w:sz w:val="22"/>
        </w:rPr>
        <w:t>the</w:t>
      </w:r>
      <w:r>
        <w:rPr>
          <w:rFonts w:ascii="Arial"/>
          <w:spacing w:val="-5"/>
          <w:sz w:val="22"/>
        </w:rPr>
        <w:t> </w:t>
      </w:r>
      <w:r>
        <w:rPr>
          <w:rFonts w:ascii="Arial"/>
          <w:sz w:val="22"/>
        </w:rPr>
        <w:t>instant</w:t>
      </w:r>
      <w:r>
        <w:rPr>
          <w:rFonts w:ascii="Arial"/>
          <w:spacing w:val="-5"/>
          <w:sz w:val="22"/>
        </w:rPr>
        <w:t> </w:t>
      </w:r>
      <w:r>
        <w:rPr>
          <w:rFonts w:ascii="Arial"/>
          <w:sz w:val="22"/>
        </w:rPr>
        <w:t>case,</w:t>
      </w:r>
      <w:r>
        <w:rPr>
          <w:rFonts w:ascii="Arial"/>
          <w:spacing w:val="-5"/>
          <w:sz w:val="22"/>
        </w:rPr>
        <w:t> </w:t>
      </w:r>
      <w:r>
        <w:rPr>
          <w:rFonts w:ascii="Arial"/>
          <w:sz w:val="22"/>
        </w:rPr>
        <w:t>the</w:t>
      </w:r>
      <w:r>
        <w:rPr>
          <w:rFonts w:ascii="Arial"/>
          <w:spacing w:val="-6"/>
          <w:sz w:val="22"/>
        </w:rPr>
        <w:t> </w:t>
      </w:r>
      <w:r>
        <w:rPr>
          <w:rFonts w:ascii="Arial"/>
          <w:sz w:val="22"/>
        </w:rPr>
        <w:t>only</w:t>
      </w:r>
      <w:r>
        <w:rPr>
          <w:rFonts w:ascii="Arial"/>
          <w:spacing w:val="-5"/>
          <w:sz w:val="22"/>
        </w:rPr>
        <w:t> </w:t>
      </w:r>
      <w:r>
        <w:rPr>
          <w:rFonts w:ascii="Arial"/>
          <w:sz w:val="22"/>
        </w:rPr>
        <w:t>"prejudice"</w:t>
      </w:r>
      <w:r>
        <w:rPr>
          <w:rFonts w:ascii="Arial"/>
          <w:spacing w:val="-5"/>
          <w:sz w:val="22"/>
        </w:rPr>
        <w:t> </w:t>
      </w:r>
      <w:r>
        <w:rPr>
          <w:rFonts w:ascii="Arial"/>
          <w:sz w:val="22"/>
        </w:rPr>
        <w:t>which</w:t>
      </w:r>
      <w:r>
        <w:rPr>
          <w:rFonts w:ascii="Arial"/>
          <w:spacing w:val="-5"/>
          <w:sz w:val="22"/>
        </w:rPr>
        <w:t> </w:t>
      </w:r>
      <w:r>
        <w:rPr>
          <w:rFonts w:ascii="Arial"/>
          <w:sz w:val="22"/>
        </w:rPr>
        <w:t>the</w:t>
      </w:r>
      <w:r>
        <w:rPr>
          <w:rFonts w:ascii="Arial"/>
          <w:spacing w:val="-6"/>
          <w:sz w:val="22"/>
        </w:rPr>
        <w:t> </w:t>
      </w:r>
      <w:r>
        <w:rPr>
          <w:rFonts w:ascii="Arial"/>
          <w:sz w:val="22"/>
        </w:rPr>
        <w:t>plaintiff</w:t>
      </w:r>
      <w:r>
        <w:rPr>
          <w:rFonts w:ascii="Arial"/>
          <w:spacing w:val="-5"/>
          <w:sz w:val="22"/>
        </w:rPr>
        <w:t> </w:t>
      </w:r>
      <w:r>
        <w:rPr>
          <w:rFonts w:ascii="Arial"/>
          <w:sz w:val="22"/>
        </w:rPr>
        <w:t>alleges</w:t>
      </w:r>
      <w:r>
        <w:rPr>
          <w:rFonts w:ascii="Arial"/>
          <w:spacing w:val="-5"/>
          <w:sz w:val="22"/>
        </w:rPr>
        <w:t> </w:t>
      </w:r>
      <w:r>
        <w:rPr>
          <w:rFonts w:ascii="Arial"/>
          <w:sz w:val="22"/>
        </w:rPr>
        <w:t>seems</w:t>
      </w:r>
      <w:r>
        <w:rPr>
          <w:rFonts w:ascii="Arial"/>
          <w:spacing w:val="-5"/>
          <w:sz w:val="22"/>
        </w:rPr>
        <w:t> </w:t>
      </w:r>
      <w:r>
        <w:rPr>
          <w:rFonts w:ascii="Arial"/>
          <w:sz w:val="22"/>
        </w:rPr>
        <w:t>related</w:t>
      </w:r>
      <w:r>
        <w:rPr>
          <w:rFonts w:ascii="Arial"/>
          <w:spacing w:val="-5"/>
          <w:sz w:val="22"/>
        </w:rPr>
        <w:t> </w:t>
      </w:r>
      <w:r>
        <w:rPr>
          <w:rFonts w:ascii="Arial"/>
          <w:sz w:val="22"/>
        </w:rPr>
        <w:t>to</w:t>
      </w:r>
      <w:r>
        <w:rPr>
          <w:rFonts w:ascii="Arial"/>
          <w:spacing w:val="-6"/>
          <w:sz w:val="22"/>
        </w:rPr>
        <w:t> </w:t>
      </w:r>
      <w:r>
        <w:rPr>
          <w:rFonts w:ascii="Arial"/>
          <w:sz w:val="22"/>
        </w:rPr>
        <w:t>the</w:t>
      </w:r>
      <w:r>
        <w:rPr>
          <w:rFonts w:ascii="Arial"/>
          <w:spacing w:val="-5"/>
          <w:sz w:val="22"/>
        </w:rPr>
        <w:t> </w:t>
      </w:r>
      <w:r>
        <w:rPr>
          <w:rFonts w:ascii="Arial"/>
          <w:sz w:val="22"/>
        </w:rPr>
        <w:t>continued existence of her court action or related to the contractually mandated resort to appraisal in the event of the parties' disagreement over the amount of the loss. The plaintiff claims loss of a judicial forum in which to prove coverage, liability, replacement cost and interest, loss of a date certain for arbitration, expense in appointing an appraiser and umpire, and delay in resolution, apparently on the grounds that the defendant has appointed an appraiser from Maryland. We believe that none of these claims amounts to the sort of prejudice that would preclude giving free rein to the policy's appraisal clause. The plaintiff has also claimed prejudice in the expenditure</w:t>
      </w:r>
      <w:r>
        <w:rPr>
          <w:rFonts w:ascii="Arial"/>
          <w:spacing w:val="-4"/>
          <w:sz w:val="22"/>
        </w:rPr>
        <w:t> </w:t>
      </w:r>
      <w:r>
        <w:rPr>
          <w:rFonts w:ascii="Arial"/>
          <w:sz w:val="22"/>
        </w:rPr>
        <w:t>of</w:t>
      </w:r>
      <w:r>
        <w:rPr>
          <w:rFonts w:ascii="Arial"/>
          <w:spacing w:val="-3"/>
          <w:sz w:val="22"/>
        </w:rPr>
        <w:t> </w:t>
      </w:r>
      <w:r>
        <w:rPr>
          <w:rFonts w:ascii="Arial"/>
          <w:sz w:val="22"/>
        </w:rPr>
        <w:t>attorney's</w:t>
      </w:r>
      <w:r>
        <w:rPr>
          <w:rFonts w:ascii="Arial"/>
          <w:spacing w:val="-4"/>
          <w:sz w:val="22"/>
        </w:rPr>
        <w:t> </w:t>
      </w:r>
      <w:r>
        <w:rPr>
          <w:rFonts w:ascii="Arial"/>
          <w:sz w:val="22"/>
        </w:rPr>
        <w:t>fees.</w:t>
      </w:r>
      <w:r>
        <w:rPr>
          <w:rFonts w:ascii="Arial"/>
          <w:spacing w:val="-3"/>
          <w:sz w:val="22"/>
        </w:rPr>
        <w:t> </w:t>
      </w:r>
      <w:r>
        <w:rPr>
          <w:rFonts w:ascii="Arial"/>
          <w:sz w:val="22"/>
        </w:rPr>
        <w:t>However,</w:t>
      </w:r>
      <w:r>
        <w:rPr>
          <w:rFonts w:ascii="Arial"/>
          <w:spacing w:val="-3"/>
          <w:sz w:val="22"/>
        </w:rPr>
        <w:t> </w:t>
      </w:r>
      <w:r>
        <w:rPr>
          <w:rFonts w:ascii="Arial"/>
          <w:sz w:val="22"/>
        </w:rPr>
        <w:t>as</w:t>
      </w:r>
      <w:r>
        <w:rPr>
          <w:rFonts w:ascii="Arial"/>
          <w:spacing w:val="-4"/>
          <w:sz w:val="22"/>
        </w:rPr>
        <w:t> </w:t>
      </w:r>
      <w:r>
        <w:rPr>
          <w:rFonts w:ascii="Arial"/>
          <w:sz w:val="22"/>
        </w:rPr>
        <w:t>the</w:t>
      </w:r>
      <w:r>
        <w:rPr>
          <w:rFonts w:ascii="Arial"/>
          <w:spacing w:val="-3"/>
          <w:sz w:val="22"/>
        </w:rPr>
        <w:t> </w:t>
      </w:r>
      <w:r>
        <w:rPr>
          <w:rFonts w:ascii="Arial"/>
          <w:sz w:val="22"/>
        </w:rPr>
        <w:t>court</w:t>
      </w:r>
      <w:r>
        <w:rPr>
          <w:rFonts w:ascii="Arial"/>
          <w:spacing w:val="-4"/>
          <w:sz w:val="22"/>
        </w:rPr>
        <w:t> </w:t>
      </w:r>
      <w:r>
        <w:rPr>
          <w:rFonts w:ascii="Arial"/>
          <w:sz w:val="22"/>
        </w:rPr>
        <w:t>in</w:t>
      </w:r>
      <w:r>
        <w:rPr>
          <w:rFonts w:ascii="Arial"/>
          <w:spacing w:val="-3"/>
          <w:sz w:val="22"/>
        </w:rPr>
        <w:t> </w:t>
      </w:r>
      <w:r>
        <w:rPr>
          <w:rFonts w:ascii="Arial"/>
          <w:sz w:val="22"/>
        </w:rPr>
        <w:t>Keesling,</w:t>
      </w:r>
      <w:r>
        <w:rPr>
          <w:rFonts w:ascii="Arial"/>
          <w:spacing w:val="-3"/>
          <w:sz w:val="22"/>
        </w:rPr>
        <w:t> </w:t>
      </w:r>
      <w:r>
        <w:rPr>
          <w:rFonts w:ascii="Arial"/>
          <w:sz w:val="22"/>
        </w:rPr>
        <w:t>520</w:t>
      </w:r>
      <w:r>
        <w:rPr>
          <w:rFonts w:ascii="Arial"/>
          <w:spacing w:val="-4"/>
          <w:sz w:val="22"/>
        </w:rPr>
        <w:t> </w:t>
      </w:r>
      <w:r>
        <w:rPr>
          <w:rFonts w:ascii="Arial"/>
          <w:sz w:val="22"/>
        </w:rPr>
        <w:t>P.2d</w:t>
      </w:r>
      <w:r>
        <w:rPr>
          <w:rFonts w:ascii="Arial"/>
          <w:spacing w:val="-3"/>
          <w:sz w:val="22"/>
        </w:rPr>
        <w:t> </w:t>
      </w:r>
      <w:r>
        <w:rPr>
          <w:rFonts w:ascii="Arial"/>
          <w:sz w:val="22"/>
        </w:rPr>
        <w:t>at</w:t>
      </w:r>
      <w:r>
        <w:rPr>
          <w:rFonts w:ascii="Arial"/>
          <w:spacing w:val="-3"/>
          <w:sz w:val="22"/>
        </w:rPr>
        <w:t> </w:t>
      </w:r>
      <w:r>
        <w:rPr>
          <w:rFonts w:ascii="Arial"/>
          <w:sz w:val="22"/>
        </w:rPr>
        <w:t>628</w:t>
      </w:r>
      <w:r>
        <w:rPr>
          <w:rFonts w:ascii="Arial"/>
          <w:spacing w:val="-4"/>
          <w:sz w:val="22"/>
        </w:rPr>
        <w:t> </w:t>
      </w:r>
      <w:r>
        <w:rPr>
          <w:rFonts w:ascii="Arial"/>
          <w:sz w:val="22"/>
        </w:rPr>
        <w:t>opined:</w:t>
      </w:r>
    </w:p>
    <w:p>
      <w:pPr>
        <w:pStyle w:val="BodyText"/>
        <w:rPr>
          <w:rFonts w:ascii="Arial"/>
          <w:sz w:val="24"/>
        </w:rPr>
      </w:pPr>
    </w:p>
    <w:p>
      <w:pPr>
        <w:pStyle w:val="BodyText"/>
        <w:spacing w:before="4"/>
        <w:rPr>
          <w:rFonts w:ascii="Arial"/>
          <w:sz w:val="27"/>
        </w:rPr>
      </w:pPr>
    </w:p>
    <w:p>
      <w:pPr>
        <w:spacing w:line="285" w:lineRule="auto" w:before="0"/>
        <w:ind w:left="1300" w:right="1474" w:firstLine="0"/>
        <w:jc w:val="left"/>
        <w:rPr>
          <w:rFonts w:ascii="Arial"/>
          <w:sz w:val="22"/>
        </w:rPr>
      </w:pPr>
      <w:r>
        <w:rPr>
          <w:rFonts w:ascii="Arial"/>
          <w:sz w:val="22"/>
        </w:rPr>
        <w:t>While authority can be found for the proposition that institution of suit by the insured serves to cut off the insurer's right to demand appraisal (Littrell v. Allemania Fire Ins. Co., 250 N.Y. 628, 166 N.E. 350; Davis v. Imperial Ins. Co., 16 Wash. 241, 47 P. 439 (1896)), we think that the better view is that the inconvenience of bringing suit is just one circumstance to be considered in determining whether a delay in demanding appraisal was unreasonable, that is, whether the inconvenience suffered was sufficient to justify a refusal to proceed under the appraisal provision of the policy. Stephens v. Union Assur. Soc., 16 Utah 22, 50 P. 626 (1897).</w:t>
      </w:r>
    </w:p>
    <w:p>
      <w:pPr>
        <w:spacing w:line="285" w:lineRule="auto" w:before="0"/>
        <w:ind w:left="1300" w:right="1442" w:firstLine="0"/>
        <w:jc w:val="left"/>
        <w:rPr>
          <w:rFonts w:ascii="Arial"/>
          <w:sz w:val="22"/>
        </w:rPr>
      </w:pPr>
      <w:r>
        <w:rPr>
          <w:rFonts w:ascii="Arial"/>
          <w:sz w:val="22"/>
        </w:rPr>
        <w:t>We do not believe that the plaintiff's institution of suit and consequent expenditure of attorney's fees warrants the conclusion that the appraisal clause must be considered waived in the instant case.</w:t>
      </w:r>
    </w:p>
    <w:p>
      <w:pPr>
        <w:pStyle w:val="BodyText"/>
        <w:spacing w:before="2"/>
        <w:rPr>
          <w:rFonts w:ascii="Arial"/>
          <w:sz w:val="25"/>
        </w:rPr>
      </w:pPr>
    </w:p>
    <w:p>
      <w:pPr>
        <w:spacing w:line="285" w:lineRule="auto" w:before="0"/>
        <w:ind w:left="1300" w:right="1442" w:firstLine="0"/>
        <w:jc w:val="left"/>
        <w:rPr>
          <w:rFonts w:ascii="Arial"/>
          <w:sz w:val="22"/>
        </w:rPr>
      </w:pPr>
      <w:r>
        <w:rPr>
          <w:rFonts w:ascii="Arial"/>
          <w:sz w:val="22"/>
        </w:rPr>
        <w:t>Nor can we say that there was a break-down of good-faith negotiations prior to the initiation of this action. The defendant was not even aware of the plaintiff's loss until five months after it had occurred. From July, 1988 until late November, 1988, there was a good-faith dispute over the timeliness of the plaintiff's claim and over the amount of the loss sustained. At the end of November, 1988, the tenor of the parties' relationship changed, when the parties became</w:t>
      </w:r>
    </w:p>
    <w:p>
      <w:pPr>
        <w:spacing w:after="0" w:line="285" w:lineRule="auto"/>
        <w:jc w:val="left"/>
        <w:rPr>
          <w:rFonts w:ascii="Arial"/>
          <w:sz w:val="22"/>
        </w:rPr>
        <w:sectPr>
          <w:footerReference w:type="default" r:id="rId11"/>
          <w:pgSz w:w="12240" w:h="15840"/>
          <w:pgMar w:footer="0" w:header="0" w:top="1380" w:bottom="280" w:left="140" w:right="40"/>
        </w:sectPr>
      </w:pPr>
    </w:p>
    <w:p>
      <w:pPr>
        <w:spacing w:line="285" w:lineRule="auto" w:before="63"/>
        <w:ind w:left="1300" w:right="1465" w:firstLine="0"/>
        <w:jc w:val="left"/>
        <w:rPr>
          <w:rFonts w:ascii="Arial"/>
          <w:sz w:val="22"/>
        </w:rPr>
      </w:pPr>
      <w:bookmarkStart w:name="Law and Procedure 199" w:id="13"/>
      <w:bookmarkEnd w:id="13"/>
      <w:r>
        <w:rPr/>
      </w:r>
      <w:r>
        <w:rPr>
          <w:rFonts w:ascii="Arial"/>
          <w:sz w:val="22"/>
        </w:rPr>
        <w:t>adversaries in the suit filed by the plaintiff on November 30, 1988. We, therefore, believe that the plaintiff has not met this part of the circumstances "test", either.[2]</w:t>
      </w:r>
    </w:p>
    <w:p>
      <w:pPr>
        <w:pStyle w:val="BodyText"/>
        <w:spacing w:before="11"/>
        <w:rPr>
          <w:rFonts w:ascii="Arial"/>
          <w:sz w:val="25"/>
        </w:rPr>
      </w:pPr>
    </w:p>
    <w:p>
      <w:pPr>
        <w:spacing w:line="285" w:lineRule="auto" w:before="0"/>
        <w:ind w:left="1300" w:right="1442" w:firstLine="0"/>
        <w:jc w:val="left"/>
        <w:rPr>
          <w:rFonts w:ascii="Arial"/>
          <w:sz w:val="22"/>
        </w:rPr>
      </w:pPr>
      <w:r>
        <w:rPr>
          <w:rFonts w:ascii="Arial"/>
          <w:sz w:val="22"/>
        </w:rPr>
        <w:t>*1021 As we have explained above, we believe that the defendant is entitled to an award of summary judgment in its favor, subject to the defendant's immediate filing of an amended complaint raising the affirmative defense of the existence of an appraisal clause in the policy.</w:t>
      </w:r>
    </w:p>
    <w:p>
      <w:pPr>
        <w:pStyle w:val="BodyText"/>
        <w:spacing w:before="9"/>
        <w:rPr>
          <w:rFonts w:ascii="Arial"/>
          <w:sz w:val="25"/>
        </w:rPr>
      </w:pPr>
    </w:p>
    <w:p>
      <w:pPr>
        <w:spacing w:before="0"/>
        <w:ind w:left="1300" w:right="0" w:firstLine="0"/>
        <w:jc w:val="left"/>
        <w:rPr>
          <w:rFonts w:ascii="Arial"/>
          <w:sz w:val="22"/>
        </w:rPr>
      </w:pPr>
      <w:r>
        <w:rPr>
          <w:rFonts w:ascii="Arial"/>
          <w:sz w:val="22"/>
        </w:rPr>
        <w:t>An appropriate order follows.</w:t>
      </w:r>
    </w:p>
    <w:p>
      <w:pPr>
        <w:pStyle w:val="BodyText"/>
        <w:rPr>
          <w:rFonts w:ascii="Arial"/>
          <w:sz w:val="24"/>
        </w:rPr>
      </w:pPr>
    </w:p>
    <w:p>
      <w:pPr>
        <w:pStyle w:val="BodyText"/>
        <w:spacing w:before="3"/>
        <w:rPr>
          <w:rFonts w:ascii="Arial"/>
          <w:sz w:val="32"/>
        </w:rPr>
      </w:pPr>
    </w:p>
    <w:p>
      <w:pPr>
        <w:spacing w:before="0"/>
        <w:ind w:left="1300" w:right="0" w:firstLine="0"/>
        <w:jc w:val="left"/>
        <w:rPr>
          <w:rFonts w:ascii="Arial"/>
          <w:sz w:val="22"/>
        </w:rPr>
      </w:pPr>
      <w:r>
        <w:rPr>
          <w:rFonts w:ascii="Arial"/>
          <w:sz w:val="22"/>
        </w:rPr>
        <w:t>ORDER</w:t>
      </w:r>
    </w:p>
    <w:p>
      <w:pPr>
        <w:spacing w:line="285" w:lineRule="auto" w:before="47"/>
        <w:ind w:left="1300" w:right="1400" w:firstLine="0"/>
        <w:jc w:val="left"/>
        <w:rPr>
          <w:rFonts w:ascii="Arial"/>
          <w:sz w:val="22"/>
        </w:rPr>
      </w:pPr>
      <w:r>
        <w:rPr>
          <w:rFonts w:ascii="Arial"/>
          <w:sz w:val="22"/>
        </w:rPr>
        <w:t>AND NOW, this 11th day of December, 1989, upon consideration of the defendant's Motion for Summary Judgment and of the plaintiff's response thereto, it is hereby ORDERED that defendant is granted leave to file an amended answer and further, said motion for summary judgment is GRANTED effective December 21, 1989, when judgment shall be deemed entered, subject to the defendant's filing an amended answer properly pleading the defense of the existence of the appraisal clause in the policy before said effective date of summary judgment.</w:t>
      </w:r>
    </w:p>
    <w:p>
      <w:pPr>
        <w:pStyle w:val="BodyText"/>
        <w:spacing w:before="6"/>
        <w:rPr>
          <w:rFonts w:ascii="Arial"/>
          <w:sz w:val="25"/>
        </w:rPr>
      </w:pPr>
    </w:p>
    <w:p>
      <w:pPr>
        <w:spacing w:before="1"/>
        <w:ind w:left="1300" w:right="0" w:firstLine="0"/>
        <w:jc w:val="left"/>
        <w:rPr>
          <w:rFonts w:ascii="Arial"/>
          <w:sz w:val="22"/>
        </w:rPr>
      </w:pPr>
      <w:r>
        <w:rPr>
          <w:rFonts w:ascii="Arial"/>
          <w:sz w:val="22"/>
        </w:rPr>
        <w:t>NOTES</w:t>
      </w:r>
    </w:p>
    <w:p>
      <w:pPr>
        <w:pStyle w:val="ListParagraph"/>
        <w:numPr>
          <w:ilvl w:val="1"/>
          <w:numId w:val="4"/>
        </w:numPr>
        <w:tabs>
          <w:tab w:pos="1606" w:val="left" w:leader="none"/>
        </w:tabs>
        <w:spacing w:line="285" w:lineRule="auto" w:before="47" w:after="0"/>
        <w:ind w:left="1300" w:right="1544" w:firstLine="0"/>
        <w:jc w:val="left"/>
        <w:rPr>
          <w:rFonts w:ascii="Arial"/>
          <w:sz w:val="22"/>
        </w:rPr>
      </w:pPr>
      <w:r>
        <w:rPr>
          <w:rFonts w:ascii="Arial"/>
          <w:sz w:val="22"/>
        </w:rPr>
        <w:t>The granting of summary judgment, subject to the defendants' filing of an amended complaint</w:t>
      </w:r>
      <w:r>
        <w:rPr>
          <w:rFonts w:ascii="Arial"/>
          <w:spacing w:val="-6"/>
          <w:sz w:val="22"/>
        </w:rPr>
        <w:t> </w:t>
      </w:r>
      <w:r>
        <w:rPr>
          <w:rFonts w:ascii="Arial"/>
          <w:sz w:val="22"/>
        </w:rPr>
        <w:t>raising</w:t>
      </w:r>
      <w:r>
        <w:rPr>
          <w:rFonts w:ascii="Arial"/>
          <w:spacing w:val="-5"/>
          <w:sz w:val="22"/>
        </w:rPr>
        <w:t> </w:t>
      </w:r>
      <w:r>
        <w:rPr>
          <w:rFonts w:ascii="Arial"/>
          <w:sz w:val="22"/>
        </w:rPr>
        <w:t>the</w:t>
      </w:r>
      <w:r>
        <w:rPr>
          <w:rFonts w:ascii="Arial"/>
          <w:spacing w:val="-6"/>
          <w:sz w:val="22"/>
        </w:rPr>
        <w:t> </w:t>
      </w:r>
      <w:r>
        <w:rPr>
          <w:rFonts w:ascii="Arial"/>
          <w:sz w:val="22"/>
        </w:rPr>
        <w:t>affirmative</w:t>
      </w:r>
      <w:r>
        <w:rPr>
          <w:rFonts w:ascii="Arial"/>
          <w:spacing w:val="-5"/>
          <w:sz w:val="22"/>
        </w:rPr>
        <w:t> </w:t>
      </w:r>
      <w:r>
        <w:rPr>
          <w:rFonts w:ascii="Arial"/>
          <w:sz w:val="22"/>
        </w:rPr>
        <w:t>defense</w:t>
      </w:r>
      <w:r>
        <w:rPr>
          <w:rFonts w:ascii="Arial"/>
          <w:spacing w:val="-6"/>
          <w:sz w:val="22"/>
        </w:rPr>
        <w:t> </w:t>
      </w:r>
      <w:r>
        <w:rPr>
          <w:rFonts w:ascii="Arial"/>
          <w:sz w:val="22"/>
        </w:rPr>
        <w:t>of</w:t>
      </w:r>
      <w:r>
        <w:rPr>
          <w:rFonts w:ascii="Arial"/>
          <w:spacing w:val="-5"/>
          <w:sz w:val="22"/>
        </w:rPr>
        <w:t> </w:t>
      </w:r>
      <w:r>
        <w:rPr>
          <w:rFonts w:ascii="Arial"/>
          <w:sz w:val="22"/>
        </w:rPr>
        <w:t>statute</w:t>
      </w:r>
      <w:r>
        <w:rPr>
          <w:rFonts w:ascii="Arial"/>
          <w:spacing w:val="-6"/>
          <w:sz w:val="22"/>
        </w:rPr>
        <w:t> </w:t>
      </w:r>
      <w:r>
        <w:rPr>
          <w:rFonts w:ascii="Arial"/>
          <w:sz w:val="22"/>
        </w:rPr>
        <w:t>of</w:t>
      </w:r>
      <w:r>
        <w:rPr>
          <w:rFonts w:ascii="Arial"/>
          <w:spacing w:val="-5"/>
          <w:sz w:val="22"/>
        </w:rPr>
        <w:t> </w:t>
      </w:r>
      <w:r>
        <w:rPr>
          <w:rFonts w:ascii="Arial"/>
          <w:sz w:val="22"/>
        </w:rPr>
        <w:t>limitations,</w:t>
      </w:r>
      <w:r>
        <w:rPr>
          <w:rFonts w:ascii="Arial"/>
          <w:spacing w:val="-6"/>
          <w:sz w:val="22"/>
        </w:rPr>
        <w:t> </w:t>
      </w:r>
      <w:r>
        <w:rPr>
          <w:rFonts w:ascii="Arial"/>
          <w:sz w:val="22"/>
        </w:rPr>
        <w:t>was</w:t>
      </w:r>
      <w:r>
        <w:rPr>
          <w:rFonts w:ascii="Arial"/>
          <w:spacing w:val="-5"/>
          <w:sz w:val="22"/>
        </w:rPr>
        <w:t> </w:t>
      </w:r>
      <w:r>
        <w:rPr>
          <w:rFonts w:ascii="Arial"/>
          <w:sz w:val="22"/>
        </w:rPr>
        <w:t>the</w:t>
      </w:r>
      <w:r>
        <w:rPr>
          <w:rFonts w:ascii="Arial"/>
          <w:spacing w:val="-5"/>
          <w:sz w:val="22"/>
        </w:rPr>
        <w:t> </w:t>
      </w:r>
      <w:r>
        <w:rPr>
          <w:rFonts w:ascii="Arial"/>
          <w:sz w:val="22"/>
        </w:rPr>
        <w:t>course</w:t>
      </w:r>
      <w:r>
        <w:rPr>
          <w:rFonts w:ascii="Arial"/>
          <w:spacing w:val="-6"/>
          <w:sz w:val="22"/>
        </w:rPr>
        <w:t> </w:t>
      </w:r>
      <w:r>
        <w:rPr>
          <w:rFonts w:ascii="Arial"/>
          <w:sz w:val="22"/>
        </w:rPr>
        <w:t>chosen</w:t>
      </w:r>
      <w:r>
        <w:rPr>
          <w:rFonts w:ascii="Arial"/>
          <w:spacing w:val="-5"/>
          <w:sz w:val="22"/>
        </w:rPr>
        <w:t> </w:t>
      </w:r>
      <w:r>
        <w:rPr>
          <w:rFonts w:ascii="Arial"/>
          <w:sz w:val="22"/>
        </w:rPr>
        <w:t>by</w:t>
      </w:r>
      <w:r>
        <w:rPr>
          <w:rFonts w:ascii="Arial"/>
          <w:spacing w:val="-6"/>
          <w:sz w:val="22"/>
        </w:rPr>
        <w:t> </w:t>
      </w:r>
      <w:r>
        <w:rPr>
          <w:rFonts w:ascii="Arial"/>
          <w:sz w:val="22"/>
        </w:rPr>
        <w:t>the court in Echols v. Strickland, 92 F.R.D. 75 (S.D.Tex. 1981). The Echols court</w:t>
      </w:r>
      <w:r>
        <w:rPr>
          <w:rFonts w:ascii="Arial"/>
          <w:spacing w:val="-37"/>
          <w:sz w:val="22"/>
        </w:rPr>
        <w:t> </w:t>
      </w:r>
      <w:r>
        <w:rPr>
          <w:rFonts w:ascii="Arial"/>
          <w:sz w:val="22"/>
        </w:rPr>
        <w:t>stated:</w:t>
      </w:r>
    </w:p>
    <w:p>
      <w:pPr>
        <w:pStyle w:val="BodyText"/>
        <w:spacing w:before="9"/>
        <w:rPr>
          <w:rFonts w:ascii="Arial"/>
          <w:sz w:val="25"/>
        </w:rPr>
      </w:pPr>
    </w:p>
    <w:p>
      <w:pPr>
        <w:spacing w:line="285" w:lineRule="auto" w:before="0"/>
        <w:ind w:left="1300" w:right="1434" w:firstLine="0"/>
        <w:jc w:val="left"/>
        <w:rPr>
          <w:rFonts w:ascii="Arial" w:hAnsi="Arial"/>
          <w:sz w:val="22"/>
        </w:rPr>
      </w:pPr>
      <w:r>
        <w:rPr>
          <w:rFonts w:ascii="Arial" w:hAnsi="Arial"/>
          <w:sz w:val="22"/>
        </w:rPr>
        <w:t>Because this case is still in the pre-trial stage and because the Defendants would therefore generally be permitted to avail themselves of the liberal amendment provisions of Rule 15 by filing amended answers with proper invocation of the defense, the better view is that the defense has not been waived. Greenwald v. Cunard Steam-Ship Company, 162 F. Supp. 250 (S.D.N.Y.1958);</w:t>
      </w:r>
      <w:r>
        <w:rPr>
          <w:rFonts w:ascii="Arial" w:hAnsi="Arial"/>
          <w:spacing w:val="-6"/>
          <w:sz w:val="22"/>
        </w:rPr>
        <w:t> </w:t>
      </w:r>
      <w:r>
        <w:rPr>
          <w:rFonts w:ascii="Arial" w:hAnsi="Arial"/>
          <w:sz w:val="22"/>
        </w:rPr>
        <w:t>Wright</w:t>
      </w:r>
      <w:r>
        <w:rPr>
          <w:rFonts w:ascii="Arial" w:hAnsi="Arial"/>
          <w:spacing w:val="-6"/>
          <w:sz w:val="22"/>
        </w:rPr>
        <w:t> </w:t>
      </w:r>
      <w:r>
        <w:rPr>
          <w:rFonts w:ascii="Arial" w:hAnsi="Arial"/>
          <w:sz w:val="22"/>
        </w:rPr>
        <w:t>&amp;</w:t>
      </w:r>
      <w:r>
        <w:rPr>
          <w:rFonts w:ascii="Arial" w:hAnsi="Arial"/>
          <w:spacing w:val="-5"/>
          <w:sz w:val="22"/>
        </w:rPr>
        <w:t> </w:t>
      </w:r>
      <w:r>
        <w:rPr>
          <w:rFonts w:ascii="Arial" w:hAnsi="Arial"/>
          <w:sz w:val="22"/>
        </w:rPr>
        <w:t>Miller,</w:t>
      </w:r>
      <w:r>
        <w:rPr>
          <w:rFonts w:ascii="Arial" w:hAnsi="Arial"/>
          <w:spacing w:val="-6"/>
          <w:sz w:val="22"/>
        </w:rPr>
        <w:t> </w:t>
      </w:r>
      <w:r>
        <w:rPr>
          <w:rFonts w:ascii="Arial" w:hAnsi="Arial"/>
          <w:sz w:val="22"/>
        </w:rPr>
        <w:t>FEDERAL</w:t>
      </w:r>
      <w:r>
        <w:rPr>
          <w:rFonts w:ascii="Arial" w:hAnsi="Arial"/>
          <w:spacing w:val="-5"/>
          <w:sz w:val="22"/>
        </w:rPr>
        <w:t> </w:t>
      </w:r>
      <w:r>
        <w:rPr>
          <w:rFonts w:ascii="Arial" w:hAnsi="Arial"/>
          <w:sz w:val="22"/>
        </w:rPr>
        <w:t>PRACTICE</w:t>
      </w:r>
      <w:r>
        <w:rPr>
          <w:rFonts w:ascii="Arial" w:hAnsi="Arial"/>
          <w:spacing w:val="-6"/>
          <w:sz w:val="22"/>
        </w:rPr>
        <w:t> </w:t>
      </w:r>
      <w:r>
        <w:rPr>
          <w:rFonts w:ascii="Arial" w:hAnsi="Arial"/>
          <w:sz w:val="22"/>
        </w:rPr>
        <w:t>AND</w:t>
      </w:r>
      <w:r>
        <w:rPr>
          <w:rFonts w:ascii="Arial" w:hAnsi="Arial"/>
          <w:spacing w:val="-5"/>
          <w:sz w:val="22"/>
        </w:rPr>
        <w:t> </w:t>
      </w:r>
      <w:r>
        <w:rPr>
          <w:rFonts w:ascii="Arial" w:hAnsi="Arial"/>
          <w:sz w:val="22"/>
        </w:rPr>
        <w:t>PROCEDURE:</w:t>
      </w:r>
      <w:r>
        <w:rPr>
          <w:rFonts w:ascii="Arial" w:hAnsi="Arial"/>
          <w:spacing w:val="-6"/>
          <w:sz w:val="22"/>
        </w:rPr>
        <w:t> </w:t>
      </w:r>
      <w:r>
        <w:rPr>
          <w:rFonts w:ascii="Arial" w:hAnsi="Arial"/>
          <w:sz w:val="22"/>
        </w:rPr>
        <w:t>Civil</w:t>
      </w:r>
      <w:r>
        <w:rPr>
          <w:rFonts w:ascii="Arial" w:hAnsi="Arial"/>
          <w:spacing w:val="-6"/>
          <w:sz w:val="22"/>
        </w:rPr>
        <w:t> </w:t>
      </w:r>
      <w:r>
        <w:rPr>
          <w:rFonts w:ascii="Arial" w:hAnsi="Arial"/>
          <w:sz w:val="22"/>
        </w:rPr>
        <w:t>§</w:t>
      </w:r>
      <w:r>
        <w:rPr>
          <w:rFonts w:ascii="Arial" w:hAnsi="Arial"/>
          <w:spacing w:val="-5"/>
          <w:sz w:val="22"/>
        </w:rPr>
        <w:t> </w:t>
      </w:r>
      <w:r>
        <w:rPr>
          <w:rFonts w:ascii="Arial" w:hAnsi="Arial"/>
          <w:sz w:val="22"/>
        </w:rPr>
        <w:t>1278,</w:t>
      </w:r>
      <w:r>
        <w:rPr>
          <w:rFonts w:ascii="Arial" w:hAnsi="Arial"/>
          <w:spacing w:val="-6"/>
          <w:sz w:val="22"/>
        </w:rPr>
        <w:t> </w:t>
      </w:r>
      <w:r>
        <w:rPr>
          <w:rFonts w:ascii="Arial" w:hAnsi="Arial"/>
          <w:sz w:val="22"/>
        </w:rPr>
        <w:t>p.</w:t>
      </w:r>
      <w:r>
        <w:rPr>
          <w:rFonts w:ascii="Arial" w:hAnsi="Arial"/>
          <w:spacing w:val="-5"/>
          <w:sz w:val="22"/>
        </w:rPr>
        <w:t> </w:t>
      </w:r>
      <w:r>
        <w:rPr>
          <w:rFonts w:ascii="Arial" w:hAnsi="Arial"/>
          <w:sz w:val="22"/>
        </w:rPr>
        <w:t>344</w:t>
      </w:r>
    </w:p>
    <w:p>
      <w:pPr>
        <w:spacing w:line="285" w:lineRule="auto" w:before="0"/>
        <w:ind w:left="1300" w:right="1442" w:firstLine="0"/>
        <w:jc w:val="left"/>
        <w:rPr>
          <w:rFonts w:ascii="Arial"/>
          <w:sz w:val="22"/>
        </w:rPr>
      </w:pPr>
      <w:r>
        <w:rPr>
          <w:rFonts w:ascii="Arial"/>
          <w:sz w:val="22"/>
        </w:rPr>
        <w:t>(1969); see United Transportation Union v. Florida East Coast Railway, 586 F.2d 520, 527 (5th Cir.1978). Accordingly, the Court will proceed to consider the defense on its merits.</w:t>
      </w:r>
    </w:p>
    <w:p>
      <w:pPr>
        <w:pStyle w:val="BodyText"/>
        <w:spacing w:before="5"/>
        <w:rPr>
          <w:rFonts w:ascii="Arial"/>
          <w:sz w:val="25"/>
        </w:rPr>
      </w:pPr>
    </w:p>
    <w:p>
      <w:pPr>
        <w:spacing w:before="0"/>
        <w:ind w:left="1300" w:right="0" w:firstLine="0"/>
        <w:jc w:val="left"/>
        <w:rPr>
          <w:rFonts w:ascii="Arial"/>
          <w:sz w:val="22"/>
        </w:rPr>
      </w:pPr>
      <w:r>
        <w:rPr>
          <w:rFonts w:ascii="Arial"/>
          <w:sz w:val="22"/>
        </w:rPr>
        <w:t>Id. at 77.</w:t>
      </w:r>
    </w:p>
    <w:p>
      <w:pPr>
        <w:pStyle w:val="BodyText"/>
        <w:spacing w:before="2"/>
        <w:rPr>
          <w:rFonts w:ascii="Arial"/>
          <w:sz w:val="30"/>
        </w:rPr>
      </w:pPr>
    </w:p>
    <w:p>
      <w:pPr>
        <w:spacing w:line="285" w:lineRule="auto" w:before="0"/>
        <w:ind w:left="1300" w:right="1442" w:firstLine="0"/>
        <w:jc w:val="left"/>
        <w:rPr>
          <w:rFonts w:ascii="Arial"/>
          <w:sz w:val="22"/>
        </w:rPr>
      </w:pPr>
      <w:r>
        <w:rPr>
          <w:rFonts w:ascii="Arial"/>
          <w:sz w:val="22"/>
        </w:rPr>
        <w:t>We are also aware of the liberal amendment provisions of Fed.R.Civ.P. 15 and that is why we, too, have chosen to follow this course.</w:t>
      </w:r>
    </w:p>
    <w:p>
      <w:pPr>
        <w:pStyle w:val="BodyText"/>
        <w:spacing w:before="10"/>
        <w:rPr>
          <w:rFonts w:ascii="Arial"/>
          <w:sz w:val="25"/>
        </w:rPr>
      </w:pPr>
    </w:p>
    <w:p>
      <w:pPr>
        <w:pStyle w:val="ListParagraph"/>
        <w:numPr>
          <w:ilvl w:val="1"/>
          <w:numId w:val="4"/>
        </w:numPr>
        <w:tabs>
          <w:tab w:pos="1606" w:val="left" w:leader="none"/>
        </w:tabs>
        <w:spacing w:line="285" w:lineRule="auto" w:before="1" w:after="0"/>
        <w:ind w:left="1300" w:right="1434" w:firstLine="0"/>
        <w:jc w:val="left"/>
        <w:rPr>
          <w:rFonts w:ascii="Arial"/>
          <w:sz w:val="22"/>
        </w:rPr>
      </w:pPr>
      <w:r>
        <w:rPr>
          <w:rFonts w:ascii="Arial"/>
          <w:sz w:val="22"/>
        </w:rPr>
        <w:t>The plaintiff argues that the defendant's "full and complete log sheets are essential to a determination of timeliness". The defendant has produced, pursuant to a discovery request made by the plaintiff, numerous log entries made for the plaintiff's claim. It has refused to furnish, however, certain log entries, maintaining that they are non-discoverable because made after</w:t>
      </w:r>
      <w:r>
        <w:rPr>
          <w:rFonts w:ascii="Arial"/>
          <w:spacing w:val="-6"/>
          <w:sz w:val="22"/>
        </w:rPr>
        <w:t> </w:t>
      </w:r>
      <w:r>
        <w:rPr>
          <w:rFonts w:ascii="Arial"/>
          <w:sz w:val="22"/>
        </w:rPr>
        <w:t>the</w:t>
      </w:r>
      <w:r>
        <w:rPr>
          <w:rFonts w:ascii="Arial"/>
          <w:spacing w:val="-5"/>
          <w:sz w:val="22"/>
        </w:rPr>
        <w:t> </w:t>
      </w:r>
      <w:r>
        <w:rPr>
          <w:rFonts w:ascii="Arial"/>
          <w:sz w:val="22"/>
        </w:rPr>
        <w:t>commencement</w:t>
      </w:r>
      <w:r>
        <w:rPr>
          <w:rFonts w:ascii="Arial"/>
          <w:spacing w:val="-5"/>
          <w:sz w:val="22"/>
        </w:rPr>
        <w:t> </w:t>
      </w:r>
      <w:r>
        <w:rPr>
          <w:rFonts w:ascii="Arial"/>
          <w:sz w:val="22"/>
        </w:rPr>
        <w:t>of</w:t>
      </w:r>
      <w:r>
        <w:rPr>
          <w:rFonts w:ascii="Arial"/>
          <w:spacing w:val="-5"/>
          <w:sz w:val="22"/>
        </w:rPr>
        <w:t> </w:t>
      </w:r>
      <w:r>
        <w:rPr>
          <w:rFonts w:ascii="Arial"/>
          <w:sz w:val="22"/>
        </w:rPr>
        <w:t>the</w:t>
      </w:r>
      <w:r>
        <w:rPr>
          <w:rFonts w:ascii="Arial"/>
          <w:spacing w:val="-5"/>
          <w:sz w:val="22"/>
        </w:rPr>
        <w:t> </w:t>
      </w:r>
      <w:r>
        <w:rPr>
          <w:rFonts w:ascii="Arial"/>
          <w:sz w:val="22"/>
        </w:rPr>
        <w:t>instant</w:t>
      </w:r>
      <w:r>
        <w:rPr>
          <w:rFonts w:ascii="Arial"/>
          <w:spacing w:val="-5"/>
          <w:sz w:val="22"/>
        </w:rPr>
        <w:t> </w:t>
      </w:r>
      <w:r>
        <w:rPr>
          <w:rFonts w:ascii="Arial"/>
          <w:sz w:val="22"/>
        </w:rPr>
        <w:t>litigation.</w:t>
      </w:r>
      <w:r>
        <w:rPr>
          <w:rFonts w:ascii="Arial"/>
          <w:spacing w:val="-5"/>
          <w:sz w:val="22"/>
        </w:rPr>
        <w:t> </w:t>
      </w:r>
      <w:r>
        <w:rPr>
          <w:rFonts w:ascii="Arial"/>
          <w:sz w:val="22"/>
        </w:rPr>
        <w:t>The</w:t>
      </w:r>
      <w:r>
        <w:rPr>
          <w:rFonts w:ascii="Arial"/>
          <w:spacing w:val="-5"/>
          <w:sz w:val="22"/>
        </w:rPr>
        <w:t> </w:t>
      </w:r>
      <w:r>
        <w:rPr>
          <w:rFonts w:ascii="Arial"/>
          <w:sz w:val="22"/>
        </w:rPr>
        <w:t>plaintiff</w:t>
      </w:r>
      <w:r>
        <w:rPr>
          <w:rFonts w:ascii="Arial"/>
          <w:spacing w:val="-6"/>
          <w:sz w:val="22"/>
        </w:rPr>
        <w:t> </w:t>
      </w:r>
      <w:r>
        <w:rPr>
          <w:rFonts w:ascii="Arial"/>
          <w:sz w:val="22"/>
        </w:rPr>
        <w:t>would</w:t>
      </w:r>
      <w:r>
        <w:rPr>
          <w:rFonts w:ascii="Arial"/>
          <w:spacing w:val="-5"/>
          <w:sz w:val="22"/>
        </w:rPr>
        <w:t> </w:t>
      </w:r>
      <w:r>
        <w:rPr>
          <w:rFonts w:ascii="Arial"/>
          <w:sz w:val="22"/>
        </w:rPr>
        <w:t>have</w:t>
      </w:r>
      <w:r>
        <w:rPr>
          <w:rFonts w:ascii="Arial"/>
          <w:spacing w:val="-5"/>
          <w:sz w:val="22"/>
        </w:rPr>
        <w:t> </w:t>
      </w:r>
      <w:r>
        <w:rPr>
          <w:rFonts w:ascii="Arial"/>
          <w:sz w:val="22"/>
        </w:rPr>
        <w:t>us</w:t>
      </w:r>
      <w:r>
        <w:rPr>
          <w:rFonts w:ascii="Arial"/>
          <w:spacing w:val="-5"/>
          <w:sz w:val="22"/>
        </w:rPr>
        <w:t> </w:t>
      </w:r>
      <w:r>
        <w:rPr>
          <w:rFonts w:ascii="Arial"/>
          <w:sz w:val="22"/>
        </w:rPr>
        <w:t>deny</w:t>
      </w:r>
      <w:r>
        <w:rPr>
          <w:rFonts w:ascii="Arial"/>
          <w:spacing w:val="-5"/>
          <w:sz w:val="22"/>
        </w:rPr>
        <w:t> </w:t>
      </w:r>
      <w:r>
        <w:rPr>
          <w:rFonts w:ascii="Arial"/>
          <w:sz w:val="22"/>
        </w:rPr>
        <w:t>this</w:t>
      </w:r>
      <w:r>
        <w:rPr>
          <w:rFonts w:ascii="Arial"/>
          <w:spacing w:val="-5"/>
          <w:sz w:val="22"/>
        </w:rPr>
        <w:t> </w:t>
      </w:r>
      <w:r>
        <w:rPr>
          <w:rFonts w:ascii="Arial"/>
          <w:sz w:val="22"/>
        </w:rPr>
        <w:t>motion</w:t>
      </w:r>
      <w:r>
        <w:rPr>
          <w:rFonts w:ascii="Arial"/>
          <w:spacing w:val="-5"/>
          <w:sz w:val="22"/>
        </w:rPr>
        <w:t> </w:t>
      </w:r>
      <w:r>
        <w:rPr>
          <w:rFonts w:ascii="Arial"/>
          <w:sz w:val="22"/>
        </w:rPr>
        <w:t>for summary judgment because it is not in possession of log notes made after the commencement of</w:t>
      </w:r>
      <w:r>
        <w:rPr>
          <w:rFonts w:ascii="Arial"/>
          <w:spacing w:val="-5"/>
          <w:sz w:val="22"/>
        </w:rPr>
        <w:t> </w:t>
      </w:r>
      <w:r>
        <w:rPr>
          <w:rFonts w:ascii="Arial"/>
          <w:sz w:val="22"/>
        </w:rPr>
        <w:t>suit.</w:t>
      </w:r>
      <w:r>
        <w:rPr>
          <w:rFonts w:ascii="Arial"/>
          <w:spacing w:val="-5"/>
          <w:sz w:val="22"/>
        </w:rPr>
        <w:t> </w:t>
      </w:r>
      <w:r>
        <w:rPr>
          <w:rFonts w:ascii="Arial"/>
          <w:sz w:val="22"/>
        </w:rPr>
        <w:t>In</w:t>
      </w:r>
      <w:r>
        <w:rPr>
          <w:rFonts w:ascii="Arial"/>
          <w:spacing w:val="-4"/>
          <w:sz w:val="22"/>
        </w:rPr>
        <w:t> </w:t>
      </w:r>
      <w:r>
        <w:rPr>
          <w:rFonts w:ascii="Arial"/>
          <w:sz w:val="22"/>
        </w:rPr>
        <w:t>support</w:t>
      </w:r>
      <w:r>
        <w:rPr>
          <w:rFonts w:ascii="Arial"/>
          <w:spacing w:val="-5"/>
          <w:sz w:val="22"/>
        </w:rPr>
        <w:t> </w:t>
      </w:r>
      <w:r>
        <w:rPr>
          <w:rFonts w:ascii="Arial"/>
          <w:sz w:val="22"/>
        </w:rPr>
        <w:t>of</w:t>
      </w:r>
      <w:r>
        <w:rPr>
          <w:rFonts w:ascii="Arial"/>
          <w:spacing w:val="-4"/>
          <w:sz w:val="22"/>
        </w:rPr>
        <w:t> </w:t>
      </w:r>
      <w:r>
        <w:rPr>
          <w:rFonts w:ascii="Arial"/>
          <w:sz w:val="22"/>
        </w:rPr>
        <w:t>her</w:t>
      </w:r>
      <w:r>
        <w:rPr>
          <w:rFonts w:ascii="Arial"/>
          <w:spacing w:val="-5"/>
          <w:sz w:val="22"/>
        </w:rPr>
        <w:t> </w:t>
      </w:r>
      <w:r>
        <w:rPr>
          <w:rFonts w:ascii="Arial"/>
          <w:sz w:val="22"/>
        </w:rPr>
        <w:t>argument,</w:t>
      </w:r>
      <w:r>
        <w:rPr>
          <w:rFonts w:ascii="Arial"/>
          <w:spacing w:val="-4"/>
          <w:sz w:val="22"/>
        </w:rPr>
        <w:t> </w:t>
      </w:r>
      <w:r>
        <w:rPr>
          <w:rFonts w:ascii="Arial"/>
          <w:sz w:val="22"/>
        </w:rPr>
        <w:t>the</w:t>
      </w:r>
      <w:r>
        <w:rPr>
          <w:rFonts w:ascii="Arial"/>
          <w:spacing w:val="-5"/>
          <w:sz w:val="22"/>
        </w:rPr>
        <w:t> </w:t>
      </w:r>
      <w:r>
        <w:rPr>
          <w:rFonts w:ascii="Arial"/>
          <w:sz w:val="22"/>
        </w:rPr>
        <w:t>plaintiff</w:t>
      </w:r>
      <w:r>
        <w:rPr>
          <w:rFonts w:ascii="Arial"/>
          <w:spacing w:val="-5"/>
          <w:sz w:val="22"/>
        </w:rPr>
        <w:t> </w:t>
      </w:r>
      <w:r>
        <w:rPr>
          <w:rFonts w:ascii="Arial"/>
          <w:sz w:val="22"/>
        </w:rPr>
        <w:t>cites</w:t>
      </w:r>
      <w:r>
        <w:rPr>
          <w:rFonts w:ascii="Arial"/>
          <w:spacing w:val="-4"/>
          <w:sz w:val="22"/>
        </w:rPr>
        <w:t> </w:t>
      </w:r>
      <w:r>
        <w:rPr>
          <w:rFonts w:ascii="Arial"/>
          <w:sz w:val="22"/>
        </w:rPr>
        <w:t>us</w:t>
      </w:r>
      <w:r>
        <w:rPr>
          <w:rFonts w:ascii="Arial"/>
          <w:spacing w:val="-5"/>
          <w:sz w:val="22"/>
        </w:rPr>
        <w:t> </w:t>
      </w:r>
      <w:r>
        <w:rPr>
          <w:rFonts w:ascii="Arial"/>
          <w:sz w:val="22"/>
        </w:rPr>
        <w:t>to</w:t>
      </w:r>
      <w:r>
        <w:rPr>
          <w:rFonts w:ascii="Arial"/>
          <w:spacing w:val="-4"/>
          <w:sz w:val="22"/>
        </w:rPr>
        <w:t> </w:t>
      </w:r>
      <w:r>
        <w:rPr>
          <w:rFonts w:ascii="Arial"/>
          <w:sz w:val="22"/>
        </w:rPr>
        <w:t>a</w:t>
      </w:r>
      <w:r>
        <w:rPr>
          <w:rFonts w:ascii="Arial"/>
          <w:spacing w:val="-5"/>
          <w:sz w:val="22"/>
        </w:rPr>
        <w:t> </w:t>
      </w:r>
      <w:r>
        <w:rPr>
          <w:rFonts w:ascii="Arial"/>
          <w:sz w:val="22"/>
        </w:rPr>
        <w:t>slip</w:t>
      </w:r>
      <w:r>
        <w:rPr>
          <w:rFonts w:ascii="Arial"/>
          <w:spacing w:val="-4"/>
          <w:sz w:val="22"/>
        </w:rPr>
        <w:t> </w:t>
      </w:r>
      <w:r>
        <w:rPr>
          <w:rFonts w:ascii="Arial"/>
          <w:sz w:val="22"/>
        </w:rPr>
        <w:t>opinion</w:t>
      </w:r>
      <w:r>
        <w:rPr>
          <w:rFonts w:ascii="Arial"/>
          <w:spacing w:val="-5"/>
          <w:sz w:val="22"/>
        </w:rPr>
        <w:t> </w:t>
      </w:r>
      <w:r>
        <w:rPr>
          <w:rFonts w:ascii="Arial"/>
          <w:sz w:val="22"/>
        </w:rPr>
        <w:t>by</w:t>
      </w:r>
      <w:r>
        <w:rPr>
          <w:rFonts w:ascii="Arial"/>
          <w:spacing w:val="-5"/>
          <w:sz w:val="22"/>
        </w:rPr>
        <w:t> </w:t>
      </w:r>
      <w:r>
        <w:rPr>
          <w:rFonts w:ascii="Arial"/>
          <w:sz w:val="22"/>
        </w:rPr>
        <w:t>Magistrate</w:t>
      </w:r>
      <w:r>
        <w:rPr>
          <w:rFonts w:ascii="Arial"/>
          <w:spacing w:val="-4"/>
          <w:sz w:val="22"/>
        </w:rPr>
        <w:t> </w:t>
      </w:r>
      <w:r>
        <w:rPr>
          <w:rFonts w:ascii="Arial"/>
          <w:sz w:val="22"/>
        </w:rPr>
        <w:t>Naythons,</w:t>
      </w:r>
    </w:p>
    <w:p>
      <w:pPr>
        <w:spacing w:after="0" w:line="285" w:lineRule="auto"/>
        <w:jc w:val="left"/>
        <w:rPr>
          <w:rFonts w:ascii="Arial"/>
          <w:sz w:val="22"/>
        </w:rPr>
        <w:sectPr>
          <w:footerReference w:type="default" r:id="rId12"/>
          <w:pgSz w:w="12240" w:h="15840"/>
          <w:pgMar w:footer="0" w:header="0" w:top="1380" w:bottom="280" w:left="140" w:right="40"/>
        </w:sectPr>
      </w:pPr>
    </w:p>
    <w:p>
      <w:pPr>
        <w:spacing w:line="285" w:lineRule="auto" w:before="63"/>
        <w:ind w:left="1300" w:right="1465" w:firstLine="0"/>
        <w:jc w:val="left"/>
        <w:rPr>
          <w:rFonts w:ascii="Arial"/>
          <w:sz w:val="22"/>
        </w:rPr>
      </w:pPr>
      <w:bookmarkStart w:name="Law and Procedure 200" w:id="14"/>
      <w:bookmarkEnd w:id="14"/>
      <w:r>
        <w:rPr/>
      </w:r>
      <w:r>
        <w:rPr>
          <w:rFonts w:ascii="Arial"/>
          <w:sz w:val="22"/>
        </w:rPr>
        <w:t>Regalbuto v. Republic Insurance Co., No. 88-3430, slip op., 1988 WL 90421 (E.D.Pa. August 25, 1988). In Regalbuto, however, there stood before the court a motion to compel log sheets made prior to suit and prior to an appraisal demand. Since the log sheets in the instant case were made after the start of litigation, we fail to see the relevance of Regalbuto. Also, the plaintiff evidently made no motion to compel the production of the log sheets made after the commencement of litigation. The plaintiff may not now complain that she is not in possession of "full and complete log sheets".</w:t>
      </w:r>
    </w:p>
    <w:p>
      <w:pPr>
        <w:pStyle w:val="BodyText"/>
        <w:spacing w:before="5"/>
        <w:rPr>
          <w:rFonts w:ascii="Arial"/>
          <w:sz w:val="25"/>
        </w:rPr>
      </w:pPr>
    </w:p>
    <w:p>
      <w:pPr>
        <w:spacing w:line="285" w:lineRule="auto" w:before="1"/>
        <w:ind w:left="1300" w:right="1316" w:firstLine="0"/>
        <w:jc w:val="left"/>
        <w:rPr>
          <w:rFonts w:ascii="Arial"/>
          <w:sz w:val="22"/>
        </w:rPr>
      </w:pPr>
      <w:r>
        <w:rPr/>
        <w:pict>
          <v:group style="position:absolute;margin-left:362.571991pt;margin-top:127.856873pt;width:65.7pt;height:43.8pt;mso-position-horizontal-relative:page;mso-position-vertical-relative:paragraph;z-index:-254261248" coordorigin="7251,2557" coordsize="1314,876">
            <v:shape style="position:absolute;left:7261;top:2567;width:1294;height:856" type="#_x0000_t75" stroked="false">
              <v:imagedata r:id="rId14" o:title=""/>
            </v:shape>
            <v:shape style="position:absolute;left:7261;top:2567;width:1294;height:856" coordorigin="7261,2567" coordsize="1294,856" path="m7261,2727l7261,3263,7274,3325,7308,3376,7359,3411,7421,3423,8395,3423,8457,3411,8508,3376,8542,3325,8555,3263,8555,2727,8542,2665,8508,2614,8457,2580,8395,2567,7421,2567,7359,2580,7308,2614,7274,2665,7261,2727xe" filled="false" stroked="true" strokeweight="1pt" strokecolor="#6e0004">
              <v:path arrowok="t"/>
              <v:stroke dashstyle="solid"/>
            </v:shape>
            <w10:wrap type="none"/>
          </v:group>
        </w:pict>
      </w:r>
      <w:r>
        <w:rPr/>
        <w:pict>
          <v:shape style="position:absolute;margin-left:371.342987pt;margin-top:141.181351pt;width:48.15pt;height:22.8pt;mso-position-horizontal-relative:page;mso-position-vertical-relative:paragraph;z-index:-254260224" type="#_x0000_t202" filled="false" stroked="false">
            <v:textbox inset="0,0,0,0">
              <w:txbxContent>
                <w:p>
                  <w:pPr>
                    <w:spacing w:line="449" w:lineRule="exact" w:before="0"/>
                    <w:ind w:left="0" w:right="0" w:firstLine="0"/>
                    <w:jc w:val="left"/>
                    <w:rPr>
                      <w:rFonts w:ascii="Arial"/>
                      <w:b/>
                      <w:i/>
                      <w:sz w:val="45"/>
                    </w:rPr>
                  </w:pPr>
                  <w:r>
                    <w:rPr>
                      <w:rFonts w:ascii="Arial"/>
                      <w:b/>
                      <w:i/>
                      <w:color w:val="2A0E08"/>
                      <w:sz w:val="45"/>
                    </w:rPr>
                    <w:t>END</w:t>
                  </w:r>
                </w:p>
              </w:txbxContent>
            </v:textbox>
            <w10:wrap type="none"/>
          </v:shape>
        </w:pict>
      </w:r>
      <w:r>
        <w:rPr>
          <w:rFonts w:ascii="Arial"/>
          <w:sz w:val="22"/>
        </w:rPr>
        <w:t>The plaintiff also argues that the defendant's denial, of the existence of a statement given by plaintiff, followed by its subsequent explanation that it had taken a recorded statement by the plaintiff on September 27, 1988, but that no "statement" existed because the recording device had failed to function, entitles it to an "adverse inference" against the defendant "on any relevant fact." We do not agree. The plaintiff's own definition of "statement" is as follows: "a written statement signed or unsigned or a stenographic, mechanical, electrical or other recording, or a transcription thereof, which is substantially verbatim recital of an oral statement by the person making it contemporaneously recorded." (Emphasis supplied). Since the defendant had no "written statement" from the plaintiff and since there was no recorded statement or transcription thereof, we believe that the defendant was correct when it denied the existence of the plaintiff's statement.</w:t>
      </w:r>
    </w:p>
    <w:p>
      <w:pPr>
        <w:spacing w:after="0" w:line="285" w:lineRule="auto"/>
        <w:jc w:val="left"/>
        <w:rPr>
          <w:rFonts w:ascii="Arial"/>
          <w:sz w:val="22"/>
        </w:rPr>
        <w:sectPr>
          <w:footerReference w:type="default" r:id="rId13"/>
          <w:pgSz w:w="12240" w:h="15840"/>
          <w:pgMar w:footer="0" w:header="0" w:top="1380" w:bottom="280" w:left="140" w:right="40"/>
        </w:sectPr>
      </w:pPr>
    </w:p>
    <w:p>
      <w:pPr>
        <w:pStyle w:val="BodyText"/>
        <w:spacing w:line="60" w:lineRule="exact"/>
        <w:ind w:left="7942" w:right="-29"/>
        <w:rPr>
          <w:rFonts w:ascii="Arial"/>
          <w:sz w:val="6"/>
        </w:rPr>
      </w:pPr>
      <w:r>
        <w:rPr>
          <w:rFonts w:ascii="Arial"/>
          <w:position w:val="0"/>
          <w:sz w:val="6"/>
        </w:rPr>
        <w:pict>
          <v:group style="width:201.85pt;height:2.95pt;mso-position-horizontal-relative:char;mso-position-vertical-relative:line" coordorigin="0,0" coordsize="4037,59">
            <v:line style="position:absolute" from="0,30" to="4037,30" stroked="true" strokeweight="2.95pt" strokecolor="#000000">
              <v:stroke dashstyle="solid"/>
            </v:line>
          </v:group>
        </w:pict>
      </w:r>
      <w:r>
        <w:rPr>
          <w:rFonts w:ascii="Arial"/>
          <w:position w:val="0"/>
          <w:sz w:val="6"/>
        </w:rPr>
      </w:r>
    </w:p>
    <w:p>
      <w:pPr>
        <w:pStyle w:val="BodyText"/>
        <w:spacing w:before="6"/>
        <w:rPr>
          <w:rFonts w:ascii="Arial"/>
          <w:sz w:val="18"/>
        </w:rPr>
      </w:pPr>
      <w:r>
        <w:rPr/>
        <w:pict>
          <v:shape style="position:absolute;margin-left:319.766998pt;margin-top:14.103002pt;width:140.4pt;height:.1pt;mso-position-horizontal-relative:page;mso-position-vertical-relative:paragraph;z-index:-251631616;mso-wrap-distance-left:0;mso-wrap-distance-right:0" coordorigin="6395,282" coordsize="2808,0" path="m6395,282l9203,282e" filled="false" stroked="true" strokeweight="2.95pt" strokecolor="#000000">
            <v:path arrowok="t"/>
            <v:stroke dashstyle="solid"/>
            <w10:wrap type="topAndBottom"/>
          </v:shape>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pStyle w:val="BodyText"/>
        <w:spacing w:before="76"/>
        <w:ind w:left="3100"/>
      </w:pPr>
      <w:bookmarkStart w:name="Law and Procedure 201" w:id="15"/>
      <w:bookmarkEnd w:id="15"/>
      <w:r>
        <w:rPr/>
      </w:r>
      <w:r>
        <w:rPr/>
        <w:t>unless it expressly waives that right.” </w:t>
      </w:r>
      <w:r>
        <w:rPr>
          <w:vertAlign w:val="superscript"/>
        </w:rPr>
        <w:t>452</w:t>
      </w:r>
    </w:p>
    <w:p>
      <w:pPr>
        <w:pStyle w:val="BodyText"/>
        <w:spacing w:before="6"/>
      </w:pPr>
    </w:p>
    <w:p>
      <w:pPr>
        <w:pStyle w:val="BodyText"/>
        <w:spacing w:line="242" w:lineRule="auto"/>
        <w:ind w:left="3100" w:right="3199" w:firstLine="720"/>
        <w:jc w:val="both"/>
      </w:pPr>
      <w:r>
        <w:rPr/>
        <w:t>Neither party can use the right to demand appraisal so as to take undue advantage of the other, but both must act in good faith.</w:t>
      </w:r>
      <w:r>
        <w:rPr>
          <w:vertAlign w:val="superscript"/>
        </w:rPr>
        <w:t>453</w:t>
      </w:r>
    </w:p>
    <w:p>
      <w:pPr>
        <w:pStyle w:val="BodyText"/>
        <w:spacing w:before="1"/>
      </w:pPr>
    </w:p>
    <w:p>
      <w:pPr>
        <w:pStyle w:val="BodyText"/>
        <w:spacing w:line="242" w:lineRule="auto"/>
        <w:ind w:left="3100" w:right="3195" w:firstLine="720"/>
        <w:jc w:val="both"/>
      </w:pPr>
      <w:r>
        <w:rPr>
          <w:spacing w:val="3"/>
        </w:rPr>
        <w:t>It</w:t>
      </w:r>
      <w:r>
        <w:rPr>
          <w:spacing w:val="-29"/>
        </w:rPr>
        <w:t> </w:t>
      </w:r>
      <w:r>
        <w:rPr/>
        <w:t>has</w:t>
      </w:r>
      <w:r>
        <w:rPr>
          <w:spacing w:val="-25"/>
        </w:rPr>
        <w:t> </w:t>
      </w:r>
      <w:r>
        <w:rPr/>
        <w:t>been</w:t>
      </w:r>
      <w:r>
        <w:rPr>
          <w:spacing w:val="-27"/>
        </w:rPr>
        <w:t> </w:t>
      </w:r>
      <w:r>
        <w:rPr/>
        <w:t>stated</w:t>
      </w:r>
      <w:r>
        <w:rPr>
          <w:spacing w:val="-27"/>
        </w:rPr>
        <w:t> </w:t>
      </w:r>
      <w:r>
        <w:rPr/>
        <w:t>that</w:t>
      </w:r>
      <w:r>
        <w:rPr>
          <w:spacing w:val="-26"/>
        </w:rPr>
        <w:t> </w:t>
      </w:r>
      <w:r>
        <w:rPr/>
        <w:t>the</w:t>
      </w:r>
      <w:r>
        <w:rPr>
          <w:spacing w:val="-25"/>
        </w:rPr>
        <w:t> </w:t>
      </w:r>
      <w:r>
        <w:rPr/>
        <w:t>disagreement necessary to trigger appraisal cannot be unilateral in that the clause contemplates some meaningful exchange of information sufficient for each party to arrive at a conclusion</w:t>
      </w:r>
      <w:r>
        <w:rPr>
          <w:spacing w:val="-19"/>
        </w:rPr>
        <w:t> </w:t>
      </w:r>
      <w:r>
        <w:rPr/>
        <w:t>before</w:t>
      </w:r>
      <w:r>
        <w:rPr>
          <w:spacing w:val="-20"/>
        </w:rPr>
        <w:t> </w:t>
      </w:r>
      <w:r>
        <w:rPr/>
        <w:t>a</w:t>
      </w:r>
      <w:r>
        <w:rPr>
          <w:spacing w:val="-19"/>
        </w:rPr>
        <w:t> </w:t>
      </w:r>
      <w:r>
        <w:rPr/>
        <w:t>disagreement</w:t>
      </w:r>
      <w:r>
        <w:rPr>
          <w:spacing w:val="-20"/>
        </w:rPr>
        <w:t> </w:t>
      </w:r>
      <w:r>
        <w:rPr/>
        <w:t>can</w:t>
      </w:r>
      <w:r>
        <w:rPr>
          <w:spacing w:val="-16"/>
        </w:rPr>
        <w:t> </w:t>
      </w:r>
      <w:r>
        <w:rPr>
          <w:spacing w:val="-6"/>
        </w:rPr>
        <w:t>exist.</w:t>
      </w:r>
      <w:r>
        <w:rPr>
          <w:spacing w:val="-6"/>
          <w:vertAlign w:val="superscript"/>
        </w:rPr>
        <w:t>454</w:t>
      </w:r>
    </w:p>
    <w:p>
      <w:pPr>
        <w:pStyle w:val="BodyText"/>
      </w:pPr>
    </w:p>
    <w:p>
      <w:pPr>
        <w:pStyle w:val="BodyText"/>
        <w:spacing w:line="242" w:lineRule="auto" w:before="1"/>
        <w:ind w:left="3100" w:right="3200" w:firstLine="720"/>
        <w:jc w:val="both"/>
      </w:pPr>
      <w:r>
        <w:rPr/>
        <w:t>The timeliness in which the insurer is required</w:t>
      </w:r>
      <w:r>
        <w:rPr>
          <w:spacing w:val="-20"/>
        </w:rPr>
        <w:t> </w:t>
      </w:r>
      <w:r>
        <w:rPr/>
        <w:t>to</w:t>
      </w:r>
      <w:r>
        <w:rPr>
          <w:spacing w:val="-18"/>
        </w:rPr>
        <w:t> </w:t>
      </w:r>
      <w:r>
        <w:rPr/>
        <w:t>demand</w:t>
      </w:r>
      <w:r>
        <w:rPr>
          <w:spacing w:val="-19"/>
        </w:rPr>
        <w:t> </w:t>
      </w:r>
      <w:r>
        <w:rPr/>
        <w:t>appraisal</w:t>
      </w:r>
      <w:r>
        <w:rPr>
          <w:spacing w:val="-19"/>
        </w:rPr>
        <w:t> </w:t>
      </w:r>
      <w:r>
        <w:rPr/>
        <w:t>under</w:t>
      </w:r>
      <w:r>
        <w:rPr>
          <w:spacing w:val="-22"/>
        </w:rPr>
        <w:t> </w:t>
      </w:r>
      <w:r>
        <w:rPr/>
        <w:t>the</w:t>
      </w:r>
      <w:r>
        <w:rPr>
          <w:spacing w:val="-19"/>
        </w:rPr>
        <w:t> </w:t>
      </w:r>
      <w:r>
        <w:rPr/>
        <w:t>terms of the policy begins to run from the time the insurer admits liability.”</w:t>
      </w:r>
      <w:r>
        <w:rPr>
          <w:vertAlign w:val="superscript"/>
        </w:rPr>
        <w:t>455</w:t>
      </w:r>
      <w:r>
        <w:rPr>
          <w:vertAlign w:val="baseline"/>
        </w:rPr>
        <w:t> As to an </w:t>
      </w:r>
      <w:r>
        <w:rPr>
          <w:spacing w:val="-7"/>
          <w:vertAlign w:val="baseline"/>
        </w:rPr>
        <w:t>excess </w:t>
      </w:r>
      <w:r>
        <w:rPr>
          <w:vertAlign w:val="baseline"/>
        </w:rPr>
        <w:t>insurer’s</w:t>
      </w:r>
      <w:r>
        <w:rPr>
          <w:spacing w:val="-32"/>
          <w:vertAlign w:val="baseline"/>
        </w:rPr>
        <w:t> </w:t>
      </w:r>
      <w:r>
        <w:rPr>
          <w:vertAlign w:val="baseline"/>
        </w:rPr>
        <w:t>appraisal</w:t>
      </w:r>
      <w:r>
        <w:rPr>
          <w:spacing w:val="-31"/>
          <w:vertAlign w:val="baseline"/>
        </w:rPr>
        <w:t> </w:t>
      </w:r>
      <w:r>
        <w:rPr>
          <w:vertAlign w:val="baseline"/>
        </w:rPr>
        <w:t>demand</w:t>
      </w:r>
      <w:r>
        <w:rPr>
          <w:spacing w:val="-33"/>
          <w:vertAlign w:val="baseline"/>
        </w:rPr>
        <w:t> </w:t>
      </w:r>
      <w:r>
        <w:rPr>
          <w:vertAlign w:val="baseline"/>
        </w:rPr>
        <w:t>made</w:t>
      </w:r>
      <w:r>
        <w:rPr>
          <w:spacing w:val="-33"/>
          <w:vertAlign w:val="baseline"/>
        </w:rPr>
        <w:t> </w:t>
      </w:r>
      <w:r>
        <w:rPr>
          <w:vertAlign w:val="baseline"/>
        </w:rPr>
        <w:t>some</w:t>
      </w:r>
      <w:r>
        <w:rPr>
          <w:spacing w:val="-33"/>
          <w:vertAlign w:val="baseline"/>
        </w:rPr>
        <w:t> </w:t>
      </w:r>
      <w:r>
        <w:rPr>
          <w:vertAlign w:val="baseline"/>
        </w:rPr>
        <w:t>5</w:t>
      </w:r>
      <w:r>
        <w:rPr>
          <w:spacing w:val="-32"/>
          <w:vertAlign w:val="baseline"/>
        </w:rPr>
        <w:t> </w:t>
      </w:r>
      <w:r>
        <w:rPr>
          <w:spacing w:val="-3"/>
          <w:vertAlign w:val="baseline"/>
        </w:rPr>
        <w:t>years </w:t>
      </w:r>
      <w:r>
        <w:rPr>
          <w:vertAlign w:val="baseline"/>
        </w:rPr>
        <w:t>after the loss, it was held that whether such delay was reasonable depended upon </w:t>
      </w:r>
      <w:r>
        <w:rPr>
          <w:spacing w:val="-6"/>
          <w:vertAlign w:val="baseline"/>
        </w:rPr>
        <w:t>the </w:t>
      </w:r>
      <w:r>
        <w:rPr>
          <w:vertAlign w:val="baseline"/>
        </w:rPr>
        <w:t>specific facts of the</w:t>
      </w:r>
      <w:r>
        <w:rPr>
          <w:spacing w:val="-4"/>
          <w:vertAlign w:val="baseline"/>
        </w:rPr>
        <w:t> </w:t>
      </w:r>
      <w:r>
        <w:rPr>
          <w:vertAlign w:val="baseline"/>
        </w:rPr>
        <w:t>case.</w:t>
      </w:r>
      <w:r>
        <w:rPr>
          <w:vertAlign w:val="superscript"/>
        </w:rPr>
        <w:t>456</w:t>
      </w:r>
    </w:p>
    <w:p>
      <w:pPr>
        <w:pStyle w:val="BodyText"/>
        <w:spacing w:before="12"/>
        <w:rPr>
          <w:sz w:val="25"/>
        </w:rPr>
      </w:pPr>
    </w:p>
    <w:p>
      <w:pPr>
        <w:pStyle w:val="BodyText"/>
        <w:ind w:left="3820"/>
      </w:pPr>
      <w:r>
        <w:rPr/>
        <w:t>In Florida, appraisal was deemed to be</w:t>
      </w:r>
    </w:p>
    <w:p>
      <w:pPr>
        <w:pStyle w:val="BodyText"/>
        <w:spacing w:before="9"/>
        <w:rPr>
          <w:sz w:val="27"/>
        </w:rPr>
      </w:pPr>
      <w:r>
        <w:rPr/>
        <w:pict>
          <v:shape style="position:absolute;margin-left:162pt;margin-top:19.402603pt;width:143.9pt;height:.1pt;mso-position-horizontal-relative:page;mso-position-vertical-relative:paragraph;z-index:-251630592;mso-wrap-distance-left:0;mso-wrap-distance-right:0" coordorigin="3240,388" coordsize="2878,0" path="m3240,388l6118,38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3018" w:val="left" w:leader="none"/>
        </w:tabs>
        <w:spacing w:line="261" w:lineRule="auto" w:before="71" w:after="0"/>
        <w:ind w:left="2740" w:right="2845" w:firstLine="0"/>
        <w:jc w:val="left"/>
        <w:rPr>
          <w:sz w:val="18"/>
        </w:rPr>
      </w:pPr>
      <w:r>
        <w:rPr>
          <w:sz w:val="18"/>
          <w:u w:val="single"/>
        </w:rPr>
        <w:t>In re Texas Windstorm Ins. Ass’n</w:t>
      </w:r>
      <w:r>
        <w:rPr>
          <w:sz w:val="18"/>
        </w:rPr>
        <w:t>, 2013 WL 4806996 (Tex. App.-Houston [14</w:t>
      </w:r>
      <w:r>
        <w:rPr>
          <w:position w:val="7"/>
          <w:sz w:val="10"/>
        </w:rPr>
        <w:t>th </w:t>
      </w:r>
      <w:r>
        <w:rPr>
          <w:sz w:val="18"/>
        </w:rPr>
        <w:t>Dist] 2013).</w:t>
      </w:r>
    </w:p>
    <w:p>
      <w:pPr>
        <w:pStyle w:val="ListParagraph"/>
        <w:numPr>
          <w:ilvl w:val="0"/>
          <w:numId w:val="3"/>
        </w:numPr>
        <w:tabs>
          <w:tab w:pos="2994" w:val="left" w:leader="none"/>
        </w:tabs>
        <w:spacing w:line="193" w:lineRule="exact" w:before="0" w:after="0"/>
        <w:ind w:left="2993" w:right="0" w:hanging="254"/>
        <w:jc w:val="left"/>
        <w:rPr>
          <w:sz w:val="18"/>
        </w:rPr>
      </w:pPr>
      <w:r>
        <w:rPr>
          <w:sz w:val="18"/>
          <w:u w:val="single"/>
        </w:rPr>
        <w:t>Uhrig v. Williamsburgh City Fire Ins. Co.</w:t>
      </w:r>
      <w:r>
        <w:rPr>
          <w:sz w:val="18"/>
        </w:rPr>
        <w:t>, 101 N.Y. 362, 4 N.E. 745 (1886);</w:t>
      </w:r>
      <w:r>
        <w:rPr>
          <w:spacing w:val="3"/>
          <w:sz w:val="18"/>
        </w:rPr>
        <w:t> </w:t>
      </w:r>
      <w:r>
        <w:rPr>
          <w:sz w:val="18"/>
          <w:u w:val="single"/>
        </w:rPr>
        <w:t>Bishop</w:t>
      </w:r>
    </w:p>
    <w:p>
      <w:pPr>
        <w:spacing w:line="207" w:lineRule="exact" w:before="4"/>
        <w:ind w:left="2740" w:right="0" w:firstLine="0"/>
        <w:jc w:val="left"/>
        <w:rPr>
          <w:rFonts w:ascii="Times New Roman"/>
          <w:sz w:val="18"/>
        </w:rPr>
      </w:pPr>
      <w:r>
        <w:rPr>
          <w:rFonts w:ascii="Times New Roman"/>
          <w:sz w:val="18"/>
          <w:u w:val="single"/>
        </w:rPr>
        <w:t>v. Agricultural Ins. Co.</w:t>
      </w:r>
      <w:r>
        <w:rPr>
          <w:rFonts w:ascii="Times New Roman"/>
          <w:sz w:val="18"/>
        </w:rPr>
        <w:t>, 130 N.Y. 488, 29 N.E. 844 (1882).</w:t>
      </w:r>
    </w:p>
    <w:p>
      <w:pPr>
        <w:pStyle w:val="ListParagraph"/>
        <w:numPr>
          <w:ilvl w:val="0"/>
          <w:numId w:val="3"/>
        </w:numPr>
        <w:tabs>
          <w:tab w:pos="3018" w:val="left" w:leader="none"/>
        </w:tabs>
        <w:spacing w:line="269" w:lineRule="exact" w:before="0" w:after="0"/>
        <w:ind w:left="3017" w:right="0" w:hanging="278"/>
        <w:jc w:val="left"/>
        <w:rPr>
          <w:i/>
          <w:sz w:val="18"/>
        </w:rPr>
      </w:pPr>
      <w:r>
        <w:rPr>
          <w:sz w:val="18"/>
          <w:u w:val="single"/>
        </w:rPr>
        <w:t>Hailey v. Auto-owners Ins. Co.</w:t>
      </w:r>
      <w:r>
        <w:rPr>
          <w:sz w:val="18"/>
        </w:rPr>
        <w:t>, 181 N.C. App. 677, 640 S.E.2d 849 (2007); </w:t>
      </w:r>
      <w:r>
        <w:rPr>
          <w:i/>
          <w:sz w:val="18"/>
        </w:rPr>
        <w:t>see</w:t>
      </w:r>
      <w:r>
        <w:rPr>
          <w:i/>
          <w:spacing w:val="1"/>
          <w:sz w:val="18"/>
        </w:rPr>
        <w:t> </w:t>
      </w:r>
      <w:r>
        <w:rPr>
          <w:i/>
          <w:sz w:val="18"/>
        </w:rPr>
        <w:t>also</w:t>
      </w:r>
    </w:p>
    <w:p>
      <w:pPr>
        <w:spacing w:line="187" w:lineRule="exact" w:before="19"/>
        <w:ind w:left="2740" w:right="0" w:firstLine="0"/>
        <w:jc w:val="left"/>
        <w:rPr>
          <w:rFonts w:ascii="Times New Roman"/>
          <w:sz w:val="18"/>
        </w:rPr>
      </w:pPr>
      <w:r>
        <w:rPr>
          <w:rFonts w:ascii="Times New Roman"/>
          <w:sz w:val="18"/>
          <w:u w:val="single"/>
        </w:rPr>
        <w:t>200 Leslie Condo. Assn., Inc. v. QBE Ins. Corp.</w:t>
      </w:r>
      <w:r>
        <w:rPr>
          <w:rFonts w:ascii="Times New Roman"/>
          <w:sz w:val="18"/>
        </w:rPr>
        <w:t>, 2011 WL 2470344 (S.D.Fla.).</w:t>
      </w:r>
    </w:p>
    <w:p>
      <w:pPr>
        <w:spacing w:line="250" w:lineRule="exact" w:before="0"/>
        <w:ind w:left="2740" w:right="0" w:firstLine="0"/>
        <w:jc w:val="left"/>
        <w:rPr>
          <w:rFonts w:ascii="Times New Roman"/>
          <w:sz w:val="18"/>
        </w:rPr>
      </w:pPr>
      <w:r>
        <w:rPr>
          <w:rFonts w:ascii="Times New Roman"/>
          <w:position w:val="10"/>
          <w:sz w:val="14"/>
        </w:rPr>
        <w:t>455</w:t>
      </w:r>
      <w:r>
        <w:rPr>
          <w:rFonts w:ascii="Times New Roman"/>
          <w:sz w:val="14"/>
        </w:rPr>
        <w:t> </w:t>
      </w:r>
      <w:r>
        <w:rPr>
          <w:rFonts w:ascii="Times New Roman"/>
          <w:sz w:val="18"/>
          <w:u w:val="single"/>
        </w:rPr>
        <w:t>American Capital Assur. Corp. v. Courtney Meadows Apartment, L.L.P.</w:t>
      </w:r>
      <w:r>
        <w:rPr>
          <w:rFonts w:ascii="Times New Roman"/>
          <w:sz w:val="18"/>
        </w:rPr>
        <w:t>, 36 So.3d 704,</w:t>
      </w:r>
    </w:p>
    <w:p>
      <w:pPr>
        <w:spacing w:before="11"/>
        <w:ind w:left="2740" w:right="0" w:firstLine="0"/>
        <w:jc w:val="left"/>
        <w:rPr>
          <w:rFonts w:ascii="Times New Roman"/>
          <w:sz w:val="24"/>
        </w:rPr>
      </w:pPr>
      <w:r>
        <w:rPr>
          <w:rFonts w:ascii="Times New Roman"/>
          <w:sz w:val="18"/>
        </w:rPr>
        <w:t>35 Fla L. Weekly D802 (Fla. App. 1 Dist., 2010)</w:t>
      </w:r>
      <w:r>
        <w:rPr>
          <w:rFonts w:ascii="Times New Roman"/>
          <w:sz w:val="24"/>
        </w:rPr>
        <w:t>.</w:t>
      </w:r>
    </w:p>
    <w:p>
      <w:pPr>
        <w:spacing w:before="0"/>
        <w:ind w:left="2740" w:right="0" w:firstLine="0"/>
        <w:jc w:val="left"/>
        <w:rPr>
          <w:rFonts w:ascii="Times New Roman"/>
          <w:sz w:val="24"/>
        </w:rPr>
      </w:pPr>
      <w:r>
        <w:rPr>
          <w:rFonts w:ascii="Times New Roman"/>
          <w:position w:val="10"/>
          <w:sz w:val="14"/>
        </w:rPr>
        <w:t>456</w:t>
      </w:r>
      <w:r>
        <w:rPr>
          <w:rFonts w:ascii="Times New Roman"/>
          <w:sz w:val="14"/>
        </w:rPr>
        <w:t> </w:t>
      </w:r>
      <w:r>
        <w:rPr>
          <w:rFonts w:ascii="Times New Roman"/>
          <w:sz w:val="18"/>
          <w:u w:val="single"/>
        </w:rPr>
        <w:t>Amerex Group, Inc. v. Lexington Ins. Co.</w:t>
      </w:r>
      <w:r>
        <w:rPr>
          <w:rFonts w:ascii="Times New Roman"/>
          <w:sz w:val="18"/>
        </w:rPr>
        <w:t>, 678 F.3d 193 ( (L.A.2 (N.Y.) 2012)</w:t>
      </w:r>
      <w:r>
        <w:rPr>
          <w:rFonts w:ascii="Times New Roman"/>
          <w:sz w:val="24"/>
        </w:rPr>
        <w:t>.</w:t>
      </w:r>
    </w:p>
    <w:p>
      <w:pPr>
        <w:spacing w:after="0"/>
        <w:jc w:val="left"/>
        <w:rPr>
          <w:rFonts w:ascii="Times New Roman"/>
          <w:sz w:val="24"/>
        </w:rPr>
        <w:sectPr>
          <w:footerReference w:type="default" r:id="rId15"/>
          <w:pgSz w:w="12240" w:h="15840"/>
          <w:pgMar w:footer="2273" w:header="0" w:top="460" w:bottom="2460" w:left="140" w:right="40"/>
          <w:pgNumType w:start="247"/>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02" w:id="16"/>
      <w:bookmarkEnd w:id="16"/>
      <w:r>
        <w:rPr/>
      </w:r>
      <w:r>
        <w:rPr/>
        <w:t>premature where a disagreement by the parties was lacking as to the amount of loss and there was an absence of opportunity for an insurer to invoke post-loss conditions. The court</w:t>
      </w:r>
      <w:r>
        <w:rPr>
          <w:spacing w:val="-34"/>
        </w:rPr>
        <w:t> </w:t>
      </w:r>
      <w:r>
        <w:rPr/>
        <w:t>asserted</w:t>
      </w:r>
      <w:r>
        <w:rPr>
          <w:spacing w:val="-35"/>
        </w:rPr>
        <w:t> </w:t>
      </w:r>
      <w:r>
        <w:rPr>
          <w:spacing w:val="-3"/>
        </w:rPr>
        <w:t>that</w:t>
      </w:r>
      <w:r>
        <w:rPr>
          <w:spacing w:val="7"/>
        </w:rPr>
        <w:t> </w:t>
      </w:r>
      <w:r>
        <w:rPr/>
        <w:t>such</w:t>
      </w:r>
      <w:r>
        <w:rPr>
          <w:spacing w:val="-31"/>
        </w:rPr>
        <w:t> </w:t>
      </w:r>
      <w:r>
        <w:rPr/>
        <w:t>a</w:t>
      </w:r>
      <w:r>
        <w:rPr>
          <w:spacing w:val="-32"/>
        </w:rPr>
        <w:t> </w:t>
      </w:r>
      <w:r>
        <w:rPr/>
        <w:t>disagreement</w:t>
      </w:r>
      <w:r>
        <w:rPr>
          <w:spacing w:val="-35"/>
        </w:rPr>
        <w:t> </w:t>
      </w:r>
      <w:r>
        <w:rPr/>
        <w:t>could not</w:t>
      </w:r>
      <w:r>
        <w:rPr>
          <w:spacing w:val="-18"/>
        </w:rPr>
        <w:t> </w:t>
      </w:r>
      <w:r>
        <w:rPr/>
        <w:t>be</w:t>
      </w:r>
      <w:r>
        <w:rPr>
          <w:spacing w:val="-18"/>
        </w:rPr>
        <w:t> </w:t>
      </w:r>
      <w:r>
        <w:rPr/>
        <w:t>unilateral.</w:t>
      </w:r>
      <w:r>
        <w:rPr>
          <w:spacing w:val="-17"/>
        </w:rPr>
        <w:t> </w:t>
      </w:r>
      <w:r>
        <w:rPr>
          <w:spacing w:val="3"/>
        </w:rPr>
        <w:t>It</w:t>
      </w:r>
      <w:r>
        <w:rPr>
          <w:spacing w:val="-18"/>
        </w:rPr>
        <w:t> </w:t>
      </w:r>
      <w:r>
        <w:rPr/>
        <w:t>stated</w:t>
      </w:r>
      <w:r>
        <w:rPr>
          <w:spacing w:val="-16"/>
        </w:rPr>
        <w:t> </w:t>
      </w:r>
      <w:r>
        <w:rPr/>
        <w:t>that</w:t>
      </w:r>
      <w:r>
        <w:rPr>
          <w:spacing w:val="-18"/>
        </w:rPr>
        <w:t> </w:t>
      </w:r>
      <w:r>
        <w:rPr/>
        <w:t>“by</w:t>
      </w:r>
      <w:r>
        <w:rPr>
          <w:spacing w:val="-19"/>
        </w:rPr>
        <w:t> </w:t>
      </w:r>
      <w:r>
        <w:rPr/>
        <w:t>the</w:t>
      </w:r>
      <w:r>
        <w:rPr>
          <w:spacing w:val="-19"/>
        </w:rPr>
        <w:t> </w:t>
      </w:r>
      <w:r>
        <w:rPr/>
        <w:t>terms</w:t>
      </w:r>
      <w:r>
        <w:rPr>
          <w:spacing w:val="-18"/>
        </w:rPr>
        <w:t> </w:t>
      </w:r>
      <w:r>
        <w:rPr/>
        <w:t>of the contract, it was contemplated that the parties would engage </w:t>
      </w:r>
      <w:r>
        <w:rPr>
          <w:spacing w:val="2"/>
        </w:rPr>
        <w:t>in </w:t>
      </w:r>
      <w:r>
        <w:rPr/>
        <w:t>some meaningful exchange of information sufficient for each party to arrive at a conclusion before a </w:t>
      </w:r>
      <w:r>
        <w:rPr>
          <w:spacing w:val="6"/>
        </w:rPr>
        <w:t>disagreement</w:t>
      </w:r>
      <w:r>
        <w:rPr>
          <w:spacing w:val="83"/>
        </w:rPr>
        <w:t> </w:t>
      </w:r>
      <w:r>
        <w:rPr>
          <w:spacing w:val="6"/>
        </w:rPr>
        <w:t>could  </w:t>
      </w:r>
      <w:r>
        <w:rPr>
          <w:spacing w:val="5"/>
        </w:rPr>
        <w:t>exist.” </w:t>
      </w:r>
      <w:r>
        <w:rPr>
          <w:spacing w:val="6"/>
        </w:rPr>
        <w:t>It  defined  </w:t>
      </w:r>
      <w:r>
        <w:rPr/>
        <w:t>disagreement as “the existence of a real difference in fact, arising out of an honest effort to agree between the insured and the insurer…necessary to render operative a provision in a policy for arbitration of differences. Furthermore, there must be an actual and honest effort to reach an agreement between the parties, as it is only then that the clause for arbitration becomes operative, the remedies being</w:t>
      </w:r>
      <w:r>
        <w:rPr>
          <w:spacing w:val="-14"/>
        </w:rPr>
        <w:t> </w:t>
      </w:r>
      <w:r>
        <w:rPr/>
        <w:t>successive.</w:t>
      </w:r>
      <w:r>
        <w:rPr>
          <w:vertAlign w:val="superscript"/>
        </w:rPr>
        <w:t>457</w:t>
      </w:r>
    </w:p>
    <w:p>
      <w:pPr>
        <w:pStyle w:val="BodyText"/>
        <w:spacing w:before="7"/>
        <w:rPr>
          <w:sz w:val="25"/>
        </w:rPr>
      </w:pPr>
    </w:p>
    <w:p>
      <w:pPr>
        <w:pStyle w:val="BodyText"/>
        <w:spacing w:line="242" w:lineRule="auto"/>
        <w:ind w:left="3100" w:right="3197" w:firstLine="720"/>
        <w:jc w:val="both"/>
      </w:pPr>
      <w:r>
        <w:rPr/>
        <w:t>Consistently, where a factual dispute existed</w:t>
      </w:r>
      <w:r>
        <w:rPr>
          <w:spacing w:val="-23"/>
        </w:rPr>
        <w:t> </w:t>
      </w:r>
      <w:r>
        <w:rPr/>
        <w:t>as</w:t>
      </w:r>
      <w:r>
        <w:rPr>
          <w:spacing w:val="-24"/>
        </w:rPr>
        <w:t> </w:t>
      </w:r>
      <w:r>
        <w:rPr/>
        <w:t>to</w:t>
      </w:r>
      <w:r>
        <w:rPr>
          <w:spacing w:val="-24"/>
        </w:rPr>
        <w:t> </w:t>
      </w:r>
      <w:r>
        <w:rPr/>
        <w:t>whether</w:t>
      </w:r>
      <w:r>
        <w:rPr>
          <w:spacing w:val="-25"/>
        </w:rPr>
        <w:t> </w:t>
      </w:r>
      <w:r>
        <w:rPr/>
        <w:t>an</w:t>
      </w:r>
      <w:r>
        <w:rPr>
          <w:spacing w:val="-25"/>
        </w:rPr>
        <w:t> </w:t>
      </w:r>
      <w:r>
        <w:rPr/>
        <w:t>insured</w:t>
      </w:r>
      <w:r>
        <w:rPr>
          <w:spacing w:val="-23"/>
        </w:rPr>
        <w:t> </w:t>
      </w:r>
      <w:r>
        <w:rPr/>
        <w:t>had</w:t>
      </w:r>
      <w:r>
        <w:rPr>
          <w:spacing w:val="-21"/>
        </w:rPr>
        <w:t> </w:t>
      </w:r>
      <w:r>
        <w:rPr/>
        <w:t>complied with post-loss obligations, a Florida</w:t>
      </w:r>
      <w:r>
        <w:rPr>
          <w:spacing w:val="60"/>
        </w:rPr>
        <w:t> </w:t>
      </w:r>
      <w:r>
        <w:rPr/>
        <w:t>court recently stated that, “Before a Circuit Court can compel appraisal under an insurance </w:t>
      </w:r>
      <w:r>
        <w:rPr>
          <w:spacing w:val="12"/>
        </w:rPr>
        <w:t>policy, </w:t>
      </w:r>
      <w:r>
        <w:rPr>
          <w:spacing w:val="8"/>
        </w:rPr>
        <w:t>it </w:t>
      </w:r>
      <w:r>
        <w:rPr>
          <w:spacing w:val="12"/>
        </w:rPr>
        <w:t>must </w:t>
      </w:r>
      <w:r>
        <w:rPr>
          <w:spacing w:val="10"/>
        </w:rPr>
        <w:t>make </w:t>
      </w:r>
      <w:r>
        <w:rPr/>
        <w:t>a </w:t>
      </w:r>
      <w:r>
        <w:rPr>
          <w:spacing w:val="12"/>
        </w:rPr>
        <w:t>preliminary </w:t>
      </w:r>
      <w:r>
        <w:rPr/>
        <w:t>determination</w:t>
      </w:r>
      <w:r>
        <w:rPr>
          <w:spacing w:val="18"/>
        </w:rPr>
        <w:t> </w:t>
      </w:r>
      <w:r>
        <w:rPr/>
        <w:t>as</w:t>
      </w:r>
      <w:r>
        <w:rPr>
          <w:spacing w:val="19"/>
        </w:rPr>
        <w:t> </w:t>
      </w:r>
      <w:r>
        <w:rPr/>
        <w:t>to</w:t>
      </w:r>
      <w:r>
        <w:rPr>
          <w:spacing w:val="19"/>
        </w:rPr>
        <w:t> </w:t>
      </w:r>
      <w:r>
        <w:rPr/>
        <w:t>whether</w:t>
      </w:r>
      <w:r>
        <w:rPr>
          <w:spacing w:val="17"/>
        </w:rPr>
        <w:t> </w:t>
      </w:r>
      <w:r>
        <w:rPr/>
        <w:t>the</w:t>
      </w:r>
      <w:r>
        <w:rPr>
          <w:spacing w:val="18"/>
        </w:rPr>
        <w:t> </w:t>
      </w:r>
      <w:r>
        <w:rPr/>
        <w:t>demand</w:t>
      </w:r>
      <w:r>
        <w:rPr>
          <w:spacing w:val="18"/>
        </w:rPr>
        <w:t> </w:t>
      </w:r>
      <w:r>
        <w:rPr/>
        <w:t>for</w:t>
      </w:r>
    </w:p>
    <w:p>
      <w:pPr>
        <w:pStyle w:val="BodyText"/>
        <w:spacing w:before="1"/>
        <w:rPr>
          <w:sz w:val="19"/>
        </w:rPr>
      </w:pPr>
      <w:r>
        <w:rPr/>
        <w:pict>
          <v:shape style="position:absolute;margin-left:162pt;margin-top:14.099297pt;width:143.9pt;height:.1pt;mso-position-horizontal-relative:page;mso-position-vertical-relative:paragraph;z-index:-251629568;mso-wrap-distance-left:0;mso-wrap-distance-right:0" coordorigin="3240,282" coordsize="2878,0" path="m3240,282l6118,282e" filled="false" stroked="true" strokeweight=".84pt" strokecolor="#000000">
            <v:path arrowok="t"/>
            <v:stroke dashstyle="solid"/>
            <w10:wrap type="topAndBottom"/>
          </v:shape>
        </w:pict>
      </w:r>
    </w:p>
    <w:p>
      <w:pPr>
        <w:pStyle w:val="BodyText"/>
        <w:spacing w:before="4"/>
        <w:rPr>
          <w:sz w:val="10"/>
        </w:rPr>
      </w:pPr>
    </w:p>
    <w:p>
      <w:pPr>
        <w:spacing w:line="254" w:lineRule="auto" w:before="71"/>
        <w:ind w:left="2740" w:right="2842" w:firstLine="0"/>
        <w:jc w:val="both"/>
        <w:rPr>
          <w:rFonts w:ascii="Times New Roman" w:hAnsi="Times New Roman"/>
          <w:sz w:val="18"/>
        </w:rPr>
      </w:pPr>
      <w:r>
        <w:rPr>
          <w:rFonts w:ascii="Times New Roman" w:hAnsi="Times New Roman"/>
          <w:position w:val="10"/>
          <w:sz w:val="14"/>
        </w:rPr>
        <w:t>457</w:t>
      </w:r>
      <w:r>
        <w:rPr>
          <w:rFonts w:ascii="Times New Roman" w:hAnsi="Times New Roman"/>
          <w:sz w:val="14"/>
        </w:rPr>
        <w:t> </w:t>
      </w:r>
      <w:r>
        <w:rPr>
          <w:rFonts w:ascii="Times New Roman" w:hAnsi="Times New Roman"/>
          <w:sz w:val="18"/>
          <w:u w:val="single"/>
        </w:rPr>
        <w:t>Garden-Aire Village South Condo. Ass’n. v. QBE Ins. Corp</w:t>
      </w:r>
      <w:r>
        <w:rPr>
          <w:rFonts w:ascii="Times New Roman" w:hAnsi="Times New Roman"/>
          <w:sz w:val="18"/>
        </w:rPr>
        <w:t>., 774 F.Supp.2d 1224 (2011); See also, </w:t>
      </w:r>
      <w:r>
        <w:rPr>
          <w:rFonts w:ascii="Times New Roman" w:hAnsi="Times New Roman"/>
          <w:sz w:val="18"/>
          <w:u w:val="single"/>
        </w:rPr>
        <w:t>Cypress Chase Condominium Ass’n “A” v. QBE Ins. Co.</w:t>
      </w:r>
      <w:r>
        <w:rPr>
          <w:rFonts w:ascii="Times New Roman" w:hAnsi="Times New Roman"/>
          <w:sz w:val="18"/>
        </w:rPr>
        <w:t>, 2011 WL 1544860 (S.D. Fla. 2011) .</w:t>
      </w:r>
    </w:p>
    <w:p>
      <w:pPr>
        <w:spacing w:after="0" w:line="254" w:lineRule="auto"/>
        <w:jc w:val="both"/>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rPr>
          <w:rFonts w:ascii="Times New Roman" w:hAnsi="Times New Roman"/>
          <w:sz w:val="14"/>
        </w:rPr>
      </w:pPr>
      <w:r>
        <w:rPr/>
        <w:pict>
          <v:group style="position:absolute;margin-left:119.999397pt;margin-top:82.662163pt;width:473.65pt;height:353pt;mso-position-horizontal-relative:page;mso-position-vertical-relative:paragraph;z-index:-254254080" coordorigin="2400,1653" coordsize="9473,7060">
            <v:rect style="position:absolute;left:4502;top:1694;width:7329;height:6978" filled="false" stroked="true" strokeweight="4.12pt" strokecolor="#e44234">
              <v:stroke dashstyle="solid"/>
            </v:rect>
            <v:shape style="position:absolute;left:2409;top:6747;width:2895;height:856" type="#_x0000_t75" stroked="false">
              <v:imagedata r:id="rId16" o:title=""/>
            </v:shape>
            <v:shape style="position:absolute;left:2409;top:6747;width:2895;height:856" coordorigin="2410,6747" coordsize="2895,856" path="m2410,6907l2410,7443,2423,7505,2457,7556,2508,7591,2570,7603,5144,7603,5207,7591,5257,7556,5292,7505,5304,7443,5304,6907,5292,6845,5257,6794,5207,6760,5144,6747,2570,6747,2508,6760,2457,6794,2423,6845,2410,6907xe" filled="false" stroked="true" strokeweight="1.0pt" strokecolor="#2d4b11">
              <v:path arrowok="t"/>
              <v:stroke dashstyle="solid"/>
            </v:shape>
            <w10:wrap type="none"/>
          </v:group>
        </w:pict>
      </w:r>
      <w:bookmarkStart w:name="Law and Procedure 203" w:id="17"/>
      <w:bookmarkEnd w:id="17"/>
      <w:r>
        <w:rPr/>
      </w:r>
      <w:r>
        <w:rPr/>
        <w:t>appraisal is ripe. ‘Until these [post-loss] conditions are met and the insurer has a reasonable opportunity  to  investigate  and a</w:t>
      </w:r>
      <w:r>
        <w:rPr>
          <w:spacing w:val="-30"/>
        </w:rPr>
        <w:t> </w:t>
      </w:r>
      <w:r>
        <w:rPr/>
        <w:t>d</w:t>
      </w:r>
      <w:r>
        <w:rPr>
          <w:spacing w:val="-29"/>
        </w:rPr>
        <w:t> </w:t>
      </w:r>
      <w:r>
        <w:rPr/>
        <w:t>j</w:t>
      </w:r>
      <w:r>
        <w:rPr>
          <w:spacing w:val="-27"/>
        </w:rPr>
        <w:t> </w:t>
      </w:r>
      <w:r>
        <w:rPr/>
        <w:t>u</w:t>
      </w:r>
      <w:r>
        <w:rPr>
          <w:spacing w:val="-28"/>
        </w:rPr>
        <w:t> </w:t>
      </w:r>
      <w:r>
        <w:rPr/>
        <w:t>s</w:t>
      </w:r>
      <w:r>
        <w:rPr>
          <w:spacing w:val="-29"/>
        </w:rPr>
        <w:t> </w:t>
      </w:r>
      <w:r>
        <w:rPr/>
        <w:t>t</w:t>
      </w:r>
      <w:r>
        <w:rPr>
          <w:spacing w:val="9"/>
        </w:rPr>
        <w:t> </w:t>
      </w:r>
      <w:r>
        <w:rPr/>
        <w:t>t</w:t>
      </w:r>
      <w:r>
        <w:rPr>
          <w:spacing w:val="-31"/>
        </w:rPr>
        <w:t> </w:t>
      </w:r>
      <w:r>
        <w:rPr/>
        <w:t>h</w:t>
      </w:r>
      <w:r>
        <w:rPr>
          <w:spacing w:val="-30"/>
        </w:rPr>
        <w:t> </w:t>
      </w:r>
      <w:r>
        <w:rPr/>
        <w:t>e</w:t>
      </w:r>
      <w:r>
        <w:rPr>
          <w:spacing w:val="13"/>
        </w:rPr>
        <w:t> </w:t>
      </w:r>
      <w:r>
        <w:rPr/>
        <w:t>c</w:t>
      </w:r>
      <w:r>
        <w:rPr>
          <w:spacing w:val="-29"/>
        </w:rPr>
        <w:t> </w:t>
      </w:r>
      <w:r>
        <w:rPr/>
        <w:t>l</w:t>
      </w:r>
      <w:r>
        <w:rPr>
          <w:spacing w:val="-28"/>
        </w:rPr>
        <w:t> </w:t>
      </w:r>
      <w:r>
        <w:rPr/>
        <w:t>a</w:t>
      </w:r>
      <w:r>
        <w:rPr>
          <w:spacing w:val="-30"/>
        </w:rPr>
        <w:t> </w:t>
      </w:r>
      <w:r>
        <w:rPr/>
        <w:t>i</w:t>
      </w:r>
      <w:r>
        <w:rPr>
          <w:spacing w:val="-24"/>
        </w:rPr>
        <w:t> </w:t>
      </w:r>
      <w:r>
        <w:rPr/>
        <w:t>m</w:t>
      </w:r>
      <w:r>
        <w:rPr>
          <w:spacing w:val="-28"/>
        </w:rPr>
        <w:t> </w:t>
      </w:r>
      <w:r>
        <w:rPr/>
        <w:t>,</w:t>
      </w:r>
      <w:r>
        <w:rPr>
          <w:spacing w:val="14"/>
        </w:rPr>
        <w:t> </w:t>
      </w:r>
      <w:r>
        <w:rPr/>
        <w:t>t</w:t>
      </w:r>
      <w:r>
        <w:rPr>
          <w:spacing w:val="-28"/>
        </w:rPr>
        <w:t> </w:t>
      </w:r>
      <w:r>
        <w:rPr/>
        <w:t>h</w:t>
      </w:r>
      <w:r>
        <w:rPr>
          <w:spacing w:val="-28"/>
        </w:rPr>
        <w:t> </w:t>
      </w:r>
      <w:r>
        <w:rPr/>
        <w:t>e</w:t>
      </w:r>
      <w:r>
        <w:rPr>
          <w:spacing w:val="-27"/>
        </w:rPr>
        <w:t> </w:t>
      </w:r>
      <w:r>
        <w:rPr/>
        <w:t>r</w:t>
      </w:r>
      <w:r>
        <w:rPr>
          <w:spacing w:val="-28"/>
        </w:rPr>
        <w:t> </w:t>
      </w:r>
      <w:r>
        <w:rPr/>
        <w:t>e</w:t>
      </w:r>
      <w:r>
        <w:rPr>
          <w:spacing w:val="16"/>
        </w:rPr>
        <w:t> </w:t>
      </w:r>
      <w:r>
        <w:rPr/>
        <w:t>i</w:t>
      </w:r>
      <w:r>
        <w:rPr>
          <w:spacing w:val="-24"/>
        </w:rPr>
        <w:t> </w:t>
      </w:r>
      <w:r>
        <w:rPr/>
        <w:t>s</w:t>
      </w:r>
      <w:r>
        <w:rPr>
          <w:spacing w:val="16"/>
        </w:rPr>
        <w:t> </w:t>
      </w:r>
      <w:r>
        <w:rPr/>
        <w:t>n</w:t>
      </w:r>
      <w:r>
        <w:rPr>
          <w:spacing w:val="-27"/>
        </w:rPr>
        <w:t> </w:t>
      </w:r>
      <w:r>
        <w:rPr/>
        <w:t>o ‘disagreement’...regarding the value of the property or the amount of loss’ to be appraised”. </w:t>
      </w:r>
      <w:r>
        <w:rPr>
          <w:spacing w:val="3"/>
        </w:rPr>
        <w:t>It </w:t>
      </w:r>
      <w:r>
        <w:rPr/>
        <w:t>held that, “[o]nce the trial</w:t>
      </w:r>
      <w:r>
        <w:rPr>
          <w:spacing w:val="-41"/>
        </w:rPr>
        <w:t> </w:t>
      </w:r>
      <w:r>
        <w:rPr/>
        <w:t>court determines</w:t>
      </w:r>
      <w:r>
        <w:rPr>
          <w:spacing w:val="-25"/>
        </w:rPr>
        <w:t> </w:t>
      </w:r>
      <w:r>
        <w:rPr/>
        <w:t>that</w:t>
      </w:r>
      <w:r>
        <w:rPr>
          <w:spacing w:val="-22"/>
        </w:rPr>
        <w:t> </w:t>
      </w:r>
      <w:r>
        <w:rPr/>
        <w:t>a</w:t>
      </w:r>
      <w:r>
        <w:rPr>
          <w:spacing w:val="-21"/>
        </w:rPr>
        <w:t> </w:t>
      </w:r>
      <w:r>
        <w:rPr/>
        <w:t>demand</w:t>
      </w:r>
      <w:r>
        <w:rPr>
          <w:spacing w:val="-23"/>
        </w:rPr>
        <w:t> </w:t>
      </w:r>
      <w:r>
        <w:rPr/>
        <w:t>for</w:t>
      </w:r>
      <w:r>
        <w:rPr>
          <w:spacing w:val="-23"/>
        </w:rPr>
        <w:t> </w:t>
      </w:r>
      <w:r>
        <w:rPr/>
        <w:t>appraisal</w:t>
      </w:r>
      <w:r>
        <w:rPr>
          <w:spacing w:val="-20"/>
        </w:rPr>
        <w:t> </w:t>
      </w:r>
      <w:r>
        <w:rPr/>
        <w:t>is</w:t>
      </w:r>
      <w:r>
        <w:rPr>
          <w:spacing w:val="-25"/>
        </w:rPr>
        <w:t> </w:t>
      </w:r>
      <w:r>
        <w:rPr/>
        <w:t>ripe, the</w:t>
      </w:r>
      <w:r>
        <w:rPr>
          <w:spacing w:val="-29"/>
        </w:rPr>
        <w:t> </w:t>
      </w:r>
      <w:r>
        <w:rPr/>
        <w:t>court</w:t>
      </w:r>
      <w:r>
        <w:rPr>
          <w:spacing w:val="-29"/>
        </w:rPr>
        <w:t> </w:t>
      </w:r>
      <w:r>
        <w:rPr/>
        <w:t>has</w:t>
      </w:r>
      <w:r>
        <w:rPr>
          <w:spacing w:val="-25"/>
        </w:rPr>
        <w:t> </w:t>
      </w:r>
      <w:r>
        <w:rPr/>
        <w:t>the</w:t>
      </w:r>
      <w:r>
        <w:rPr>
          <w:spacing w:val="-25"/>
        </w:rPr>
        <w:t> </w:t>
      </w:r>
      <w:r>
        <w:rPr/>
        <w:t>discretion</w:t>
      </w:r>
      <w:r>
        <w:rPr>
          <w:spacing w:val="-26"/>
        </w:rPr>
        <w:t> </w:t>
      </w:r>
      <w:r>
        <w:rPr/>
        <w:t>to</w:t>
      </w:r>
      <w:r>
        <w:rPr>
          <w:spacing w:val="-25"/>
        </w:rPr>
        <w:t> </w:t>
      </w:r>
      <w:r>
        <w:rPr/>
        <w:t>control</w:t>
      </w:r>
      <w:r>
        <w:rPr>
          <w:spacing w:val="-23"/>
        </w:rPr>
        <w:t> </w:t>
      </w:r>
      <w:r>
        <w:rPr/>
        <w:t>the</w:t>
      </w:r>
      <w:r>
        <w:rPr>
          <w:spacing w:val="-26"/>
        </w:rPr>
        <w:t> </w:t>
      </w:r>
      <w:r>
        <w:rPr/>
        <w:t>order </w:t>
      </w:r>
      <w:r>
        <w:rPr>
          <w:spacing w:val="2"/>
        </w:rPr>
        <w:t>in </w:t>
      </w:r>
      <w:r>
        <w:rPr/>
        <w:t>which an </w:t>
      </w:r>
      <w:r>
        <w:rPr>
          <w:spacing w:val="2"/>
        </w:rPr>
        <w:t>appraisal </w:t>
      </w:r>
      <w:r>
        <w:rPr/>
        <w:t>and coverage determinations</w:t>
      </w:r>
      <w:r>
        <w:rPr>
          <w:spacing w:val="-2"/>
        </w:rPr>
        <w:t> </w:t>
      </w:r>
      <w:r>
        <w:rPr/>
        <w:t>proceed.”</w:t>
      </w:r>
      <w:r>
        <w:rPr>
          <w:rFonts w:ascii="Times New Roman" w:hAnsi="Times New Roman"/>
          <w:position w:val="10"/>
          <w:sz w:val="14"/>
        </w:rPr>
        <w:t>458</w:t>
      </w:r>
    </w:p>
    <w:p>
      <w:pPr>
        <w:pStyle w:val="BodyText"/>
        <w:spacing w:before="6"/>
        <w:rPr>
          <w:rFonts w:ascii="Times New Roman"/>
          <w:sz w:val="27"/>
        </w:rPr>
      </w:pPr>
    </w:p>
    <w:p>
      <w:pPr>
        <w:pStyle w:val="BodyText"/>
        <w:spacing w:line="242" w:lineRule="auto" w:before="1"/>
        <w:ind w:left="3100" w:right="3199" w:firstLine="720"/>
        <w:jc w:val="both"/>
      </w:pPr>
      <w:r>
        <w:rPr/>
        <w:t>A Texas court could not impose </w:t>
      </w:r>
      <w:r>
        <w:rPr>
          <w:spacing w:val="-6"/>
        </w:rPr>
        <w:t>an </w:t>
      </w:r>
      <w:r>
        <w:rPr/>
        <w:t>additional</w:t>
      </w:r>
      <w:r>
        <w:rPr>
          <w:spacing w:val="-34"/>
        </w:rPr>
        <w:t> </w:t>
      </w:r>
      <w:r>
        <w:rPr/>
        <w:t>condition</w:t>
      </w:r>
      <w:r>
        <w:rPr>
          <w:spacing w:val="-35"/>
        </w:rPr>
        <w:t> </w:t>
      </w:r>
      <w:r>
        <w:rPr>
          <w:spacing w:val="-3"/>
        </w:rPr>
        <w:t>precedent</w:t>
      </w:r>
      <w:r>
        <w:rPr>
          <w:spacing w:val="-39"/>
        </w:rPr>
        <w:t> </w:t>
      </w:r>
      <w:r>
        <w:rPr/>
        <w:t>to</w:t>
      </w:r>
      <w:r>
        <w:rPr>
          <w:spacing w:val="-37"/>
        </w:rPr>
        <w:t> </w:t>
      </w:r>
      <w:r>
        <w:rPr/>
        <w:t>appraisal</w:t>
      </w:r>
      <w:r>
        <w:rPr>
          <w:spacing w:val="-38"/>
        </w:rPr>
        <w:t> </w:t>
      </w:r>
      <w:r>
        <w:rPr/>
        <w:t>on either party where one was not found in the policy, reasoning that the terms of the</w:t>
      </w:r>
      <w:r>
        <w:rPr>
          <w:spacing w:val="-17"/>
        </w:rPr>
        <w:t> </w:t>
      </w:r>
      <w:r>
        <w:rPr/>
        <w:t>subject</w:t>
      </w:r>
    </w:p>
    <w:p>
      <w:pPr>
        <w:spacing w:after="0" w:line="242" w:lineRule="auto"/>
        <w:jc w:val="both"/>
        <w:sectPr>
          <w:pgSz w:w="12240" w:h="15840"/>
          <w:pgMar w:header="0" w:footer="2273" w:top="1500" w:bottom="2460" w:left="140" w:right="40"/>
        </w:sectPr>
      </w:pPr>
    </w:p>
    <w:p>
      <w:pPr>
        <w:pStyle w:val="BodyText"/>
        <w:spacing w:line="242" w:lineRule="auto"/>
        <w:ind w:left="2423"/>
        <w:jc w:val="right"/>
      </w:pPr>
      <w:r>
        <w:rPr>
          <w:w w:val="95"/>
        </w:rPr>
        <w:t>insurance </w:t>
      </w:r>
      <w:r>
        <w:rPr/>
        <w:t>There, an</w:t>
      </w:r>
    </w:p>
    <w:p>
      <w:pPr>
        <w:pStyle w:val="BodyText"/>
        <w:spacing w:line="242" w:lineRule="auto"/>
        <w:ind w:left="23" w:right="2536" w:firstLine="48"/>
      </w:pPr>
      <w:r>
        <w:rPr/>
        <w:br w:type="column"/>
      </w:r>
      <w:r>
        <w:rPr/>
        <w:t>policy must be applied as </w:t>
      </w:r>
      <w:r>
        <w:rPr>
          <w:spacing w:val="-3"/>
        </w:rPr>
        <w:t>written. </w:t>
      </w:r>
      <w:r>
        <w:rPr/>
        <w:t>insured sought to have an</w:t>
      </w:r>
      <w:r>
        <w:rPr>
          <w:spacing w:val="57"/>
        </w:rPr>
        <w:t> </w:t>
      </w:r>
      <w:r>
        <w:rPr/>
        <w:t>insurer’s</w:t>
      </w:r>
    </w:p>
    <w:p>
      <w:pPr>
        <w:spacing w:after="0" w:line="242" w:lineRule="auto"/>
        <w:sectPr>
          <w:type w:val="continuous"/>
          <w:pgSz w:w="12240" w:h="15840"/>
          <w:pgMar w:top="1500" w:bottom="2460" w:left="140" w:right="40"/>
          <w:cols w:num="2" w:equalWidth="0">
            <w:col w:w="4321" w:space="40"/>
            <w:col w:w="7699"/>
          </w:cols>
        </w:sectPr>
      </w:pPr>
    </w:p>
    <w:p>
      <w:pPr>
        <w:pStyle w:val="BodyText"/>
        <w:spacing w:line="322" w:lineRule="exact" w:before="1"/>
        <w:ind w:left="3100" w:right="3201"/>
        <w:jc w:val="both"/>
      </w:pPr>
      <w:r>
        <w:rPr/>
        <w:t>request for appraisal denied on the grounds that</w:t>
      </w:r>
      <w:r>
        <w:rPr>
          <w:spacing w:val="-16"/>
        </w:rPr>
        <w:t> </w:t>
      </w:r>
      <w:r>
        <w:rPr/>
        <w:t>the</w:t>
      </w:r>
      <w:r>
        <w:rPr>
          <w:spacing w:val="-15"/>
        </w:rPr>
        <w:t> </w:t>
      </w:r>
      <w:r>
        <w:rPr/>
        <w:t>insurer</w:t>
      </w:r>
      <w:r>
        <w:rPr>
          <w:spacing w:val="-19"/>
        </w:rPr>
        <w:t> </w:t>
      </w:r>
      <w:r>
        <w:rPr/>
        <w:t>had</w:t>
      </w:r>
      <w:r>
        <w:rPr>
          <w:spacing w:val="-17"/>
        </w:rPr>
        <w:t> </w:t>
      </w:r>
      <w:r>
        <w:rPr/>
        <w:t>not</w:t>
      </w:r>
      <w:r>
        <w:rPr>
          <w:spacing w:val="-15"/>
        </w:rPr>
        <w:t> </w:t>
      </w:r>
      <w:r>
        <w:rPr/>
        <w:t>fulfilled</w:t>
      </w:r>
      <w:r>
        <w:rPr>
          <w:spacing w:val="-13"/>
        </w:rPr>
        <w:t> </w:t>
      </w:r>
      <w:r>
        <w:rPr/>
        <w:t>its</w:t>
      </w:r>
      <w:r>
        <w:rPr>
          <w:spacing w:val="-15"/>
        </w:rPr>
        <w:t> </w:t>
      </w:r>
      <w:r>
        <w:rPr/>
        <w:t>obligation</w:t>
      </w:r>
      <w:r>
        <w:rPr>
          <w:spacing w:val="-15"/>
        </w:rPr>
        <w:t> </w:t>
      </w:r>
      <w:r>
        <w:rPr>
          <w:spacing w:val="-8"/>
        </w:rPr>
        <w:t>to </w:t>
      </w:r>
      <w:r>
        <w:rPr/>
        <w:t>adequately investigate the insured’s claims</w:t>
      </w:r>
      <w:r>
        <w:rPr>
          <w:spacing w:val="-48"/>
        </w:rPr>
        <w:t> </w:t>
      </w:r>
      <w:r>
        <w:rPr/>
        <w:t>as a    </w:t>
      </w:r>
      <w:r>
        <w:rPr>
          <w:spacing w:val="4"/>
        </w:rPr>
        <w:t>condition    </w:t>
      </w:r>
      <w:r>
        <w:rPr/>
        <w:t>precedent    to   </w:t>
      </w:r>
      <w:r>
        <w:rPr>
          <w:spacing w:val="24"/>
        </w:rPr>
        <w:t> </w:t>
      </w:r>
      <w:r>
        <w:rPr>
          <w:spacing w:val="4"/>
        </w:rPr>
        <w:t>demanding</w:t>
      </w:r>
    </w:p>
    <w:p>
      <w:pPr>
        <w:pStyle w:val="BodyText"/>
        <w:spacing w:line="324" w:lineRule="exact"/>
        <w:ind w:right="727"/>
        <w:jc w:val="center"/>
      </w:pPr>
      <w:r>
        <w:rPr>
          <w:rFonts w:ascii="Arial"/>
          <w:b/>
          <w:i/>
          <w:color w:val="267E00"/>
          <w:w w:val="101"/>
          <w:position w:val="2"/>
          <w:sz w:val="45"/>
        </w:rPr>
        <w:t>Ca</w:t>
      </w:r>
      <w:r>
        <w:rPr>
          <w:rFonts w:ascii="Arial"/>
          <w:b/>
          <w:i/>
          <w:color w:val="267E00"/>
          <w:spacing w:val="-212"/>
          <w:w w:val="101"/>
          <w:position w:val="2"/>
          <w:sz w:val="45"/>
        </w:rPr>
        <w:t>s</w:t>
      </w:r>
      <w:r>
        <w:rPr>
          <w:w w:val="99"/>
        </w:rPr>
        <w:t>a</w:t>
      </w:r>
      <w:r>
        <w:rPr>
          <w:spacing w:val="-143"/>
          <w:w w:val="99"/>
        </w:rPr>
        <w:t>p</w:t>
      </w:r>
      <w:r>
        <w:rPr>
          <w:rFonts w:ascii="Arial"/>
          <w:b/>
          <w:i/>
          <w:color w:val="267E00"/>
          <w:spacing w:val="-112"/>
          <w:w w:val="101"/>
          <w:position w:val="2"/>
          <w:sz w:val="45"/>
        </w:rPr>
        <w:t>e</w:t>
      </w:r>
      <w:r>
        <w:rPr>
          <w:w w:val="99"/>
        </w:rPr>
        <w:t>p</w:t>
      </w:r>
      <w:r>
        <w:rPr>
          <w:spacing w:val="-17"/>
          <w:w w:val="99"/>
        </w:rPr>
        <w:t>r</w:t>
      </w:r>
      <w:r>
        <w:rPr>
          <w:rFonts w:ascii="Arial"/>
          <w:b/>
          <w:i/>
          <w:color w:val="267E00"/>
          <w:spacing w:val="-287"/>
          <w:w w:val="101"/>
          <w:position w:val="2"/>
          <w:sz w:val="45"/>
        </w:rPr>
        <w:t>S</w:t>
      </w:r>
      <w:r>
        <w:rPr>
          <w:w w:val="99"/>
        </w:rPr>
        <w:t>a</w:t>
      </w:r>
      <w:r>
        <w:rPr>
          <w:spacing w:val="3"/>
          <w:w w:val="99"/>
        </w:rPr>
        <w:t>i</w:t>
      </w:r>
      <w:r>
        <w:rPr>
          <w:spacing w:val="-47"/>
          <w:w w:val="99"/>
        </w:rPr>
        <w:t>s</w:t>
      </w:r>
      <w:r>
        <w:rPr>
          <w:rFonts w:ascii="Arial"/>
          <w:b/>
          <w:i/>
          <w:color w:val="267E00"/>
          <w:spacing w:val="-106"/>
          <w:w w:val="101"/>
          <w:position w:val="2"/>
          <w:sz w:val="45"/>
        </w:rPr>
        <w:t>t</w:t>
      </w:r>
      <w:r>
        <w:rPr>
          <w:spacing w:val="-72"/>
          <w:w w:val="99"/>
        </w:rPr>
        <w:t>a</w:t>
      </w:r>
      <w:r>
        <w:rPr>
          <w:rFonts w:ascii="Arial"/>
          <w:b/>
          <w:i/>
          <w:color w:val="267E00"/>
          <w:spacing w:val="-207"/>
          <w:w w:val="101"/>
          <w:position w:val="2"/>
          <w:sz w:val="45"/>
        </w:rPr>
        <w:t>u</w:t>
      </w:r>
      <w:r>
        <w:rPr>
          <w:w w:val="99"/>
        </w:rPr>
        <w:t>l</w:t>
      </w:r>
      <w:r>
        <w:rPr>
          <w:spacing w:val="-28"/>
        </w:rPr>
        <w:t> </w:t>
      </w:r>
      <w:r>
        <w:rPr>
          <w:spacing w:val="-68"/>
          <w:w w:val="99"/>
        </w:rPr>
        <w:t>a</w:t>
      </w:r>
      <w:r>
        <w:rPr>
          <w:rFonts w:ascii="Arial"/>
          <w:b/>
          <w:i/>
          <w:color w:val="267E00"/>
          <w:spacing w:val="-212"/>
          <w:w w:val="101"/>
          <w:position w:val="2"/>
          <w:sz w:val="45"/>
        </w:rPr>
        <w:t>d</w:t>
      </w:r>
      <w:r>
        <w:rPr>
          <w:w w:val="99"/>
        </w:rPr>
        <w:t>n</w:t>
      </w:r>
      <w:r>
        <w:rPr>
          <w:spacing w:val="-125"/>
          <w:w w:val="99"/>
        </w:rPr>
        <w:t>d</w:t>
      </w:r>
      <w:r>
        <w:rPr>
          <w:rFonts w:ascii="Arial"/>
          <w:b/>
          <w:i/>
          <w:color w:val="267E00"/>
          <w:spacing w:val="-87"/>
          <w:w w:val="101"/>
          <w:position w:val="2"/>
          <w:sz w:val="45"/>
        </w:rPr>
        <w:t>y</w:t>
      </w:r>
      <w:r>
        <w:rPr>
          <w:w w:val="99"/>
        </w:rPr>
        <w:t>had</w:t>
      </w:r>
      <w:r>
        <w:rPr>
          <w:spacing w:val="-28"/>
        </w:rPr>
        <w:t> </w:t>
      </w:r>
      <w:r>
        <w:rPr>
          <w:w w:val="99"/>
        </w:rPr>
        <w:t>fa</w:t>
      </w:r>
      <w:r>
        <w:rPr>
          <w:spacing w:val="4"/>
          <w:w w:val="99"/>
        </w:rPr>
        <w:t>i</w:t>
      </w:r>
      <w:r>
        <w:rPr>
          <w:w w:val="99"/>
        </w:rPr>
        <w:t>led</w:t>
      </w:r>
      <w:r>
        <w:rPr>
          <w:spacing w:val="-29"/>
        </w:rPr>
        <w:t> </w:t>
      </w:r>
      <w:r>
        <w:rPr>
          <w:spacing w:val="-2"/>
          <w:w w:val="99"/>
        </w:rPr>
        <w:t>t</w:t>
      </w:r>
      <w:r>
        <w:rPr>
          <w:w w:val="99"/>
        </w:rPr>
        <w:t>o</w:t>
      </w:r>
      <w:r>
        <w:rPr>
          <w:spacing w:val="-29"/>
        </w:rPr>
        <w:t> </w:t>
      </w:r>
      <w:r>
        <w:rPr>
          <w:w w:val="99"/>
        </w:rPr>
        <w:t>demons</w:t>
      </w:r>
      <w:r>
        <w:rPr>
          <w:spacing w:val="-2"/>
          <w:w w:val="99"/>
        </w:rPr>
        <w:t>t</w:t>
      </w:r>
      <w:r>
        <w:rPr>
          <w:spacing w:val="-2"/>
          <w:w w:val="99"/>
        </w:rPr>
        <w:t>r</w:t>
      </w:r>
      <w:r>
        <w:rPr>
          <w:w w:val="99"/>
        </w:rPr>
        <w:t>a</w:t>
      </w:r>
      <w:r>
        <w:rPr>
          <w:spacing w:val="-1"/>
          <w:w w:val="99"/>
        </w:rPr>
        <w:t>t</w:t>
      </w:r>
      <w:r>
        <w:rPr>
          <w:w w:val="99"/>
        </w:rPr>
        <w:t>e</w:t>
      </w:r>
      <w:r>
        <w:rPr>
          <w:spacing w:val="-29"/>
        </w:rPr>
        <w:t> </w:t>
      </w:r>
      <w:r>
        <w:rPr>
          <w:spacing w:val="-3"/>
          <w:w w:val="99"/>
        </w:rPr>
        <w:t>t</w:t>
      </w:r>
      <w:r>
        <w:rPr>
          <w:w w:val="99"/>
        </w:rPr>
        <w:t>o</w:t>
      </w:r>
      <w:r>
        <w:rPr>
          <w:spacing w:val="-26"/>
        </w:rPr>
        <w:t> </w:t>
      </w:r>
      <w:r>
        <w:rPr>
          <w:spacing w:val="-3"/>
          <w:w w:val="99"/>
        </w:rPr>
        <w:t>t</w:t>
      </w:r>
      <w:r>
        <w:rPr>
          <w:w w:val="99"/>
        </w:rPr>
        <w:t>he</w:t>
      </w:r>
    </w:p>
    <w:p>
      <w:pPr>
        <w:pStyle w:val="BodyText"/>
        <w:spacing w:line="242" w:lineRule="auto"/>
        <w:ind w:left="3100" w:right="3198"/>
        <w:jc w:val="both"/>
      </w:pPr>
      <w:r>
        <w:rPr/>
        <w:t>court what was and was not disputed. The Court</w:t>
      </w:r>
      <w:r>
        <w:rPr>
          <w:spacing w:val="-10"/>
        </w:rPr>
        <w:t> </w:t>
      </w:r>
      <w:r>
        <w:rPr/>
        <w:t>observed</w:t>
      </w:r>
      <w:r>
        <w:rPr>
          <w:spacing w:val="-7"/>
        </w:rPr>
        <w:t> </w:t>
      </w:r>
      <w:r>
        <w:rPr/>
        <w:t>nothing</w:t>
      </w:r>
      <w:r>
        <w:rPr>
          <w:spacing w:val="-10"/>
        </w:rPr>
        <w:t> </w:t>
      </w:r>
      <w:r>
        <w:rPr/>
        <w:t>in</w:t>
      </w:r>
      <w:r>
        <w:rPr>
          <w:spacing w:val="-9"/>
        </w:rPr>
        <w:t> </w:t>
      </w:r>
      <w:r>
        <w:rPr/>
        <w:t>the</w:t>
      </w:r>
      <w:r>
        <w:rPr>
          <w:spacing w:val="-7"/>
        </w:rPr>
        <w:t> </w:t>
      </w:r>
      <w:r>
        <w:rPr/>
        <w:t>policy</w:t>
      </w:r>
      <w:r>
        <w:rPr>
          <w:spacing w:val="-9"/>
        </w:rPr>
        <w:t> </w:t>
      </w:r>
      <w:r>
        <w:rPr/>
        <w:t>to</w:t>
      </w:r>
      <w:r>
        <w:rPr>
          <w:spacing w:val="-8"/>
        </w:rPr>
        <w:t> </w:t>
      </w:r>
      <w:r>
        <w:rPr/>
        <w:t>supply such a requirement and that “to </w:t>
      </w:r>
      <w:r>
        <w:rPr>
          <w:spacing w:val="-3"/>
        </w:rPr>
        <w:t>make </w:t>
      </w:r>
      <w:r>
        <w:rPr/>
        <w:t>performance specifically conditional, a term such</w:t>
      </w:r>
      <w:r>
        <w:rPr>
          <w:spacing w:val="-31"/>
        </w:rPr>
        <w:t> </w:t>
      </w:r>
      <w:r>
        <w:rPr/>
        <w:t>as</w:t>
      </w:r>
      <w:r>
        <w:rPr>
          <w:spacing w:val="-28"/>
        </w:rPr>
        <w:t> </w:t>
      </w:r>
      <w:r>
        <w:rPr/>
        <w:t>‘if’,</w:t>
      </w:r>
      <w:r>
        <w:rPr>
          <w:spacing w:val="-32"/>
        </w:rPr>
        <w:t> </w:t>
      </w:r>
      <w:r>
        <w:rPr/>
        <w:t>‘provided</w:t>
      </w:r>
      <w:r>
        <w:rPr>
          <w:spacing w:val="-29"/>
        </w:rPr>
        <w:t> </w:t>
      </w:r>
      <w:r>
        <w:rPr/>
        <w:t>that’,</w:t>
      </w:r>
      <w:r>
        <w:rPr>
          <w:spacing w:val="-31"/>
        </w:rPr>
        <w:t> </w:t>
      </w:r>
      <w:r>
        <w:rPr/>
        <w:t>‘on</w:t>
      </w:r>
      <w:r>
        <w:rPr>
          <w:spacing w:val="-30"/>
        </w:rPr>
        <w:t> </w:t>
      </w:r>
      <w:r>
        <w:rPr/>
        <w:t>condition</w:t>
      </w:r>
      <w:r>
        <w:rPr>
          <w:spacing w:val="-32"/>
        </w:rPr>
        <w:t> </w:t>
      </w:r>
      <w:r>
        <w:rPr/>
        <w:t>that’, or</w:t>
      </w:r>
      <w:r>
        <w:rPr>
          <w:spacing w:val="-29"/>
        </w:rPr>
        <w:t> </w:t>
      </w:r>
      <w:r>
        <w:rPr/>
        <w:t>some</w:t>
      </w:r>
      <w:r>
        <w:rPr>
          <w:spacing w:val="-26"/>
        </w:rPr>
        <w:t> </w:t>
      </w:r>
      <w:r>
        <w:rPr/>
        <w:t>similar</w:t>
      </w:r>
      <w:r>
        <w:rPr>
          <w:spacing w:val="-26"/>
        </w:rPr>
        <w:t> </w:t>
      </w:r>
      <w:r>
        <w:rPr/>
        <w:t>phrase</w:t>
      </w:r>
      <w:r>
        <w:rPr>
          <w:spacing w:val="-26"/>
        </w:rPr>
        <w:t> </w:t>
      </w:r>
      <w:r>
        <w:rPr/>
        <w:t>of</w:t>
      </w:r>
      <w:r>
        <w:rPr>
          <w:spacing w:val="-26"/>
        </w:rPr>
        <w:t> </w:t>
      </w:r>
      <w:r>
        <w:rPr/>
        <w:t>conditional</w:t>
      </w:r>
      <w:r>
        <w:rPr>
          <w:spacing w:val="-23"/>
        </w:rPr>
        <w:t> </w:t>
      </w:r>
      <w:r>
        <w:rPr/>
        <w:t>language</w:t>
      </w:r>
    </w:p>
    <w:p>
      <w:pPr>
        <w:pStyle w:val="BodyText"/>
        <w:rPr>
          <w:sz w:val="20"/>
        </w:rPr>
      </w:pPr>
    </w:p>
    <w:p>
      <w:pPr>
        <w:pStyle w:val="BodyText"/>
        <w:rPr>
          <w:sz w:val="20"/>
        </w:rPr>
      </w:pPr>
    </w:p>
    <w:p>
      <w:pPr>
        <w:pStyle w:val="BodyText"/>
        <w:spacing w:before="11"/>
        <w:rPr>
          <w:sz w:val="12"/>
        </w:rPr>
      </w:pPr>
      <w:r>
        <w:rPr/>
        <w:pict>
          <v:shape style="position:absolute;margin-left:162pt;margin-top:10.355884pt;width:143.9pt;height:.1pt;mso-position-horizontal-relative:page;mso-position-vertical-relative:paragraph;z-index:-251628544;mso-wrap-distance-left:0;mso-wrap-distance-right:0" coordorigin="3240,207" coordsize="2878,0" path="m3240,207l6118,207e" filled="false" stroked="true" strokeweight=".84pt" strokecolor="#000000">
            <v:path arrowok="t"/>
            <v:stroke dashstyle="solid"/>
            <w10:wrap type="topAndBottom"/>
          </v:shape>
        </w:pict>
      </w:r>
    </w:p>
    <w:p>
      <w:pPr>
        <w:pStyle w:val="BodyText"/>
        <w:spacing w:before="4"/>
        <w:rPr>
          <w:sz w:val="10"/>
        </w:rPr>
      </w:pPr>
    </w:p>
    <w:p>
      <w:pPr>
        <w:spacing w:before="71"/>
        <w:ind w:left="2740" w:right="0" w:firstLine="0"/>
        <w:jc w:val="left"/>
        <w:rPr>
          <w:rFonts w:ascii="Times New Roman"/>
          <w:sz w:val="18"/>
        </w:rPr>
      </w:pPr>
      <w:r>
        <w:rPr>
          <w:rFonts w:ascii="Times New Roman"/>
          <w:position w:val="10"/>
          <w:sz w:val="14"/>
        </w:rPr>
        <w:t>458</w:t>
      </w:r>
      <w:r>
        <w:rPr>
          <w:rFonts w:ascii="Times New Roman"/>
          <w:sz w:val="14"/>
        </w:rPr>
        <w:t> </w:t>
      </w:r>
      <w:r>
        <w:rPr>
          <w:rFonts w:ascii="Times New Roman"/>
          <w:sz w:val="18"/>
          <w:u w:val="single"/>
        </w:rPr>
        <w:t>Citizens Prop. Ins. Corp. v. Admiralty House, Inc.</w:t>
      </w:r>
      <w:r>
        <w:rPr>
          <w:rFonts w:ascii="Times New Roman"/>
          <w:sz w:val="18"/>
        </w:rPr>
        <w:t>, 66 So.3d 342 (2011).</w:t>
      </w:r>
    </w:p>
    <w:p>
      <w:pPr>
        <w:spacing w:after="0"/>
        <w:jc w:val="left"/>
        <w:rPr>
          <w:rFonts w:ascii="Times New Roman"/>
          <w:sz w:val="18"/>
        </w:rPr>
        <w:sectPr>
          <w:type w:val="continuous"/>
          <w:pgSz w:w="12240" w:h="15840"/>
          <w:pgMar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04" w:id="18"/>
      <w:bookmarkEnd w:id="18"/>
      <w:r>
        <w:rPr/>
      </w:r>
      <w:r>
        <w:rPr/>
        <w:t>must normally be included.” </w:t>
      </w:r>
      <w:r>
        <w:rPr>
          <w:vertAlign w:val="superscript"/>
        </w:rPr>
        <w:t>459</w:t>
      </w:r>
    </w:p>
    <w:p>
      <w:pPr>
        <w:pStyle w:val="BodyText"/>
        <w:spacing w:before="3"/>
        <w:rPr>
          <w:sz w:val="25"/>
        </w:rPr>
      </w:pPr>
    </w:p>
    <w:p>
      <w:pPr>
        <w:pStyle w:val="BodyText"/>
        <w:spacing w:line="242" w:lineRule="auto" w:before="1"/>
        <w:ind w:left="3100" w:right="3197" w:firstLine="720"/>
        <w:jc w:val="both"/>
      </w:pPr>
      <w:r>
        <w:rPr/>
        <w:t>Many courts have been guided by the reasonableness of the timing of the demand under the circumstances of the case and whether the insured has been prejudiced as</w:t>
      </w:r>
      <w:r>
        <w:rPr>
          <w:spacing w:val="-46"/>
        </w:rPr>
        <w:t> </w:t>
      </w:r>
      <w:r>
        <w:rPr>
          <w:spacing w:val="-11"/>
        </w:rPr>
        <w:t>a </w:t>
      </w:r>
      <w:r>
        <w:rPr/>
        <w:t>result of the passage of time.</w:t>
      </w:r>
      <w:r>
        <w:rPr>
          <w:vertAlign w:val="superscript"/>
        </w:rPr>
        <w:t>460</w:t>
      </w:r>
      <w:r>
        <w:rPr>
          <w:vertAlign w:val="baseline"/>
        </w:rPr>
        <w:t> These </w:t>
      </w:r>
      <w:r>
        <w:rPr>
          <w:spacing w:val="-8"/>
          <w:vertAlign w:val="baseline"/>
        </w:rPr>
        <w:t>cases </w:t>
      </w:r>
      <w:r>
        <w:rPr>
          <w:vertAlign w:val="baseline"/>
        </w:rPr>
        <w:t>have</w:t>
      </w:r>
      <w:r>
        <w:rPr>
          <w:spacing w:val="-34"/>
          <w:vertAlign w:val="baseline"/>
        </w:rPr>
        <w:t> </w:t>
      </w:r>
      <w:r>
        <w:rPr>
          <w:vertAlign w:val="baseline"/>
        </w:rPr>
        <w:t>often</w:t>
      </w:r>
      <w:r>
        <w:rPr>
          <w:spacing w:val="-32"/>
          <w:vertAlign w:val="baseline"/>
        </w:rPr>
        <w:t> </w:t>
      </w:r>
      <w:r>
        <w:rPr>
          <w:vertAlign w:val="baseline"/>
        </w:rPr>
        <w:t>required</w:t>
      </w:r>
      <w:r>
        <w:rPr>
          <w:spacing w:val="-34"/>
          <w:vertAlign w:val="baseline"/>
        </w:rPr>
        <w:t> </w:t>
      </w:r>
      <w:r>
        <w:rPr>
          <w:vertAlign w:val="baseline"/>
        </w:rPr>
        <w:t>an</w:t>
      </w:r>
      <w:r>
        <w:rPr>
          <w:spacing w:val="-31"/>
          <w:vertAlign w:val="baseline"/>
        </w:rPr>
        <w:t> </w:t>
      </w:r>
      <w:r>
        <w:rPr>
          <w:vertAlign w:val="baseline"/>
        </w:rPr>
        <w:t>appraisal</w:t>
      </w:r>
      <w:r>
        <w:rPr>
          <w:spacing w:val="-32"/>
          <w:vertAlign w:val="baseline"/>
        </w:rPr>
        <w:t> </w:t>
      </w:r>
      <w:r>
        <w:rPr>
          <w:vertAlign w:val="baseline"/>
        </w:rPr>
        <w:t>to</w:t>
      </w:r>
      <w:r>
        <w:rPr>
          <w:spacing w:val="-29"/>
          <w:vertAlign w:val="baseline"/>
        </w:rPr>
        <w:t> </w:t>
      </w:r>
      <w:r>
        <w:rPr>
          <w:vertAlign w:val="baseline"/>
        </w:rPr>
        <w:t>go</w:t>
      </w:r>
      <w:r>
        <w:rPr>
          <w:spacing w:val="-29"/>
          <w:vertAlign w:val="baseline"/>
        </w:rPr>
        <w:t> </w:t>
      </w:r>
      <w:r>
        <w:rPr>
          <w:vertAlign w:val="baseline"/>
        </w:rPr>
        <w:t>forward even after the commencement of litigation, where the insured has not been put to substantial expense, or forced to confront significant delay in the claims process. An additional factor considered was that an insignificant amount of time had passed between the conclusion of good faith negotiations</w:t>
      </w:r>
      <w:r>
        <w:rPr>
          <w:spacing w:val="-30"/>
          <w:vertAlign w:val="baseline"/>
        </w:rPr>
        <w:t> </w:t>
      </w:r>
      <w:r>
        <w:rPr>
          <w:vertAlign w:val="baseline"/>
        </w:rPr>
        <w:t>and</w:t>
      </w:r>
      <w:r>
        <w:rPr>
          <w:spacing w:val="-30"/>
          <w:vertAlign w:val="baseline"/>
        </w:rPr>
        <w:t> </w:t>
      </w:r>
      <w:r>
        <w:rPr>
          <w:spacing w:val="-3"/>
          <w:vertAlign w:val="baseline"/>
        </w:rPr>
        <w:t>the</w:t>
      </w:r>
      <w:r>
        <w:rPr>
          <w:spacing w:val="-34"/>
          <w:vertAlign w:val="baseline"/>
        </w:rPr>
        <w:t> </w:t>
      </w:r>
      <w:r>
        <w:rPr>
          <w:spacing w:val="-3"/>
          <w:vertAlign w:val="baseline"/>
        </w:rPr>
        <w:t>commencement</w:t>
      </w:r>
      <w:r>
        <w:rPr>
          <w:spacing w:val="-35"/>
          <w:vertAlign w:val="baseline"/>
        </w:rPr>
        <w:t> </w:t>
      </w:r>
      <w:r>
        <w:rPr>
          <w:vertAlign w:val="baseline"/>
        </w:rPr>
        <w:t>of</w:t>
      </w:r>
      <w:r>
        <w:rPr>
          <w:spacing w:val="-32"/>
          <w:vertAlign w:val="baseline"/>
        </w:rPr>
        <w:t> </w:t>
      </w:r>
      <w:r>
        <w:rPr>
          <w:spacing w:val="-7"/>
          <w:vertAlign w:val="baseline"/>
        </w:rPr>
        <w:t>suit.</w:t>
      </w:r>
      <w:r>
        <w:rPr>
          <w:spacing w:val="-7"/>
          <w:vertAlign w:val="superscript"/>
        </w:rPr>
        <w:t>461</w:t>
      </w:r>
    </w:p>
    <w:p>
      <w:pPr>
        <w:pStyle w:val="BodyText"/>
        <w:spacing w:before="5"/>
        <w:rPr>
          <w:sz w:val="22"/>
        </w:rPr>
      </w:pPr>
    </w:p>
    <w:p>
      <w:pPr>
        <w:pStyle w:val="BodyText"/>
        <w:spacing w:line="242" w:lineRule="auto" w:before="41"/>
        <w:ind w:left="3100" w:right="3198" w:firstLine="720"/>
        <w:jc w:val="both"/>
      </w:pPr>
      <w:r>
        <w:rPr>
          <w:spacing w:val="3"/>
        </w:rPr>
        <w:t>In</w:t>
      </w:r>
      <w:r>
        <w:rPr>
          <w:spacing w:val="-17"/>
        </w:rPr>
        <w:t> </w:t>
      </w:r>
      <w:r>
        <w:rPr>
          <w:u w:val="single"/>
        </w:rPr>
        <w:t>Butler</w:t>
      </w:r>
      <w:r>
        <w:rPr>
          <w:spacing w:val="-15"/>
          <w:u w:val="single"/>
        </w:rPr>
        <w:t> </w:t>
      </w:r>
      <w:r>
        <w:rPr>
          <w:u w:val="single"/>
        </w:rPr>
        <w:t>v.</w:t>
      </w:r>
      <w:r>
        <w:rPr>
          <w:spacing w:val="-18"/>
          <w:u w:val="single"/>
        </w:rPr>
        <w:t> </w:t>
      </w:r>
      <w:r>
        <w:rPr>
          <w:u w:val="single"/>
        </w:rPr>
        <w:t>Property</w:t>
      </w:r>
      <w:r>
        <w:rPr>
          <w:spacing w:val="-18"/>
          <w:u w:val="single"/>
        </w:rPr>
        <w:t> </w:t>
      </w:r>
      <w:r>
        <w:rPr>
          <w:u w:val="single"/>
        </w:rPr>
        <w:t>and</w:t>
      </w:r>
      <w:r>
        <w:rPr>
          <w:spacing w:val="-16"/>
          <w:u w:val="single"/>
        </w:rPr>
        <w:t> </w:t>
      </w:r>
      <w:r>
        <w:rPr>
          <w:u w:val="single"/>
        </w:rPr>
        <w:t>Casualty</w:t>
      </w:r>
      <w:r>
        <w:rPr>
          <w:spacing w:val="-19"/>
          <w:u w:val="single"/>
        </w:rPr>
        <w:t> </w:t>
      </w:r>
      <w:r>
        <w:rPr>
          <w:u w:val="single"/>
        </w:rPr>
        <w:t>Ins.</w:t>
      </w:r>
      <w:r>
        <w:rPr>
          <w:spacing w:val="-19"/>
          <w:u w:val="single"/>
        </w:rPr>
        <w:t> </w:t>
      </w:r>
      <w:r>
        <w:rPr>
          <w:spacing w:val="-4"/>
          <w:u w:val="single"/>
        </w:rPr>
        <w:t>Co.</w:t>
      </w:r>
      <w:r>
        <w:rPr>
          <w:spacing w:val="-4"/>
        </w:rPr>
        <w:t> </w:t>
      </w:r>
      <w:r>
        <w:rPr>
          <w:u w:val="single"/>
        </w:rPr>
        <w:t>of</w:t>
      </w:r>
      <w:r>
        <w:rPr>
          <w:spacing w:val="-17"/>
          <w:u w:val="single"/>
        </w:rPr>
        <w:t> </w:t>
      </w:r>
      <w:r>
        <w:rPr>
          <w:u w:val="single"/>
        </w:rPr>
        <w:t>Hartford</w:t>
      </w:r>
      <w:r>
        <w:rPr/>
        <w:t>,</w:t>
      </w:r>
      <w:r>
        <w:rPr>
          <w:spacing w:val="-19"/>
        </w:rPr>
        <w:t> </w:t>
      </w:r>
      <w:r>
        <w:rPr/>
        <w:t>the</w:t>
      </w:r>
      <w:r>
        <w:rPr>
          <w:spacing w:val="-18"/>
        </w:rPr>
        <w:t> </w:t>
      </w:r>
      <w:r>
        <w:rPr/>
        <w:t>court</w:t>
      </w:r>
      <w:r>
        <w:rPr>
          <w:spacing w:val="-17"/>
        </w:rPr>
        <w:t> </w:t>
      </w:r>
      <w:r>
        <w:rPr/>
        <w:t>found</w:t>
      </w:r>
      <w:r>
        <w:rPr>
          <w:spacing w:val="-13"/>
        </w:rPr>
        <w:t> </w:t>
      </w:r>
      <w:r>
        <w:rPr/>
        <w:t>that</w:t>
      </w:r>
      <w:r>
        <w:rPr>
          <w:spacing w:val="-16"/>
        </w:rPr>
        <w:t> </w:t>
      </w:r>
      <w:r>
        <w:rPr/>
        <w:t>the</w:t>
      </w:r>
      <w:r>
        <w:rPr>
          <w:spacing w:val="-17"/>
        </w:rPr>
        <w:t> </w:t>
      </w:r>
      <w:r>
        <w:rPr/>
        <w:t>insurer</w:t>
      </w:r>
      <w:r>
        <w:rPr>
          <w:spacing w:val="-20"/>
        </w:rPr>
        <w:t> </w:t>
      </w:r>
      <w:r>
        <w:rPr/>
        <w:t>did not first have to prove that it conducted an adequate </w:t>
      </w:r>
      <w:r>
        <w:rPr>
          <w:spacing w:val="2"/>
        </w:rPr>
        <w:t>investigation </w:t>
      </w:r>
      <w:r>
        <w:rPr/>
        <w:t>as a </w:t>
      </w:r>
      <w:r>
        <w:rPr>
          <w:spacing w:val="2"/>
        </w:rPr>
        <w:t>condition </w:t>
      </w:r>
      <w:r>
        <w:rPr/>
        <w:t>precedent to invoking appraisal.</w:t>
      </w:r>
      <w:r>
        <w:rPr>
          <w:vertAlign w:val="superscript"/>
        </w:rPr>
        <w:t>462</w:t>
      </w:r>
      <w:r>
        <w:rPr>
          <w:vertAlign w:val="baseline"/>
        </w:rPr>
        <w:t> </w:t>
      </w:r>
      <w:r>
        <w:rPr>
          <w:spacing w:val="2"/>
          <w:vertAlign w:val="baseline"/>
        </w:rPr>
        <w:t>As </w:t>
      </w:r>
      <w:r>
        <w:rPr>
          <w:spacing w:val="-10"/>
          <w:vertAlign w:val="baseline"/>
        </w:rPr>
        <w:t>there </w:t>
      </w:r>
      <w:r>
        <w:rPr>
          <w:vertAlign w:val="baseline"/>
        </w:rPr>
        <w:t>was nothing in the insurance policy that required that kind of exercise as a condition precedent to appraisal, the court</w:t>
      </w:r>
      <w:r>
        <w:rPr>
          <w:spacing w:val="-30"/>
          <w:vertAlign w:val="baseline"/>
        </w:rPr>
        <w:t> </w:t>
      </w:r>
      <w:r>
        <w:rPr>
          <w:vertAlign w:val="baseline"/>
        </w:rPr>
        <w:t>determined</w:t>
      </w:r>
    </w:p>
    <w:p>
      <w:pPr>
        <w:pStyle w:val="BodyText"/>
        <w:spacing w:before="10"/>
        <w:rPr>
          <w:sz w:val="21"/>
        </w:rPr>
      </w:pPr>
      <w:r>
        <w:rPr/>
        <w:pict>
          <v:shape style="position:absolute;margin-left:162pt;margin-top:15.778496pt;width:143.9pt;height:.1pt;mso-position-horizontal-relative:page;mso-position-vertical-relative:paragraph;z-index:-251626496;mso-wrap-distance-left:0;mso-wrap-distance-right:0" coordorigin="3240,316" coordsize="2878,0" path="m3240,316l6118,316e" filled="false" stroked="true" strokeweight=".84pt" strokecolor="#000000">
            <v:path arrowok="t"/>
            <v:stroke dashstyle="solid"/>
            <w10:wrap type="topAndBottom"/>
          </v:shape>
        </w:pict>
      </w:r>
    </w:p>
    <w:p>
      <w:pPr>
        <w:spacing w:line="247" w:lineRule="auto" w:before="140"/>
        <w:ind w:left="2740" w:right="2840" w:firstLine="0"/>
        <w:jc w:val="both"/>
        <w:rPr>
          <w:rFonts w:ascii="Times New Roman"/>
          <w:sz w:val="18"/>
        </w:rPr>
      </w:pPr>
      <w:r>
        <w:rPr>
          <w:rFonts w:ascii="Times New Roman"/>
          <w:position w:val="10"/>
          <w:sz w:val="14"/>
        </w:rPr>
        <w:t>459</w:t>
      </w:r>
      <w:r>
        <w:rPr>
          <w:rFonts w:ascii="Times New Roman"/>
          <w:sz w:val="14"/>
        </w:rPr>
        <w:t> </w:t>
      </w:r>
      <w:r>
        <w:rPr>
          <w:rFonts w:ascii="Times New Roman"/>
          <w:sz w:val="18"/>
          <w:u w:val="single"/>
        </w:rPr>
        <w:t>Butler</w:t>
      </w:r>
      <w:r>
        <w:rPr>
          <w:rFonts w:ascii="Times New Roman"/>
          <w:spacing w:val="-11"/>
          <w:sz w:val="18"/>
          <w:u w:val="single"/>
        </w:rPr>
        <w:t> </w:t>
      </w:r>
      <w:r>
        <w:rPr>
          <w:rFonts w:ascii="Times New Roman"/>
          <w:sz w:val="18"/>
          <w:u w:val="single"/>
        </w:rPr>
        <w:t>v.</w:t>
      </w:r>
      <w:r>
        <w:rPr>
          <w:rFonts w:ascii="Times New Roman"/>
          <w:spacing w:val="-8"/>
          <w:sz w:val="18"/>
          <w:u w:val="single"/>
        </w:rPr>
        <w:t> </w:t>
      </w:r>
      <w:r>
        <w:rPr>
          <w:rFonts w:ascii="Times New Roman"/>
          <w:sz w:val="18"/>
          <w:u w:val="single"/>
        </w:rPr>
        <w:t>Prop.</w:t>
      </w:r>
      <w:r>
        <w:rPr>
          <w:rFonts w:ascii="Times New Roman"/>
          <w:spacing w:val="-9"/>
          <w:sz w:val="18"/>
          <w:u w:val="single"/>
        </w:rPr>
        <w:t> </w:t>
      </w:r>
      <w:r>
        <w:rPr>
          <w:rFonts w:ascii="Times New Roman"/>
          <w:sz w:val="18"/>
          <w:u w:val="single"/>
        </w:rPr>
        <w:t>and</w:t>
      </w:r>
      <w:r>
        <w:rPr>
          <w:rFonts w:ascii="Times New Roman"/>
          <w:spacing w:val="-7"/>
          <w:sz w:val="18"/>
          <w:u w:val="single"/>
        </w:rPr>
        <w:t> </w:t>
      </w:r>
      <w:r>
        <w:rPr>
          <w:rFonts w:ascii="Times New Roman"/>
          <w:sz w:val="18"/>
          <w:u w:val="single"/>
        </w:rPr>
        <w:t>Cas.</w:t>
      </w:r>
      <w:r>
        <w:rPr>
          <w:rFonts w:ascii="Times New Roman"/>
          <w:spacing w:val="-11"/>
          <w:sz w:val="18"/>
          <w:u w:val="single"/>
        </w:rPr>
        <w:t> </w:t>
      </w:r>
      <w:r>
        <w:rPr>
          <w:rFonts w:ascii="Times New Roman"/>
          <w:sz w:val="18"/>
          <w:u w:val="single"/>
        </w:rPr>
        <w:t>Ins.</w:t>
      </w:r>
      <w:r>
        <w:rPr>
          <w:rFonts w:ascii="Times New Roman"/>
          <w:spacing w:val="-11"/>
          <w:sz w:val="18"/>
          <w:u w:val="single"/>
        </w:rPr>
        <w:t> </w:t>
      </w:r>
      <w:r>
        <w:rPr>
          <w:rFonts w:ascii="Times New Roman"/>
          <w:sz w:val="18"/>
          <w:u w:val="single"/>
        </w:rPr>
        <w:t>Co.</w:t>
      </w:r>
      <w:r>
        <w:rPr>
          <w:rFonts w:ascii="Times New Roman"/>
          <w:spacing w:val="-10"/>
          <w:sz w:val="18"/>
          <w:u w:val="single"/>
        </w:rPr>
        <w:t> </w:t>
      </w:r>
      <w:r>
        <w:rPr>
          <w:rFonts w:ascii="Times New Roman"/>
          <w:sz w:val="18"/>
          <w:u w:val="single"/>
        </w:rPr>
        <w:t>of</w:t>
      </w:r>
      <w:r>
        <w:rPr>
          <w:rFonts w:ascii="Times New Roman"/>
          <w:spacing w:val="-13"/>
          <w:sz w:val="18"/>
          <w:u w:val="single"/>
        </w:rPr>
        <w:t> </w:t>
      </w:r>
      <w:r>
        <w:rPr>
          <w:rFonts w:ascii="Times New Roman"/>
          <w:sz w:val="18"/>
          <w:u w:val="single"/>
        </w:rPr>
        <w:t>Hartford</w:t>
      </w:r>
      <w:r>
        <w:rPr>
          <w:rFonts w:ascii="Times New Roman"/>
          <w:sz w:val="18"/>
        </w:rPr>
        <w:t>,</w:t>
      </w:r>
      <w:r>
        <w:rPr>
          <w:rFonts w:ascii="Times New Roman"/>
          <w:spacing w:val="-10"/>
          <w:sz w:val="18"/>
        </w:rPr>
        <w:t> </w:t>
      </w:r>
      <w:r>
        <w:rPr>
          <w:rFonts w:ascii="Times New Roman"/>
          <w:sz w:val="18"/>
        </w:rPr>
        <w:t>2011</w:t>
      </w:r>
      <w:r>
        <w:rPr>
          <w:rFonts w:ascii="Times New Roman"/>
          <w:spacing w:val="-10"/>
          <w:sz w:val="18"/>
        </w:rPr>
        <w:t> </w:t>
      </w:r>
      <w:r>
        <w:rPr>
          <w:rFonts w:ascii="Times New Roman"/>
          <w:sz w:val="18"/>
        </w:rPr>
        <w:t>WL</w:t>
      </w:r>
      <w:r>
        <w:rPr>
          <w:rFonts w:ascii="Times New Roman"/>
          <w:spacing w:val="-13"/>
          <w:sz w:val="18"/>
        </w:rPr>
        <w:t> </w:t>
      </w:r>
      <w:r>
        <w:rPr>
          <w:rFonts w:ascii="Times New Roman"/>
          <w:sz w:val="18"/>
        </w:rPr>
        <w:t>2174965(S.D.</w:t>
      </w:r>
      <w:r>
        <w:rPr>
          <w:rFonts w:ascii="Times New Roman"/>
          <w:spacing w:val="-8"/>
          <w:sz w:val="18"/>
        </w:rPr>
        <w:t> </w:t>
      </w:r>
      <w:r>
        <w:rPr>
          <w:rFonts w:ascii="Times New Roman"/>
          <w:sz w:val="18"/>
        </w:rPr>
        <w:t>Tex.</w:t>
      </w:r>
      <w:r>
        <w:rPr>
          <w:rFonts w:ascii="Times New Roman"/>
          <w:spacing w:val="-10"/>
          <w:sz w:val="18"/>
        </w:rPr>
        <w:t> </w:t>
      </w:r>
      <w:r>
        <w:rPr>
          <w:rFonts w:ascii="Times New Roman"/>
          <w:sz w:val="18"/>
        </w:rPr>
        <w:t>2011),</w:t>
      </w:r>
      <w:r>
        <w:rPr>
          <w:rFonts w:ascii="Times New Roman"/>
          <w:spacing w:val="-10"/>
          <w:sz w:val="18"/>
        </w:rPr>
        <w:t> </w:t>
      </w:r>
      <w:r>
        <w:rPr>
          <w:rFonts w:ascii="Times New Roman"/>
          <w:sz w:val="18"/>
        </w:rPr>
        <w:t>citing</w:t>
      </w:r>
      <w:r>
        <w:rPr>
          <w:rFonts w:ascii="Times New Roman"/>
          <w:sz w:val="18"/>
          <w:u w:val="single"/>
        </w:rPr>
        <w:t> Criswell</w:t>
      </w:r>
      <w:r>
        <w:rPr>
          <w:rFonts w:ascii="Times New Roman"/>
          <w:spacing w:val="-13"/>
          <w:sz w:val="18"/>
          <w:u w:val="single"/>
        </w:rPr>
        <w:t> </w:t>
      </w:r>
      <w:r>
        <w:rPr>
          <w:rFonts w:ascii="Times New Roman"/>
          <w:sz w:val="18"/>
          <w:u w:val="single"/>
        </w:rPr>
        <w:t>v.</w:t>
      </w:r>
      <w:r>
        <w:rPr>
          <w:rFonts w:ascii="Times New Roman"/>
          <w:spacing w:val="-11"/>
          <w:sz w:val="18"/>
          <w:u w:val="single"/>
        </w:rPr>
        <w:t> </w:t>
      </w:r>
      <w:r>
        <w:rPr>
          <w:rFonts w:ascii="Times New Roman"/>
          <w:sz w:val="18"/>
          <w:u w:val="single"/>
        </w:rPr>
        <w:t>European</w:t>
      </w:r>
      <w:r>
        <w:rPr>
          <w:rFonts w:ascii="Times New Roman"/>
          <w:spacing w:val="-12"/>
          <w:sz w:val="18"/>
          <w:u w:val="single"/>
        </w:rPr>
        <w:t> </w:t>
      </w:r>
      <w:r>
        <w:rPr>
          <w:rFonts w:ascii="Times New Roman"/>
          <w:sz w:val="18"/>
          <w:u w:val="single"/>
        </w:rPr>
        <w:t>Crossroads</w:t>
      </w:r>
      <w:r>
        <w:rPr>
          <w:rFonts w:ascii="Times New Roman"/>
          <w:spacing w:val="-12"/>
          <w:sz w:val="18"/>
          <w:u w:val="single"/>
        </w:rPr>
        <w:t> </w:t>
      </w:r>
      <w:r>
        <w:rPr>
          <w:rFonts w:ascii="Times New Roman"/>
          <w:sz w:val="18"/>
          <w:u w:val="single"/>
        </w:rPr>
        <w:t>Shopping</w:t>
      </w:r>
      <w:r>
        <w:rPr>
          <w:rFonts w:ascii="Times New Roman"/>
          <w:spacing w:val="-13"/>
          <w:sz w:val="18"/>
          <w:u w:val="single"/>
        </w:rPr>
        <w:t> </w:t>
      </w:r>
      <w:r>
        <w:rPr>
          <w:rFonts w:ascii="Times New Roman"/>
          <w:sz w:val="18"/>
          <w:u w:val="single"/>
        </w:rPr>
        <w:t>Center,</w:t>
      </w:r>
      <w:r>
        <w:rPr>
          <w:rFonts w:ascii="Times New Roman"/>
          <w:spacing w:val="-10"/>
          <w:sz w:val="18"/>
          <w:u w:val="single"/>
        </w:rPr>
        <w:t> </w:t>
      </w:r>
      <w:r>
        <w:rPr>
          <w:rFonts w:ascii="Times New Roman"/>
          <w:sz w:val="18"/>
          <w:u w:val="single"/>
        </w:rPr>
        <w:t>Ltd.</w:t>
      </w:r>
      <w:r>
        <w:rPr>
          <w:rFonts w:ascii="Times New Roman"/>
          <w:sz w:val="18"/>
        </w:rPr>
        <w:t>,</w:t>
      </w:r>
      <w:r>
        <w:rPr>
          <w:rFonts w:ascii="Times New Roman"/>
          <w:spacing w:val="-8"/>
          <w:sz w:val="18"/>
        </w:rPr>
        <w:t> </w:t>
      </w:r>
      <w:r>
        <w:rPr>
          <w:rFonts w:ascii="Times New Roman"/>
          <w:sz w:val="18"/>
        </w:rPr>
        <w:t>792</w:t>
      </w:r>
      <w:r>
        <w:rPr>
          <w:rFonts w:ascii="Times New Roman"/>
          <w:spacing w:val="-9"/>
          <w:sz w:val="18"/>
        </w:rPr>
        <w:t> </w:t>
      </w:r>
      <w:r>
        <w:rPr>
          <w:rFonts w:ascii="Times New Roman"/>
          <w:sz w:val="18"/>
        </w:rPr>
        <w:t>S.W.2d</w:t>
      </w:r>
      <w:r>
        <w:rPr>
          <w:rFonts w:ascii="Times New Roman"/>
          <w:spacing w:val="-8"/>
          <w:sz w:val="18"/>
        </w:rPr>
        <w:t> </w:t>
      </w:r>
      <w:r>
        <w:rPr>
          <w:rFonts w:ascii="Times New Roman"/>
          <w:sz w:val="18"/>
        </w:rPr>
        <w:t>945,</w:t>
      </w:r>
      <w:r>
        <w:rPr>
          <w:rFonts w:ascii="Times New Roman"/>
          <w:spacing w:val="-9"/>
          <w:sz w:val="18"/>
        </w:rPr>
        <w:t> </w:t>
      </w:r>
      <w:r>
        <w:rPr>
          <w:rFonts w:ascii="Times New Roman"/>
          <w:sz w:val="18"/>
        </w:rPr>
        <w:t>948</w:t>
      </w:r>
      <w:r>
        <w:rPr>
          <w:rFonts w:ascii="Times New Roman"/>
          <w:spacing w:val="-8"/>
          <w:sz w:val="18"/>
        </w:rPr>
        <w:t> </w:t>
      </w:r>
      <w:r>
        <w:rPr>
          <w:rFonts w:ascii="Times New Roman"/>
          <w:sz w:val="18"/>
        </w:rPr>
        <w:t>(Tex.</w:t>
      </w:r>
      <w:r>
        <w:rPr>
          <w:rFonts w:ascii="Times New Roman"/>
          <w:spacing w:val="-9"/>
          <w:sz w:val="18"/>
        </w:rPr>
        <w:t> </w:t>
      </w:r>
      <w:r>
        <w:rPr>
          <w:rFonts w:ascii="Times New Roman"/>
          <w:sz w:val="18"/>
        </w:rPr>
        <w:t>1990).</w:t>
      </w:r>
      <w:r>
        <w:rPr>
          <w:rFonts w:ascii="Times New Roman"/>
          <w:position w:val="10"/>
          <w:sz w:val="18"/>
        </w:rPr>
        <w:t> </w:t>
      </w:r>
      <w:r>
        <w:rPr>
          <w:rFonts w:ascii="Times New Roman"/>
          <w:position w:val="10"/>
          <w:sz w:val="14"/>
        </w:rPr>
        <w:t>460</w:t>
      </w:r>
      <w:r>
        <w:rPr>
          <w:rFonts w:ascii="Times New Roman"/>
          <w:spacing w:val="17"/>
          <w:sz w:val="14"/>
        </w:rPr>
        <w:t> </w:t>
      </w:r>
      <w:r>
        <w:rPr>
          <w:rFonts w:ascii="Times New Roman"/>
          <w:sz w:val="18"/>
          <w:u w:val="single"/>
        </w:rPr>
        <w:t>School</w:t>
      </w:r>
      <w:r>
        <w:rPr>
          <w:rFonts w:ascii="Times New Roman"/>
          <w:spacing w:val="-8"/>
          <w:sz w:val="18"/>
          <w:u w:val="single"/>
        </w:rPr>
        <w:t> </w:t>
      </w:r>
      <w:r>
        <w:rPr>
          <w:rFonts w:ascii="Times New Roman"/>
          <w:sz w:val="18"/>
          <w:u w:val="single"/>
        </w:rPr>
        <w:t>District</w:t>
      </w:r>
      <w:r>
        <w:rPr>
          <w:rFonts w:ascii="Times New Roman"/>
          <w:spacing w:val="-8"/>
          <w:sz w:val="18"/>
          <w:u w:val="single"/>
        </w:rPr>
        <w:t> </w:t>
      </w:r>
      <w:r>
        <w:rPr>
          <w:rFonts w:ascii="Times New Roman"/>
          <w:sz w:val="18"/>
          <w:u w:val="single"/>
        </w:rPr>
        <w:t>Number</w:t>
      </w:r>
      <w:r>
        <w:rPr>
          <w:rFonts w:ascii="Times New Roman"/>
          <w:spacing w:val="-9"/>
          <w:sz w:val="18"/>
          <w:u w:val="single"/>
        </w:rPr>
        <w:t> </w:t>
      </w:r>
      <w:r>
        <w:rPr>
          <w:rFonts w:ascii="Times New Roman"/>
          <w:sz w:val="18"/>
          <w:u w:val="single"/>
        </w:rPr>
        <w:t>1</w:t>
      </w:r>
      <w:r>
        <w:rPr>
          <w:rFonts w:ascii="Times New Roman"/>
          <w:spacing w:val="-10"/>
          <w:sz w:val="18"/>
          <w:u w:val="single"/>
        </w:rPr>
        <w:t> </w:t>
      </w:r>
      <w:r>
        <w:rPr>
          <w:rFonts w:ascii="Times New Roman"/>
          <w:sz w:val="18"/>
          <w:u w:val="single"/>
        </w:rPr>
        <w:t>v.</w:t>
      </w:r>
      <w:r>
        <w:rPr>
          <w:rFonts w:ascii="Times New Roman"/>
          <w:spacing w:val="-10"/>
          <w:sz w:val="18"/>
          <w:u w:val="single"/>
        </w:rPr>
        <w:t> </w:t>
      </w:r>
      <w:r>
        <w:rPr>
          <w:rFonts w:ascii="Times New Roman"/>
          <w:sz w:val="18"/>
          <w:u w:val="single"/>
        </w:rPr>
        <w:t>Globe</w:t>
      </w:r>
      <w:r>
        <w:rPr>
          <w:rFonts w:ascii="Times New Roman"/>
          <w:spacing w:val="-13"/>
          <w:sz w:val="18"/>
          <w:u w:val="single"/>
        </w:rPr>
        <w:t> </w:t>
      </w:r>
      <w:r>
        <w:rPr>
          <w:rFonts w:ascii="Times New Roman"/>
          <w:sz w:val="18"/>
          <w:u w:val="single"/>
        </w:rPr>
        <w:t>and</w:t>
      </w:r>
      <w:r>
        <w:rPr>
          <w:rFonts w:ascii="Times New Roman"/>
          <w:spacing w:val="-10"/>
          <w:sz w:val="18"/>
          <w:u w:val="single"/>
        </w:rPr>
        <w:t> </w:t>
      </w:r>
      <w:r>
        <w:rPr>
          <w:rFonts w:ascii="Times New Roman"/>
          <w:sz w:val="18"/>
          <w:u w:val="single"/>
        </w:rPr>
        <w:t>Republic</w:t>
      </w:r>
      <w:r>
        <w:rPr>
          <w:rFonts w:ascii="Times New Roman"/>
          <w:spacing w:val="-11"/>
          <w:sz w:val="18"/>
          <w:u w:val="single"/>
        </w:rPr>
        <w:t> </w:t>
      </w:r>
      <w:r>
        <w:rPr>
          <w:rFonts w:ascii="Times New Roman"/>
          <w:sz w:val="18"/>
          <w:u w:val="single"/>
        </w:rPr>
        <w:t>Ins.</w:t>
      </w:r>
      <w:r>
        <w:rPr>
          <w:rFonts w:ascii="Times New Roman"/>
          <w:spacing w:val="-11"/>
          <w:sz w:val="18"/>
          <w:u w:val="single"/>
        </w:rPr>
        <w:t> </w:t>
      </w:r>
      <w:r>
        <w:rPr>
          <w:rFonts w:ascii="Times New Roman"/>
          <w:sz w:val="18"/>
          <w:u w:val="single"/>
        </w:rPr>
        <w:t>Co.</w:t>
      </w:r>
      <w:r>
        <w:rPr>
          <w:rFonts w:ascii="Times New Roman"/>
          <w:sz w:val="18"/>
        </w:rPr>
        <w:t>,</w:t>
      </w:r>
      <w:r>
        <w:rPr>
          <w:rFonts w:ascii="Times New Roman"/>
          <w:spacing w:val="-10"/>
          <w:sz w:val="18"/>
        </w:rPr>
        <w:t> </w:t>
      </w:r>
      <w:r>
        <w:rPr>
          <w:rFonts w:ascii="Times New Roman"/>
          <w:sz w:val="18"/>
        </w:rPr>
        <w:t>146</w:t>
      </w:r>
      <w:r>
        <w:rPr>
          <w:rFonts w:ascii="Times New Roman"/>
          <w:spacing w:val="-8"/>
          <w:sz w:val="18"/>
        </w:rPr>
        <w:t> </w:t>
      </w:r>
      <w:r>
        <w:rPr>
          <w:rFonts w:ascii="Times New Roman"/>
          <w:sz w:val="18"/>
        </w:rPr>
        <w:t>Mont.</w:t>
      </w:r>
      <w:r>
        <w:rPr>
          <w:rFonts w:ascii="Times New Roman"/>
          <w:spacing w:val="-8"/>
          <w:sz w:val="18"/>
        </w:rPr>
        <w:t> </w:t>
      </w:r>
      <w:r>
        <w:rPr>
          <w:rFonts w:ascii="Times New Roman"/>
          <w:sz w:val="18"/>
        </w:rPr>
        <w:t>208,</w:t>
      </w:r>
      <w:r>
        <w:rPr>
          <w:rFonts w:ascii="Times New Roman"/>
          <w:spacing w:val="-8"/>
          <w:sz w:val="18"/>
        </w:rPr>
        <w:t> </w:t>
      </w:r>
      <w:r>
        <w:rPr>
          <w:rFonts w:ascii="Times New Roman"/>
          <w:sz w:val="18"/>
        </w:rPr>
        <w:t>404</w:t>
      </w:r>
      <w:r>
        <w:rPr>
          <w:rFonts w:ascii="Times New Roman"/>
          <w:spacing w:val="-7"/>
          <w:sz w:val="18"/>
        </w:rPr>
        <w:t> </w:t>
      </w:r>
      <w:r>
        <w:rPr>
          <w:rFonts w:ascii="Times New Roman"/>
          <w:sz w:val="18"/>
        </w:rPr>
        <w:t>P.2d</w:t>
      </w:r>
      <w:r>
        <w:rPr>
          <w:rFonts w:ascii="Times New Roman"/>
          <w:spacing w:val="-7"/>
          <w:sz w:val="18"/>
        </w:rPr>
        <w:t> </w:t>
      </w:r>
      <w:r>
        <w:rPr>
          <w:rFonts w:ascii="Times New Roman"/>
          <w:sz w:val="18"/>
        </w:rPr>
        <w:t>889 (1965);</w:t>
      </w:r>
      <w:r>
        <w:rPr>
          <w:rFonts w:ascii="Times New Roman"/>
          <w:spacing w:val="-10"/>
          <w:sz w:val="18"/>
        </w:rPr>
        <w:t> </w:t>
      </w:r>
      <w:r>
        <w:rPr>
          <w:rFonts w:ascii="Times New Roman"/>
          <w:sz w:val="18"/>
          <w:u w:val="single"/>
        </w:rPr>
        <w:t>Kester</w:t>
      </w:r>
      <w:r>
        <w:rPr>
          <w:rFonts w:ascii="Times New Roman"/>
          <w:spacing w:val="-13"/>
          <w:sz w:val="18"/>
          <w:u w:val="single"/>
        </w:rPr>
        <w:t> </w:t>
      </w:r>
      <w:r>
        <w:rPr>
          <w:rFonts w:ascii="Times New Roman"/>
          <w:sz w:val="18"/>
          <w:u w:val="single"/>
        </w:rPr>
        <w:t>v.</w:t>
      </w:r>
      <w:r>
        <w:rPr>
          <w:rFonts w:ascii="Times New Roman"/>
          <w:spacing w:val="-10"/>
          <w:sz w:val="18"/>
          <w:u w:val="single"/>
        </w:rPr>
        <w:t> </w:t>
      </w:r>
      <w:r>
        <w:rPr>
          <w:rFonts w:ascii="Times New Roman"/>
          <w:sz w:val="18"/>
          <w:u w:val="single"/>
        </w:rPr>
        <w:t>State</w:t>
      </w:r>
      <w:r>
        <w:rPr>
          <w:rFonts w:ascii="Times New Roman"/>
          <w:spacing w:val="-11"/>
          <w:sz w:val="18"/>
          <w:u w:val="single"/>
        </w:rPr>
        <w:t> </w:t>
      </w:r>
      <w:r>
        <w:rPr>
          <w:rFonts w:ascii="Times New Roman"/>
          <w:sz w:val="18"/>
          <w:u w:val="single"/>
        </w:rPr>
        <w:t>Farm</w:t>
      </w:r>
      <w:r>
        <w:rPr>
          <w:rFonts w:ascii="Times New Roman"/>
          <w:spacing w:val="-14"/>
          <w:sz w:val="18"/>
          <w:u w:val="single"/>
        </w:rPr>
        <w:t> </w:t>
      </w:r>
      <w:r>
        <w:rPr>
          <w:rFonts w:ascii="Times New Roman"/>
          <w:sz w:val="18"/>
          <w:u w:val="single"/>
        </w:rPr>
        <w:t>Fire</w:t>
      </w:r>
      <w:r>
        <w:rPr>
          <w:rFonts w:ascii="Times New Roman"/>
          <w:spacing w:val="-10"/>
          <w:sz w:val="18"/>
          <w:u w:val="single"/>
        </w:rPr>
        <w:t> </w:t>
      </w:r>
      <w:r>
        <w:rPr>
          <w:rFonts w:ascii="Times New Roman"/>
          <w:sz w:val="18"/>
          <w:u w:val="single"/>
        </w:rPr>
        <w:t>and</w:t>
      </w:r>
      <w:r>
        <w:rPr>
          <w:rFonts w:ascii="Times New Roman"/>
          <w:spacing w:val="-10"/>
          <w:sz w:val="18"/>
          <w:u w:val="single"/>
        </w:rPr>
        <w:t> </w:t>
      </w:r>
      <w:r>
        <w:rPr>
          <w:rFonts w:ascii="Times New Roman"/>
          <w:sz w:val="18"/>
          <w:u w:val="single"/>
        </w:rPr>
        <w:t>Cas.</w:t>
      </w:r>
      <w:r>
        <w:rPr>
          <w:rFonts w:ascii="Times New Roman"/>
          <w:spacing w:val="-11"/>
          <w:sz w:val="18"/>
          <w:u w:val="single"/>
        </w:rPr>
        <w:t> </w:t>
      </w:r>
      <w:r>
        <w:rPr>
          <w:rFonts w:ascii="Times New Roman"/>
          <w:sz w:val="18"/>
          <w:u w:val="single"/>
        </w:rPr>
        <w:t>Co.,</w:t>
      </w:r>
      <w:r>
        <w:rPr>
          <w:rFonts w:ascii="Times New Roman"/>
          <w:sz w:val="18"/>
        </w:rPr>
        <w:t>,</w:t>
      </w:r>
      <w:r>
        <w:rPr>
          <w:rFonts w:ascii="Times New Roman"/>
          <w:spacing w:val="-8"/>
          <w:sz w:val="18"/>
        </w:rPr>
        <w:t> </w:t>
      </w:r>
      <w:r>
        <w:rPr>
          <w:rFonts w:ascii="Times New Roman"/>
          <w:sz w:val="18"/>
        </w:rPr>
        <w:t>726</w:t>
      </w:r>
      <w:r>
        <w:rPr>
          <w:rFonts w:ascii="Times New Roman"/>
          <w:spacing w:val="-7"/>
          <w:sz w:val="18"/>
        </w:rPr>
        <w:t> </w:t>
      </w:r>
      <w:r>
        <w:rPr>
          <w:rFonts w:ascii="Times New Roman"/>
          <w:sz w:val="18"/>
        </w:rPr>
        <w:t>F.Supp.</w:t>
      </w:r>
      <w:r>
        <w:rPr>
          <w:rFonts w:ascii="Times New Roman"/>
          <w:spacing w:val="-8"/>
          <w:sz w:val="18"/>
        </w:rPr>
        <w:t> </w:t>
      </w:r>
      <w:r>
        <w:rPr>
          <w:rFonts w:ascii="Times New Roman"/>
          <w:sz w:val="18"/>
        </w:rPr>
        <w:t>1015</w:t>
      </w:r>
      <w:r>
        <w:rPr>
          <w:rFonts w:ascii="Times New Roman"/>
          <w:spacing w:val="-6"/>
          <w:sz w:val="18"/>
        </w:rPr>
        <w:t> </w:t>
      </w:r>
      <w:r>
        <w:rPr>
          <w:rFonts w:ascii="Times New Roman"/>
          <w:sz w:val="18"/>
        </w:rPr>
        <w:t>(E.D.</w:t>
      </w:r>
      <w:r>
        <w:rPr>
          <w:rFonts w:ascii="Times New Roman"/>
          <w:spacing w:val="-7"/>
          <w:sz w:val="18"/>
        </w:rPr>
        <w:t> </w:t>
      </w:r>
      <w:r>
        <w:rPr>
          <w:rFonts w:ascii="Times New Roman"/>
          <w:sz w:val="18"/>
        </w:rPr>
        <w:t>Pa.</w:t>
      </w:r>
      <w:r>
        <w:rPr>
          <w:rFonts w:ascii="Times New Roman"/>
          <w:spacing w:val="-9"/>
          <w:sz w:val="18"/>
        </w:rPr>
        <w:t> </w:t>
      </w:r>
      <w:r>
        <w:rPr>
          <w:rFonts w:ascii="Times New Roman"/>
          <w:sz w:val="18"/>
        </w:rPr>
        <w:t>1989);</w:t>
      </w:r>
      <w:r>
        <w:rPr>
          <w:rFonts w:ascii="Times New Roman"/>
          <w:spacing w:val="-10"/>
          <w:sz w:val="18"/>
        </w:rPr>
        <w:t> </w:t>
      </w:r>
      <w:r>
        <w:rPr>
          <w:rFonts w:ascii="Times New Roman"/>
          <w:sz w:val="18"/>
          <w:u w:val="single"/>
        </w:rPr>
        <w:t>Monroe Guar. Ins. Co. v. Backstage, Inc.</w:t>
      </w:r>
      <w:r>
        <w:rPr>
          <w:rFonts w:ascii="Times New Roman"/>
          <w:sz w:val="18"/>
        </w:rPr>
        <w:t>, 537 N.E.2d 528 (Ind. App. 3d Dist. 1989); </w:t>
      </w:r>
      <w:r>
        <w:rPr>
          <w:rFonts w:ascii="Times New Roman"/>
          <w:sz w:val="18"/>
          <w:u w:val="single"/>
        </w:rPr>
        <w:t>Hanby v. Maryland Cas. Co.</w:t>
      </w:r>
      <w:r>
        <w:rPr>
          <w:rFonts w:ascii="Times New Roman"/>
          <w:sz w:val="18"/>
        </w:rPr>
        <w:t>, 265 A.2d 28 (Del.</w:t>
      </w:r>
      <w:r>
        <w:rPr>
          <w:rFonts w:ascii="Times New Roman"/>
          <w:spacing w:val="3"/>
          <w:sz w:val="18"/>
        </w:rPr>
        <w:t> </w:t>
      </w:r>
      <w:r>
        <w:rPr>
          <w:rFonts w:ascii="Times New Roman"/>
          <w:sz w:val="18"/>
        </w:rPr>
        <w:t>1970).</w:t>
      </w:r>
    </w:p>
    <w:p>
      <w:pPr>
        <w:spacing w:line="204" w:lineRule="exact" w:before="0"/>
        <w:ind w:left="2740" w:right="0" w:firstLine="0"/>
        <w:jc w:val="both"/>
        <w:rPr>
          <w:rFonts w:ascii="Times New Roman"/>
          <w:sz w:val="18"/>
        </w:rPr>
      </w:pPr>
      <w:r>
        <w:rPr>
          <w:rFonts w:ascii="Times New Roman"/>
          <w:position w:val="10"/>
          <w:sz w:val="14"/>
        </w:rPr>
        <w:t>461</w:t>
      </w:r>
      <w:r>
        <w:rPr>
          <w:rFonts w:ascii="Times New Roman"/>
          <w:sz w:val="14"/>
        </w:rPr>
        <w:t> </w:t>
      </w:r>
      <w:r>
        <w:rPr>
          <w:rFonts w:ascii="Times New Roman"/>
          <w:sz w:val="18"/>
          <w:u w:val="single"/>
        </w:rPr>
        <w:t>Terra Ind., Inc. v. Commonwealth Ins. Co. of America</w:t>
      </w:r>
      <w:r>
        <w:rPr>
          <w:rFonts w:ascii="Times New Roman"/>
          <w:sz w:val="18"/>
        </w:rPr>
        <w:t>, 981 F.Supp. 581 (N.D. Iowa</w:t>
      </w:r>
    </w:p>
    <w:p>
      <w:pPr>
        <w:spacing w:line="182" w:lineRule="exact" w:before="4"/>
        <w:ind w:left="2740" w:right="0" w:firstLine="0"/>
        <w:jc w:val="left"/>
        <w:rPr>
          <w:rFonts w:ascii="Times New Roman"/>
          <w:sz w:val="18"/>
        </w:rPr>
      </w:pPr>
      <w:r>
        <w:rPr>
          <w:rFonts w:ascii="Times New Roman"/>
          <w:sz w:val="18"/>
        </w:rPr>
        <w:t>1997).</w:t>
      </w:r>
    </w:p>
    <w:p>
      <w:pPr>
        <w:spacing w:line="235" w:lineRule="exact" w:before="0"/>
        <w:ind w:left="2740" w:right="0" w:firstLine="0"/>
        <w:jc w:val="left"/>
        <w:rPr>
          <w:rFonts w:ascii="Times New Roman"/>
          <w:sz w:val="18"/>
        </w:rPr>
      </w:pPr>
      <w:r>
        <w:rPr>
          <w:rFonts w:ascii="Times New Roman"/>
          <w:position w:val="9"/>
          <w:sz w:val="14"/>
        </w:rPr>
        <w:t>462 </w:t>
      </w:r>
      <w:r>
        <w:rPr>
          <w:rFonts w:ascii="Times New Roman"/>
          <w:sz w:val="18"/>
        </w:rPr>
        <w:t>2011 WL 2174965 (S.D.Tex.).</w:t>
      </w:r>
    </w:p>
    <w:p>
      <w:pPr>
        <w:spacing w:after="0" w:line="235" w:lineRule="exact"/>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jc w:val="both"/>
      </w:pPr>
      <w:bookmarkStart w:name="Law and Procedure 205" w:id="19"/>
      <w:bookmarkEnd w:id="19"/>
      <w:r>
        <w:rPr/>
      </w:r>
      <w:r>
        <w:rPr/>
        <w:t>that appraisal could be invoked at any </w:t>
      </w:r>
      <w:r>
        <w:rPr>
          <w:spacing w:val="-4"/>
        </w:rPr>
        <w:t>time </w:t>
      </w:r>
      <w:r>
        <w:rPr/>
        <w:t>after disagreement about the amount of loss occurred.</w:t>
      </w:r>
    </w:p>
    <w:p>
      <w:pPr>
        <w:pStyle w:val="BodyText"/>
        <w:spacing w:before="9"/>
        <w:rPr>
          <w:sz w:val="22"/>
        </w:rPr>
      </w:pPr>
    </w:p>
    <w:p>
      <w:pPr>
        <w:pStyle w:val="BodyText"/>
        <w:spacing w:line="242" w:lineRule="auto" w:before="41"/>
        <w:ind w:left="3100" w:right="3198" w:firstLine="720"/>
        <w:jc w:val="both"/>
      </w:pPr>
      <w:r>
        <w:rPr/>
        <w:t>The court in the Texas case, </w:t>
      </w:r>
      <w:r>
        <w:rPr>
          <w:u w:val="single"/>
        </w:rPr>
        <w:t>EDM Office</w:t>
      </w:r>
      <w:r>
        <w:rPr/>
        <w:t> </w:t>
      </w:r>
      <w:r>
        <w:rPr>
          <w:u w:val="single"/>
        </w:rPr>
        <w:t>Services, Inc. v. Hartford Lloyds Ins. Co.</w:t>
      </w:r>
      <w:r>
        <w:rPr/>
        <w:t>,</w:t>
      </w:r>
      <w:r>
        <w:rPr>
          <w:vertAlign w:val="superscript"/>
        </w:rPr>
        <w:t>463</w:t>
      </w:r>
      <w:r>
        <w:rPr>
          <w:spacing w:val="-28"/>
          <w:vertAlign w:val="baseline"/>
        </w:rPr>
        <w:t> </w:t>
      </w:r>
      <w:r>
        <w:rPr>
          <w:spacing w:val="-9"/>
          <w:vertAlign w:val="baseline"/>
        </w:rPr>
        <w:t>held </w:t>
      </w:r>
      <w:r>
        <w:rPr>
          <w:vertAlign w:val="baseline"/>
        </w:rPr>
        <w:t>that</w:t>
      </w:r>
      <w:r>
        <w:rPr>
          <w:spacing w:val="-10"/>
          <w:vertAlign w:val="baseline"/>
        </w:rPr>
        <w:t> </w:t>
      </w:r>
      <w:r>
        <w:rPr>
          <w:vertAlign w:val="baseline"/>
        </w:rPr>
        <w:t>the</w:t>
      </w:r>
      <w:r>
        <w:rPr>
          <w:spacing w:val="-8"/>
          <w:vertAlign w:val="baseline"/>
        </w:rPr>
        <w:t> </w:t>
      </w:r>
      <w:r>
        <w:rPr>
          <w:vertAlign w:val="baseline"/>
        </w:rPr>
        <w:t>insurer</w:t>
      </w:r>
      <w:r>
        <w:rPr>
          <w:spacing w:val="-9"/>
          <w:vertAlign w:val="baseline"/>
        </w:rPr>
        <w:t> </w:t>
      </w:r>
      <w:r>
        <w:rPr>
          <w:vertAlign w:val="baseline"/>
        </w:rPr>
        <w:t>did</w:t>
      </w:r>
      <w:r>
        <w:rPr>
          <w:spacing w:val="-7"/>
          <w:vertAlign w:val="baseline"/>
        </w:rPr>
        <w:t> </w:t>
      </w:r>
      <w:r>
        <w:rPr>
          <w:vertAlign w:val="baseline"/>
        </w:rPr>
        <w:t>not</w:t>
      </w:r>
      <w:r>
        <w:rPr>
          <w:spacing w:val="-10"/>
          <w:vertAlign w:val="baseline"/>
        </w:rPr>
        <w:t> </w:t>
      </w:r>
      <w:r>
        <w:rPr>
          <w:vertAlign w:val="baseline"/>
        </w:rPr>
        <w:t>waive</w:t>
      </w:r>
      <w:r>
        <w:rPr>
          <w:spacing w:val="-11"/>
          <w:vertAlign w:val="baseline"/>
        </w:rPr>
        <w:t> </w:t>
      </w:r>
      <w:r>
        <w:rPr>
          <w:vertAlign w:val="baseline"/>
        </w:rPr>
        <w:t>its</w:t>
      </w:r>
      <w:r>
        <w:rPr>
          <w:spacing w:val="-9"/>
          <w:vertAlign w:val="baseline"/>
        </w:rPr>
        <w:t> </w:t>
      </w:r>
      <w:r>
        <w:rPr>
          <w:vertAlign w:val="baseline"/>
        </w:rPr>
        <w:t>right</w:t>
      </w:r>
      <w:r>
        <w:rPr>
          <w:spacing w:val="-10"/>
          <w:vertAlign w:val="baseline"/>
        </w:rPr>
        <w:t> </w:t>
      </w:r>
      <w:r>
        <w:rPr>
          <w:vertAlign w:val="baseline"/>
        </w:rPr>
        <w:t>to</w:t>
      </w:r>
      <w:r>
        <w:rPr>
          <w:spacing w:val="-9"/>
          <w:vertAlign w:val="baseline"/>
        </w:rPr>
        <w:t> </w:t>
      </w:r>
      <w:r>
        <w:rPr>
          <w:vertAlign w:val="baseline"/>
        </w:rPr>
        <w:t>invoke appraisal even if </w:t>
      </w:r>
      <w:r>
        <w:rPr>
          <w:spacing w:val="2"/>
          <w:vertAlign w:val="baseline"/>
        </w:rPr>
        <w:t>it did </w:t>
      </w:r>
      <w:r>
        <w:rPr>
          <w:vertAlign w:val="baseline"/>
        </w:rPr>
        <w:t>not comply with the “Claims Handling” provisions of the policy as compliance with such provisions is not a condition precedent to commencing the appraisal process. </w:t>
      </w:r>
      <w:r>
        <w:rPr>
          <w:spacing w:val="-3"/>
          <w:vertAlign w:val="baseline"/>
        </w:rPr>
        <w:t>The </w:t>
      </w:r>
      <w:r>
        <w:rPr>
          <w:vertAlign w:val="baseline"/>
        </w:rPr>
        <w:t>court found no </w:t>
      </w:r>
      <w:r>
        <w:rPr>
          <w:spacing w:val="-3"/>
          <w:vertAlign w:val="baseline"/>
        </w:rPr>
        <w:t>waiver </w:t>
      </w:r>
      <w:r>
        <w:rPr>
          <w:vertAlign w:val="baseline"/>
        </w:rPr>
        <w:t>because the appraisal provision did not use conditional language and the insured did </w:t>
      </w:r>
      <w:r>
        <w:rPr>
          <w:spacing w:val="-4"/>
          <w:vertAlign w:val="baseline"/>
        </w:rPr>
        <w:t>not </w:t>
      </w:r>
      <w:r>
        <w:rPr>
          <w:vertAlign w:val="baseline"/>
        </w:rPr>
        <w:t>identify any provision showing that the parties intended the insurer full comply with the “Claims Handling” provisions before seeking appraisal.</w:t>
      </w:r>
    </w:p>
    <w:p>
      <w:pPr>
        <w:pStyle w:val="BodyText"/>
        <w:spacing w:before="5"/>
        <w:rPr>
          <w:sz w:val="22"/>
        </w:rPr>
      </w:pPr>
    </w:p>
    <w:p>
      <w:pPr>
        <w:pStyle w:val="BodyText"/>
        <w:spacing w:line="242" w:lineRule="auto" w:before="42"/>
        <w:ind w:left="3100" w:right="3198" w:firstLine="720"/>
        <w:jc w:val="both"/>
      </w:pPr>
      <w:r>
        <w:rPr/>
        <w:t>This</w:t>
      </w:r>
      <w:r>
        <w:rPr>
          <w:spacing w:val="-18"/>
        </w:rPr>
        <w:t> </w:t>
      </w:r>
      <w:r>
        <w:rPr/>
        <w:t>issue</w:t>
      </w:r>
      <w:r>
        <w:rPr>
          <w:spacing w:val="-16"/>
        </w:rPr>
        <w:t> </w:t>
      </w:r>
      <w:r>
        <w:rPr/>
        <w:t>was</w:t>
      </w:r>
      <w:r>
        <w:rPr>
          <w:spacing w:val="-20"/>
        </w:rPr>
        <w:t> </w:t>
      </w:r>
      <w:r>
        <w:rPr/>
        <w:t>dealt</w:t>
      </w:r>
      <w:r>
        <w:rPr>
          <w:spacing w:val="-20"/>
        </w:rPr>
        <w:t> </w:t>
      </w:r>
      <w:r>
        <w:rPr/>
        <w:t>with</w:t>
      </w:r>
      <w:r>
        <w:rPr>
          <w:spacing w:val="-19"/>
        </w:rPr>
        <w:t> </w:t>
      </w:r>
      <w:r>
        <w:rPr/>
        <w:t>similarly</w:t>
      </w:r>
      <w:r>
        <w:rPr>
          <w:spacing w:val="-18"/>
        </w:rPr>
        <w:t> </w:t>
      </w:r>
      <w:r>
        <w:rPr/>
        <w:t>in</w:t>
      </w:r>
      <w:r>
        <w:rPr>
          <w:spacing w:val="-17"/>
        </w:rPr>
        <w:t> </w:t>
      </w:r>
      <w:r>
        <w:rPr>
          <w:u w:val="single"/>
        </w:rPr>
        <w:t>Dike</w:t>
      </w:r>
      <w:r>
        <w:rPr>
          <w:spacing w:val="-19"/>
          <w:u w:val="single"/>
        </w:rPr>
        <w:t> </w:t>
      </w:r>
      <w:r>
        <w:rPr>
          <w:u w:val="single"/>
        </w:rPr>
        <w:t>v.</w:t>
      </w:r>
      <w:r>
        <w:rPr/>
        <w:t> </w:t>
      </w:r>
      <w:r>
        <w:rPr>
          <w:u w:val="single"/>
        </w:rPr>
        <w:t>Valley</w:t>
      </w:r>
      <w:r>
        <w:rPr>
          <w:spacing w:val="-26"/>
          <w:u w:val="single"/>
        </w:rPr>
        <w:t> </w:t>
      </w:r>
      <w:r>
        <w:rPr>
          <w:u w:val="single"/>
        </w:rPr>
        <w:t>Forge</w:t>
      </w:r>
      <w:r>
        <w:rPr>
          <w:spacing w:val="-23"/>
          <w:u w:val="single"/>
        </w:rPr>
        <w:t> </w:t>
      </w:r>
      <w:r>
        <w:rPr>
          <w:u w:val="single"/>
        </w:rPr>
        <w:t>Ins.</w:t>
      </w:r>
      <w:r>
        <w:rPr>
          <w:spacing w:val="-25"/>
          <w:u w:val="single"/>
        </w:rPr>
        <w:t> </w:t>
      </w:r>
      <w:r>
        <w:rPr>
          <w:u w:val="single"/>
        </w:rPr>
        <w:t>Co.</w:t>
      </w:r>
      <w:r>
        <w:rPr>
          <w:vertAlign w:val="superscript"/>
        </w:rPr>
        <w:t>464</w:t>
      </w:r>
      <w:r>
        <w:rPr>
          <w:spacing w:val="24"/>
          <w:vertAlign w:val="baseline"/>
        </w:rPr>
        <w:t> </w:t>
      </w:r>
      <w:r>
        <w:rPr>
          <w:spacing w:val="3"/>
          <w:vertAlign w:val="baseline"/>
        </w:rPr>
        <w:t>In</w:t>
      </w:r>
      <w:r>
        <w:rPr>
          <w:spacing w:val="-23"/>
          <w:vertAlign w:val="baseline"/>
        </w:rPr>
        <w:t> </w:t>
      </w:r>
      <w:r>
        <w:rPr>
          <w:vertAlign w:val="baseline"/>
        </w:rPr>
        <w:t>that</w:t>
      </w:r>
      <w:r>
        <w:rPr>
          <w:spacing w:val="-24"/>
          <w:vertAlign w:val="baseline"/>
        </w:rPr>
        <w:t> </w:t>
      </w:r>
      <w:r>
        <w:rPr>
          <w:vertAlign w:val="baseline"/>
        </w:rPr>
        <w:t>case,</w:t>
      </w:r>
      <w:r>
        <w:rPr>
          <w:spacing w:val="-26"/>
          <w:vertAlign w:val="baseline"/>
        </w:rPr>
        <w:t> </w:t>
      </w:r>
      <w:r>
        <w:rPr>
          <w:vertAlign w:val="baseline"/>
        </w:rPr>
        <w:t>the</w:t>
      </w:r>
      <w:r>
        <w:rPr>
          <w:spacing w:val="-26"/>
          <w:vertAlign w:val="baseline"/>
        </w:rPr>
        <w:t> </w:t>
      </w:r>
      <w:r>
        <w:rPr>
          <w:spacing w:val="-5"/>
          <w:vertAlign w:val="baseline"/>
        </w:rPr>
        <w:t>insured </w:t>
      </w:r>
      <w:r>
        <w:rPr>
          <w:vertAlign w:val="baseline"/>
        </w:rPr>
        <w:t>argued that Valley Forge could not demand appraisal because it failed to conduct a reasonable investigation of his claims, which the </w:t>
      </w:r>
      <w:r>
        <w:rPr>
          <w:spacing w:val="2"/>
          <w:vertAlign w:val="baseline"/>
        </w:rPr>
        <w:t>insured </w:t>
      </w:r>
      <w:r>
        <w:rPr>
          <w:vertAlign w:val="baseline"/>
        </w:rPr>
        <w:t>asserted was a </w:t>
      </w:r>
      <w:r>
        <w:rPr>
          <w:spacing w:val="2"/>
          <w:vertAlign w:val="baseline"/>
        </w:rPr>
        <w:t>condition </w:t>
      </w:r>
      <w:r>
        <w:rPr>
          <w:vertAlign w:val="baseline"/>
        </w:rPr>
        <w:t>precedent to invoking appraisal. The court determined that, even assuming the insurer failed to comply with the “Claims Handling” provisions of the insurance policy, it would</w:t>
      </w:r>
      <w:r>
        <w:rPr>
          <w:spacing w:val="-10"/>
          <w:vertAlign w:val="baseline"/>
        </w:rPr>
        <w:t> </w:t>
      </w:r>
      <w:r>
        <w:rPr>
          <w:vertAlign w:val="baseline"/>
        </w:rPr>
        <w:t>not</w:t>
      </w:r>
    </w:p>
    <w:p>
      <w:pPr>
        <w:pStyle w:val="BodyText"/>
        <w:rPr>
          <w:sz w:val="20"/>
        </w:rPr>
      </w:pPr>
    </w:p>
    <w:p>
      <w:pPr>
        <w:pStyle w:val="BodyText"/>
        <w:spacing w:before="4"/>
        <w:rPr>
          <w:sz w:val="10"/>
        </w:rPr>
      </w:pPr>
      <w:r>
        <w:rPr/>
        <w:pict>
          <v:shape style="position:absolute;margin-left:162pt;margin-top:8.749204pt;width:143.9pt;height:.1pt;mso-position-horizontal-relative:page;mso-position-vertical-relative:paragraph;z-index:-251625472;mso-wrap-distance-left:0;mso-wrap-distance-right:0" coordorigin="3240,175" coordsize="2878,0" path="m3240,175l6118,175e" filled="false" stroked="true" strokeweight=".84pt" strokecolor="#000000">
            <v:path arrowok="t"/>
            <v:stroke dashstyle="solid"/>
            <w10:wrap type="topAndBottom"/>
          </v:shape>
        </w:pict>
      </w:r>
    </w:p>
    <w:p>
      <w:pPr>
        <w:pStyle w:val="BodyText"/>
        <w:spacing w:before="4"/>
        <w:rPr>
          <w:sz w:val="10"/>
        </w:rPr>
      </w:pPr>
    </w:p>
    <w:p>
      <w:pPr>
        <w:spacing w:before="71"/>
        <w:ind w:left="2740" w:right="0" w:firstLine="0"/>
        <w:jc w:val="left"/>
        <w:rPr>
          <w:rFonts w:ascii="Times New Roman"/>
          <w:sz w:val="24"/>
        </w:rPr>
      </w:pPr>
      <w:r>
        <w:rPr>
          <w:rFonts w:ascii="Times New Roman"/>
          <w:position w:val="10"/>
          <w:sz w:val="14"/>
        </w:rPr>
        <w:t>463 </w:t>
      </w:r>
      <w:r>
        <w:rPr>
          <w:rFonts w:ascii="Times New Roman"/>
          <w:sz w:val="18"/>
        </w:rPr>
        <w:t>2011 WL 2619069 (S.D.Tex. 2011)</w:t>
      </w:r>
      <w:r>
        <w:rPr>
          <w:rFonts w:ascii="Times New Roman"/>
          <w:sz w:val="24"/>
        </w:rPr>
        <w:t>.</w:t>
      </w:r>
    </w:p>
    <w:p>
      <w:pPr>
        <w:spacing w:before="1"/>
        <w:ind w:left="2740" w:right="0" w:firstLine="0"/>
        <w:jc w:val="left"/>
        <w:rPr>
          <w:rFonts w:ascii="Times New Roman"/>
          <w:sz w:val="18"/>
        </w:rPr>
      </w:pPr>
      <w:r>
        <w:rPr>
          <w:rFonts w:ascii="Times New Roman"/>
          <w:position w:val="10"/>
          <w:sz w:val="14"/>
        </w:rPr>
        <w:t>464 </w:t>
      </w:r>
      <w:r>
        <w:rPr>
          <w:rFonts w:ascii="Times New Roman"/>
          <w:sz w:val="18"/>
          <w:u w:val="single"/>
        </w:rPr>
        <w:t>Dike v. Valley Forge Ins. Co.</w:t>
      </w:r>
      <w:r>
        <w:rPr>
          <w:rFonts w:ascii="Times New Roman"/>
          <w:sz w:val="18"/>
        </w:rPr>
        <w:t>,797 F.Supp.2d 177, 2011 WL 2517270 (S.D.Tex. 2011).</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201"/>
        <w:jc w:val="both"/>
      </w:pPr>
      <w:bookmarkStart w:name="Law and Procedure 206" w:id="20"/>
      <w:bookmarkEnd w:id="20"/>
      <w:r>
        <w:rPr/>
      </w:r>
      <w:r>
        <w:rPr/>
        <w:t>prevent the insurer from seeking appraisal as “compliance with the “Claims Handling” provisions...[is] not a condition precedent to exercising appraisal rights.”</w:t>
      </w:r>
    </w:p>
    <w:p>
      <w:pPr>
        <w:pStyle w:val="BodyText"/>
        <w:spacing w:before="1"/>
      </w:pPr>
    </w:p>
    <w:p>
      <w:pPr>
        <w:pStyle w:val="BodyText"/>
        <w:spacing w:line="242" w:lineRule="auto"/>
        <w:ind w:left="3100" w:right="3197" w:firstLine="720"/>
        <w:jc w:val="both"/>
      </w:pPr>
      <w:r>
        <w:rPr/>
        <w:pict>
          <v:line style="position:absolute;mso-position-horizontal-relative:page;mso-position-vertical-relative:paragraph;z-index:-254249984" from="389.330017pt,42.743137pt" to="603.139017pt,42.743137pt" stroked="true" strokeweight="2.95pt" strokecolor="#000000">
            <v:stroke dashstyle="solid"/>
            <w10:wrap type="none"/>
          </v:line>
        </w:pict>
      </w:r>
      <w:r>
        <w:rPr/>
        <w:pict>
          <v:line style="position:absolute;mso-position-horizontal-relative:page;mso-position-vertical-relative:paragraph;z-index:-254248960" from="315.350006pt,58.823139pt" to="603.397006pt,58.823139pt" stroked="true" strokeweight="2.95pt" strokecolor="#000000">
            <v:stroke dashstyle="solid"/>
            <w10:wrap type="none"/>
          </v:line>
        </w:pict>
      </w:r>
      <w:r>
        <w:rPr/>
        <w:pict>
          <v:line style="position:absolute;mso-position-horizontal-relative:page;mso-position-vertical-relative:paragraph;z-index:-254247936" from="315.350006pt,74.903137pt" to="603.240006pt,74.903137pt" stroked="true" strokeweight="2.95pt" strokecolor="#000000">
            <v:stroke dashstyle="solid"/>
            <w10:wrap type="none"/>
          </v:line>
        </w:pict>
      </w:r>
      <w:r>
        <w:rPr/>
        <w:pict>
          <v:line style="position:absolute;mso-position-horizontal-relative:page;mso-position-vertical-relative:paragraph;z-index:-254246912" from="315.350006pt,90.983139pt" to="446.319006pt,90.983139pt" stroked="true" strokeweight="2.95pt" strokecolor="#000000">
            <v:stroke dashstyle="solid"/>
            <w10:wrap type="none"/>
          </v:line>
        </w:pict>
      </w:r>
      <w:r>
        <w:rPr>
          <w:spacing w:val="-3"/>
        </w:rPr>
        <w:t>Where </w:t>
      </w:r>
      <w:r>
        <w:rPr/>
        <w:t>an appraisal has not become impossible or impracticable due to the passage of time, it has been held that even where the insurer had waited 13 months after the loss and 4 months after the litigation was commenced</w:t>
      </w:r>
      <w:r>
        <w:rPr>
          <w:spacing w:val="-33"/>
        </w:rPr>
        <w:t> </w:t>
      </w:r>
      <w:r>
        <w:rPr/>
        <w:t>to</w:t>
      </w:r>
      <w:r>
        <w:rPr>
          <w:spacing w:val="-31"/>
        </w:rPr>
        <w:t> </w:t>
      </w:r>
      <w:r>
        <w:rPr/>
        <w:t>demand</w:t>
      </w:r>
      <w:r>
        <w:rPr>
          <w:spacing w:val="-32"/>
        </w:rPr>
        <w:t> </w:t>
      </w:r>
      <w:r>
        <w:rPr/>
        <w:t>an</w:t>
      </w:r>
      <w:r>
        <w:rPr>
          <w:spacing w:val="-31"/>
        </w:rPr>
        <w:t> </w:t>
      </w:r>
      <w:r>
        <w:rPr/>
        <w:t>appraisal,</w:t>
      </w:r>
      <w:r>
        <w:rPr>
          <w:spacing w:val="-36"/>
        </w:rPr>
        <w:t> </w:t>
      </w:r>
      <w:r>
        <w:rPr>
          <w:spacing w:val="-3"/>
        </w:rPr>
        <w:t>that</w:t>
      </w:r>
      <w:r>
        <w:rPr>
          <w:spacing w:val="-36"/>
        </w:rPr>
        <w:t> </w:t>
      </w:r>
      <w:r>
        <w:rPr>
          <w:spacing w:val="-3"/>
        </w:rPr>
        <w:t>the </w:t>
      </w:r>
      <w:r>
        <w:rPr/>
        <w:t>demand was still reasonable under the circumstances. This is particularly so where there is no claim that the insurer thwarted</w:t>
      </w:r>
      <w:r>
        <w:rPr>
          <w:spacing w:val="-31"/>
        </w:rPr>
        <w:t> </w:t>
      </w:r>
      <w:r>
        <w:rPr/>
        <w:t>the possibility of having an earlier appraisal performed.</w:t>
      </w:r>
      <w:r>
        <w:rPr>
          <w:vertAlign w:val="superscript"/>
        </w:rPr>
        <w:t>465</w:t>
      </w:r>
    </w:p>
    <w:p>
      <w:pPr>
        <w:pStyle w:val="BodyText"/>
        <w:spacing w:before="11"/>
        <w:rPr>
          <w:sz w:val="25"/>
        </w:rPr>
      </w:pPr>
    </w:p>
    <w:p>
      <w:pPr>
        <w:pStyle w:val="BodyText"/>
        <w:spacing w:line="242" w:lineRule="auto"/>
        <w:ind w:left="3100" w:right="3196" w:firstLine="720"/>
        <w:jc w:val="both"/>
      </w:pPr>
      <w:r>
        <w:rPr>
          <w:spacing w:val="2"/>
        </w:rPr>
        <w:t>An</w:t>
      </w:r>
      <w:r>
        <w:rPr>
          <w:spacing w:val="-25"/>
        </w:rPr>
        <w:t> </w:t>
      </w:r>
      <w:r>
        <w:rPr/>
        <w:t>insurer</w:t>
      </w:r>
      <w:r>
        <w:rPr>
          <w:spacing w:val="-26"/>
        </w:rPr>
        <w:t> </w:t>
      </w:r>
      <w:r>
        <w:rPr/>
        <w:t>in</w:t>
      </w:r>
      <w:r>
        <w:rPr>
          <w:spacing w:val="-27"/>
        </w:rPr>
        <w:t> </w:t>
      </w:r>
      <w:r>
        <w:rPr/>
        <w:t>Florida</w:t>
      </w:r>
      <w:r>
        <w:rPr>
          <w:spacing w:val="-26"/>
        </w:rPr>
        <w:t> </w:t>
      </w:r>
      <w:r>
        <w:rPr/>
        <w:t>was</w:t>
      </w:r>
      <w:r>
        <w:rPr>
          <w:spacing w:val="-23"/>
        </w:rPr>
        <w:t> </w:t>
      </w:r>
      <w:r>
        <w:rPr/>
        <w:t>deemed</w:t>
      </w:r>
      <w:r>
        <w:rPr>
          <w:spacing w:val="-27"/>
        </w:rPr>
        <w:t> </w:t>
      </w:r>
      <w:r>
        <w:rPr/>
        <w:t>to</w:t>
      </w:r>
      <w:r>
        <w:rPr>
          <w:spacing w:val="-23"/>
        </w:rPr>
        <w:t> </w:t>
      </w:r>
      <w:r>
        <w:rPr/>
        <w:t>have promptly</w:t>
      </w:r>
      <w:r>
        <w:rPr>
          <w:spacing w:val="-24"/>
        </w:rPr>
        <w:t> </w:t>
      </w:r>
      <w:r>
        <w:rPr/>
        <w:t>invoked</w:t>
      </w:r>
      <w:r>
        <w:rPr>
          <w:spacing w:val="-22"/>
        </w:rPr>
        <w:t> </w:t>
      </w:r>
      <w:r>
        <w:rPr/>
        <w:t>its</w:t>
      </w:r>
      <w:r>
        <w:rPr>
          <w:spacing w:val="-21"/>
        </w:rPr>
        <w:t> </w:t>
      </w:r>
      <w:r>
        <w:rPr/>
        <w:t>right</w:t>
      </w:r>
      <w:r>
        <w:rPr>
          <w:spacing w:val="-22"/>
        </w:rPr>
        <w:t> </w:t>
      </w:r>
      <w:r>
        <w:rPr/>
        <w:t>to</w:t>
      </w:r>
      <w:r>
        <w:rPr>
          <w:spacing w:val="-21"/>
        </w:rPr>
        <w:t> </w:t>
      </w:r>
      <w:r>
        <w:rPr/>
        <w:t>appraisal</w:t>
      </w:r>
      <w:r>
        <w:rPr>
          <w:spacing w:val="-20"/>
        </w:rPr>
        <w:t> </w:t>
      </w:r>
      <w:r>
        <w:rPr/>
        <w:t>pursuant to the policy when it filed a motion to compel appraisal after the parties had neither extensively litigated nor engaged in extensive discovery.</w:t>
      </w:r>
      <w:r>
        <w:rPr>
          <w:spacing w:val="-37"/>
        </w:rPr>
        <w:t> </w:t>
      </w:r>
      <w:r>
        <w:rPr/>
        <w:t>Florida</w:t>
      </w:r>
      <w:r>
        <w:rPr>
          <w:spacing w:val="-33"/>
        </w:rPr>
        <w:t> </w:t>
      </w:r>
      <w:r>
        <w:rPr/>
        <w:t>law</w:t>
      </w:r>
      <w:r>
        <w:rPr>
          <w:spacing w:val="-37"/>
        </w:rPr>
        <w:t> </w:t>
      </w:r>
      <w:r>
        <w:rPr/>
        <w:t>provides</w:t>
      </w:r>
      <w:r>
        <w:rPr>
          <w:spacing w:val="-34"/>
        </w:rPr>
        <w:t> </w:t>
      </w:r>
      <w:r>
        <w:rPr/>
        <w:t>that</w:t>
      </w:r>
      <w:r>
        <w:rPr>
          <w:spacing w:val="-36"/>
        </w:rPr>
        <w:t> </w:t>
      </w:r>
      <w:r>
        <w:rPr/>
        <w:t>“the</w:t>
      </w:r>
      <w:r>
        <w:rPr>
          <w:spacing w:val="-36"/>
        </w:rPr>
        <w:t> </w:t>
      </w:r>
      <w:r>
        <w:rPr/>
        <w:t>right</w:t>
      </w:r>
      <w:r>
        <w:rPr>
          <w:spacing w:val="-35"/>
        </w:rPr>
        <w:t> </w:t>
      </w:r>
      <w:r>
        <w:rPr/>
        <w:t>to an appraisal may be waived if a party maintains a position inconsistent with the appraisal remedy.” </w:t>
      </w:r>
      <w:r>
        <w:rPr>
          <w:spacing w:val="3"/>
        </w:rPr>
        <w:t>In </w:t>
      </w:r>
      <w:r>
        <w:rPr/>
        <w:t>the instant action, the Court conceded that while the appraisal process could have been invoked by the insurer earlier in the dispute, such an action was not required by the appraisal clause</w:t>
      </w:r>
      <w:r>
        <w:rPr>
          <w:spacing w:val="-11"/>
        </w:rPr>
        <w:t> </w:t>
      </w:r>
      <w:r>
        <w:rPr/>
        <w:t>prior</w:t>
      </w:r>
    </w:p>
    <w:p>
      <w:pPr>
        <w:pStyle w:val="BodyText"/>
        <w:rPr>
          <w:sz w:val="20"/>
        </w:rPr>
      </w:pPr>
    </w:p>
    <w:p>
      <w:pPr>
        <w:pStyle w:val="BodyText"/>
        <w:rPr>
          <w:sz w:val="13"/>
        </w:rPr>
      </w:pPr>
      <w:r>
        <w:rPr/>
        <w:pict>
          <v:shape style="position:absolute;margin-left:162pt;margin-top:10.36959pt;width:143.9pt;height:.1pt;mso-position-horizontal-relative:page;mso-position-vertical-relative:paragraph;z-index:-251624448;mso-wrap-distance-left:0;mso-wrap-distance-right:0" coordorigin="3240,207" coordsize="2878,0" path="m3240,207l6118,207e" filled="false" stroked="true" strokeweight=".84pt" strokecolor="#000000">
            <v:path arrowok="t"/>
            <v:stroke dashstyle="solid"/>
            <w10:wrap type="topAndBottom"/>
          </v:shape>
        </w:pict>
      </w:r>
    </w:p>
    <w:p>
      <w:pPr>
        <w:spacing w:before="149"/>
        <w:ind w:left="2740" w:right="0" w:firstLine="0"/>
        <w:jc w:val="left"/>
        <w:rPr>
          <w:rFonts w:ascii="Times New Roman"/>
          <w:sz w:val="18"/>
        </w:rPr>
      </w:pPr>
      <w:r>
        <w:rPr>
          <w:rFonts w:ascii="Times New Roman"/>
          <w:position w:val="9"/>
          <w:sz w:val="14"/>
        </w:rPr>
        <w:t>465 </w:t>
      </w:r>
      <w:r>
        <w:rPr>
          <w:rFonts w:ascii="Times New Roman"/>
          <w:sz w:val="18"/>
          <w:u w:val="single"/>
        </w:rPr>
        <w:t>Peck v. Planet Ins. Co.</w:t>
      </w:r>
      <w:r>
        <w:rPr>
          <w:rFonts w:ascii="Times New Roman"/>
          <w:sz w:val="18"/>
        </w:rPr>
        <w:t>, 1994 WL 381544 (S.D.N.Y. 1994).</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199"/>
        <w:jc w:val="both"/>
      </w:pPr>
      <w:r>
        <w:rPr/>
        <w:pict>
          <v:group style="position:absolute;margin-left:228.020004pt;margin-top:-125.593834pt;width:375.8pt;height:303.95pt;mso-position-horizontal-relative:page;mso-position-vertical-relative:paragraph;z-index:-254243840" coordorigin="4560,-2512" coordsize="7516,6079">
            <v:shape style="position:absolute;left:6299;top:-1639;width:5777;height:1219" coordorigin="6299,-1638" coordsize="5777,1219" path="m12062,-1638l10098,-1638,10088,-1628,10088,-1395,10098,-1385,12062,-1385,12072,-1395,12072,-1628,12062,-1638xm12065,-1316l6310,-1316,6299,-1306,6299,-1073,6310,-1063,12065,-1063,12076,-1073,12076,-1306,12065,-1316xm12056,-995l6310,-995,6299,-985,6299,-752,6310,-742,12056,-742,12066,-752,12066,-985,12056,-995xm10012,-673l6310,-673,6299,-663,6299,-430,6310,-420,10012,-420,10022,-430,10022,-663,10012,-673xe" filled="true" fillcolor="#a2baf1" stroked="false">
              <v:path arrowok="t"/>
              <v:fill opacity="32112f" type="solid"/>
            </v:shape>
            <v:shape style="position:absolute;left:3240;top:6788;width:5761;height:644" coordorigin="3240,6788" coordsize="5761,644" path="m8187,896l12065,896m6307,1217l12068,1217m6307,1539l10618,1539e" filled="false" stroked="true" strokeweight="2.95pt" strokecolor="#000000">
              <v:path arrowok="t"/>
              <v:stroke dashstyle="solid"/>
            </v:shape>
            <v:shape style="position:absolute;left:2305;top:2407;width:7193;height:6027" coordorigin="2306,2407" coordsize="7193,6027" path="m4586,3541l11778,3541,11778,-2486m4586,-2486l4586,3541e" filled="false" stroked="true" strokeweight="2.56pt" strokecolor="#87261f">
              <v:path arrowok="t"/>
              <v:stroke dashstyle="solid"/>
            </v:shape>
            <w10:wrap type="none"/>
          </v:group>
        </w:pict>
      </w:r>
      <w:bookmarkStart w:name="Law and Procedure 207" w:id="21"/>
      <w:bookmarkEnd w:id="21"/>
      <w:r>
        <w:rPr/>
      </w:r>
      <w:r>
        <w:rPr/>
        <w:t>to suit or even at any particular time. Thus,</w:t>
      </w:r>
      <w:r>
        <w:rPr>
          <w:spacing w:val="-35"/>
        </w:rPr>
        <w:t> </w:t>
      </w:r>
      <w:r>
        <w:rPr/>
        <w:t>the insurer’s conduct was not inconsistent </w:t>
      </w:r>
      <w:r>
        <w:rPr>
          <w:spacing w:val="-4"/>
        </w:rPr>
        <w:t>with </w:t>
      </w:r>
      <w:r>
        <w:rPr/>
        <w:t>appraisal</w:t>
      </w:r>
      <w:r>
        <w:rPr>
          <w:spacing w:val="-38"/>
        </w:rPr>
        <w:t> </w:t>
      </w:r>
      <w:r>
        <w:rPr/>
        <w:t>to</w:t>
      </w:r>
      <w:r>
        <w:rPr>
          <w:spacing w:val="-39"/>
        </w:rPr>
        <w:t> </w:t>
      </w:r>
      <w:r>
        <w:rPr>
          <w:spacing w:val="-3"/>
        </w:rPr>
        <w:t>the</w:t>
      </w:r>
      <w:r>
        <w:rPr>
          <w:spacing w:val="-39"/>
        </w:rPr>
        <w:t> </w:t>
      </w:r>
      <w:r>
        <w:rPr>
          <w:spacing w:val="-3"/>
        </w:rPr>
        <w:t>extent</w:t>
      </w:r>
      <w:r>
        <w:rPr>
          <w:spacing w:val="-40"/>
        </w:rPr>
        <w:t> </w:t>
      </w:r>
      <w:r>
        <w:rPr/>
        <w:t>of</w:t>
      </w:r>
      <w:r>
        <w:rPr>
          <w:spacing w:val="-38"/>
        </w:rPr>
        <w:t> </w:t>
      </w:r>
      <w:r>
        <w:rPr/>
        <w:t>demonstrating</w:t>
      </w:r>
      <w:r>
        <w:rPr>
          <w:spacing w:val="-35"/>
        </w:rPr>
        <w:t> </w:t>
      </w:r>
      <w:r>
        <w:rPr/>
        <w:t>waiver of the</w:t>
      </w:r>
      <w:r>
        <w:rPr>
          <w:spacing w:val="-2"/>
        </w:rPr>
        <w:t> </w:t>
      </w:r>
      <w:r>
        <w:rPr/>
        <w:t>right.</w:t>
      </w:r>
      <w:r>
        <w:rPr>
          <w:vertAlign w:val="superscript"/>
        </w:rPr>
        <w:t>466</w:t>
      </w:r>
    </w:p>
    <w:p>
      <w:pPr>
        <w:pStyle w:val="BodyText"/>
        <w:spacing w:before="1"/>
      </w:pPr>
    </w:p>
    <w:p>
      <w:pPr>
        <w:pStyle w:val="BodyText"/>
        <w:spacing w:line="242" w:lineRule="auto" w:before="1"/>
        <w:ind w:left="3100" w:right="3196" w:firstLine="720"/>
        <w:jc w:val="both"/>
      </w:pPr>
      <w:r>
        <w:rPr>
          <w:spacing w:val="-3"/>
        </w:rPr>
        <w:t>Contrary</w:t>
      </w:r>
      <w:r>
        <w:rPr>
          <w:spacing w:val="-33"/>
        </w:rPr>
        <w:t> </w:t>
      </w:r>
      <w:r>
        <w:rPr>
          <w:spacing w:val="-3"/>
        </w:rPr>
        <w:t>circumstances</w:t>
      </w:r>
      <w:r>
        <w:rPr>
          <w:spacing w:val="-30"/>
        </w:rPr>
        <w:t> </w:t>
      </w:r>
      <w:r>
        <w:rPr>
          <w:spacing w:val="-4"/>
        </w:rPr>
        <w:t>were</w:t>
      </w:r>
      <w:r>
        <w:rPr>
          <w:spacing w:val="-31"/>
        </w:rPr>
        <w:t> </w:t>
      </w:r>
      <w:r>
        <w:rPr>
          <w:spacing w:val="-3"/>
        </w:rPr>
        <w:t>illustrated</w:t>
      </w:r>
      <w:r>
        <w:rPr>
          <w:spacing w:val="-31"/>
        </w:rPr>
        <w:t> </w:t>
      </w:r>
      <w:r>
        <w:rPr/>
        <w:t>in Florida, where the Court examined waiver of the right to appraisal </w:t>
      </w:r>
      <w:r>
        <w:rPr>
          <w:spacing w:val="2"/>
        </w:rPr>
        <w:t>in </w:t>
      </w:r>
      <w:r>
        <w:rPr/>
        <w:t>the context of a time delay in exercising this right. </w:t>
      </w:r>
      <w:r>
        <w:rPr>
          <w:spacing w:val="3"/>
        </w:rPr>
        <w:t>In </w:t>
      </w:r>
      <w:r>
        <w:rPr/>
        <w:t>that </w:t>
      </w:r>
      <w:r>
        <w:rPr>
          <w:spacing w:val="-3"/>
        </w:rPr>
        <w:t>case, </w:t>
      </w:r>
      <w:r>
        <w:rPr/>
        <w:t>plaintiff</w:t>
      </w:r>
      <w:r>
        <w:rPr>
          <w:spacing w:val="-24"/>
        </w:rPr>
        <w:t> </w:t>
      </w:r>
      <w:r>
        <w:rPr/>
        <w:t>sought</w:t>
      </w:r>
      <w:r>
        <w:rPr>
          <w:spacing w:val="-25"/>
        </w:rPr>
        <w:t> </w:t>
      </w:r>
      <w:r>
        <w:rPr/>
        <w:t>to</w:t>
      </w:r>
      <w:r>
        <w:rPr>
          <w:spacing w:val="-25"/>
        </w:rPr>
        <w:t> </w:t>
      </w:r>
      <w:r>
        <w:rPr/>
        <w:t>stay</w:t>
      </w:r>
      <w:r>
        <w:rPr>
          <w:spacing w:val="-29"/>
        </w:rPr>
        <w:t> </w:t>
      </w:r>
      <w:r>
        <w:rPr/>
        <w:t>litigation</w:t>
      </w:r>
      <w:r>
        <w:rPr>
          <w:spacing w:val="-22"/>
        </w:rPr>
        <w:t> </w:t>
      </w:r>
      <w:r>
        <w:rPr/>
        <w:t>and</w:t>
      </w:r>
      <w:r>
        <w:rPr>
          <w:spacing w:val="-24"/>
        </w:rPr>
        <w:t> </w:t>
      </w:r>
      <w:r>
        <w:rPr/>
        <w:t>require</w:t>
      </w:r>
      <w:r>
        <w:rPr>
          <w:spacing w:val="-24"/>
        </w:rPr>
        <w:t> </w:t>
      </w:r>
      <w:r>
        <w:rPr/>
        <w:t>the parties</w:t>
      </w:r>
      <w:r>
        <w:rPr>
          <w:spacing w:val="-28"/>
        </w:rPr>
        <w:t> </w:t>
      </w:r>
      <w:r>
        <w:rPr/>
        <w:t>to</w:t>
      </w:r>
      <w:r>
        <w:rPr>
          <w:spacing w:val="-27"/>
        </w:rPr>
        <w:t> </w:t>
      </w:r>
      <w:r>
        <w:rPr/>
        <w:t>proceed</w:t>
      </w:r>
      <w:r>
        <w:rPr>
          <w:spacing w:val="-29"/>
        </w:rPr>
        <w:t> </w:t>
      </w:r>
      <w:r>
        <w:rPr/>
        <w:t>to</w:t>
      </w:r>
      <w:r>
        <w:rPr>
          <w:spacing w:val="-29"/>
        </w:rPr>
        <w:t> </w:t>
      </w:r>
      <w:r>
        <w:rPr/>
        <w:t>an</w:t>
      </w:r>
      <w:r>
        <w:rPr>
          <w:spacing w:val="-26"/>
        </w:rPr>
        <w:t> </w:t>
      </w:r>
      <w:r>
        <w:rPr/>
        <w:t>appraisal</w:t>
      </w:r>
      <w:r>
        <w:rPr>
          <w:spacing w:val="-26"/>
        </w:rPr>
        <w:t> </w:t>
      </w:r>
      <w:r>
        <w:rPr/>
        <w:t>after</w:t>
      </w:r>
      <w:r>
        <w:rPr>
          <w:spacing w:val="-28"/>
        </w:rPr>
        <w:t> </w:t>
      </w:r>
      <w:r>
        <w:rPr/>
        <w:t>having “actively and vigorously litigated” an action and incurred steep fees and costs in doing</w:t>
      </w:r>
      <w:r>
        <w:rPr>
          <w:spacing w:val="-32"/>
        </w:rPr>
        <w:t> </w:t>
      </w:r>
      <w:r>
        <w:rPr/>
        <w:t>so.</w:t>
      </w:r>
    </w:p>
    <w:p>
      <w:pPr>
        <w:pStyle w:val="BodyText"/>
        <w:spacing w:line="242" w:lineRule="auto"/>
        <w:ind w:left="3100" w:right="3196"/>
        <w:jc w:val="both"/>
      </w:pPr>
      <w:r>
        <w:rPr/>
        <w:pict>
          <v:line style="position:absolute;mso-position-horizontal-relative:page;mso-position-vertical-relative:paragraph;z-index:-254242816" from="278.286987pt,128.581146pt" to="601.686987pt,128.581146pt" stroked="true" strokeweight="2.95pt" strokecolor="#000000">
            <v:stroke dashstyle="solid"/>
            <w10:wrap type="none"/>
          </v:line>
        </w:pict>
      </w:r>
      <w:r>
        <w:rPr/>
        <w:pict>
          <v:line style="position:absolute;mso-position-horizontal-relative:page;mso-position-vertical-relative:paragraph;z-index:-254241792" from="278.286987pt,139.879150pt" to="601.776987pt,139.879150pt" stroked="true" strokeweight="2.95pt" strokecolor="#000000">
            <v:stroke dashstyle="solid"/>
            <w10:wrap type="none"/>
          </v:line>
        </w:pict>
      </w:r>
      <w:r>
        <w:rPr/>
        <w:pict>
          <v:line style="position:absolute;mso-position-horizontal-relative:page;mso-position-vertical-relative:paragraph;z-index:-254240768" from="278.286987pt,150.439148pt" to="601.917987pt,150.439148pt" stroked="true" strokeweight="2.95pt" strokecolor="#000000">
            <v:stroke dashstyle="solid"/>
            <w10:wrap type="none"/>
          </v:line>
        </w:pict>
      </w:r>
      <w:r>
        <w:rPr/>
        <w:pict>
          <v:line style="position:absolute;mso-position-horizontal-relative:page;mso-position-vertical-relative:paragraph;z-index:251703296" from="278.286987pt,160.999161pt" to="601.959987pt,160.999161pt" stroked="true" strokeweight="2.95pt" strokecolor="#000000">
            <v:stroke dashstyle="solid"/>
            <w10:wrap type="none"/>
          </v:line>
        </w:pict>
      </w:r>
      <w:r>
        <w:rPr/>
        <w:pict>
          <v:line style="position:absolute;mso-position-horizontal-relative:page;mso-position-vertical-relative:paragraph;z-index:-254238720" from="278.286987pt,182.119156pt" to="550.599987pt,182.119156pt" stroked="true" strokeweight="2.95pt" strokecolor="#000000">
            <v:stroke dashstyle="solid"/>
            <w10:wrap type="none"/>
          </v:line>
        </w:pict>
      </w:r>
      <w:r>
        <w:rPr/>
        <w:t>The court found it to be unexplained why plaintiff had not filed a petition to</w:t>
      </w:r>
      <w:r>
        <w:rPr>
          <w:spacing w:val="57"/>
        </w:rPr>
        <w:t> </w:t>
      </w:r>
      <w:r>
        <w:rPr/>
        <w:t>compel appraisal earlier in the case. </w:t>
      </w:r>
      <w:r>
        <w:rPr>
          <w:spacing w:val="3"/>
        </w:rPr>
        <w:t>In </w:t>
      </w:r>
      <w:r>
        <w:rPr/>
        <w:t>citing the rule that “a party that fails to seek appraisal within a reasonable time after the commencement of litigation waives its appraisal right by</w:t>
      </w:r>
      <w:r>
        <w:rPr>
          <w:spacing w:val="-42"/>
        </w:rPr>
        <w:t> </w:t>
      </w:r>
      <w:r>
        <w:rPr/>
        <w:t>acting inconsistently with that right,” the court in this matter was “hard pressed to imagine a situation</w:t>
      </w:r>
      <w:r>
        <w:rPr>
          <w:spacing w:val="-34"/>
        </w:rPr>
        <w:t> </w:t>
      </w:r>
      <w:r>
        <w:rPr/>
        <w:t>where</w:t>
      </w:r>
      <w:r>
        <w:rPr>
          <w:spacing w:val="-35"/>
        </w:rPr>
        <w:t> </w:t>
      </w:r>
      <w:r>
        <w:rPr/>
        <w:t>a</w:t>
      </w:r>
      <w:r>
        <w:rPr>
          <w:spacing w:val="-34"/>
        </w:rPr>
        <w:t> </w:t>
      </w:r>
      <w:r>
        <w:rPr/>
        <w:t>party</w:t>
      </w:r>
      <w:r>
        <w:rPr>
          <w:spacing w:val="-36"/>
        </w:rPr>
        <w:t> </w:t>
      </w:r>
      <w:r>
        <w:rPr/>
        <w:t>acts</w:t>
      </w:r>
      <w:r>
        <w:rPr>
          <w:spacing w:val="-34"/>
        </w:rPr>
        <w:t> </w:t>
      </w:r>
      <w:r>
        <w:rPr/>
        <w:t>more</w:t>
      </w:r>
      <w:r>
        <w:rPr>
          <w:spacing w:val="-35"/>
        </w:rPr>
        <w:t> </w:t>
      </w:r>
      <w:r>
        <w:rPr/>
        <w:t>inconsistently with the right to seek an</w:t>
      </w:r>
      <w:r>
        <w:rPr>
          <w:spacing w:val="-8"/>
        </w:rPr>
        <w:t> </w:t>
      </w:r>
      <w:r>
        <w:rPr/>
        <w:t>appraisal.”</w:t>
      </w:r>
      <w:r>
        <w:rPr>
          <w:vertAlign w:val="superscript"/>
        </w:rPr>
        <w:t>467</w:t>
      </w:r>
    </w:p>
    <w:p>
      <w:pPr>
        <w:pStyle w:val="BodyText"/>
        <w:spacing w:before="4"/>
        <w:rPr>
          <w:sz w:val="11"/>
        </w:rPr>
      </w:pPr>
      <w:r>
        <w:rPr/>
        <w:pict>
          <v:shape style="position:absolute;margin-left:278.286987pt;margin-top:10.420776pt;width:323.45pt;height:.1pt;mso-position-horizontal-relative:page;mso-position-vertical-relative:paragraph;z-index:-251619328;mso-wrap-distance-left:0;mso-wrap-distance-right:0" coordorigin="5566,208" coordsize="6469,0" path="m5566,208l12034,208e" filled="false" stroked="true" strokeweight="2.95pt" strokecolor="#000000">
            <v:path arrowok="t"/>
            <v:stroke dashstyle="solid"/>
            <w10:wrap type="topAndBottom"/>
          </v:shape>
        </w:pict>
      </w:r>
    </w:p>
    <w:p>
      <w:pPr>
        <w:pStyle w:val="BodyText"/>
        <w:spacing w:before="47"/>
        <w:ind w:left="3820"/>
      </w:pPr>
      <w:r>
        <w:rPr/>
        <w:t>Where the insurance policy does not</w:t>
      </w:r>
    </w:p>
    <w:p>
      <w:pPr>
        <w:pStyle w:val="BodyText"/>
        <w:spacing w:before="4"/>
        <w:rPr>
          <w:sz w:val="29"/>
        </w:rPr>
      </w:pPr>
      <w:r>
        <w:rPr/>
        <w:pict>
          <v:shape style="position:absolute;margin-left:162pt;margin-top:20.378042pt;width:143.9pt;height:.1pt;mso-position-horizontal-relative:page;mso-position-vertical-relative:paragraph;z-index:-251618304;mso-wrap-distance-left:0;mso-wrap-distance-right:0" coordorigin="3240,408" coordsize="2878,0" path="m3240,408l6118,408e" filled="false" stroked="true" strokeweight=".84pt" strokecolor="#000000">
            <v:path arrowok="t"/>
            <v:stroke dashstyle="solid"/>
            <w10:wrap type="topAndBottom"/>
          </v:shape>
        </w:pict>
      </w:r>
    </w:p>
    <w:p>
      <w:pPr>
        <w:pStyle w:val="BodyText"/>
        <w:spacing w:before="10"/>
        <w:rPr>
          <w:sz w:val="13"/>
        </w:rPr>
      </w:pPr>
    </w:p>
    <w:p>
      <w:pPr>
        <w:spacing w:line="256" w:lineRule="auto" w:before="72"/>
        <w:ind w:left="2740" w:right="2847" w:firstLine="0"/>
        <w:jc w:val="both"/>
        <w:rPr>
          <w:rFonts w:ascii="Times New Roman" w:hAnsi="Times New Roman"/>
          <w:sz w:val="18"/>
        </w:rPr>
      </w:pPr>
      <w:r>
        <w:rPr>
          <w:rFonts w:ascii="Times New Roman" w:hAnsi="Times New Roman"/>
          <w:position w:val="10"/>
          <w:sz w:val="14"/>
        </w:rPr>
        <w:t>466</w:t>
      </w:r>
      <w:r>
        <w:rPr>
          <w:rFonts w:ascii="Times New Roman" w:hAnsi="Times New Roman"/>
          <w:sz w:val="14"/>
        </w:rPr>
        <w:t> </w:t>
      </w:r>
      <w:r>
        <w:rPr>
          <w:rFonts w:ascii="Times New Roman" w:hAnsi="Times New Roman"/>
          <w:sz w:val="18"/>
          <w:u w:val="single"/>
        </w:rPr>
        <w:t>The Bullard Bldg. Condo Ass’n, Inc. v. Travelers Property. Cas. Co. of America</w:t>
      </w:r>
      <w:r>
        <w:rPr>
          <w:rFonts w:ascii="Times New Roman" w:hAnsi="Times New Roman"/>
          <w:sz w:val="18"/>
        </w:rPr>
        <w:t>,</w:t>
      </w:r>
      <w:r>
        <w:rPr>
          <w:rFonts w:ascii="Times New Roman" w:hAnsi="Times New Roman"/>
          <w:spacing w:val="-32"/>
          <w:sz w:val="18"/>
        </w:rPr>
        <w:t> </w:t>
      </w:r>
      <w:r>
        <w:rPr>
          <w:rFonts w:ascii="Times New Roman" w:hAnsi="Times New Roman"/>
          <w:sz w:val="18"/>
        </w:rPr>
        <w:t>2006 WL 2787850 (M.D. Fla.</w:t>
      </w:r>
      <w:r>
        <w:rPr>
          <w:rFonts w:ascii="Times New Roman" w:hAnsi="Times New Roman"/>
          <w:spacing w:val="-1"/>
          <w:sz w:val="18"/>
        </w:rPr>
        <w:t> </w:t>
      </w:r>
      <w:r>
        <w:rPr>
          <w:rFonts w:ascii="Times New Roman" w:hAnsi="Times New Roman"/>
          <w:sz w:val="18"/>
        </w:rPr>
        <w:t>2006).</w:t>
      </w:r>
    </w:p>
    <w:p>
      <w:pPr>
        <w:spacing w:line="254" w:lineRule="exact" w:before="0"/>
        <w:ind w:left="2740" w:right="0" w:firstLine="0"/>
        <w:jc w:val="both"/>
        <w:rPr>
          <w:rFonts w:ascii="Times New Roman" w:hAnsi="Times New Roman"/>
          <w:sz w:val="18"/>
        </w:rPr>
      </w:pPr>
      <w:r>
        <w:rPr>
          <w:rFonts w:ascii="Times New Roman" w:hAnsi="Times New Roman"/>
          <w:position w:val="10"/>
          <w:sz w:val="14"/>
        </w:rPr>
        <w:t>467</w:t>
      </w:r>
      <w:r>
        <w:rPr>
          <w:rFonts w:ascii="Times New Roman" w:hAnsi="Times New Roman"/>
          <w:sz w:val="14"/>
        </w:rPr>
        <w:t> </w:t>
      </w:r>
      <w:r>
        <w:rPr>
          <w:rFonts w:ascii="Times New Roman" w:hAnsi="Times New Roman"/>
          <w:sz w:val="18"/>
          <w:u w:val="single"/>
        </w:rPr>
        <w:t>Summit Towers Condominium Ass’n, Inc. v. QBE Ins. Corp.</w:t>
      </w:r>
      <w:r>
        <w:rPr>
          <w:rFonts w:ascii="Times New Roman" w:hAnsi="Times New Roman"/>
          <w:sz w:val="18"/>
        </w:rPr>
        <w:t>, 2012 WL 1288735 at *1</w:t>
      </w:r>
    </w:p>
    <w:p>
      <w:pPr>
        <w:spacing w:line="244" w:lineRule="auto" w:before="18"/>
        <w:ind w:left="2740" w:right="2844" w:firstLine="0"/>
        <w:jc w:val="both"/>
        <w:rPr>
          <w:rFonts w:ascii="Times New Roman" w:hAnsi="Times New Roman"/>
          <w:sz w:val="18"/>
        </w:rPr>
      </w:pPr>
      <w:r>
        <w:rPr>
          <w:rFonts w:ascii="Times New Roman" w:hAnsi="Times New Roman"/>
          <w:sz w:val="18"/>
        </w:rPr>
        <w:t>(S.D.</w:t>
      </w:r>
      <w:r>
        <w:rPr>
          <w:rFonts w:ascii="Times New Roman" w:hAnsi="Times New Roman"/>
          <w:spacing w:val="-13"/>
          <w:sz w:val="18"/>
        </w:rPr>
        <w:t> </w:t>
      </w:r>
      <w:r>
        <w:rPr>
          <w:rFonts w:ascii="Times New Roman" w:hAnsi="Times New Roman"/>
          <w:sz w:val="18"/>
        </w:rPr>
        <w:t>Fla.</w:t>
      </w:r>
      <w:r>
        <w:rPr>
          <w:rFonts w:ascii="Times New Roman" w:hAnsi="Times New Roman"/>
          <w:spacing w:val="-13"/>
          <w:sz w:val="18"/>
        </w:rPr>
        <w:t> </w:t>
      </w:r>
      <w:r>
        <w:rPr>
          <w:rFonts w:ascii="Times New Roman" w:hAnsi="Times New Roman"/>
          <w:sz w:val="18"/>
        </w:rPr>
        <w:t>2012);</w:t>
      </w:r>
      <w:r>
        <w:rPr>
          <w:rFonts w:ascii="Times New Roman" w:hAnsi="Times New Roman"/>
          <w:spacing w:val="-13"/>
          <w:sz w:val="18"/>
        </w:rPr>
        <w:t> </w:t>
      </w:r>
      <w:r>
        <w:rPr>
          <w:rFonts w:ascii="Times New Roman" w:hAnsi="Times New Roman"/>
          <w:sz w:val="18"/>
        </w:rPr>
        <w:t>See</w:t>
      </w:r>
      <w:r>
        <w:rPr>
          <w:rFonts w:ascii="Times New Roman" w:hAnsi="Times New Roman"/>
          <w:spacing w:val="-15"/>
          <w:sz w:val="18"/>
        </w:rPr>
        <w:t> </w:t>
      </w:r>
      <w:r>
        <w:rPr>
          <w:rFonts w:ascii="Times New Roman" w:hAnsi="Times New Roman"/>
          <w:sz w:val="18"/>
        </w:rPr>
        <w:t>also,</w:t>
      </w:r>
      <w:r>
        <w:rPr>
          <w:rFonts w:ascii="Times New Roman" w:hAnsi="Times New Roman"/>
          <w:spacing w:val="-15"/>
          <w:sz w:val="18"/>
        </w:rPr>
        <w:t> </w:t>
      </w:r>
      <w:r>
        <w:rPr>
          <w:rFonts w:ascii="Times New Roman" w:hAnsi="Times New Roman"/>
          <w:sz w:val="18"/>
          <w:u w:val="single"/>
        </w:rPr>
        <w:t>ARI</w:t>
      </w:r>
      <w:r>
        <w:rPr>
          <w:rFonts w:ascii="Times New Roman" w:hAnsi="Times New Roman"/>
          <w:spacing w:val="-13"/>
          <w:sz w:val="18"/>
          <w:u w:val="single"/>
        </w:rPr>
        <w:t> </w:t>
      </w:r>
      <w:r>
        <w:rPr>
          <w:rFonts w:ascii="Times New Roman" w:hAnsi="Times New Roman"/>
          <w:sz w:val="18"/>
          <w:u w:val="single"/>
        </w:rPr>
        <w:t>Mut.</w:t>
      </w:r>
      <w:r>
        <w:rPr>
          <w:rFonts w:ascii="Times New Roman" w:hAnsi="Times New Roman"/>
          <w:spacing w:val="-13"/>
          <w:sz w:val="18"/>
          <w:u w:val="single"/>
        </w:rPr>
        <w:t> </w:t>
      </w:r>
      <w:r>
        <w:rPr>
          <w:rFonts w:ascii="Times New Roman" w:hAnsi="Times New Roman"/>
          <w:sz w:val="18"/>
          <w:u w:val="single"/>
        </w:rPr>
        <w:t>Ins.</w:t>
      </w:r>
      <w:r>
        <w:rPr>
          <w:rFonts w:ascii="Times New Roman" w:hAnsi="Times New Roman"/>
          <w:spacing w:val="-14"/>
          <w:sz w:val="18"/>
          <w:u w:val="single"/>
        </w:rPr>
        <w:t> </w:t>
      </w:r>
      <w:r>
        <w:rPr>
          <w:rFonts w:ascii="Times New Roman" w:hAnsi="Times New Roman"/>
          <w:sz w:val="18"/>
          <w:u w:val="single"/>
        </w:rPr>
        <w:t>Co.</w:t>
      </w:r>
      <w:r>
        <w:rPr>
          <w:rFonts w:ascii="Times New Roman" w:hAnsi="Times New Roman"/>
          <w:spacing w:val="-13"/>
          <w:sz w:val="18"/>
          <w:u w:val="single"/>
        </w:rPr>
        <w:t> </w:t>
      </w: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Hogen</w:t>
      </w:r>
      <w:r>
        <w:rPr>
          <w:rFonts w:ascii="Times New Roman" w:hAnsi="Times New Roman"/>
          <w:sz w:val="18"/>
        </w:rPr>
        <w:t>,</w:t>
      </w:r>
      <w:r>
        <w:rPr>
          <w:rFonts w:ascii="Times New Roman" w:hAnsi="Times New Roman"/>
          <w:spacing w:val="-16"/>
          <w:sz w:val="18"/>
        </w:rPr>
        <w:t> </w:t>
      </w:r>
      <w:r>
        <w:rPr>
          <w:rFonts w:ascii="Times New Roman" w:hAnsi="Times New Roman"/>
          <w:sz w:val="18"/>
        </w:rPr>
        <w:t>734</w:t>
      </w:r>
      <w:r>
        <w:rPr>
          <w:rFonts w:ascii="Times New Roman" w:hAnsi="Times New Roman"/>
          <w:spacing w:val="-14"/>
          <w:sz w:val="18"/>
        </w:rPr>
        <w:t> </w:t>
      </w:r>
      <w:r>
        <w:rPr>
          <w:rFonts w:ascii="Times New Roman" w:hAnsi="Times New Roman"/>
          <w:sz w:val="18"/>
        </w:rPr>
        <w:t>So.2d</w:t>
      </w:r>
      <w:r>
        <w:rPr>
          <w:rFonts w:ascii="Times New Roman" w:hAnsi="Times New Roman"/>
          <w:spacing w:val="-17"/>
          <w:sz w:val="18"/>
        </w:rPr>
        <w:t> </w:t>
      </w:r>
      <w:r>
        <w:rPr>
          <w:rFonts w:ascii="Times New Roman" w:hAnsi="Times New Roman"/>
          <w:sz w:val="18"/>
        </w:rPr>
        <w:t>574</w:t>
      </w:r>
      <w:r>
        <w:rPr>
          <w:rFonts w:ascii="Times New Roman" w:hAnsi="Times New Roman"/>
          <w:spacing w:val="-17"/>
          <w:sz w:val="18"/>
        </w:rPr>
        <w:t> </w:t>
      </w:r>
      <w:r>
        <w:rPr>
          <w:rFonts w:ascii="Times New Roman" w:hAnsi="Times New Roman"/>
          <w:sz w:val="18"/>
        </w:rPr>
        <w:t>(Fla.3d</w:t>
      </w:r>
      <w:r>
        <w:rPr>
          <w:rFonts w:ascii="Times New Roman" w:hAnsi="Times New Roman"/>
          <w:spacing w:val="-14"/>
          <w:sz w:val="18"/>
        </w:rPr>
        <w:t> </w:t>
      </w:r>
      <w:r>
        <w:rPr>
          <w:rFonts w:ascii="Times New Roman" w:hAnsi="Times New Roman"/>
          <w:sz w:val="18"/>
        </w:rPr>
        <w:t>DCA</w:t>
      </w:r>
      <w:r>
        <w:rPr>
          <w:rFonts w:ascii="Times New Roman" w:hAnsi="Times New Roman"/>
          <w:spacing w:val="-17"/>
          <w:sz w:val="18"/>
        </w:rPr>
        <w:t> </w:t>
      </w:r>
      <w:r>
        <w:rPr>
          <w:rFonts w:ascii="Times New Roman" w:hAnsi="Times New Roman"/>
          <w:sz w:val="18"/>
        </w:rPr>
        <w:t>1999)(a trial</w:t>
      </w:r>
      <w:r>
        <w:rPr>
          <w:rFonts w:ascii="Times New Roman" w:hAnsi="Times New Roman"/>
          <w:spacing w:val="-15"/>
          <w:sz w:val="18"/>
        </w:rPr>
        <w:t> </w:t>
      </w:r>
      <w:r>
        <w:rPr>
          <w:rFonts w:ascii="Times New Roman" w:hAnsi="Times New Roman"/>
          <w:sz w:val="18"/>
        </w:rPr>
        <w:t>court</w:t>
      </w:r>
      <w:r>
        <w:rPr>
          <w:rFonts w:ascii="Times New Roman" w:hAnsi="Times New Roman"/>
          <w:spacing w:val="-15"/>
          <w:sz w:val="18"/>
        </w:rPr>
        <w:t> </w:t>
      </w:r>
      <w:r>
        <w:rPr>
          <w:rFonts w:ascii="Times New Roman" w:hAnsi="Times New Roman"/>
          <w:sz w:val="18"/>
        </w:rPr>
        <w:t>erred</w:t>
      </w:r>
      <w:r>
        <w:rPr>
          <w:rFonts w:ascii="Times New Roman" w:hAnsi="Times New Roman"/>
          <w:spacing w:val="-15"/>
          <w:sz w:val="18"/>
        </w:rPr>
        <w:t> </w:t>
      </w:r>
      <w:r>
        <w:rPr>
          <w:rFonts w:ascii="Times New Roman" w:hAnsi="Times New Roman"/>
          <w:sz w:val="18"/>
        </w:rPr>
        <w:t>by</w:t>
      </w:r>
      <w:r>
        <w:rPr>
          <w:rFonts w:ascii="Times New Roman" w:hAnsi="Times New Roman"/>
          <w:spacing w:val="-20"/>
          <w:sz w:val="18"/>
        </w:rPr>
        <w:t> </w:t>
      </w:r>
      <w:r>
        <w:rPr>
          <w:rFonts w:ascii="Times New Roman" w:hAnsi="Times New Roman"/>
          <w:sz w:val="18"/>
        </w:rPr>
        <w:t>granting</w:t>
      </w:r>
      <w:r>
        <w:rPr>
          <w:rFonts w:ascii="Times New Roman" w:hAnsi="Times New Roman"/>
          <w:spacing w:val="-16"/>
          <w:sz w:val="18"/>
        </w:rPr>
        <w:t> </w:t>
      </w:r>
      <w:r>
        <w:rPr>
          <w:rFonts w:ascii="Times New Roman" w:hAnsi="Times New Roman"/>
          <w:sz w:val="18"/>
        </w:rPr>
        <w:t>an</w:t>
      </w:r>
      <w:r>
        <w:rPr>
          <w:rFonts w:ascii="Times New Roman" w:hAnsi="Times New Roman"/>
          <w:spacing w:val="-14"/>
          <w:sz w:val="18"/>
        </w:rPr>
        <w:t> </w:t>
      </w:r>
      <w:r>
        <w:rPr>
          <w:rFonts w:ascii="Times New Roman" w:hAnsi="Times New Roman"/>
          <w:sz w:val="18"/>
        </w:rPr>
        <w:t>insured’s</w:t>
      </w:r>
      <w:r>
        <w:rPr>
          <w:rFonts w:ascii="Times New Roman" w:hAnsi="Times New Roman"/>
          <w:spacing w:val="-16"/>
          <w:sz w:val="18"/>
        </w:rPr>
        <w:t> </w:t>
      </w:r>
      <w:r>
        <w:rPr>
          <w:rFonts w:ascii="Times New Roman" w:hAnsi="Times New Roman"/>
          <w:sz w:val="18"/>
        </w:rPr>
        <w:t>motion</w:t>
      </w:r>
      <w:r>
        <w:rPr>
          <w:rFonts w:ascii="Times New Roman" w:hAnsi="Times New Roman"/>
          <w:spacing w:val="-13"/>
          <w:sz w:val="18"/>
        </w:rPr>
        <w:t> </w:t>
      </w:r>
      <w:r>
        <w:rPr>
          <w:rFonts w:ascii="Times New Roman" w:hAnsi="Times New Roman"/>
          <w:sz w:val="18"/>
        </w:rPr>
        <w:t>to</w:t>
      </w:r>
      <w:r>
        <w:rPr>
          <w:rFonts w:ascii="Times New Roman" w:hAnsi="Times New Roman"/>
          <w:spacing w:val="-14"/>
          <w:sz w:val="18"/>
        </w:rPr>
        <w:t> </w:t>
      </w:r>
      <w:r>
        <w:rPr>
          <w:rFonts w:ascii="Times New Roman" w:hAnsi="Times New Roman"/>
          <w:sz w:val="18"/>
        </w:rPr>
        <w:t>compel</w:t>
      </w:r>
      <w:r>
        <w:rPr>
          <w:rFonts w:ascii="Times New Roman" w:hAnsi="Times New Roman"/>
          <w:spacing w:val="-16"/>
          <w:sz w:val="18"/>
        </w:rPr>
        <w:t> </w:t>
      </w:r>
      <w:r>
        <w:rPr>
          <w:rFonts w:ascii="Times New Roman" w:hAnsi="Times New Roman"/>
          <w:sz w:val="18"/>
        </w:rPr>
        <w:t>appraisal,</w:t>
      </w:r>
      <w:r>
        <w:rPr>
          <w:rFonts w:ascii="Times New Roman" w:hAnsi="Times New Roman"/>
          <w:spacing w:val="-13"/>
          <w:sz w:val="18"/>
        </w:rPr>
        <w:t> </w:t>
      </w:r>
      <w:r>
        <w:rPr>
          <w:rFonts w:ascii="Times New Roman" w:hAnsi="Times New Roman"/>
          <w:sz w:val="18"/>
        </w:rPr>
        <w:t>where</w:t>
      </w:r>
      <w:r>
        <w:rPr>
          <w:rFonts w:ascii="Times New Roman" w:hAnsi="Times New Roman"/>
          <w:spacing w:val="-14"/>
          <w:sz w:val="18"/>
        </w:rPr>
        <w:t> </w:t>
      </w:r>
      <w:r>
        <w:rPr>
          <w:rFonts w:ascii="Times New Roman" w:hAnsi="Times New Roman"/>
          <w:sz w:val="18"/>
        </w:rPr>
        <w:t>it</w:t>
      </w:r>
      <w:r>
        <w:rPr>
          <w:rFonts w:ascii="Times New Roman" w:hAnsi="Times New Roman"/>
          <w:spacing w:val="-12"/>
          <w:sz w:val="18"/>
        </w:rPr>
        <w:t> </w:t>
      </w:r>
      <w:r>
        <w:rPr>
          <w:rFonts w:ascii="Times New Roman" w:hAnsi="Times New Roman"/>
          <w:sz w:val="18"/>
        </w:rPr>
        <w:t>was</w:t>
      </w:r>
      <w:r>
        <w:rPr>
          <w:rFonts w:ascii="Times New Roman" w:hAnsi="Times New Roman"/>
          <w:spacing w:val="-14"/>
          <w:sz w:val="18"/>
        </w:rPr>
        <w:t> </w:t>
      </w:r>
      <w:r>
        <w:rPr>
          <w:rFonts w:ascii="Times New Roman" w:hAnsi="Times New Roman"/>
          <w:sz w:val="18"/>
        </w:rPr>
        <w:t>“apparent that [the insured] aggressively litigated this cause below and that such action over a nine- month</w:t>
      </w:r>
      <w:r>
        <w:rPr>
          <w:rFonts w:ascii="Times New Roman" w:hAnsi="Times New Roman"/>
          <w:spacing w:val="-7"/>
          <w:sz w:val="18"/>
        </w:rPr>
        <w:t> </w:t>
      </w:r>
      <w:r>
        <w:rPr>
          <w:rFonts w:ascii="Times New Roman" w:hAnsi="Times New Roman"/>
          <w:sz w:val="18"/>
        </w:rPr>
        <w:t>period</w:t>
      </w:r>
      <w:r>
        <w:rPr>
          <w:rFonts w:ascii="Times New Roman" w:hAnsi="Times New Roman"/>
          <w:spacing w:val="-7"/>
          <w:sz w:val="18"/>
        </w:rPr>
        <w:t> </w:t>
      </w:r>
      <w:r>
        <w:rPr>
          <w:rFonts w:ascii="Times New Roman" w:hAnsi="Times New Roman"/>
          <w:sz w:val="18"/>
        </w:rPr>
        <w:t>prejudiced</w:t>
      </w:r>
      <w:r>
        <w:rPr>
          <w:rFonts w:ascii="Times New Roman" w:hAnsi="Times New Roman"/>
          <w:spacing w:val="-7"/>
          <w:sz w:val="18"/>
        </w:rPr>
        <w:t> </w:t>
      </w:r>
      <w:r>
        <w:rPr>
          <w:rFonts w:ascii="Times New Roman" w:hAnsi="Times New Roman"/>
          <w:sz w:val="18"/>
        </w:rPr>
        <w:t>the</w:t>
      </w:r>
      <w:r>
        <w:rPr>
          <w:rFonts w:ascii="Times New Roman" w:hAnsi="Times New Roman"/>
          <w:spacing w:val="-9"/>
          <w:sz w:val="18"/>
        </w:rPr>
        <w:t> </w:t>
      </w:r>
      <w:r>
        <w:rPr>
          <w:rFonts w:ascii="Times New Roman" w:hAnsi="Times New Roman"/>
          <w:sz w:val="18"/>
        </w:rPr>
        <w:t>insurance</w:t>
      </w:r>
      <w:r>
        <w:rPr>
          <w:rFonts w:ascii="Times New Roman" w:hAnsi="Times New Roman"/>
          <w:spacing w:val="-8"/>
          <w:sz w:val="18"/>
        </w:rPr>
        <w:t> </w:t>
      </w:r>
      <w:r>
        <w:rPr>
          <w:rFonts w:ascii="Times New Roman" w:hAnsi="Times New Roman"/>
          <w:sz w:val="18"/>
        </w:rPr>
        <w:t>company</w:t>
      </w:r>
      <w:r>
        <w:rPr>
          <w:rFonts w:ascii="Times New Roman" w:hAnsi="Times New Roman"/>
          <w:spacing w:val="-12"/>
          <w:sz w:val="18"/>
        </w:rPr>
        <w:t> </w:t>
      </w:r>
      <w:r>
        <w:rPr>
          <w:rFonts w:ascii="Times New Roman" w:hAnsi="Times New Roman"/>
          <w:sz w:val="18"/>
        </w:rPr>
        <w:t>by</w:t>
      </w:r>
      <w:r>
        <w:rPr>
          <w:rFonts w:ascii="Times New Roman" w:hAnsi="Times New Roman"/>
          <w:spacing w:val="-11"/>
          <w:sz w:val="18"/>
        </w:rPr>
        <w:t> </w:t>
      </w:r>
      <w:r>
        <w:rPr>
          <w:rFonts w:ascii="Times New Roman" w:hAnsi="Times New Roman"/>
          <w:sz w:val="18"/>
        </w:rPr>
        <w:t>resulting</w:t>
      </w:r>
      <w:r>
        <w:rPr>
          <w:rFonts w:ascii="Times New Roman" w:hAnsi="Times New Roman"/>
          <w:spacing w:val="-14"/>
          <w:sz w:val="18"/>
        </w:rPr>
        <w:t> </w:t>
      </w:r>
      <w:r>
        <w:rPr>
          <w:rFonts w:ascii="Times New Roman" w:hAnsi="Times New Roman"/>
          <w:sz w:val="18"/>
        </w:rPr>
        <w:t>legal</w:t>
      </w:r>
      <w:r>
        <w:rPr>
          <w:rFonts w:ascii="Times New Roman" w:hAnsi="Times New Roman"/>
          <w:spacing w:val="-10"/>
          <w:sz w:val="18"/>
        </w:rPr>
        <w:t> </w:t>
      </w:r>
      <w:r>
        <w:rPr>
          <w:rFonts w:ascii="Times New Roman" w:hAnsi="Times New Roman"/>
          <w:sz w:val="18"/>
        </w:rPr>
        <w:t>fees</w:t>
      </w:r>
      <w:r>
        <w:rPr>
          <w:rFonts w:ascii="Times New Roman" w:hAnsi="Times New Roman"/>
          <w:spacing w:val="-12"/>
          <w:sz w:val="18"/>
        </w:rPr>
        <w:t> </w:t>
      </w:r>
      <w:r>
        <w:rPr>
          <w:rFonts w:ascii="Times New Roman" w:hAnsi="Times New Roman"/>
          <w:sz w:val="18"/>
        </w:rPr>
        <w:t>and</w:t>
      </w:r>
      <w:r>
        <w:rPr>
          <w:rFonts w:ascii="Times New Roman" w:hAnsi="Times New Roman"/>
          <w:spacing w:val="-8"/>
          <w:sz w:val="18"/>
        </w:rPr>
        <w:t> </w:t>
      </w:r>
      <w:r>
        <w:rPr>
          <w:rFonts w:ascii="Times New Roman" w:hAnsi="Times New Roman"/>
          <w:sz w:val="18"/>
        </w:rPr>
        <w:t>costs</w:t>
      </w:r>
      <w:r>
        <w:rPr>
          <w:rFonts w:ascii="Times New Roman" w:hAnsi="Times New Roman"/>
          <w:spacing w:val="-11"/>
          <w:sz w:val="18"/>
        </w:rPr>
        <w:t> </w:t>
      </w:r>
      <w:r>
        <w:rPr>
          <w:rFonts w:ascii="Times New Roman" w:hAnsi="Times New Roman"/>
          <w:sz w:val="18"/>
        </w:rPr>
        <w:t>that</w:t>
      </w:r>
      <w:r>
        <w:rPr>
          <w:rFonts w:ascii="Times New Roman" w:hAnsi="Times New Roman"/>
          <w:spacing w:val="-7"/>
          <w:sz w:val="18"/>
        </w:rPr>
        <w:t> </w:t>
      </w:r>
      <w:r>
        <w:rPr>
          <w:rFonts w:ascii="Times New Roman" w:hAnsi="Times New Roman"/>
          <w:sz w:val="18"/>
        </w:rPr>
        <w:t>could have otherwise been avoided had [the insured] elected appraisal</w:t>
      </w:r>
      <w:r>
        <w:rPr>
          <w:rFonts w:ascii="Times New Roman" w:hAnsi="Times New Roman"/>
          <w:spacing w:val="1"/>
          <w:sz w:val="18"/>
        </w:rPr>
        <w:t> </w:t>
      </w:r>
      <w:r>
        <w:rPr>
          <w:rFonts w:ascii="Times New Roman" w:hAnsi="Times New Roman"/>
          <w:sz w:val="18"/>
        </w:rPr>
        <w:t>initially.”).</w:t>
      </w:r>
    </w:p>
    <w:p>
      <w:pPr>
        <w:spacing w:after="0" w:line="244" w:lineRule="auto"/>
        <w:jc w:val="both"/>
        <w:rPr>
          <w:rFonts w:ascii="Times New Roman" w:hAnsi="Times New Roman"/>
          <w:sz w:val="18"/>
        </w:rPr>
        <w:sectPr>
          <w:pgSz w:w="12240" w:h="15840"/>
          <w:pgMar w:header="0" w:footer="2273" w:top="0" w:bottom="2460" w:left="140" w:right="40"/>
        </w:sectPr>
      </w:pPr>
    </w:p>
    <w:p>
      <w:pPr>
        <w:pStyle w:val="BodyText"/>
        <w:spacing w:line="60" w:lineRule="exact"/>
        <w:ind w:left="6136"/>
        <w:rPr>
          <w:rFonts w:ascii="Times New Roman"/>
          <w:sz w:val="6"/>
        </w:rPr>
      </w:pPr>
      <w:r>
        <w:rPr>
          <w:rFonts w:ascii="Times New Roman"/>
          <w:position w:val="0"/>
          <w:sz w:val="6"/>
        </w:rPr>
        <w:pict>
          <v:group style="width:288.150pt;height:2.95pt;mso-position-horizontal-relative:char;mso-position-vertical-relative:line" coordorigin="0,0" coordsize="5763,59">
            <v:line style="position:absolute" from="0,30" to="5762,30" stroked="true" strokeweight="2.95pt" strokecolor="#000000">
              <v:stroke dashstyle="solid"/>
            </v:line>
          </v:group>
        </w:pict>
      </w:r>
      <w:r>
        <w:rPr>
          <w:rFonts w:ascii="Times New Roman"/>
          <w:position w:val="0"/>
          <w:sz w:val="6"/>
        </w:rPr>
      </w:r>
    </w:p>
    <w:p>
      <w:pPr>
        <w:pStyle w:val="BodyText"/>
        <w:rPr>
          <w:rFonts w:ascii="Times New Roman"/>
          <w:sz w:val="19"/>
        </w:rPr>
      </w:pPr>
      <w:r>
        <w:rPr/>
        <w:pict>
          <v:shape style="position:absolute;margin-left:315.348022pt;margin-top:14.387009pt;width:287.75pt;height:.1pt;mso-position-horizontal-relative:page;mso-position-vertical-relative:paragraph;z-index:-251610112;mso-wrap-distance-left:0;mso-wrap-distance-right:0" coordorigin="6307,288" coordsize="5755,0" path="m6307,288l12062,288e" filled="false" stroked="true" strokeweight="2.95pt" strokecolor="#000000">
            <v:path arrowok="t"/>
            <v:stroke dashstyle="solid"/>
            <w10:wrap type="topAndBottom"/>
          </v:shape>
        </w:pict>
      </w:r>
      <w:r>
        <w:rPr/>
        <w:pict>
          <v:shape style="position:absolute;margin-left:315.348022pt;margin-top:30.467009pt;width:58.7pt;height:.1pt;mso-position-horizontal-relative:page;mso-position-vertical-relative:paragraph;z-index:-251609088;mso-wrap-distance-left:0;mso-wrap-distance-right:0" coordorigin="6307,609" coordsize="1174,0" path="m6307,609l7481,609e" filled="false" stroked="true" strokeweight="2.95pt" strokecolor="#000000">
            <v:path arrowok="t"/>
            <v:stroke dashstyle="solid"/>
            <w10:wrap type="topAndBottom"/>
          </v:shape>
        </w:pict>
      </w:r>
    </w:p>
    <w:p>
      <w:pPr>
        <w:pStyle w:val="BodyText"/>
        <w:spacing w:before="9"/>
        <w:rPr>
          <w:rFonts w:ascii="Times New Roman"/>
          <w:sz w:val="16"/>
        </w:rPr>
      </w:pPr>
    </w:p>
    <w:p>
      <w:pPr>
        <w:pStyle w:val="BodyText"/>
        <w:rPr>
          <w:rFonts w:ascii="Times New Roman"/>
          <w:sz w:val="20"/>
        </w:rPr>
      </w:pPr>
    </w:p>
    <w:p>
      <w:pPr>
        <w:pStyle w:val="BodyText"/>
        <w:spacing w:before="9"/>
        <w:rPr>
          <w:rFonts w:ascii="Times New Roman"/>
          <w:sz w:val="24"/>
        </w:rPr>
      </w:pPr>
      <w:r>
        <w:rPr/>
        <w:pict>
          <v:shape style="position:absolute;margin-left:442.503998pt;margin-top:17.710979pt;width:160.75pt;height:.1pt;mso-position-horizontal-relative:page;mso-position-vertical-relative:paragraph;z-index:-251608064;mso-wrap-distance-left:0;mso-wrap-distance-right:0" coordorigin="8850,354" coordsize="3215,0" path="m8850,354l12065,354e" filled="false" stroked="true" strokeweight="2.95pt" strokecolor="#000000">
            <v:path arrowok="t"/>
            <v:stroke dashstyle="solid"/>
            <w10:wrap type="topAndBottom"/>
          </v:shape>
        </w:pict>
      </w:r>
      <w:r>
        <w:rPr/>
        <w:pict>
          <v:shape style="position:absolute;margin-left:315.364014pt;margin-top:33.790981pt;width:287.650pt;height:.1pt;mso-position-horizontal-relative:page;mso-position-vertical-relative:paragraph;z-index:-251607040;mso-wrap-distance-left:0;mso-wrap-distance-right:0" coordorigin="6307,676" coordsize="5753,0" path="m6307,676l12059,676e" filled="false" stroked="true" strokeweight="2.95pt" strokecolor="#000000">
            <v:path arrowok="t"/>
            <v:stroke dashstyle="solid"/>
            <w10:wrap type="topAndBottom"/>
          </v:shape>
        </w:pict>
      </w:r>
      <w:r>
        <w:rPr/>
        <w:pict>
          <v:shape style="position:absolute;margin-left:315.364014pt;margin-top:49.870979pt;width:99.35pt;height:.1pt;mso-position-horizontal-relative:page;mso-position-vertical-relative:paragraph;z-index:-251606016;mso-wrap-distance-left:0;mso-wrap-distance-right:0" coordorigin="6307,997" coordsize="1987,0" path="m6307,997l8294,997e" filled="false" stroked="true" strokeweight="2.95pt" strokecolor="#000000">
            <v:path arrowok="t"/>
            <v:stroke dashstyle="solid"/>
            <w10:wrap type="topAndBottom"/>
          </v:shape>
        </w:pict>
      </w:r>
    </w:p>
    <w:p>
      <w:pPr>
        <w:pStyle w:val="BodyText"/>
        <w:spacing w:before="9"/>
        <w:rPr>
          <w:rFonts w:ascii="Times New Roman"/>
          <w:sz w:val="16"/>
        </w:rPr>
      </w:pPr>
    </w:p>
    <w:p>
      <w:pPr>
        <w:pStyle w:val="BodyText"/>
        <w:spacing w:before="9"/>
        <w:rPr>
          <w:rFonts w:ascii="Times New Roman"/>
          <w:sz w:val="16"/>
        </w:rPr>
      </w:pPr>
    </w:p>
    <w:p>
      <w:pPr>
        <w:pStyle w:val="BodyText"/>
        <w:spacing w:before="9"/>
        <w:rPr>
          <w:rFonts w:ascii="Times New Roman"/>
          <w:sz w:val="28"/>
        </w:rPr>
      </w:pPr>
    </w:p>
    <w:p>
      <w:pPr>
        <w:pStyle w:val="BodyText"/>
        <w:spacing w:line="320" w:lineRule="atLeast" w:before="40"/>
        <w:ind w:left="3100" w:right="3197"/>
        <w:jc w:val="both"/>
      </w:pPr>
      <w:r>
        <w:rPr/>
        <w:pict>
          <v:shape style="position:absolute;margin-left:393.067993pt;margin-top:30.667213pt;width:84.9pt;height:12.7pt;mso-position-horizontal-relative:page;mso-position-vertical-relative:paragraph;z-index:-254229504" coordorigin="7861,613" coordsize="1698,254" path="m9549,613l7872,613,7861,624,7861,856,7872,867,9549,867,9559,856,9559,624,9549,613xe" filled="true" fillcolor="#7be3ac" stroked="false">
            <v:path arrowok="t"/>
            <v:fill opacity="32112f" type="solid"/>
            <w10:wrap type="none"/>
          </v:shape>
        </w:pict>
      </w:r>
      <w:r>
        <w:rPr/>
        <w:pict>
          <v:group style="position:absolute;margin-left:63.082001pt;margin-top:145.421204pt;width:537.9pt;height:117.7pt;mso-position-horizontal-relative:page;mso-position-vertical-relative:paragraph;z-index:-254226432" coordorigin="1262,2908" coordsize="10758,2354">
            <v:rect style="position:absolute;left:4120;top:2949;width:7858;height:2271" filled="false" stroked="true" strokeweight="4.12pt" strokecolor="#e44234">
              <v:stroke dashstyle="solid"/>
            </v:rect>
            <v:shape style="position:absolute;left:1271;top:3545;width:2895;height:856" type="#_x0000_t75" stroked="false">
              <v:imagedata r:id="rId17" o:title=""/>
            </v:shape>
            <v:shape style="position:absolute;left:1271;top:3545;width:2895;height:856" coordorigin="1272,3545" coordsize="2895,856" path="m1272,3705l1272,4241,1284,4304,1319,4354,1369,4389,1432,4401,4006,4401,4068,4389,4119,4354,4153,4304,4166,4241,4166,3705,4153,3643,4119,3592,4068,3558,4006,3545,1432,3545,1369,3558,1319,3592,1284,3643,1272,3705xe" filled="false" stroked="true" strokeweight="1pt" strokecolor="#2d4b11">
              <v:path arrowok="t"/>
              <v:stroke dashstyle="solid"/>
            </v:shape>
            <w10:wrap type="none"/>
          </v:group>
        </w:pict>
      </w:r>
      <w:bookmarkStart w:name="Law and Procedure 208" w:id="22"/>
      <w:bookmarkEnd w:id="22"/>
      <w:r>
        <w:rPr/>
      </w:r>
      <w:r>
        <w:rPr/>
        <w:t>specify a time limit for an appraisal demand, the court must determine whether a demand was exercised within a reasonable period of time depending upon the particular facts of the case. </w:t>
      </w:r>
      <w:r>
        <w:rPr>
          <w:spacing w:val="3"/>
        </w:rPr>
        <w:t>In </w:t>
      </w:r>
      <w:r>
        <w:rPr>
          <w:u w:val="single"/>
        </w:rPr>
        <w:t>S.R. International Business Ins. </w:t>
      </w:r>
      <w:r>
        <w:rPr>
          <w:spacing w:val="-4"/>
          <w:u w:val="single"/>
        </w:rPr>
        <w:t>Co.,</w:t>
      </w:r>
      <w:r>
        <w:rPr>
          <w:spacing w:val="-4"/>
        </w:rPr>
        <w:t> </w:t>
      </w:r>
      <w:r>
        <w:rPr>
          <w:u w:val="single"/>
        </w:rPr>
        <w:t>Ltd. v. </w:t>
      </w:r>
      <w:r>
        <w:rPr>
          <w:spacing w:val="-3"/>
          <w:u w:val="single"/>
        </w:rPr>
        <w:t>World </w:t>
      </w:r>
      <w:r>
        <w:rPr>
          <w:u w:val="single"/>
        </w:rPr>
        <w:t>Trade Center Properties, LLC</w:t>
      </w:r>
      <w:r>
        <w:rPr/>
        <w:t>,</w:t>
      </w:r>
      <w:r>
        <w:rPr>
          <w:vertAlign w:val="superscript"/>
        </w:rPr>
        <w:t>468</w:t>
      </w:r>
      <w:r>
        <w:rPr>
          <w:vertAlign w:val="baseline"/>
        </w:rPr>
        <w:t> </w:t>
      </w:r>
      <w:r>
        <w:rPr>
          <w:spacing w:val="-13"/>
          <w:vertAlign w:val="baseline"/>
        </w:rPr>
        <w:t>it </w:t>
      </w:r>
      <w:r>
        <w:rPr>
          <w:vertAlign w:val="baseline"/>
        </w:rPr>
        <w:t>was</w:t>
      </w:r>
      <w:r>
        <w:rPr>
          <w:spacing w:val="-28"/>
          <w:vertAlign w:val="baseline"/>
        </w:rPr>
        <w:t> </w:t>
      </w:r>
      <w:r>
        <w:rPr>
          <w:vertAlign w:val="baseline"/>
        </w:rPr>
        <w:t>stated</w:t>
      </w:r>
      <w:r>
        <w:rPr>
          <w:spacing w:val="-29"/>
          <w:vertAlign w:val="baseline"/>
        </w:rPr>
        <w:t> </w:t>
      </w:r>
      <w:r>
        <w:rPr>
          <w:vertAlign w:val="baseline"/>
        </w:rPr>
        <w:t>that,</w:t>
      </w:r>
      <w:r>
        <w:rPr>
          <w:spacing w:val="-30"/>
          <w:vertAlign w:val="baseline"/>
        </w:rPr>
        <w:t> </w:t>
      </w:r>
      <w:r>
        <w:rPr>
          <w:vertAlign w:val="baseline"/>
        </w:rPr>
        <w:t>though</w:t>
      </w:r>
      <w:r>
        <w:rPr>
          <w:spacing w:val="-26"/>
          <w:vertAlign w:val="baseline"/>
        </w:rPr>
        <w:t> </w:t>
      </w:r>
      <w:r>
        <w:rPr>
          <w:vertAlign w:val="baseline"/>
        </w:rPr>
        <w:t>New</w:t>
      </w:r>
      <w:r>
        <w:rPr>
          <w:spacing w:val="-32"/>
          <w:vertAlign w:val="baseline"/>
        </w:rPr>
        <w:t> </w:t>
      </w:r>
      <w:r>
        <w:rPr>
          <w:vertAlign w:val="baseline"/>
        </w:rPr>
        <w:t>York</w:t>
      </w:r>
      <w:r>
        <w:rPr>
          <w:spacing w:val="-30"/>
          <w:vertAlign w:val="baseline"/>
        </w:rPr>
        <w:t> </w:t>
      </w:r>
      <w:r>
        <w:rPr>
          <w:vertAlign w:val="baseline"/>
        </w:rPr>
        <w:t>courts,</w:t>
      </w:r>
      <w:r>
        <w:rPr>
          <w:spacing w:val="-33"/>
          <w:vertAlign w:val="baseline"/>
        </w:rPr>
        <w:t> </w:t>
      </w:r>
      <w:r>
        <w:rPr>
          <w:vertAlign w:val="baseline"/>
        </w:rPr>
        <w:t>unlike others, do not appear to have explicitly cited particular factors as “decisive” in determining the reasonableness of the demand, the following three factors are usually relevant: (i) whether the appraisal sought is impractical</w:t>
      </w:r>
      <w:r>
        <w:rPr>
          <w:spacing w:val="8"/>
          <w:vertAlign w:val="baseline"/>
        </w:rPr>
        <w:t> </w:t>
      </w:r>
      <w:r>
        <w:rPr>
          <w:vertAlign w:val="baseline"/>
        </w:rPr>
        <w:t>or</w:t>
      </w:r>
    </w:p>
    <w:p>
      <w:pPr>
        <w:pStyle w:val="BodyText"/>
        <w:spacing w:line="355" w:lineRule="exact"/>
        <w:ind w:left="1337"/>
      </w:pPr>
      <w:r>
        <w:rPr>
          <w:rFonts w:ascii="Arial" w:hAnsi="Arial"/>
          <w:b/>
          <w:i/>
          <w:color w:val="267E00"/>
          <w:w w:val="101"/>
          <w:position w:val="1"/>
          <w:sz w:val="45"/>
        </w:rPr>
        <w:t>Case</w:t>
      </w:r>
      <w:r>
        <w:rPr>
          <w:rFonts w:ascii="Arial" w:hAnsi="Arial"/>
          <w:b/>
          <w:i/>
          <w:color w:val="267E00"/>
          <w:spacing w:val="1"/>
          <w:position w:val="1"/>
          <w:sz w:val="45"/>
        </w:rPr>
        <w:t> </w:t>
      </w:r>
      <w:r>
        <w:rPr>
          <w:rFonts w:ascii="Arial" w:hAnsi="Arial"/>
          <w:b/>
          <w:i/>
          <w:color w:val="267E00"/>
          <w:w w:val="101"/>
          <w:position w:val="1"/>
          <w:sz w:val="45"/>
        </w:rPr>
        <w:t>St</w:t>
      </w:r>
      <w:r>
        <w:rPr>
          <w:rFonts w:ascii="Arial" w:hAnsi="Arial"/>
          <w:b/>
          <w:i/>
          <w:color w:val="267E00"/>
          <w:spacing w:val="-189"/>
          <w:w w:val="101"/>
          <w:position w:val="1"/>
          <w:sz w:val="45"/>
        </w:rPr>
        <w:t>u</w:t>
      </w:r>
      <w:r>
        <w:rPr>
          <w:spacing w:val="3"/>
          <w:w w:val="99"/>
        </w:rPr>
        <w:t>i</w:t>
      </w:r>
      <w:r>
        <w:rPr>
          <w:spacing w:val="-111"/>
          <w:w w:val="99"/>
        </w:rPr>
        <w:t>m</w:t>
      </w:r>
      <w:r>
        <w:rPr>
          <w:rFonts w:ascii="Arial" w:hAnsi="Arial"/>
          <w:b/>
          <w:i/>
          <w:color w:val="267E00"/>
          <w:spacing w:val="-169"/>
          <w:w w:val="101"/>
          <w:position w:val="1"/>
          <w:sz w:val="45"/>
        </w:rPr>
        <w:t>d</w:t>
      </w:r>
      <w:r>
        <w:rPr>
          <w:spacing w:val="-9"/>
          <w:w w:val="99"/>
        </w:rPr>
        <w:t>p</w:t>
      </w:r>
      <w:r>
        <w:rPr>
          <w:rFonts w:ascii="Arial" w:hAnsi="Arial"/>
          <w:b/>
          <w:i/>
          <w:color w:val="267E00"/>
          <w:spacing w:val="-246"/>
          <w:w w:val="101"/>
          <w:position w:val="1"/>
          <w:sz w:val="45"/>
        </w:rPr>
        <w:t>y</w:t>
      </w:r>
      <w:r>
        <w:rPr>
          <w:w w:val="99"/>
        </w:rPr>
        <w:t>oss</w:t>
      </w:r>
      <w:r>
        <w:rPr>
          <w:spacing w:val="4"/>
          <w:w w:val="99"/>
        </w:rPr>
        <w:t>i</w:t>
      </w:r>
      <w:r>
        <w:rPr>
          <w:w w:val="99"/>
        </w:rPr>
        <w:t>ble</w:t>
      </w:r>
      <w:r>
        <w:rPr>
          <w:spacing w:val="-29"/>
        </w:rPr>
        <w:t> </w:t>
      </w:r>
      <w:r>
        <w:rPr>
          <w:spacing w:val="-5"/>
          <w:w w:val="99"/>
        </w:rPr>
        <w:t>(</w:t>
      </w:r>
      <w:r>
        <w:rPr>
          <w:spacing w:val="-2"/>
          <w:w w:val="99"/>
        </w:rPr>
        <w:t>t</w:t>
      </w:r>
      <w:r>
        <w:rPr>
          <w:w w:val="99"/>
        </w:rPr>
        <w:t>hat</w:t>
      </w:r>
      <w:r>
        <w:rPr>
          <w:spacing w:val="-30"/>
        </w:rPr>
        <w:t> </w:t>
      </w:r>
      <w:r>
        <w:rPr>
          <w:spacing w:val="3"/>
          <w:w w:val="99"/>
        </w:rPr>
        <w:t>i</w:t>
      </w:r>
      <w:r>
        <w:rPr>
          <w:w w:val="99"/>
        </w:rPr>
        <w:t>s,</w:t>
      </w:r>
      <w:r>
        <w:rPr>
          <w:spacing w:val="-31"/>
        </w:rPr>
        <w:t> </w:t>
      </w:r>
      <w:r>
        <w:rPr>
          <w:spacing w:val="-7"/>
          <w:w w:val="99"/>
        </w:rPr>
        <w:t>w</w:t>
      </w:r>
      <w:r>
        <w:rPr>
          <w:spacing w:val="-3"/>
          <w:w w:val="99"/>
        </w:rPr>
        <w:t>he</w:t>
      </w:r>
      <w:r>
        <w:rPr>
          <w:spacing w:val="-4"/>
          <w:w w:val="99"/>
        </w:rPr>
        <w:t>t</w:t>
      </w:r>
      <w:r>
        <w:rPr>
          <w:spacing w:val="-3"/>
          <w:w w:val="99"/>
        </w:rPr>
        <w:t>he</w:t>
      </w:r>
      <w:r>
        <w:rPr>
          <w:w w:val="99"/>
        </w:rPr>
        <w:t>r</w:t>
      </w:r>
      <w:r>
        <w:rPr>
          <w:spacing w:val="-33"/>
        </w:rPr>
        <w:t> </w:t>
      </w:r>
      <w:r>
        <w:rPr>
          <w:spacing w:val="-3"/>
          <w:w w:val="99"/>
        </w:rPr>
        <w:t>g</w:t>
      </w:r>
      <w:r>
        <w:rPr>
          <w:spacing w:val="-4"/>
          <w:w w:val="99"/>
        </w:rPr>
        <w:t>r</w:t>
      </w:r>
      <w:r>
        <w:rPr>
          <w:spacing w:val="-2"/>
          <w:w w:val="99"/>
        </w:rPr>
        <w:t>a</w:t>
      </w:r>
      <w:r>
        <w:rPr>
          <w:spacing w:val="-3"/>
          <w:w w:val="99"/>
        </w:rPr>
        <w:t>n</w:t>
      </w:r>
      <w:r>
        <w:rPr>
          <w:spacing w:val="-4"/>
          <w:w w:val="99"/>
        </w:rPr>
        <w:t>t</w:t>
      </w:r>
      <w:r>
        <w:rPr>
          <w:w w:val="99"/>
        </w:rPr>
        <w:t>i</w:t>
      </w:r>
      <w:r>
        <w:rPr>
          <w:spacing w:val="-3"/>
          <w:w w:val="99"/>
        </w:rPr>
        <w:t>n</w:t>
      </w:r>
      <w:r>
        <w:rPr>
          <w:w w:val="99"/>
        </w:rPr>
        <w:t>g</w:t>
      </w:r>
      <w:r>
        <w:rPr>
          <w:spacing w:val="-31"/>
        </w:rPr>
        <w:t> </w:t>
      </w:r>
      <w:r>
        <w:rPr>
          <w:spacing w:val="-2"/>
          <w:w w:val="99"/>
        </w:rPr>
        <w:t>a</w:t>
      </w:r>
      <w:r>
        <w:rPr>
          <w:w w:val="99"/>
        </w:rPr>
        <w:t>n</w:t>
      </w:r>
      <w:r>
        <w:rPr>
          <w:spacing w:val="-30"/>
        </w:rPr>
        <w:t> </w:t>
      </w:r>
      <w:r>
        <w:rPr>
          <w:spacing w:val="2"/>
          <w:w w:val="99"/>
        </w:rPr>
        <w:t>i</w:t>
      </w:r>
      <w:r>
        <w:rPr>
          <w:w w:val="99"/>
        </w:rPr>
        <w:t>nsur</w:t>
      </w:r>
      <w:r>
        <w:rPr>
          <w:spacing w:val="-2"/>
          <w:w w:val="99"/>
        </w:rPr>
        <w:t>e</w:t>
      </w:r>
      <w:r>
        <w:rPr>
          <w:spacing w:val="-2"/>
          <w:w w:val="99"/>
        </w:rPr>
        <w:t>r</w:t>
      </w:r>
      <w:r>
        <w:rPr>
          <w:w w:val="99"/>
        </w:rPr>
        <w:t>’s</w:t>
      </w:r>
    </w:p>
    <w:p>
      <w:pPr>
        <w:pStyle w:val="BodyText"/>
        <w:spacing w:line="242" w:lineRule="auto"/>
        <w:ind w:left="3100" w:right="3200"/>
        <w:jc w:val="both"/>
      </w:pPr>
      <w:r>
        <w:rPr/>
        <w:t>appraisal demand would result in prejudice</w:t>
      </w:r>
      <w:r>
        <w:rPr>
          <w:spacing w:val="-45"/>
        </w:rPr>
        <w:t> </w:t>
      </w:r>
      <w:r>
        <w:rPr>
          <w:spacing w:val="-8"/>
        </w:rPr>
        <w:t>to </w:t>
      </w:r>
      <w:r>
        <w:rPr/>
        <w:t>the insured party); (ii) whether the party engaged in good-faith negotiations </w:t>
      </w:r>
      <w:r>
        <w:rPr>
          <w:spacing w:val="-4"/>
        </w:rPr>
        <w:t>over </w:t>
      </w:r>
      <w:r>
        <w:rPr/>
        <w:t>valuation of the loss prior to the appraisal demand; and (iii) whether an appraisal is </w:t>
      </w:r>
      <w:r>
        <w:rPr>
          <w:spacing w:val="23"/>
        </w:rPr>
        <w:t>desirable </w:t>
      </w:r>
      <w:r>
        <w:rPr>
          <w:spacing w:val="13"/>
        </w:rPr>
        <w:t>or </w:t>
      </w:r>
      <w:r>
        <w:rPr>
          <w:spacing w:val="22"/>
        </w:rPr>
        <w:t>necessary </w:t>
      </w:r>
      <w:r>
        <w:rPr>
          <w:spacing w:val="18"/>
        </w:rPr>
        <w:t>under </w:t>
      </w:r>
      <w:r>
        <w:rPr>
          <w:spacing w:val="16"/>
        </w:rPr>
        <w:t>the </w:t>
      </w:r>
      <w:r>
        <w:rPr/>
        <w:t>circumstances.</w:t>
      </w:r>
      <w:r>
        <w:rPr>
          <w:vertAlign w:val="superscript"/>
        </w:rPr>
        <w:t>469</w:t>
      </w:r>
    </w:p>
    <w:p>
      <w:pPr>
        <w:pStyle w:val="BodyText"/>
        <w:rPr>
          <w:sz w:val="25"/>
        </w:rPr>
      </w:pPr>
    </w:p>
    <w:p>
      <w:pPr>
        <w:pStyle w:val="BodyText"/>
        <w:spacing w:line="242" w:lineRule="auto"/>
        <w:ind w:left="3100" w:right="3198" w:firstLine="720"/>
        <w:jc w:val="both"/>
      </w:pPr>
      <w:r>
        <w:rPr>
          <w:spacing w:val="3"/>
        </w:rPr>
        <w:t>In </w:t>
      </w:r>
      <w:r>
        <w:rPr/>
        <w:t>Mississippi, an insured’s request </w:t>
      </w:r>
      <w:r>
        <w:rPr>
          <w:spacing w:val="-4"/>
        </w:rPr>
        <w:t>for </w:t>
      </w:r>
      <w:r>
        <w:rPr/>
        <w:t>appraisal made almost five years after a loss was untimely and could not “circumvent </w:t>
      </w:r>
      <w:r>
        <w:rPr>
          <w:spacing w:val="-5"/>
        </w:rPr>
        <w:t>the </w:t>
      </w:r>
      <w:r>
        <w:rPr/>
        <w:t>running of the statute of limitations.” </w:t>
      </w:r>
      <w:r>
        <w:rPr>
          <w:spacing w:val="2"/>
        </w:rPr>
        <w:t>In </w:t>
      </w:r>
      <w:r>
        <w:rPr/>
        <w:t>a</w:t>
      </w:r>
      <w:r>
        <w:rPr>
          <w:spacing w:val="-10"/>
        </w:rPr>
        <w:t> </w:t>
      </w:r>
      <w:r>
        <w:rPr/>
        <w:t>case</w:t>
      </w:r>
    </w:p>
    <w:p>
      <w:pPr>
        <w:pStyle w:val="BodyText"/>
        <w:tabs>
          <w:tab w:pos="11895" w:val="left" w:leader="none"/>
        </w:tabs>
        <w:spacing w:line="242" w:lineRule="auto"/>
        <w:ind w:left="3100" w:right="162"/>
        <w:jc w:val="both"/>
      </w:pPr>
      <w:r>
        <w:rPr/>
        <w:pict>
          <v:line style="position:absolute;mso-position-horizontal-relative:page;mso-position-vertical-relative:paragraph;z-index:-254228480" from="509.231995pt,4.687168pt" to="602.051995pt,4.687168pt" stroked="true" strokeweight="2.95pt" strokecolor="#000000">
            <v:stroke dashstyle="solid"/>
            <w10:wrap type="none"/>
          </v:line>
        </w:pict>
      </w:r>
      <w:r>
        <w:rPr/>
        <w:pict>
          <v:line style="position:absolute;mso-position-horizontal-relative:page;mso-position-vertical-relative:paragraph;z-index:251715584" from="592.525024pt,41.335167pt" to="610.525024pt,41.335167pt" stroked="true" strokeweight="2.95pt" strokecolor="#000000">
            <v:stroke dashstyle="solid"/>
            <w10:wrap type="none"/>
          </v:line>
        </w:pict>
      </w:r>
      <w:r>
        <w:rPr/>
        <w:t>where    a    Mississip</w:t>
      </w:r>
      <w:r>
        <w:rPr>
          <w:u w:val="thick"/>
        </w:rPr>
        <w:t>pi    court</w:t>
      </w:r>
      <w:r>
        <w:rPr>
          <w:spacing w:val="43"/>
          <w:u w:val="thick"/>
        </w:rPr>
        <w:t> </w:t>
      </w:r>
      <w:r>
        <w:rPr>
          <w:u w:val="thick"/>
        </w:rPr>
        <w:t>examined  </w:t>
      </w:r>
      <w:r>
        <w:rPr>
          <w:spacing w:val="29"/>
          <w:u w:val="thick"/>
        </w:rPr>
        <w:t> </w:t>
      </w:r>
      <w:r>
        <w:rPr>
          <w:u w:val="thick"/>
        </w:rPr>
        <w:t>the</w:t>
        <w:tab/>
      </w:r>
      <w:r>
        <w:rPr/>
        <w:t> timeliness of the appraisal process</w:t>
      </w:r>
      <w:r>
        <w:rPr>
          <w:spacing w:val="46"/>
        </w:rPr>
        <w:t> </w:t>
      </w:r>
      <w:r>
        <w:rPr/>
        <w:t>where</w:t>
      </w:r>
    </w:p>
    <w:p>
      <w:pPr>
        <w:pStyle w:val="BodyText"/>
        <w:spacing w:before="2"/>
        <w:rPr>
          <w:sz w:val="9"/>
        </w:rPr>
      </w:pPr>
      <w:r>
        <w:rPr/>
        <w:pict>
          <v:shape style="position:absolute;margin-left:431.291992pt;margin-top:9.075663pt;width:18pt;height:.1pt;mso-position-horizontal-relative:page;mso-position-vertical-relative:paragraph;z-index:-251604992;mso-wrap-distance-left:0;mso-wrap-distance-right:0" coordorigin="8626,182" coordsize="360,0" path="m8626,182l8986,182e" filled="false" stroked="true" strokeweight="2.95pt" strokecolor="#000000">
            <v:path arrowok="t"/>
            <v:stroke dashstyle="solid"/>
            <w10:wrap type="topAndBottom"/>
          </v:shape>
        </w:pict>
      </w:r>
      <w:r>
        <w:rPr/>
        <w:pict>
          <v:shape style="position:absolute;margin-left:162pt;margin-top:21.556665pt;width:143.9pt;height:.1pt;mso-position-horizontal-relative:page;mso-position-vertical-relative:paragraph;z-index:-251603968;mso-wrap-distance-left:0;mso-wrap-distance-right:0" coordorigin="3240,431" coordsize="2878,0" path="m3240,431l6118,431e" filled="false" stroked="true" strokeweight=".84pt" strokecolor="#000000">
            <v:path arrowok="t"/>
            <v:stroke dashstyle="solid"/>
            <w10:wrap type="topAndBottom"/>
          </v:shape>
        </w:pict>
      </w:r>
    </w:p>
    <w:p>
      <w:pPr>
        <w:pStyle w:val="BodyText"/>
        <w:spacing w:before="7"/>
        <w:rPr>
          <w:sz w:val="11"/>
        </w:rPr>
      </w:pPr>
    </w:p>
    <w:p>
      <w:pPr>
        <w:pStyle w:val="BodyText"/>
        <w:spacing w:before="4"/>
        <w:rPr>
          <w:sz w:val="10"/>
        </w:rPr>
      </w:pPr>
    </w:p>
    <w:p>
      <w:pPr>
        <w:spacing w:before="71"/>
        <w:ind w:left="2740" w:right="0" w:firstLine="0"/>
        <w:jc w:val="both"/>
        <w:rPr>
          <w:rFonts w:ascii="Times New Roman"/>
          <w:sz w:val="24"/>
        </w:rPr>
      </w:pPr>
      <w:r>
        <w:rPr>
          <w:rFonts w:ascii="Times New Roman"/>
          <w:position w:val="10"/>
          <w:sz w:val="14"/>
        </w:rPr>
        <w:t>468 </w:t>
      </w:r>
      <w:r>
        <w:rPr>
          <w:rFonts w:ascii="Times New Roman"/>
          <w:sz w:val="18"/>
        </w:rPr>
        <w:t>2004 WL 2979790 (S.D.N.Y. 2004)</w:t>
      </w:r>
      <w:r>
        <w:rPr>
          <w:rFonts w:ascii="Times New Roman"/>
          <w:sz w:val="24"/>
        </w:rPr>
        <w:t>.</w:t>
      </w:r>
    </w:p>
    <w:p>
      <w:pPr>
        <w:spacing w:line="249" w:lineRule="auto" w:before="1"/>
        <w:ind w:left="2740" w:right="2842" w:firstLine="0"/>
        <w:jc w:val="both"/>
        <w:rPr>
          <w:rFonts w:ascii="Times New Roman" w:hAnsi="Times New Roman"/>
          <w:sz w:val="18"/>
        </w:rPr>
      </w:pPr>
      <w:r>
        <w:rPr>
          <w:rFonts w:ascii="Times New Roman" w:hAnsi="Times New Roman"/>
          <w:position w:val="10"/>
          <w:sz w:val="14"/>
        </w:rPr>
        <w:t>469</w:t>
      </w:r>
      <w:r>
        <w:rPr>
          <w:rFonts w:ascii="Times New Roman" w:hAnsi="Times New Roman"/>
          <w:spacing w:val="15"/>
          <w:position w:val="10"/>
          <w:sz w:val="14"/>
        </w:rPr>
        <w:t> </w:t>
      </w:r>
      <w:r>
        <w:rPr>
          <w:rFonts w:ascii="Times New Roman" w:hAnsi="Times New Roman"/>
          <w:i/>
          <w:sz w:val="18"/>
        </w:rPr>
        <w:t>See</w:t>
      </w:r>
      <w:r>
        <w:rPr>
          <w:rFonts w:ascii="Times New Roman" w:hAnsi="Times New Roman"/>
          <w:i/>
          <w:spacing w:val="-15"/>
          <w:sz w:val="18"/>
        </w:rPr>
        <w:t> </w:t>
      </w:r>
      <w:r>
        <w:rPr>
          <w:rFonts w:ascii="Times New Roman" w:hAnsi="Times New Roman"/>
          <w:sz w:val="18"/>
          <w:u w:val="single"/>
        </w:rPr>
        <w:t>Peck</w:t>
      </w:r>
      <w:r>
        <w:rPr>
          <w:rFonts w:ascii="Times New Roman" w:hAnsi="Times New Roman"/>
          <w:sz w:val="18"/>
        </w:rPr>
        <w:t>,</w:t>
      </w:r>
      <w:r>
        <w:rPr>
          <w:rFonts w:ascii="Times New Roman" w:hAnsi="Times New Roman"/>
          <w:spacing w:val="-10"/>
          <w:sz w:val="18"/>
        </w:rPr>
        <w:t> </w:t>
      </w:r>
      <w:r>
        <w:rPr>
          <w:rFonts w:ascii="Times New Roman" w:hAnsi="Times New Roman"/>
          <w:sz w:val="18"/>
        </w:rPr>
        <w:t>1994</w:t>
      </w:r>
      <w:r>
        <w:rPr>
          <w:rFonts w:ascii="Times New Roman" w:hAnsi="Times New Roman"/>
          <w:spacing w:val="-11"/>
          <w:sz w:val="18"/>
        </w:rPr>
        <w:t> </w:t>
      </w:r>
      <w:r>
        <w:rPr>
          <w:rFonts w:ascii="Times New Roman" w:hAnsi="Times New Roman"/>
          <w:sz w:val="18"/>
        </w:rPr>
        <w:t>WL</w:t>
      </w:r>
      <w:r>
        <w:rPr>
          <w:rFonts w:ascii="Times New Roman" w:hAnsi="Times New Roman"/>
          <w:spacing w:val="-14"/>
          <w:sz w:val="18"/>
        </w:rPr>
        <w:t> </w:t>
      </w:r>
      <w:r>
        <w:rPr>
          <w:rFonts w:ascii="Times New Roman" w:hAnsi="Times New Roman"/>
          <w:sz w:val="18"/>
        </w:rPr>
        <w:t>381544</w:t>
      </w:r>
      <w:r>
        <w:rPr>
          <w:rFonts w:ascii="Times New Roman" w:hAnsi="Times New Roman"/>
          <w:spacing w:val="-10"/>
          <w:sz w:val="18"/>
        </w:rPr>
        <w:t> </w:t>
      </w:r>
      <w:r>
        <w:rPr>
          <w:rFonts w:ascii="Times New Roman" w:hAnsi="Times New Roman"/>
          <w:sz w:val="18"/>
        </w:rPr>
        <w:t>(S.D.N.Y.</w:t>
      </w:r>
      <w:r>
        <w:rPr>
          <w:rFonts w:ascii="Times New Roman" w:hAnsi="Times New Roman"/>
          <w:spacing w:val="-9"/>
          <w:sz w:val="18"/>
        </w:rPr>
        <w:t> </w:t>
      </w:r>
      <w:r>
        <w:rPr>
          <w:rFonts w:ascii="Times New Roman" w:hAnsi="Times New Roman"/>
          <w:sz w:val="18"/>
        </w:rPr>
        <w:t>1994);</w:t>
      </w:r>
      <w:r>
        <w:rPr>
          <w:rFonts w:ascii="Times New Roman" w:hAnsi="Times New Roman"/>
          <w:spacing w:val="-9"/>
          <w:sz w:val="18"/>
        </w:rPr>
        <w:t> </w:t>
      </w:r>
      <w:r>
        <w:rPr>
          <w:rFonts w:ascii="Times New Roman" w:hAnsi="Times New Roman"/>
          <w:sz w:val="18"/>
          <w:u w:val="single"/>
        </w:rPr>
        <w:t>Kester</w:t>
      </w:r>
      <w:r>
        <w:rPr>
          <w:rFonts w:ascii="Times New Roman" w:hAnsi="Times New Roman"/>
          <w:spacing w:val="-10"/>
          <w:sz w:val="18"/>
          <w:u w:val="single"/>
        </w:rPr>
        <w:t> </w:t>
      </w:r>
      <w:r>
        <w:rPr>
          <w:rFonts w:ascii="Times New Roman" w:hAnsi="Times New Roman"/>
          <w:sz w:val="18"/>
          <w:u w:val="single"/>
        </w:rPr>
        <w:t>v.</w:t>
      </w:r>
      <w:r>
        <w:rPr>
          <w:rFonts w:ascii="Times New Roman" w:hAnsi="Times New Roman"/>
          <w:spacing w:val="-8"/>
          <w:sz w:val="18"/>
          <w:u w:val="single"/>
        </w:rPr>
        <w:t> </w:t>
      </w:r>
      <w:r>
        <w:rPr>
          <w:rFonts w:ascii="Times New Roman" w:hAnsi="Times New Roman"/>
          <w:sz w:val="18"/>
          <w:u w:val="single"/>
        </w:rPr>
        <w:t>State</w:t>
      </w:r>
      <w:r>
        <w:rPr>
          <w:rFonts w:ascii="Times New Roman" w:hAnsi="Times New Roman"/>
          <w:spacing w:val="-8"/>
          <w:sz w:val="18"/>
          <w:u w:val="single"/>
        </w:rPr>
        <w:t> </w:t>
      </w:r>
      <w:r>
        <w:rPr>
          <w:rFonts w:ascii="Times New Roman" w:hAnsi="Times New Roman"/>
          <w:sz w:val="18"/>
          <w:u w:val="single"/>
        </w:rPr>
        <w:t>Farm</w:t>
      </w:r>
      <w:r>
        <w:rPr>
          <w:rFonts w:ascii="Times New Roman" w:hAnsi="Times New Roman"/>
          <w:spacing w:val="-13"/>
          <w:sz w:val="18"/>
          <w:u w:val="single"/>
        </w:rPr>
        <w:t> </w:t>
      </w:r>
      <w:r>
        <w:rPr>
          <w:rFonts w:ascii="Times New Roman" w:hAnsi="Times New Roman"/>
          <w:sz w:val="18"/>
          <w:u w:val="single"/>
        </w:rPr>
        <w:t>Fire</w:t>
      </w:r>
      <w:r>
        <w:rPr>
          <w:rFonts w:ascii="Times New Roman" w:hAnsi="Times New Roman"/>
          <w:spacing w:val="-10"/>
          <w:sz w:val="18"/>
          <w:u w:val="single"/>
        </w:rPr>
        <w:t> </w:t>
      </w:r>
      <w:r>
        <w:rPr>
          <w:rFonts w:ascii="Times New Roman" w:hAnsi="Times New Roman"/>
          <w:sz w:val="18"/>
          <w:u w:val="single"/>
        </w:rPr>
        <w:t>&amp;</w:t>
      </w:r>
      <w:r>
        <w:rPr>
          <w:rFonts w:ascii="Times New Roman" w:hAnsi="Times New Roman"/>
          <w:spacing w:val="-12"/>
          <w:sz w:val="18"/>
          <w:u w:val="single"/>
        </w:rPr>
        <w:t> </w:t>
      </w:r>
      <w:r>
        <w:rPr>
          <w:rFonts w:ascii="Times New Roman" w:hAnsi="Times New Roman"/>
          <w:sz w:val="18"/>
          <w:u w:val="single"/>
        </w:rPr>
        <w:t>Cas.</w:t>
      </w:r>
      <w:r>
        <w:rPr>
          <w:rFonts w:ascii="Times New Roman" w:hAnsi="Times New Roman"/>
          <w:spacing w:val="-12"/>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0"/>
          <w:sz w:val="18"/>
        </w:rPr>
        <w:t> </w:t>
      </w:r>
      <w:r>
        <w:rPr>
          <w:rFonts w:ascii="Times New Roman" w:hAnsi="Times New Roman"/>
          <w:sz w:val="18"/>
        </w:rPr>
        <w:t>726 F.Supp.</w:t>
      </w:r>
      <w:r>
        <w:rPr>
          <w:rFonts w:ascii="Times New Roman" w:hAnsi="Times New Roman"/>
          <w:spacing w:val="-18"/>
          <w:sz w:val="18"/>
        </w:rPr>
        <w:t> </w:t>
      </w:r>
      <w:r>
        <w:rPr>
          <w:rFonts w:ascii="Times New Roman" w:hAnsi="Times New Roman"/>
          <w:sz w:val="18"/>
        </w:rPr>
        <w:t>1015,</w:t>
      </w:r>
      <w:r>
        <w:rPr>
          <w:rFonts w:ascii="Times New Roman" w:hAnsi="Times New Roman"/>
          <w:spacing w:val="-17"/>
          <w:sz w:val="18"/>
        </w:rPr>
        <w:t> </w:t>
      </w:r>
      <w:r>
        <w:rPr>
          <w:rFonts w:ascii="Times New Roman" w:hAnsi="Times New Roman"/>
          <w:sz w:val="18"/>
        </w:rPr>
        <w:t>1019-20</w:t>
      </w:r>
      <w:r>
        <w:rPr>
          <w:rFonts w:ascii="Times New Roman" w:hAnsi="Times New Roman"/>
          <w:spacing w:val="-17"/>
          <w:sz w:val="18"/>
        </w:rPr>
        <w:t> </w:t>
      </w:r>
      <w:r>
        <w:rPr>
          <w:rFonts w:ascii="Times New Roman" w:hAnsi="Times New Roman"/>
          <w:sz w:val="18"/>
        </w:rPr>
        <w:t>(E.D.</w:t>
      </w:r>
      <w:r>
        <w:rPr>
          <w:rFonts w:ascii="Times New Roman" w:hAnsi="Times New Roman"/>
          <w:spacing w:val="-17"/>
          <w:sz w:val="18"/>
        </w:rPr>
        <w:t> </w:t>
      </w:r>
      <w:r>
        <w:rPr>
          <w:rFonts w:ascii="Times New Roman" w:hAnsi="Times New Roman"/>
          <w:sz w:val="18"/>
        </w:rPr>
        <w:t>Pa.</w:t>
      </w:r>
      <w:r>
        <w:rPr>
          <w:rFonts w:ascii="Times New Roman" w:hAnsi="Times New Roman"/>
          <w:spacing w:val="-18"/>
          <w:sz w:val="18"/>
        </w:rPr>
        <w:t> </w:t>
      </w:r>
      <w:r>
        <w:rPr>
          <w:rFonts w:ascii="Times New Roman" w:hAnsi="Times New Roman"/>
          <w:sz w:val="18"/>
        </w:rPr>
        <w:t>1989)</w:t>
      </w:r>
      <w:r>
        <w:rPr>
          <w:rFonts w:ascii="Times New Roman" w:hAnsi="Times New Roman"/>
          <w:spacing w:val="-16"/>
          <w:sz w:val="18"/>
        </w:rPr>
        <w:t> </w:t>
      </w:r>
      <w:r>
        <w:rPr>
          <w:rFonts w:ascii="Times New Roman" w:hAnsi="Times New Roman"/>
          <w:sz w:val="18"/>
        </w:rPr>
        <w:t>(“[T]he</w:t>
      </w:r>
      <w:r>
        <w:rPr>
          <w:rFonts w:ascii="Times New Roman" w:hAnsi="Times New Roman"/>
          <w:spacing w:val="-19"/>
          <w:sz w:val="18"/>
        </w:rPr>
        <w:t> </w:t>
      </w:r>
      <w:r>
        <w:rPr>
          <w:rFonts w:ascii="Times New Roman" w:hAnsi="Times New Roman"/>
          <w:sz w:val="18"/>
        </w:rPr>
        <w:t>circumstances</w:t>
      </w:r>
      <w:r>
        <w:rPr>
          <w:rFonts w:ascii="Times New Roman" w:hAnsi="Times New Roman"/>
          <w:spacing w:val="-18"/>
          <w:sz w:val="18"/>
        </w:rPr>
        <w:t> </w:t>
      </w:r>
      <w:r>
        <w:rPr>
          <w:rFonts w:ascii="Times New Roman" w:hAnsi="Times New Roman"/>
          <w:sz w:val="18"/>
        </w:rPr>
        <w:t>which</w:t>
      </w:r>
      <w:r>
        <w:rPr>
          <w:rFonts w:ascii="Times New Roman" w:hAnsi="Times New Roman"/>
          <w:spacing w:val="-15"/>
          <w:sz w:val="18"/>
        </w:rPr>
        <w:t> </w:t>
      </w:r>
      <w:r>
        <w:rPr>
          <w:rFonts w:ascii="Times New Roman" w:hAnsi="Times New Roman"/>
          <w:sz w:val="18"/>
        </w:rPr>
        <w:t>have</w:t>
      </w:r>
      <w:r>
        <w:rPr>
          <w:rFonts w:ascii="Times New Roman" w:hAnsi="Times New Roman"/>
          <w:spacing w:val="-16"/>
          <w:sz w:val="18"/>
        </w:rPr>
        <w:t> </w:t>
      </w:r>
      <w:r>
        <w:rPr>
          <w:rFonts w:ascii="Times New Roman" w:hAnsi="Times New Roman"/>
          <w:sz w:val="18"/>
        </w:rPr>
        <w:t>proven</w:t>
      </w:r>
      <w:r>
        <w:rPr>
          <w:rFonts w:ascii="Times New Roman" w:hAnsi="Times New Roman"/>
          <w:spacing w:val="-19"/>
          <w:sz w:val="18"/>
        </w:rPr>
        <w:t> </w:t>
      </w:r>
      <w:r>
        <w:rPr>
          <w:rFonts w:ascii="Times New Roman" w:hAnsi="Times New Roman"/>
          <w:sz w:val="18"/>
        </w:rPr>
        <w:t>to</w:t>
      </w:r>
      <w:r>
        <w:rPr>
          <w:rFonts w:ascii="Times New Roman" w:hAnsi="Times New Roman"/>
          <w:spacing w:val="-17"/>
          <w:sz w:val="18"/>
        </w:rPr>
        <w:t> </w:t>
      </w:r>
      <w:r>
        <w:rPr>
          <w:rFonts w:ascii="Times New Roman" w:hAnsi="Times New Roman"/>
          <w:sz w:val="18"/>
        </w:rPr>
        <w:t>be</w:t>
      </w:r>
      <w:r>
        <w:rPr>
          <w:rFonts w:ascii="Times New Roman" w:hAnsi="Times New Roman"/>
          <w:spacing w:val="-20"/>
          <w:sz w:val="18"/>
        </w:rPr>
        <w:t> </w:t>
      </w:r>
      <w:r>
        <w:rPr>
          <w:rFonts w:ascii="Times New Roman" w:hAnsi="Times New Roman"/>
          <w:sz w:val="18"/>
        </w:rPr>
        <w:t>most decisive are two; prejudice resulting from the delay and the breakdown of good-faith negotiations</w:t>
      </w:r>
      <w:r>
        <w:rPr>
          <w:rFonts w:ascii="Times New Roman" w:hAnsi="Times New Roman"/>
          <w:spacing w:val="-18"/>
          <w:sz w:val="18"/>
        </w:rPr>
        <w:t> </w:t>
      </w:r>
      <w:r>
        <w:rPr>
          <w:rFonts w:ascii="Times New Roman" w:hAnsi="Times New Roman"/>
          <w:sz w:val="18"/>
        </w:rPr>
        <w:t>concerning</w:t>
      </w:r>
      <w:r>
        <w:rPr>
          <w:rFonts w:ascii="Times New Roman" w:hAnsi="Times New Roman"/>
          <w:spacing w:val="-18"/>
          <w:sz w:val="18"/>
        </w:rPr>
        <w:t> </w:t>
      </w:r>
      <w:r>
        <w:rPr>
          <w:rFonts w:ascii="Times New Roman" w:hAnsi="Times New Roman"/>
          <w:sz w:val="18"/>
        </w:rPr>
        <w:t>the</w:t>
      </w:r>
      <w:r>
        <w:rPr>
          <w:rFonts w:ascii="Times New Roman" w:hAnsi="Times New Roman"/>
          <w:spacing w:val="-18"/>
          <w:sz w:val="18"/>
        </w:rPr>
        <w:t> </w:t>
      </w:r>
      <w:r>
        <w:rPr>
          <w:rFonts w:ascii="Times New Roman" w:hAnsi="Times New Roman"/>
          <w:sz w:val="18"/>
        </w:rPr>
        <w:t>amount</w:t>
      </w:r>
      <w:r>
        <w:rPr>
          <w:rFonts w:ascii="Times New Roman" w:hAnsi="Times New Roman"/>
          <w:spacing w:val="-16"/>
          <w:sz w:val="18"/>
        </w:rPr>
        <w:t> </w:t>
      </w:r>
      <w:r>
        <w:rPr>
          <w:rFonts w:ascii="Times New Roman" w:hAnsi="Times New Roman"/>
          <w:sz w:val="18"/>
        </w:rPr>
        <w:t>of</w:t>
      </w:r>
      <w:r>
        <w:rPr>
          <w:rFonts w:ascii="Times New Roman" w:hAnsi="Times New Roman"/>
          <w:spacing w:val="-19"/>
          <w:sz w:val="18"/>
        </w:rPr>
        <w:t> </w:t>
      </w:r>
      <w:r>
        <w:rPr>
          <w:rFonts w:ascii="Times New Roman" w:hAnsi="Times New Roman"/>
          <w:sz w:val="18"/>
        </w:rPr>
        <w:t>the</w:t>
      </w:r>
      <w:r>
        <w:rPr>
          <w:rFonts w:ascii="Times New Roman" w:hAnsi="Times New Roman"/>
          <w:spacing w:val="-18"/>
          <w:sz w:val="18"/>
        </w:rPr>
        <w:t> </w:t>
      </w:r>
      <w:r>
        <w:rPr>
          <w:rFonts w:ascii="Times New Roman" w:hAnsi="Times New Roman"/>
          <w:sz w:val="18"/>
        </w:rPr>
        <w:t>loss</w:t>
      </w:r>
      <w:r>
        <w:rPr>
          <w:rFonts w:ascii="Times New Roman" w:hAnsi="Times New Roman"/>
          <w:spacing w:val="-15"/>
          <w:sz w:val="18"/>
        </w:rPr>
        <w:t> </w:t>
      </w:r>
      <w:r>
        <w:rPr>
          <w:rFonts w:ascii="Times New Roman" w:hAnsi="Times New Roman"/>
          <w:sz w:val="18"/>
        </w:rPr>
        <w:t>suffered</w:t>
      </w:r>
      <w:r>
        <w:rPr>
          <w:rFonts w:ascii="Times New Roman" w:hAnsi="Times New Roman"/>
          <w:spacing w:val="-15"/>
          <w:sz w:val="18"/>
        </w:rPr>
        <w:t> </w:t>
      </w:r>
      <w:r>
        <w:rPr>
          <w:rFonts w:ascii="Times New Roman" w:hAnsi="Times New Roman"/>
          <w:sz w:val="18"/>
        </w:rPr>
        <w:t>by</w:t>
      </w:r>
      <w:r>
        <w:rPr>
          <w:rFonts w:ascii="Times New Roman" w:hAnsi="Times New Roman"/>
          <w:spacing w:val="-18"/>
          <w:sz w:val="18"/>
        </w:rPr>
        <w:t> </w:t>
      </w:r>
      <w:r>
        <w:rPr>
          <w:rFonts w:ascii="Times New Roman" w:hAnsi="Times New Roman"/>
          <w:sz w:val="18"/>
        </w:rPr>
        <w:t>the</w:t>
      </w:r>
      <w:r>
        <w:rPr>
          <w:rFonts w:ascii="Times New Roman" w:hAnsi="Times New Roman"/>
          <w:spacing w:val="-16"/>
          <w:sz w:val="18"/>
        </w:rPr>
        <w:t> </w:t>
      </w:r>
      <w:r>
        <w:rPr>
          <w:rFonts w:ascii="Times New Roman" w:hAnsi="Times New Roman"/>
          <w:sz w:val="18"/>
        </w:rPr>
        <w:t>insured.”</w:t>
      </w:r>
      <w:r>
        <w:rPr>
          <w:rFonts w:ascii="Times New Roman" w:hAnsi="Times New Roman"/>
          <w:spacing w:val="-18"/>
          <w:sz w:val="18"/>
        </w:rPr>
        <w:t> </w:t>
      </w:r>
      <w:r>
        <w:rPr>
          <w:rFonts w:ascii="Times New Roman" w:hAnsi="Times New Roman"/>
          <w:sz w:val="18"/>
        </w:rPr>
        <w:t>(citations</w:t>
      </w:r>
      <w:r>
        <w:rPr>
          <w:rFonts w:ascii="Times New Roman" w:hAnsi="Times New Roman"/>
          <w:spacing w:val="-17"/>
          <w:sz w:val="18"/>
        </w:rPr>
        <w:t> </w:t>
      </w:r>
      <w:r>
        <w:rPr>
          <w:rFonts w:ascii="Times New Roman" w:hAnsi="Times New Roman"/>
          <w:sz w:val="18"/>
        </w:rPr>
        <w:t>omitted)).</w:t>
      </w:r>
    </w:p>
    <w:p>
      <w:pPr>
        <w:spacing w:after="0" w:line="249" w:lineRule="auto"/>
        <w:jc w:val="both"/>
        <w:rPr>
          <w:rFonts w:ascii="Times New Roman" w:hAnsi="Times New Roman"/>
          <w:sz w:val="18"/>
        </w:rPr>
        <w:sectPr>
          <w:pgSz w:w="12240" w:h="15840"/>
          <w:pgMar w:header="0" w:footer="2273" w:top="14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202"/>
      </w:pPr>
      <w:r>
        <w:rPr/>
        <w:pict>
          <v:shape style="position:absolute;margin-left:162pt;margin-top:4.980031pt;width:15.1pt;height:286.350pt;mso-position-horizontal-relative:page;mso-position-vertical-relative:paragraph;z-index:-254225408" type="#_x0000_t202" filled="false" stroked="false">
            <v:textbox inset="0,0,0,0">
              <w:txbxContent>
                <w:p>
                  <w:pPr>
                    <w:pStyle w:val="BodyText"/>
                    <w:spacing w:line="260" w:lineRule="exact"/>
                    <w:ind w:right="123"/>
                    <w:jc w:val="center"/>
                  </w:pPr>
                  <w:r>
                    <w:rPr>
                      <w:w w:val="99"/>
                    </w:rPr>
                    <w:t>p</w:t>
                  </w:r>
                </w:p>
                <w:p>
                  <w:pPr>
                    <w:pStyle w:val="BodyText"/>
                    <w:spacing w:line="242" w:lineRule="auto" w:before="3"/>
                    <w:ind w:right="41" w:firstLine="22"/>
                    <w:jc w:val="center"/>
                  </w:pPr>
                  <w:r>
                    <w:rPr/>
                    <w:t>a f o</w:t>
                  </w:r>
                </w:p>
                <w:p>
                  <w:pPr>
                    <w:pStyle w:val="BodyText"/>
                    <w:spacing w:before="1"/>
                  </w:pPr>
                </w:p>
                <w:p>
                  <w:pPr>
                    <w:pStyle w:val="BodyText"/>
                    <w:spacing w:line="242" w:lineRule="auto"/>
                    <w:ind w:right="60" w:firstLine="55"/>
                    <w:jc w:val="both"/>
                  </w:pPr>
                  <w:r>
                    <w:rPr/>
                    <w:t>n o e o e u n ‘</w:t>
                  </w:r>
                </w:p>
                <w:p>
                  <w:pPr>
                    <w:pStyle w:val="BodyText"/>
                    <w:spacing w:line="316" w:lineRule="exact"/>
                    <w:ind w:left="-1" w:right="122"/>
                    <w:jc w:val="center"/>
                  </w:pPr>
                  <w:r>
                    <w:rPr>
                      <w:w w:val="99"/>
                    </w:rPr>
                    <w:t>a</w:t>
                  </w:r>
                </w:p>
                <w:p>
                  <w:pPr>
                    <w:pStyle w:val="BodyText"/>
                    <w:spacing w:line="640" w:lineRule="atLeast" w:before="3"/>
                    <w:ind w:right="-10" w:firstLine="86"/>
                  </w:pPr>
                  <w:r>
                    <w:rPr>
                      <w:w w:val="95"/>
                    </w:rPr>
                    <w:t>w </w:t>
                  </w:r>
                  <w:r>
                    <w:rPr/>
                    <w:t>e</w:t>
                  </w:r>
                </w:p>
              </w:txbxContent>
            </v:textbox>
            <w10:wrap type="none"/>
          </v:shape>
        </w:pict>
      </w:r>
      <w:r>
        <w:rPr/>
        <w:pict>
          <v:group style="position:absolute;margin-left:170.182602pt;margin-top:-126.373833pt;width:433.15pt;height:417.15pt;mso-position-horizontal-relative:page;mso-position-vertical-relative:paragraph;z-index:-254224384" coordorigin="3404,-2527" coordsize="8663,8343">
            <v:line style="position:absolute" from="6307,-2320" to="12066,-2320" stroked="true" strokeweight="2.95pt" strokecolor="#000000">
              <v:stroke dashstyle="solid"/>
            </v:line>
            <v:line style="position:absolute" from="6307,-1677" to="12066,-1677" stroked="true" strokeweight="2.95pt" strokecolor="#000000">
              <v:stroke dashstyle="solid"/>
            </v:line>
            <v:shape style="position:absolute;left:3240;top:6788;width:5759;height:1608" coordorigin="3240,6788" coordsize="5759,1608" path="m9234,1861l12064,1861m6307,2182l12065,2182m6307,2504l12064,2504m6307,2825l12064,2825m6307,3147l12063,3147m6307,3469l9747,3469e" filled="false" stroked="true" strokeweight="2.95pt" strokecolor="#000000">
              <v:path arrowok="t"/>
              <v:stroke dashstyle="solid"/>
            </v:shape>
            <v:shape style="position:absolute;left:1693;top:748;width:8154;height:8261" coordorigin="1694,749" coordsize="8154,8261" path="m3445,5774l11598,5774,11598,-2486m3445,-2486l3445,5774e" filled="false" stroked="true" strokeweight="4.12pt" strokecolor="#e44234">
              <v:path arrowok="t"/>
              <v:stroke dashstyle="solid"/>
            </v:shape>
            <w10:wrap type="none"/>
          </v:group>
        </w:pict>
      </w:r>
      <w:bookmarkStart w:name="Law and Procedure 209" w:id="23"/>
      <w:bookmarkEnd w:id="23"/>
      <w:r>
        <w:rPr/>
      </w:r>
      <w:r>
        <w:rPr/>
        <w:t>a praisal, a  condition  precedent to  filing  a  l </w:t>
      </w:r>
      <w:r>
        <w:rPr>
          <w:spacing w:val="28"/>
        </w:rPr>
        <w:t> </w:t>
      </w:r>
      <w:r>
        <w:rPr/>
        <w:t>wsuit</w:t>
      </w:r>
      <w:r>
        <w:rPr>
          <w:spacing w:val="28"/>
        </w:rPr>
        <w:t> </w:t>
      </w:r>
      <w:r>
        <w:rPr/>
        <w:t>in</w:t>
      </w:r>
      <w:r>
        <w:rPr>
          <w:spacing w:val="31"/>
        </w:rPr>
        <w:t> </w:t>
      </w:r>
      <w:r>
        <w:rPr/>
        <w:t>the</w:t>
      </w:r>
      <w:r>
        <w:rPr>
          <w:spacing w:val="30"/>
        </w:rPr>
        <w:t> </w:t>
      </w:r>
      <w:r>
        <w:rPr/>
        <w:t>state,</w:t>
      </w:r>
      <w:r>
        <w:rPr>
          <w:spacing w:val="28"/>
        </w:rPr>
        <w:t> </w:t>
      </w:r>
      <w:r>
        <w:rPr/>
        <w:t>was</w:t>
      </w:r>
      <w:r>
        <w:rPr>
          <w:spacing w:val="31"/>
        </w:rPr>
        <w:t> </w:t>
      </w:r>
      <w:r>
        <w:rPr/>
        <w:t>not</w:t>
      </w:r>
      <w:r>
        <w:rPr>
          <w:spacing w:val="31"/>
        </w:rPr>
        <w:t> </w:t>
      </w:r>
      <w:r>
        <w:rPr/>
        <w:t>demanded</w:t>
      </w:r>
      <w:r>
        <w:rPr>
          <w:spacing w:val="30"/>
        </w:rPr>
        <w:t> </w:t>
      </w:r>
      <w:r>
        <w:rPr/>
        <w:t>until</w:t>
      </w:r>
    </w:p>
    <w:p>
      <w:pPr>
        <w:pStyle w:val="BodyText"/>
        <w:spacing w:line="319" w:lineRule="exact"/>
        <w:ind w:right="105"/>
        <w:jc w:val="center"/>
      </w:pPr>
      <w:r>
        <w:rPr/>
        <w:t>a</w:t>
      </w:r>
      <w:r>
        <w:rPr>
          <w:spacing w:val="6"/>
        </w:rPr>
        <w:t> </w:t>
      </w:r>
      <w:r>
        <w:rPr/>
        <w:t>ter</w:t>
      </w:r>
      <w:r>
        <w:rPr>
          <w:spacing w:val="-22"/>
        </w:rPr>
        <w:t> </w:t>
      </w:r>
      <w:r>
        <w:rPr/>
        <w:t>the</w:t>
      </w:r>
      <w:r>
        <w:rPr>
          <w:spacing w:val="-19"/>
        </w:rPr>
        <w:t> </w:t>
      </w:r>
      <w:r>
        <w:rPr/>
        <w:t>time</w:t>
      </w:r>
      <w:r>
        <w:rPr>
          <w:spacing w:val="-20"/>
        </w:rPr>
        <w:t> </w:t>
      </w:r>
      <w:r>
        <w:rPr/>
        <w:t>to</w:t>
      </w:r>
      <w:r>
        <w:rPr>
          <w:spacing w:val="-19"/>
        </w:rPr>
        <w:t> </w:t>
      </w:r>
      <w:r>
        <w:rPr/>
        <w:t>bring</w:t>
      </w:r>
      <w:r>
        <w:rPr>
          <w:spacing w:val="-18"/>
        </w:rPr>
        <w:t> </w:t>
      </w:r>
      <w:r>
        <w:rPr/>
        <w:t>suit</w:t>
      </w:r>
      <w:r>
        <w:rPr>
          <w:spacing w:val="-22"/>
        </w:rPr>
        <w:t> </w:t>
      </w:r>
      <w:r>
        <w:rPr/>
        <w:t>had</w:t>
      </w:r>
      <w:r>
        <w:rPr>
          <w:spacing w:val="-20"/>
        </w:rPr>
        <w:t> </w:t>
      </w:r>
      <w:r>
        <w:rPr/>
        <w:t>passed,</w:t>
      </w:r>
      <w:r>
        <w:rPr>
          <w:spacing w:val="-20"/>
        </w:rPr>
        <w:t> </w:t>
      </w:r>
      <w:r>
        <w:rPr/>
        <w:t>general</w:t>
      </w:r>
    </w:p>
    <w:p>
      <w:pPr>
        <w:pStyle w:val="BodyText"/>
        <w:spacing w:before="3"/>
        <w:ind w:right="103"/>
        <w:jc w:val="center"/>
      </w:pPr>
      <w:r>
        <w:rPr/>
        <w:t>c</w:t>
      </w:r>
      <w:r>
        <w:rPr>
          <w:spacing w:val="-19"/>
        </w:rPr>
        <w:t> </w:t>
      </w:r>
      <w:r>
        <w:rPr/>
        <w:t>ntract principles were relied upon. Although</w:t>
      </w:r>
    </w:p>
    <w:p>
      <w:pPr>
        <w:pStyle w:val="BodyText"/>
        <w:spacing w:before="2"/>
        <w:ind w:right="105"/>
        <w:jc w:val="center"/>
      </w:pPr>
      <w:r>
        <w:rPr/>
        <w:t>the</w:t>
      </w:r>
      <w:r>
        <w:rPr>
          <w:spacing w:val="-20"/>
        </w:rPr>
        <w:t> </w:t>
      </w:r>
      <w:r>
        <w:rPr/>
        <w:t>appraisal</w:t>
      </w:r>
      <w:r>
        <w:rPr>
          <w:spacing w:val="-18"/>
        </w:rPr>
        <w:t> </w:t>
      </w:r>
      <w:r>
        <w:rPr/>
        <w:t>provision</w:t>
      </w:r>
      <w:r>
        <w:rPr>
          <w:spacing w:val="-17"/>
        </w:rPr>
        <w:t> </w:t>
      </w:r>
      <w:r>
        <w:rPr/>
        <w:t>was</w:t>
      </w:r>
      <w:r>
        <w:rPr>
          <w:spacing w:val="-17"/>
        </w:rPr>
        <w:t> </w:t>
      </w:r>
      <w:r>
        <w:rPr/>
        <w:t>silent</w:t>
      </w:r>
      <w:r>
        <w:rPr>
          <w:spacing w:val="-20"/>
        </w:rPr>
        <w:t> </w:t>
      </w:r>
      <w:r>
        <w:rPr/>
        <w:t>as</w:t>
      </w:r>
      <w:r>
        <w:rPr>
          <w:spacing w:val="-17"/>
        </w:rPr>
        <w:t> </w:t>
      </w:r>
      <w:r>
        <w:rPr/>
        <w:t>to</w:t>
      </w:r>
      <w:r>
        <w:rPr>
          <w:spacing w:val="-17"/>
        </w:rPr>
        <w:t> </w:t>
      </w:r>
      <w:r>
        <w:rPr/>
        <w:t>the</w:t>
      </w:r>
      <w:r>
        <w:rPr>
          <w:spacing w:val="-17"/>
        </w:rPr>
        <w:t> </w:t>
      </w:r>
      <w:r>
        <w:rPr/>
        <w:t>time</w:t>
      </w:r>
    </w:p>
    <w:p>
      <w:pPr>
        <w:pStyle w:val="BodyText"/>
        <w:spacing w:line="242" w:lineRule="auto" w:before="3"/>
        <w:ind w:left="3100" w:right="3197"/>
        <w:jc w:val="both"/>
      </w:pPr>
      <w:r>
        <w:rPr/>
        <w:t>i which a request must be brought, the</w:t>
      </w:r>
      <w:r>
        <w:rPr>
          <w:spacing w:val="-27"/>
        </w:rPr>
        <w:t> </w:t>
      </w:r>
      <w:r>
        <w:rPr/>
        <w:t>Court n ted that  “where  no  time  is  specified  for p rformance of a contractual obligation, the c  urts  will  require  that  the  obligation  be   p  rformed  within  a  ‘reasonable’  time.”  </w:t>
      </w:r>
      <w:r>
        <w:rPr>
          <w:spacing w:val="3"/>
        </w:rPr>
        <w:t>It   </w:t>
      </w:r>
      <w:r>
        <w:rPr/>
        <w:t>f</w:t>
      </w:r>
      <w:r>
        <w:rPr>
          <w:spacing w:val="4"/>
        </w:rPr>
        <w:t> </w:t>
      </w:r>
      <w:r>
        <w:rPr/>
        <w:t>rther</w:t>
      </w:r>
      <w:r>
        <w:rPr>
          <w:spacing w:val="-23"/>
        </w:rPr>
        <w:t> </w:t>
      </w:r>
      <w:r>
        <w:rPr/>
        <w:t>cited</w:t>
      </w:r>
      <w:r>
        <w:rPr>
          <w:spacing w:val="-23"/>
        </w:rPr>
        <w:t> </w:t>
      </w:r>
      <w:r>
        <w:rPr/>
        <w:t>the</w:t>
      </w:r>
      <w:r>
        <w:rPr>
          <w:spacing w:val="-23"/>
        </w:rPr>
        <w:t> </w:t>
      </w:r>
      <w:r>
        <w:rPr/>
        <w:t>law</w:t>
      </w:r>
      <w:r>
        <w:rPr>
          <w:spacing w:val="-22"/>
        </w:rPr>
        <w:t> </w:t>
      </w:r>
      <w:r>
        <w:rPr/>
        <w:t>of</w:t>
      </w:r>
      <w:r>
        <w:rPr>
          <w:spacing w:val="-22"/>
        </w:rPr>
        <w:t> </w:t>
      </w:r>
      <w:r>
        <w:rPr/>
        <w:t>Washington</w:t>
      </w:r>
      <w:r>
        <w:rPr>
          <w:spacing w:val="-22"/>
        </w:rPr>
        <w:t> </w:t>
      </w:r>
      <w:r>
        <w:rPr/>
        <w:t>state</w:t>
      </w:r>
      <w:r>
        <w:rPr>
          <w:spacing w:val="-22"/>
        </w:rPr>
        <w:t> </w:t>
      </w:r>
      <w:r>
        <w:rPr/>
        <w:t>to</w:t>
      </w:r>
      <w:r>
        <w:rPr>
          <w:spacing w:val="-22"/>
        </w:rPr>
        <w:t> </w:t>
      </w:r>
      <w:r>
        <w:rPr/>
        <w:t>aid i       its    </w:t>
      </w:r>
      <w:r>
        <w:rPr>
          <w:spacing w:val="4"/>
        </w:rPr>
        <w:t>consideration    </w:t>
      </w:r>
      <w:r>
        <w:rPr>
          <w:spacing w:val="2"/>
        </w:rPr>
        <w:t>of  </w:t>
      </w:r>
      <w:r>
        <w:rPr>
          <w:spacing w:val="30"/>
        </w:rPr>
        <w:t> </w:t>
      </w:r>
      <w:r>
        <w:rPr>
          <w:spacing w:val="3"/>
        </w:rPr>
        <w:t>reasonableness:</w:t>
      </w:r>
    </w:p>
    <w:p>
      <w:pPr>
        <w:pStyle w:val="BodyText"/>
        <w:spacing w:line="242" w:lineRule="auto"/>
        <w:ind w:left="3100" w:right="3199"/>
        <w:jc w:val="both"/>
      </w:pPr>
      <w:r>
        <w:rPr/>
        <w:t>“ [w]hether a demand for appraisal has </w:t>
      </w:r>
      <w:r>
        <w:rPr>
          <w:spacing w:val="-3"/>
        </w:rPr>
        <w:t>been </w:t>
      </w:r>
      <w:r>
        <w:rPr/>
        <w:t>m</w:t>
      </w:r>
      <w:r>
        <w:rPr>
          <w:spacing w:val="25"/>
        </w:rPr>
        <w:t> </w:t>
      </w:r>
      <w:r>
        <w:rPr/>
        <w:t>de</w:t>
      </w:r>
      <w:r>
        <w:rPr>
          <w:spacing w:val="-22"/>
        </w:rPr>
        <w:t> </w:t>
      </w:r>
      <w:r>
        <w:rPr/>
        <w:t>within</w:t>
      </w:r>
      <w:r>
        <w:rPr>
          <w:spacing w:val="-23"/>
        </w:rPr>
        <w:t> </w:t>
      </w:r>
      <w:r>
        <w:rPr/>
        <w:t>a</w:t>
      </w:r>
      <w:r>
        <w:rPr>
          <w:spacing w:val="-21"/>
        </w:rPr>
        <w:t> </w:t>
      </w:r>
      <w:r>
        <w:rPr/>
        <w:t>reasonable</w:t>
      </w:r>
      <w:r>
        <w:rPr>
          <w:spacing w:val="-18"/>
        </w:rPr>
        <w:t> </w:t>
      </w:r>
      <w:r>
        <w:rPr/>
        <w:t>time</w:t>
      </w:r>
      <w:r>
        <w:rPr>
          <w:spacing w:val="-23"/>
        </w:rPr>
        <w:t> </w:t>
      </w:r>
      <w:r>
        <w:rPr/>
        <w:t>depends</w:t>
      </w:r>
      <w:r>
        <w:rPr>
          <w:spacing w:val="-19"/>
        </w:rPr>
        <w:t> </w:t>
      </w:r>
      <w:r>
        <w:rPr/>
        <w:t>upon the</w:t>
      </w:r>
      <w:r>
        <w:rPr>
          <w:spacing w:val="-14"/>
        </w:rPr>
        <w:t> </w:t>
      </w:r>
      <w:r>
        <w:rPr/>
        <w:t>circumstances</w:t>
      </w:r>
      <w:r>
        <w:rPr>
          <w:spacing w:val="-10"/>
        </w:rPr>
        <w:t> </w:t>
      </w:r>
      <w:r>
        <w:rPr/>
        <w:t>of</w:t>
      </w:r>
      <w:r>
        <w:rPr>
          <w:spacing w:val="-10"/>
        </w:rPr>
        <w:t> </w:t>
      </w:r>
      <w:r>
        <w:rPr/>
        <w:t>the</w:t>
      </w:r>
      <w:r>
        <w:rPr>
          <w:spacing w:val="-14"/>
        </w:rPr>
        <w:t> </w:t>
      </w:r>
      <w:r>
        <w:rPr/>
        <w:t>case…[including</w:t>
      </w:r>
      <w:r>
        <w:rPr>
          <w:spacing w:val="-12"/>
        </w:rPr>
        <w:t> </w:t>
      </w:r>
      <w:r>
        <w:rPr/>
        <w:t>the</w:t>
      </w:r>
    </w:p>
    <w:p>
      <w:pPr>
        <w:pStyle w:val="BodyText"/>
        <w:tabs>
          <w:tab w:pos="297" w:val="left" w:leader="none"/>
        </w:tabs>
        <w:spacing w:line="316" w:lineRule="exact"/>
        <w:ind w:right="100"/>
        <w:jc w:val="center"/>
      </w:pPr>
      <w:r>
        <w:rPr/>
        <w:t>t</w:t>
        <w:tab/>
        <w:t>o main factors of]  prejudice resulting </w:t>
      </w:r>
      <w:r>
        <w:rPr>
          <w:spacing w:val="57"/>
        </w:rPr>
        <w:t> </w:t>
      </w:r>
      <w:r>
        <w:rPr/>
        <w:t>from</w:t>
      </w:r>
    </w:p>
    <w:p>
      <w:pPr>
        <w:pStyle w:val="BodyText"/>
        <w:spacing w:before="3"/>
        <w:ind w:right="99"/>
        <w:jc w:val="center"/>
      </w:pPr>
      <w:r>
        <w:rPr/>
        <w:t>the</w:t>
      </w:r>
      <w:r>
        <w:rPr>
          <w:spacing w:val="23"/>
        </w:rPr>
        <w:t> </w:t>
      </w:r>
      <w:r>
        <w:rPr/>
        <w:t>delay,</w:t>
      </w:r>
      <w:r>
        <w:rPr>
          <w:spacing w:val="21"/>
        </w:rPr>
        <w:t> </w:t>
      </w:r>
      <w:r>
        <w:rPr/>
        <w:t>and</w:t>
      </w:r>
      <w:r>
        <w:rPr>
          <w:spacing w:val="24"/>
        </w:rPr>
        <w:t> </w:t>
      </w:r>
      <w:r>
        <w:rPr/>
        <w:t>the</w:t>
      </w:r>
      <w:r>
        <w:rPr>
          <w:spacing w:val="23"/>
        </w:rPr>
        <w:t> </w:t>
      </w:r>
      <w:r>
        <w:rPr/>
        <w:t>breakdown</w:t>
      </w:r>
      <w:r>
        <w:rPr>
          <w:spacing w:val="23"/>
        </w:rPr>
        <w:t> </w:t>
      </w:r>
      <w:r>
        <w:rPr/>
        <w:t>of</w:t>
      </w:r>
      <w:r>
        <w:rPr>
          <w:spacing w:val="24"/>
        </w:rPr>
        <w:t> </w:t>
      </w:r>
      <w:r>
        <w:rPr/>
        <w:t>good-faith</w:t>
      </w:r>
    </w:p>
    <w:p>
      <w:pPr>
        <w:pStyle w:val="BodyText"/>
        <w:spacing w:before="2"/>
        <w:ind w:right="98"/>
        <w:jc w:val="center"/>
      </w:pPr>
      <w:r>
        <w:rPr/>
        <w:t>n  gotiations concerning the amount of</w:t>
      </w:r>
      <w:r>
        <w:rPr>
          <w:spacing w:val="23"/>
        </w:rPr>
        <w:t> </w:t>
      </w:r>
      <w:r>
        <w:rPr/>
        <w:t>loss.’”</w:t>
      </w:r>
    </w:p>
    <w:p>
      <w:pPr>
        <w:pStyle w:val="BodyText"/>
        <w:spacing w:line="242" w:lineRule="auto" w:before="3"/>
        <w:ind w:left="3100" w:right="3199"/>
        <w:jc w:val="both"/>
      </w:pPr>
      <w:r>
        <w:rPr/>
        <w:t>Finally, the court considered the objective of an insurance policy’s appraisal provision. </w:t>
      </w:r>
      <w:r>
        <w:rPr>
          <w:spacing w:val="3"/>
        </w:rPr>
        <w:t>It </w:t>
      </w:r>
      <w:r>
        <w:rPr/>
        <w:t>held</w:t>
      </w:r>
      <w:r>
        <w:rPr>
          <w:spacing w:val="-23"/>
        </w:rPr>
        <w:t> </w:t>
      </w:r>
      <w:r>
        <w:rPr/>
        <w:t>that</w:t>
      </w:r>
      <w:r>
        <w:rPr>
          <w:spacing w:val="-22"/>
        </w:rPr>
        <w:t> </w:t>
      </w:r>
      <w:r>
        <w:rPr/>
        <w:t>the</w:t>
      </w:r>
      <w:r>
        <w:rPr>
          <w:spacing w:val="-23"/>
        </w:rPr>
        <w:t> </w:t>
      </w:r>
      <w:r>
        <w:rPr/>
        <w:t>provision</w:t>
      </w:r>
      <w:r>
        <w:rPr>
          <w:spacing w:val="-23"/>
        </w:rPr>
        <w:t> </w:t>
      </w:r>
      <w:r>
        <w:rPr/>
        <w:t>“provides</w:t>
      </w:r>
      <w:r>
        <w:rPr>
          <w:spacing w:val="-23"/>
        </w:rPr>
        <w:t> </w:t>
      </w:r>
      <w:r>
        <w:rPr/>
        <w:t>a</w:t>
      </w:r>
      <w:r>
        <w:rPr>
          <w:spacing w:val="-23"/>
        </w:rPr>
        <w:t> </w:t>
      </w:r>
      <w:r>
        <w:rPr/>
        <w:t>contractual avenue in which the parties to an insurance contract can resolve their differences short of litigation…[it]</w:t>
      </w:r>
      <w:r>
        <w:rPr>
          <w:spacing w:val="-19"/>
        </w:rPr>
        <w:t> </w:t>
      </w:r>
      <w:r>
        <w:rPr/>
        <w:t>was</w:t>
      </w:r>
      <w:r>
        <w:rPr>
          <w:spacing w:val="-19"/>
        </w:rPr>
        <w:t> </w:t>
      </w:r>
      <w:r>
        <w:rPr/>
        <w:t>not</w:t>
      </w:r>
      <w:r>
        <w:rPr>
          <w:spacing w:val="-23"/>
        </w:rPr>
        <w:t> </w:t>
      </w:r>
      <w:r>
        <w:rPr/>
        <w:t>intended</w:t>
      </w:r>
      <w:r>
        <w:rPr>
          <w:spacing w:val="-22"/>
        </w:rPr>
        <w:t> </w:t>
      </w:r>
      <w:r>
        <w:rPr/>
        <w:t>to</w:t>
      </w:r>
      <w:r>
        <w:rPr>
          <w:spacing w:val="-22"/>
        </w:rPr>
        <w:t> </w:t>
      </w:r>
      <w:r>
        <w:rPr/>
        <w:t>extend,</w:t>
      </w:r>
      <w:r>
        <w:rPr>
          <w:spacing w:val="-23"/>
        </w:rPr>
        <w:t> </w:t>
      </w:r>
      <w:r>
        <w:rPr/>
        <w:t>and does not extend, the time an insured could bring suit over such claims. Indeed, any </w:t>
      </w:r>
      <w:r>
        <w:rPr>
          <w:spacing w:val="-3"/>
        </w:rPr>
        <w:t>such </w:t>
      </w:r>
      <w:r>
        <w:rPr>
          <w:spacing w:val="4"/>
        </w:rPr>
        <w:t>provision </w:t>
      </w:r>
      <w:r>
        <w:rPr>
          <w:spacing w:val="2"/>
        </w:rPr>
        <w:t>would </w:t>
      </w:r>
      <w:r>
        <w:rPr/>
        <w:t>be </w:t>
      </w:r>
      <w:r>
        <w:rPr>
          <w:spacing w:val="3"/>
        </w:rPr>
        <w:t>unenforceable, </w:t>
      </w:r>
      <w:r>
        <w:rPr>
          <w:spacing w:val="2"/>
        </w:rPr>
        <w:t>as </w:t>
      </w:r>
      <w:r>
        <w:rPr/>
        <w:t>Mississippi law prevents any attempts to lengthen or shorten a statute of limitations </w:t>
      </w:r>
      <w:r>
        <w:rPr>
          <w:spacing w:val="20"/>
        </w:rPr>
        <w:t> </w:t>
      </w:r>
      <w:r>
        <w:rPr/>
        <w:t>by</w:t>
      </w:r>
    </w:p>
    <w:p>
      <w:pPr>
        <w:spacing w:after="0" w:line="242" w:lineRule="auto"/>
        <w:jc w:val="both"/>
        <w:sectPr>
          <w:pgSz w:w="12240" w:h="15840"/>
          <w:pgMar w:header="0" w:footer="2273" w:top="0" w:bottom="2460" w:left="140" w:right="4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3100"/>
      </w:pPr>
      <w:bookmarkStart w:name="Law and Procedure 210" w:id="24"/>
      <w:bookmarkEnd w:id="24"/>
      <w:r>
        <w:rPr/>
      </w:r>
      <w:r>
        <w:rPr/>
        <w:t>contract.”</w:t>
      </w:r>
      <w:r>
        <w:rPr>
          <w:vertAlign w:val="superscript"/>
        </w:rPr>
        <w:t>470</w:t>
      </w:r>
    </w:p>
    <w:p>
      <w:pPr>
        <w:pStyle w:val="BodyText"/>
        <w:spacing w:before="5"/>
      </w:pPr>
    </w:p>
    <w:p>
      <w:pPr>
        <w:pStyle w:val="BodyText"/>
        <w:spacing w:line="242" w:lineRule="auto" w:before="1"/>
        <w:ind w:left="3100" w:right="3194" w:firstLine="720"/>
        <w:jc w:val="both"/>
      </w:pPr>
      <w:r>
        <w:rPr/>
        <w:pict>
          <v:line style="position:absolute;mso-position-horizontal-relative:page;mso-position-vertical-relative:paragraph;z-index:-254222336" from="414.412994pt,91.033195pt" to="603.182994pt,91.033195pt" stroked="true" strokeweight="2.95pt" strokecolor="#000000">
            <v:stroke dashstyle="solid"/>
            <w10:wrap type="none"/>
          </v:line>
        </w:pict>
      </w:r>
      <w:r>
        <w:rPr/>
        <w:pict>
          <v:line style="position:absolute;mso-position-horizontal-relative:page;mso-position-vertical-relative:paragraph;z-index:-254221312" from="315.352997pt,107.11319pt" to="603.242997pt,107.11319pt" stroked="true" strokeweight="2.95pt" strokecolor="#000000">
            <v:stroke dashstyle="solid"/>
            <w10:wrap type="none"/>
          </v:line>
        </w:pict>
      </w:r>
      <w:r>
        <w:rPr/>
        <w:pict>
          <v:line style="position:absolute;mso-position-horizontal-relative:page;mso-position-vertical-relative:paragraph;z-index:-254220288" from="315.352997pt,123.193192pt" to="603.314997pt,123.193192pt" stroked="true" strokeweight="2.95pt" strokecolor="#000000">
            <v:stroke dashstyle="solid"/>
            <w10:wrap type="none"/>
          </v:line>
        </w:pict>
      </w:r>
      <w:r>
        <w:rPr/>
        <w:pict>
          <v:line style="position:absolute;mso-position-horizontal-relative:page;mso-position-vertical-relative:paragraph;z-index:-254219264" from="315.352997pt,139.273193pt" to="603.201997pt,139.273193pt" stroked="true" strokeweight="2.95pt" strokecolor="#000000">
            <v:stroke dashstyle="solid"/>
            <w10:wrap type="none"/>
          </v:line>
        </w:pict>
      </w:r>
      <w:r>
        <w:rPr/>
        <w:pict>
          <v:line style="position:absolute;mso-position-horizontal-relative:page;mso-position-vertical-relative:paragraph;z-index:-254218240" from="315.352997pt,155.353195pt" to="603.242997pt,155.353195pt" stroked="true" strokeweight="2.95pt" strokecolor="#000000">
            <v:stroke dashstyle="solid"/>
            <w10:wrap type="none"/>
          </v:line>
        </w:pict>
      </w:r>
      <w:r>
        <w:rPr/>
        <w:pict>
          <v:line style="position:absolute;mso-position-horizontal-relative:page;mso-position-vertical-relative:paragraph;z-index:-254217216" from="315.352997pt,171.433197pt" to="603.215997pt,171.433197pt" stroked="true" strokeweight="2.95pt" strokecolor="#000000">
            <v:stroke dashstyle="solid"/>
            <w10:wrap type="none"/>
          </v:line>
        </w:pict>
      </w:r>
      <w:r>
        <w:rPr/>
        <w:pict>
          <v:line style="position:absolute;mso-position-horizontal-relative:page;mso-position-vertical-relative:paragraph;z-index:-254216192" from="315.352997pt,187.513199pt" to="603.247997pt,187.513199pt" stroked="true" strokeweight="2.95pt" strokecolor="#000000">
            <v:stroke dashstyle="solid"/>
            <w10:wrap type="none"/>
          </v:line>
        </w:pict>
      </w:r>
      <w:r>
        <w:rPr/>
        <w:pict>
          <v:line style="position:absolute;mso-position-horizontal-relative:page;mso-position-vertical-relative:paragraph;z-index:-254215168" from="315.352997pt,203.593185pt" to="603.250997pt,203.593185pt" stroked="true" strokeweight="2.95pt" strokecolor="#000000">
            <v:stroke dashstyle="solid"/>
            <w10:wrap type="none"/>
          </v:line>
        </w:pict>
      </w:r>
      <w:r>
        <w:rPr>
          <w:spacing w:val="3"/>
        </w:rPr>
        <w:t>In </w:t>
      </w:r>
      <w:r>
        <w:rPr/>
        <w:t>one New York matter, the Court considered the timeliness of an insurer’s demand</w:t>
      </w:r>
      <w:r>
        <w:rPr>
          <w:spacing w:val="-34"/>
        </w:rPr>
        <w:t> </w:t>
      </w:r>
      <w:r>
        <w:rPr/>
        <w:t>for</w:t>
      </w:r>
      <w:r>
        <w:rPr>
          <w:spacing w:val="-34"/>
        </w:rPr>
        <w:t> </w:t>
      </w:r>
      <w:r>
        <w:rPr/>
        <w:t>appraisal</w:t>
      </w:r>
      <w:r>
        <w:rPr>
          <w:spacing w:val="-35"/>
        </w:rPr>
        <w:t> </w:t>
      </w:r>
      <w:r>
        <w:rPr>
          <w:spacing w:val="-3"/>
        </w:rPr>
        <w:t>made</w:t>
      </w:r>
      <w:r>
        <w:rPr>
          <w:spacing w:val="-36"/>
        </w:rPr>
        <w:t> </w:t>
      </w:r>
      <w:r>
        <w:rPr>
          <w:spacing w:val="-4"/>
        </w:rPr>
        <w:t>after</w:t>
      </w:r>
      <w:r>
        <w:rPr>
          <w:spacing w:val="-36"/>
        </w:rPr>
        <w:t> </w:t>
      </w:r>
      <w:r>
        <w:rPr/>
        <w:t>litigation</w:t>
      </w:r>
      <w:r>
        <w:rPr>
          <w:spacing w:val="-34"/>
        </w:rPr>
        <w:t> </w:t>
      </w:r>
      <w:r>
        <w:rPr/>
        <w:t>had commenced. Its analysis was based upon whether</w:t>
      </w:r>
      <w:r>
        <w:rPr>
          <w:spacing w:val="-13"/>
        </w:rPr>
        <w:t> </w:t>
      </w:r>
      <w:r>
        <w:rPr/>
        <w:t>the</w:t>
      </w:r>
      <w:r>
        <w:rPr>
          <w:spacing w:val="-12"/>
        </w:rPr>
        <w:t> </w:t>
      </w:r>
      <w:r>
        <w:rPr/>
        <w:t>delay</w:t>
      </w:r>
      <w:r>
        <w:rPr>
          <w:spacing w:val="-13"/>
        </w:rPr>
        <w:t> </w:t>
      </w:r>
      <w:r>
        <w:rPr/>
        <w:t>in</w:t>
      </w:r>
      <w:r>
        <w:rPr>
          <w:spacing w:val="-11"/>
        </w:rPr>
        <w:t> </w:t>
      </w:r>
      <w:r>
        <w:rPr/>
        <w:t>making</w:t>
      </w:r>
      <w:r>
        <w:rPr>
          <w:spacing w:val="-10"/>
        </w:rPr>
        <w:t> </w:t>
      </w:r>
      <w:r>
        <w:rPr/>
        <w:t>the</w:t>
      </w:r>
      <w:r>
        <w:rPr>
          <w:spacing w:val="-14"/>
        </w:rPr>
        <w:t> </w:t>
      </w:r>
      <w:r>
        <w:rPr/>
        <w:t>demand</w:t>
      </w:r>
      <w:r>
        <w:rPr>
          <w:spacing w:val="-12"/>
        </w:rPr>
        <w:t> </w:t>
      </w:r>
      <w:r>
        <w:rPr/>
        <w:t>was reasonable in light of the state’s longstanding rule, that even where there is no policy- mandated</w:t>
      </w:r>
      <w:r>
        <w:rPr>
          <w:spacing w:val="-17"/>
        </w:rPr>
        <w:t> </w:t>
      </w:r>
      <w:r>
        <w:rPr/>
        <w:t>time</w:t>
      </w:r>
      <w:r>
        <w:rPr>
          <w:spacing w:val="-20"/>
        </w:rPr>
        <w:t> </w:t>
      </w:r>
      <w:r>
        <w:rPr/>
        <w:t>limit</w:t>
      </w:r>
      <w:r>
        <w:rPr>
          <w:spacing w:val="-20"/>
        </w:rPr>
        <w:t> </w:t>
      </w:r>
      <w:r>
        <w:rPr/>
        <w:t>the</w:t>
      </w:r>
      <w:r>
        <w:rPr>
          <w:spacing w:val="-19"/>
        </w:rPr>
        <w:t> </w:t>
      </w:r>
      <w:r>
        <w:rPr/>
        <w:t>right</w:t>
      </w:r>
      <w:r>
        <w:rPr>
          <w:spacing w:val="-19"/>
        </w:rPr>
        <w:t> </w:t>
      </w:r>
      <w:r>
        <w:rPr/>
        <w:t>to</w:t>
      </w:r>
      <w:r>
        <w:rPr>
          <w:spacing w:val="-19"/>
        </w:rPr>
        <w:t> </w:t>
      </w:r>
      <w:r>
        <w:rPr/>
        <w:t>seek</w:t>
      </w:r>
      <w:r>
        <w:rPr>
          <w:spacing w:val="-21"/>
        </w:rPr>
        <w:t> </w:t>
      </w:r>
      <w:r>
        <w:rPr/>
        <w:t>appraisal “‘is not indefinite as to time, but must be exercised within a reasonable period.’” The </w:t>
      </w:r>
      <w:r>
        <w:rPr>
          <w:spacing w:val="17"/>
        </w:rPr>
        <w:t>Court stated </w:t>
      </w:r>
      <w:r>
        <w:rPr>
          <w:spacing w:val="13"/>
        </w:rPr>
        <w:t>the </w:t>
      </w:r>
      <w:r>
        <w:rPr>
          <w:spacing w:val="17"/>
        </w:rPr>
        <w:t>determination </w:t>
      </w:r>
      <w:r>
        <w:rPr>
          <w:spacing w:val="11"/>
        </w:rPr>
        <w:t>of </w:t>
      </w:r>
      <w:r>
        <w:rPr/>
        <w:t>reasonableness must be made depending</w:t>
      </w:r>
      <w:r>
        <w:rPr>
          <w:spacing w:val="-17"/>
        </w:rPr>
        <w:t> </w:t>
      </w:r>
      <w:r>
        <w:rPr/>
        <w:t>on particular facts of a case. The state of </w:t>
      </w:r>
      <w:r>
        <w:rPr>
          <w:spacing w:val="-4"/>
        </w:rPr>
        <w:t>New</w:t>
      </w:r>
      <w:r>
        <w:rPr>
          <w:spacing w:val="63"/>
        </w:rPr>
        <w:t> </w:t>
      </w:r>
      <w:r>
        <w:rPr/>
        <w:t>York</w:t>
      </w:r>
      <w:r>
        <w:rPr>
          <w:spacing w:val="-18"/>
        </w:rPr>
        <w:t> </w:t>
      </w:r>
      <w:r>
        <w:rPr/>
        <w:t>does</w:t>
      </w:r>
      <w:r>
        <w:rPr>
          <w:spacing w:val="-16"/>
        </w:rPr>
        <w:t> </w:t>
      </w:r>
      <w:r>
        <w:rPr/>
        <w:t>not</w:t>
      </w:r>
      <w:r>
        <w:rPr>
          <w:spacing w:val="-17"/>
        </w:rPr>
        <w:t> </w:t>
      </w:r>
      <w:r>
        <w:rPr/>
        <w:t>readily</w:t>
      </w:r>
      <w:r>
        <w:rPr>
          <w:spacing w:val="-18"/>
        </w:rPr>
        <w:t> </w:t>
      </w:r>
      <w:r>
        <w:rPr/>
        <w:t>infer</w:t>
      </w:r>
      <w:r>
        <w:rPr>
          <w:spacing w:val="-20"/>
        </w:rPr>
        <w:t> </w:t>
      </w:r>
      <w:r>
        <w:rPr/>
        <w:t>waiver</w:t>
      </w:r>
      <w:r>
        <w:rPr>
          <w:spacing w:val="-21"/>
        </w:rPr>
        <w:t> </w:t>
      </w:r>
      <w:r>
        <w:rPr/>
        <w:t>of</w:t>
      </w:r>
      <w:r>
        <w:rPr>
          <w:spacing w:val="-20"/>
        </w:rPr>
        <w:t> </w:t>
      </w:r>
      <w:r>
        <w:rPr/>
        <w:t>the</w:t>
      </w:r>
      <w:r>
        <w:rPr>
          <w:spacing w:val="-20"/>
        </w:rPr>
        <w:t> </w:t>
      </w:r>
      <w:r>
        <w:rPr/>
        <w:t>right</w:t>
      </w:r>
      <w:r>
        <w:rPr>
          <w:spacing w:val="-20"/>
        </w:rPr>
        <w:t> </w:t>
      </w:r>
      <w:r>
        <w:rPr/>
        <w:t>to demand</w:t>
      </w:r>
      <w:r>
        <w:rPr>
          <w:spacing w:val="-33"/>
        </w:rPr>
        <w:t> </w:t>
      </w:r>
      <w:r>
        <w:rPr/>
        <w:t>appraisal</w:t>
      </w:r>
      <w:r>
        <w:rPr>
          <w:spacing w:val="-31"/>
        </w:rPr>
        <w:t> </w:t>
      </w:r>
      <w:r>
        <w:rPr/>
        <w:t>and</w:t>
      </w:r>
      <w:r>
        <w:rPr>
          <w:spacing w:val="-32"/>
        </w:rPr>
        <w:t> </w:t>
      </w:r>
      <w:r>
        <w:rPr/>
        <w:t>has</w:t>
      </w:r>
      <w:r>
        <w:rPr>
          <w:spacing w:val="-34"/>
        </w:rPr>
        <w:t> </w:t>
      </w:r>
      <w:r>
        <w:rPr>
          <w:spacing w:val="-3"/>
        </w:rPr>
        <w:t>acknowledged</w:t>
      </w:r>
      <w:r>
        <w:rPr>
          <w:spacing w:val="-32"/>
        </w:rPr>
        <w:t> </w:t>
      </w:r>
      <w:r>
        <w:rPr/>
        <w:t>the favorability of such a means of resolution. </w:t>
      </w:r>
      <w:r>
        <w:rPr>
          <w:spacing w:val="3"/>
        </w:rPr>
        <w:t>In </w:t>
      </w:r>
      <w:r>
        <w:rPr/>
        <w:t>evaluating the circumstances before it, the Court did an analysis of the aforementioned three factors. </w:t>
      </w:r>
      <w:r>
        <w:rPr>
          <w:spacing w:val="3"/>
        </w:rPr>
        <w:t>It </w:t>
      </w:r>
      <w:r>
        <w:rPr/>
        <w:t>ultimately concluded the insurer’s</w:t>
      </w:r>
      <w:r>
        <w:rPr>
          <w:spacing w:val="-18"/>
        </w:rPr>
        <w:t> </w:t>
      </w:r>
      <w:r>
        <w:rPr/>
        <w:t>appraisal</w:t>
      </w:r>
      <w:r>
        <w:rPr>
          <w:spacing w:val="-16"/>
        </w:rPr>
        <w:t> </w:t>
      </w:r>
      <w:r>
        <w:rPr/>
        <w:t>demand</w:t>
      </w:r>
      <w:r>
        <w:rPr>
          <w:spacing w:val="-18"/>
        </w:rPr>
        <w:t> </w:t>
      </w:r>
      <w:r>
        <w:rPr/>
        <w:t>was</w:t>
      </w:r>
      <w:r>
        <w:rPr>
          <w:spacing w:val="-18"/>
        </w:rPr>
        <w:t> </w:t>
      </w:r>
      <w:r>
        <w:rPr/>
        <w:t>timely</w:t>
      </w:r>
      <w:r>
        <w:rPr>
          <w:spacing w:val="-23"/>
        </w:rPr>
        <w:t> </w:t>
      </w:r>
      <w:r>
        <w:rPr/>
        <w:t>and</w:t>
      </w:r>
      <w:r>
        <w:rPr>
          <w:spacing w:val="-19"/>
        </w:rPr>
        <w:t> </w:t>
      </w:r>
      <w:r>
        <w:rPr/>
        <w:t>the insurer</w:t>
      </w:r>
      <w:r>
        <w:rPr>
          <w:spacing w:val="-11"/>
        </w:rPr>
        <w:t> </w:t>
      </w:r>
      <w:r>
        <w:rPr/>
        <w:t>did</w:t>
      </w:r>
      <w:r>
        <w:rPr>
          <w:spacing w:val="-6"/>
        </w:rPr>
        <w:t> </w:t>
      </w:r>
      <w:r>
        <w:rPr/>
        <w:t>not</w:t>
      </w:r>
      <w:r>
        <w:rPr>
          <w:spacing w:val="-8"/>
        </w:rPr>
        <w:t> </w:t>
      </w:r>
      <w:r>
        <w:rPr/>
        <w:t>waive</w:t>
      </w:r>
      <w:r>
        <w:rPr>
          <w:spacing w:val="-7"/>
        </w:rPr>
        <w:t> </w:t>
      </w:r>
      <w:r>
        <w:rPr/>
        <w:t>its</w:t>
      </w:r>
      <w:r>
        <w:rPr>
          <w:spacing w:val="-9"/>
        </w:rPr>
        <w:t> </w:t>
      </w:r>
      <w:r>
        <w:rPr/>
        <w:t>right</w:t>
      </w:r>
      <w:r>
        <w:rPr>
          <w:spacing w:val="-9"/>
        </w:rPr>
        <w:t> </w:t>
      </w:r>
      <w:r>
        <w:rPr/>
        <w:t>to</w:t>
      </w:r>
      <w:r>
        <w:rPr>
          <w:spacing w:val="-9"/>
        </w:rPr>
        <w:t> </w:t>
      </w:r>
      <w:r>
        <w:rPr/>
        <w:t>seek</w:t>
      </w:r>
      <w:r>
        <w:rPr>
          <w:spacing w:val="-10"/>
        </w:rPr>
        <w:t> </w:t>
      </w:r>
      <w:r>
        <w:rPr/>
        <w:t>appraisal. The Court observed no resulting prejudice to the non-demanding party because of the delay, clarifying that the first factor must be considered when the demand is made and without the benefit of further knowledge</w:t>
      </w:r>
      <w:r>
        <w:rPr>
          <w:spacing w:val="-21"/>
        </w:rPr>
        <w:t> </w:t>
      </w:r>
      <w:r>
        <w:rPr/>
        <w:t>of</w:t>
      </w:r>
    </w:p>
    <w:p>
      <w:pPr>
        <w:pStyle w:val="BodyText"/>
        <w:spacing w:before="5"/>
        <w:rPr>
          <w:sz w:val="27"/>
        </w:rPr>
      </w:pPr>
      <w:r>
        <w:rPr/>
        <w:pict>
          <v:shape style="position:absolute;margin-left:162pt;margin-top:19.250996pt;width:143.9pt;height:.1pt;mso-position-horizontal-relative:page;mso-position-vertical-relative:paragraph;z-index:-251596800;mso-wrap-distance-left:0;mso-wrap-distance-right:0" coordorigin="3240,385" coordsize="2878,0" path="m3240,385l6118,385e" filled="false" stroked="true" strokeweight=".84pt" strokecolor="#000000">
            <v:path arrowok="t"/>
            <v:stroke dashstyle="solid"/>
            <w10:wrap type="topAndBottom"/>
          </v:shape>
        </w:pict>
      </w:r>
    </w:p>
    <w:p>
      <w:pPr>
        <w:spacing w:line="244" w:lineRule="auto" w:before="140"/>
        <w:ind w:left="2740" w:right="2846" w:firstLine="0"/>
        <w:jc w:val="both"/>
        <w:rPr>
          <w:rFonts w:ascii="Times New Roman"/>
          <w:sz w:val="18"/>
        </w:rPr>
      </w:pPr>
      <w:r>
        <w:rPr>
          <w:rFonts w:ascii="Times New Roman"/>
          <w:position w:val="10"/>
          <w:sz w:val="14"/>
        </w:rPr>
        <w:t>470</w:t>
      </w:r>
      <w:r>
        <w:rPr>
          <w:rFonts w:ascii="Times New Roman"/>
          <w:sz w:val="18"/>
          <w:u w:val="single"/>
        </w:rPr>
        <w:t>Greater Trueway Apostolic Church v. Church Mut. Ins. Co.</w:t>
      </w:r>
      <w:r>
        <w:rPr>
          <w:rFonts w:ascii="Times New Roman"/>
          <w:sz w:val="18"/>
        </w:rPr>
        <w:t>, 2012 WL 1143947 (S.D. Miss., 2012), citing </w:t>
      </w:r>
      <w:r>
        <w:rPr>
          <w:rFonts w:ascii="Times New Roman"/>
          <w:sz w:val="18"/>
          <w:u w:val="single"/>
        </w:rPr>
        <w:t>Keesling v. Western Fire Ins. Co. of Fort Scott Kan.</w:t>
      </w:r>
      <w:r>
        <w:rPr>
          <w:rFonts w:ascii="Times New Roman"/>
          <w:sz w:val="18"/>
        </w:rPr>
        <w:t>, 520 P.2d 622 (Wash. Ct. App. 1974).</w:t>
      </w:r>
    </w:p>
    <w:p>
      <w:pPr>
        <w:spacing w:after="0" w:line="244" w:lineRule="auto"/>
        <w:jc w:val="both"/>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pPr>
      <w:bookmarkStart w:name="Law and Procedure 211" w:id="25"/>
      <w:bookmarkEnd w:id="25"/>
      <w:r>
        <w:rPr/>
      </w:r>
      <w:r>
        <w:rPr/>
        <w:t>how</w:t>
      </w:r>
      <w:r>
        <w:rPr>
          <w:spacing w:val="-33"/>
        </w:rPr>
        <w:t> </w:t>
      </w:r>
      <w:r>
        <w:rPr/>
        <w:t>the</w:t>
      </w:r>
      <w:r>
        <w:rPr>
          <w:spacing w:val="-29"/>
        </w:rPr>
        <w:t> </w:t>
      </w:r>
      <w:r>
        <w:rPr/>
        <w:t>appraisal</w:t>
      </w:r>
      <w:r>
        <w:rPr>
          <w:spacing w:val="-26"/>
        </w:rPr>
        <w:t> </w:t>
      </w:r>
      <w:r>
        <w:rPr/>
        <w:t>would</w:t>
      </w:r>
      <w:r>
        <w:rPr>
          <w:spacing w:val="-24"/>
        </w:rPr>
        <w:t> </w:t>
      </w:r>
      <w:r>
        <w:rPr/>
        <w:t>play</w:t>
      </w:r>
      <w:r>
        <w:rPr>
          <w:spacing w:val="-27"/>
        </w:rPr>
        <w:t> </w:t>
      </w:r>
      <w:r>
        <w:rPr/>
        <w:t>out.</w:t>
      </w:r>
      <w:r>
        <w:rPr>
          <w:spacing w:val="-29"/>
        </w:rPr>
        <w:t> </w:t>
      </w:r>
      <w:r>
        <w:rPr>
          <w:spacing w:val="-3"/>
        </w:rPr>
        <w:t>The</w:t>
      </w:r>
      <w:r>
        <w:rPr>
          <w:spacing w:val="-28"/>
        </w:rPr>
        <w:t> </w:t>
      </w:r>
      <w:r>
        <w:rPr/>
        <w:t>fact</w:t>
      </w:r>
      <w:r>
        <w:rPr>
          <w:spacing w:val="-27"/>
        </w:rPr>
        <w:t> </w:t>
      </w:r>
      <w:r>
        <w:rPr/>
        <w:t>that the insurer had made a settlement offer while mediation was ongoing and prior to litigation indicated continuing negotiations at the time the action was commenced by the insured, satisfying the second factor. Finally, in finding the third factor was met the Court explained this</w:t>
      </w:r>
      <w:r>
        <w:rPr>
          <w:spacing w:val="-10"/>
        </w:rPr>
        <w:t> </w:t>
      </w:r>
      <w:r>
        <w:rPr/>
        <w:t>inquiry</w:t>
      </w:r>
      <w:r>
        <w:rPr>
          <w:spacing w:val="-13"/>
        </w:rPr>
        <w:t> </w:t>
      </w:r>
      <w:r>
        <w:rPr/>
        <w:t>to</w:t>
      </w:r>
      <w:r>
        <w:rPr>
          <w:spacing w:val="-8"/>
        </w:rPr>
        <w:t> </w:t>
      </w:r>
      <w:r>
        <w:rPr/>
        <w:t>include</w:t>
      </w:r>
      <w:r>
        <w:rPr>
          <w:spacing w:val="-6"/>
        </w:rPr>
        <w:t> </w:t>
      </w:r>
      <w:r>
        <w:rPr/>
        <w:t>factors</w:t>
      </w:r>
      <w:r>
        <w:rPr>
          <w:spacing w:val="-7"/>
        </w:rPr>
        <w:t> </w:t>
      </w:r>
      <w:r>
        <w:rPr/>
        <w:t>such</w:t>
      </w:r>
      <w:r>
        <w:rPr>
          <w:spacing w:val="-7"/>
        </w:rPr>
        <w:t> </w:t>
      </w:r>
      <w:r>
        <w:rPr/>
        <w:t>as</w:t>
      </w:r>
      <w:r>
        <w:rPr>
          <w:spacing w:val="-10"/>
        </w:rPr>
        <w:t> </w:t>
      </w:r>
      <w:r>
        <w:rPr/>
        <w:t>“whether the appraisal is likely to facilitate a speedier resolution of the dispute than would occur in the District Court proceeding,” “the</w:t>
      </w:r>
      <w:r>
        <w:rPr>
          <w:spacing w:val="-38"/>
        </w:rPr>
        <w:t> </w:t>
      </w:r>
      <w:r>
        <w:rPr/>
        <w:t>expected expertise of an appraisal panel in making its valuation</w:t>
      </w:r>
      <w:r>
        <w:rPr>
          <w:spacing w:val="-39"/>
        </w:rPr>
        <w:t> </w:t>
      </w:r>
      <w:r>
        <w:rPr/>
        <w:t>determinations”</w:t>
      </w:r>
      <w:r>
        <w:rPr>
          <w:spacing w:val="-38"/>
        </w:rPr>
        <w:t> </w:t>
      </w:r>
      <w:r>
        <w:rPr/>
        <w:t>and</w:t>
      </w:r>
      <w:r>
        <w:rPr>
          <w:spacing w:val="-42"/>
        </w:rPr>
        <w:t> </w:t>
      </w:r>
      <w:r>
        <w:rPr>
          <w:spacing w:val="-3"/>
        </w:rPr>
        <w:t>“the</w:t>
      </w:r>
      <w:r>
        <w:rPr>
          <w:spacing w:val="-41"/>
        </w:rPr>
        <w:t> </w:t>
      </w:r>
      <w:r>
        <w:rPr/>
        <w:t>complexity of the</w:t>
      </w:r>
      <w:r>
        <w:rPr>
          <w:spacing w:val="-2"/>
        </w:rPr>
        <w:t> </w:t>
      </w:r>
      <w:r>
        <w:rPr/>
        <w:t>valuation.”</w:t>
      </w:r>
      <w:r>
        <w:rPr>
          <w:vertAlign w:val="superscript"/>
        </w:rPr>
        <w:t>471</w:t>
      </w:r>
    </w:p>
    <w:p>
      <w:pPr>
        <w:pStyle w:val="BodyText"/>
        <w:spacing w:before="9"/>
        <w:rPr>
          <w:sz w:val="25"/>
        </w:rPr>
      </w:pPr>
    </w:p>
    <w:p>
      <w:pPr>
        <w:pStyle w:val="BodyText"/>
        <w:spacing w:line="242" w:lineRule="auto" w:before="1"/>
        <w:ind w:left="3100" w:right="3197" w:firstLine="720"/>
        <w:jc w:val="both"/>
      </w:pPr>
      <w:r>
        <w:rPr>
          <w:spacing w:val="3"/>
        </w:rPr>
        <w:t>In </w:t>
      </w:r>
      <w:r>
        <w:rPr/>
        <w:t>a Texas case it was held that the trial court</w:t>
      </w:r>
      <w:r>
        <w:rPr>
          <w:spacing w:val="-26"/>
        </w:rPr>
        <w:t> </w:t>
      </w:r>
      <w:r>
        <w:rPr/>
        <w:t>abused</w:t>
      </w:r>
      <w:r>
        <w:rPr>
          <w:spacing w:val="-26"/>
        </w:rPr>
        <w:t> </w:t>
      </w:r>
      <w:r>
        <w:rPr/>
        <w:t>its</w:t>
      </w:r>
      <w:r>
        <w:rPr>
          <w:spacing w:val="-23"/>
        </w:rPr>
        <w:t> </w:t>
      </w:r>
      <w:r>
        <w:rPr/>
        <w:t>discretion</w:t>
      </w:r>
      <w:r>
        <w:rPr>
          <w:spacing w:val="-23"/>
        </w:rPr>
        <w:t> </w:t>
      </w:r>
      <w:r>
        <w:rPr/>
        <w:t>in</w:t>
      </w:r>
      <w:r>
        <w:rPr>
          <w:spacing w:val="-24"/>
        </w:rPr>
        <w:t> </w:t>
      </w:r>
      <w:r>
        <w:rPr/>
        <w:t>striking</w:t>
      </w:r>
      <w:r>
        <w:rPr>
          <w:spacing w:val="-23"/>
        </w:rPr>
        <w:t> </w:t>
      </w:r>
      <w:r>
        <w:rPr/>
        <w:t>a</w:t>
      </w:r>
      <w:r>
        <w:rPr>
          <w:spacing w:val="-23"/>
        </w:rPr>
        <w:t> </w:t>
      </w:r>
      <w:r>
        <w:rPr/>
        <w:t>demand for appraisal where the carrier failed to </w:t>
      </w:r>
      <w:r>
        <w:rPr>
          <w:spacing w:val="4"/>
        </w:rPr>
        <w:t>demand </w:t>
      </w:r>
      <w:r>
        <w:rPr>
          <w:spacing w:val="6"/>
        </w:rPr>
        <w:t>appraisal </w:t>
      </w:r>
      <w:r>
        <w:rPr>
          <w:spacing w:val="5"/>
        </w:rPr>
        <w:t>until </w:t>
      </w:r>
      <w:r>
        <w:rPr>
          <w:spacing w:val="6"/>
        </w:rPr>
        <w:t>litigation</w:t>
      </w:r>
      <w:r>
        <w:rPr>
          <w:spacing w:val="83"/>
        </w:rPr>
        <w:t> </w:t>
      </w:r>
      <w:r>
        <w:rPr>
          <w:spacing w:val="3"/>
        </w:rPr>
        <w:t>had </w:t>
      </w:r>
      <w:r>
        <w:rPr/>
        <w:t>incepted.</w:t>
      </w:r>
      <w:r>
        <w:rPr>
          <w:vertAlign w:val="superscript"/>
        </w:rPr>
        <w:t>472</w:t>
      </w:r>
      <w:r>
        <w:rPr>
          <w:vertAlign w:val="baseline"/>
        </w:rPr>
        <w:t> </w:t>
      </w:r>
      <w:r>
        <w:rPr>
          <w:spacing w:val="3"/>
          <w:vertAlign w:val="baseline"/>
        </w:rPr>
        <w:t>In </w:t>
      </w:r>
      <w:r>
        <w:rPr>
          <w:vertAlign w:val="baseline"/>
        </w:rPr>
        <w:t>this matter, the carrier </w:t>
      </w:r>
      <w:r>
        <w:rPr>
          <w:spacing w:val="-11"/>
          <w:vertAlign w:val="baseline"/>
        </w:rPr>
        <w:t>had </w:t>
      </w:r>
      <w:r>
        <w:rPr>
          <w:vertAlign w:val="baseline"/>
        </w:rPr>
        <w:t>made numerous payments in consideration</w:t>
      </w:r>
      <w:r>
        <w:rPr>
          <w:spacing w:val="-49"/>
          <w:vertAlign w:val="baseline"/>
        </w:rPr>
        <w:t> </w:t>
      </w:r>
      <w:r>
        <w:rPr>
          <w:spacing w:val="-6"/>
          <w:vertAlign w:val="baseline"/>
        </w:rPr>
        <w:t>of </w:t>
      </w:r>
      <w:r>
        <w:rPr>
          <w:vertAlign w:val="baseline"/>
        </w:rPr>
        <w:t>the claim over a period of months </w:t>
      </w:r>
      <w:r>
        <w:rPr>
          <w:spacing w:val="-3"/>
          <w:vertAlign w:val="baseline"/>
        </w:rPr>
        <w:t>but </w:t>
      </w:r>
      <w:r>
        <w:rPr>
          <w:vertAlign w:val="baseline"/>
        </w:rPr>
        <w:t>terminated its claims administrator and demanded the right to reinspect with a new claims</w:t>
      </w:r>
      <w:r>
        <w:rPr>
          <w:spacing w:val="-26"/>
          <w:vertAlign w:val="baseline"/>
        </w:rPr>
        <w:t> </w:t>
      </w:r>
      <w:r>
        <w:rPr>
          <w:vertAlign w:val="baseline"/>
        </w:rPr>
        <w:t>administrator.</w:t>
      </w:r>
      <w:r>
        <w:rPr>
          <w:spacing w:val="24"/>
          <w:vertAlign w:val="baseline"/>
        </w:rPr>
        <w:t> </w:t>
      </w:r>
      <w:r>
        <w:rPr>
          <w:vertAlign w:val="baseline"/>
        </w:rPr>
        <w:t>The</w:t>
      </w:r>
      <w:r>
        <w:rPr>
          <w:spacing w:val="-24"/>
          <w:vertAlign w:val="baseline"/>
        </w:rPr>
        <w:t> </w:t>
      </w:r>
      <w:r>
        <w:rPr>
          <w:vertAlign w:val="baseline"/>
        </w:rPr>
        <w:t>insured</w:t>
      </w:r>
      <w:r>
        <w:rPr>
          <w:spacing w:val="-26"/>
          <w:vertAlign w:val="baseline"/>
        </w:rPr>
        <w:t> </w:t>
      </w:r>
      <w:r>
        <w:rPr>
          <w:vertAlign w:val="baseline"/>
        </w:rPr>
        <w:t>resisted</w:t>
      </w:r>
      <w:r>
        <w:rPr>
          <w:spacing w:val="-25"/>
          <w:vertAlign w:val="baseline"/>
        </w:rPr>
        <w:t> </w:t>
      </w:r>
      <w:r>
        <w:rPr>
          <w:vertAlign w:val="baseline"/>
        </w:rPr>
        <w:t>these efforts whereupon the insured made a policy limits settlement demand to the carrier. Five days later, the insured filed suit against the carrier</w:t>
      </w:r>
      <w:r>
        <w:rPr>
          <w:spacing w:val="-35"/>
          <w:vertAlign w:val="baseline"/>
        </w:rPr>
        <w:t> </w:t>
      </w:r>
      <w:r>
        <w:rPr>
          <w:vertAlign w:val="baseline"/>
        </w:rPr>
        <w:t>whereupon</w:t>
      </w:r>
      <w:r>
        <w:rPr>
          <w:spacing w:val="-28"/>
          <w:vertAlign w:val="baseline"/>
        </w:rPr>
        <w:t> </w:t>
      </w:r>
      <w:r>
        <w:rPr>
          <w:vertAlign w:val="baseline"/>
        </w:rPr>
        <w:t>during</w:t>
      </w:r>
      <w:r>
        <w:rPr>
          <w:spacing w:val="-29"/>
          <w:vertAlign w:val="baseline"/>
        </w:rPr>
        <w:t> </w:t>
      </w:r>
      <w:r>
        <w:rPr>
          <w:vertAlign w:val="baseline"/>
        </w:rPr>
        <w:t>discovery,</w:t>
      </w:r>
      <w:r>
        <w:rPr>
          <w:spacing w:val="-33"/>
          <w:vertAlign w:val="baseline"/>
        </w:rPr>
        <w:t> </w:t>
      </w:r>
      <w:r>
        <w:rPr>
          <w:vertAlign w:val="baseline"/>
        </w:rPr>
        <w:t>the</w:t>
      </w:r>
      <w:r>
        <w:rPr>
          <w:spacing w:val="-32"/>
          <w:vertAlign w:val="baseline"/>
        </w:rPr>
        <w:t> </w:t>
      </w:r>
      <w:r>
        <w:rPr>
          <w:vertAlign w:val="baseline"/>
        </w:rPr>
        <w:t>carrier</w:t>
      </w:r>
    </w:p>
    <w:p>
      <w:pPr>
        <w:pStyle w:val="BodyText"/>
        <w:spacing w:before="5"/>
        <w:rPr>
          <w:sz w:val="17"/>
        </w:rPr>
      </w:pPr>
      <w:r>
        <w:rPr/>
        <w:pict>
          <v:shape style="position:absolute;margin-left:162pt;margin-top:13.109297pt;width:143.9pt;height:.1pt;mso-position-horizontal-relative:page;mso-position-vertical-relative:paragraph;z-index:-251587584;mso-wrap-distance-left:0;mso-wrap-distance-right:0" coordorigin="3240,262" coordsize="2878,0" path="m3240,262l6118,262e" filled="false" stroked="true" strokeweight=".84pt" strokecolor="#000000">
            <v:path arrowok="t"/>
            <v:stroke dashstyle="solid"/>
            <w10:wrap type="topAndBottom"/>
          </v:shape>
        </w:pict>
      </w:r>
    </w:p>
    <w:p>
      <w:pPr>
        <w:pStyle w:val="ListParagraph"/>
        <w:numPr>
          <w:ilvl w:val="0"/>
          <w:numId w:val="5"/>
        </w:numPr>
        <w:tabs>
          <w:tab w:pos="3008" w:val="left" w:leader="none"/>
        </w:tabs>
        <w:spacing w:line="249" w:lineRule="auto" w:before="140" w:after="0"/>
        <w:ind w:left="2740" w:right="2851" w:firstLine="0"/>
        <w:jc w:val="left"/>
        <w:rPr>
          <w:rFonts w:ascii="Century Gothic"/>
          <w:sz w:val="18"/>
        </w:rPr>
      </w:pPr>
      <w:r>
        <w:rPr>
          <w:sz w:val="18"/>
          <w:u w:val="single"/>
        </w:rPr>
        <w:t>Amerex Group, Inc. v. Lexington Ins. Co.</w:t>
      </w:r>
      <w:r>
        <w:rPr>
          <w:sz w:val="18"/>
        </w:rPr>
        <w:t>, 678 F.3d 193 (L.A.2 (N.Y.) 2012), citing</w:t>
      </w:r>
      <w:r>
        <w:rPr>
          <w:sz w:val="18"/>
          <w:u w:val="single"/>
        </w:rPr>
        <w:t> Chainless Cycle Mfg. Co. v. Sec. Ins. Co.</w:t>
      </w:r>
      <w:r>
        <w:rPr>
          <w:sz w:val="18"/>
        </w:rPr>
        <w:t>, 169 N.Y. 304, 310, 62 N.E. 392</w:t>
      </w:r>
      <w:r>
        <w:rPr>
          <w:spacing w:val="11"/>
          <w:sz w:val="18"/>
        </w:rPr>
        <w:t> </w:t>
      </w:r>
      <w:r>
        <w:rPr>
          <w:sz w:val="18"/>
        </w:rPr>
        <w:t>(1901)</w:t>
      </w:r>
      <w:r>
        <w:rPr>
          <w:rFonts w:ascii="Century Gothic"/>
          <w:sz w:val="18"/>
        </w:rPr>
        <w:t>.</w:t>
      </w:r>
    </w:p>
    <w:p>
      <w:pPr>
        <w:pStyle w:val="ListParagraph"/>
        <w:numPr>
          <w:ilvl w:val="0"/>
          <w:numId w:val="5"/>
        </w:numPr>
        <w:tabs>
          <w:tab w:pos="3015" w:val="left" w:leader="none"/>
        </w:tabs>
        <w:spacing w:line="272" w:lineRule="exact" w:before="0" w:after="0"/>
        <w:ind w:left="3014" w:right="0" w:hanging="275"/>
        <w:jc w:val="left"/>
        <w:rPr>
          <w:sz w:val="18"/>
        </w:rPr>
      </w:pPr>
      <w:r>
        <w:rPr>
          <w:sz w:val="18"/>
          <w:u w:val="single"/>
        </w:rPr>
        <w:t>In re Clarendon Ins. Co.</w:t>
      </w:r>
      <w:r>
        <w:rPr>
          <w:sz w:val="24"/>
        </w:rPr>
        <w:t>, </w:t>
      </w:r>
      <w:r>
        <w:rPr>
          <w:sz w:val="18"/>
        </w:rPr>
        <w:t>2004 WL 2984916 (Tex. App.-Ft. Worth</w:t>
      </w:r>
      <w:r>
        <w:rPr>
          <w:spacing w:val="-11"/>
          <w:sz w:val="18"/>
        </w:rPr>
        <w:t> </w:t>
      </w:r>
      <w:r>
        <w:rPr>
          <w:sz w:val="18"/>
        </w:rPr>
        <w:t>2004).</w:t>
      </w:r>
    </w:p>
    <w:p>
      <w:pPr>
        <w:spacing w:after="0" w:line="272"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199"/>
        <w:jc w:val="both"/>
      </w:pPr>
      <w:r>
        <w:rPr/>
        <w:pict>
          <v:shape style="position:absolute;margin-left:146.740005pt;margin-top:208.564163pt;width:319.8pt;height:125pt;mso-position-horizontal-relative:page;mso-position-vertical-relative:paragraph;z-index:-254212096" coordorigin="2935,4171" coordsize="6396,2500" path="m5844,13l12240,13m5844,-2486l5844,13e" filled="false" stroked="true" strokeweight="2.56pt" strokecolor="#87261f">
            <v:path arrowok="t"/>
            <v:stroke dashstyle="solid"/>
            <w10:wrap type="none"/>
          </v:shape>
        </w:pict>
      </w:r>
      <w:bookmarkStart w:name="Law and Procedure 212" w:id="26"/>
      <w:bookmarkEnd w:id="26"/>
      <w:r>
        <w:rPr/>
      </w:r>
      <w:r>
        <w:rPr/>
        <w:t>served a demand for appraisal upon the insured. On these facts, the Texas court held that the carrier had not waived its right for compliance with policy provisions such as the proof</w:t>
      </w:r>
      <w:r>
        <w:rPr>
          <w:spacing w:val="-15"/>
        </w:rPr>
        <w:t> </w:t>
      </w:r>
      <w:r>
        <w:rPr/>
        <w:t>of</w:t>
      </w:r>
      <w:r>
        <w:rPr>
          <w:spacing w:val="-15"/>
        </w:rPr>
        <w:t> </w:t>
      </w:r>
      <w:r>
        <w:rPr/>
        <w:t>loss</w:t>
      </w:r>
      <w:r>
        <w:rPr>
          <w:spacing w:val="-14"/>
        </w:rPr>
        <w:t> </w:t>
      </w:r>
      <w:r>
        <w:rPr/>
        <w:t>requirement,</w:t>
      </w:r>
      <w:r>
        <w:rPr>
          <w:spacing w:val="-18"/>
        </w:rPr>
        <w:t> </w:t>
      </w:r>
      <w:r>
        <w:rPr/>
        <w:t>the</w:t>
      </w:r>
      <w:r>
        <w:rPr>
          <w:spacing w:val="-17"/>
        </w:rPr>
        <w:t> </w:t>
      </w:r>
      <w:r>
        <w:rPr/>
        <w:t>right</w:t>
      </w:r>
      <w:r>
        <w:rPr>
          <w:spacing w:val="-16"/>
        </w:rPr>
        <w:t> </w:t>
      </w:r>
      <w:r>
        <w:rPr/>
        <w:t>to</w:t>
      </w:r>
      <w:r>
        <w:rPr>
          <w:spacing w:val="-15"/>
        </w:rPr>
        <w:t> </w:t>
      </w:r>
      <w:r>
        <w:rPr/>
        <w:t>reinspect or the right to appraisal and reversed the trial court sending the matter to</w:t>
      </w:r>
      <w:r>
        <w:rPr>
          <w:spacing w:val="-11"/>
        </w:rPr>
        <w:t> </w:t>
      </w:r>
      <w:r>
        <w:rPr/>
        <w:t>appraisal.</w:t>
      </w:r>
    </w:p>
    <w:p>
      <w:pPr>
        <w:pStyle w:val="BodyText"/>
      </w:pPr>
    </w:p>
    <w:p>
      <w:pPr>
        <w:pStyle w:val="BodyText"/>
        <w:spacing w:line="242" w:lineRule="auto"/>
        <w:ind w:left="3100" w:right="3198" w:firstLine="720"/>
        <w:jc w:val="both"/>
      </w:pPr>
      <w:r>
        <w:rPr/>
        <w:pict>
          <v:shape style="position:absolute;margin-left:151.727997pt;margin-top:210.883148pt;width:309.850pt;height:126.2pt;mso-position-horizontal-relative:page;mso-position-vertical-relative:paragraph;z-index:-254211072" coordorigin="3035,4218" coordsize="6197,2524" path="m6044,2768l12240,2768m12240,244l6044,244,6044,2768e" filled="false" stroked="true" strokeweight="2.56pt" strokecolor="#87261f">
            <v:path arrowok="t"/>
            <v:stroke dashstyle="solid"/>
            <w10:wrap type="none"/>
          </v:shape>
        </w:pict>
      </w:r>
      <w:r>
        <w:rPr/>
        <w:pict>
          <v:group style="position:absolute;margin-left:138.711899pt;margin-top:73.537155pt;width:145.75pt;height:43.8pt;mso-position-horizontal-relative:page;mso-position-vertical-relative:paragraph;z-index:-254210048" coordorigin="2774,1471" coordsize="2915,876">
            <v:shape style="position:absolute;left:2784;top:1480;width:2895;height:856" type="#_x0000_t75" stroked="false">
              <v:imagedata r:id="rId18" o:title=""/>
            </v:shape>
            <v:shape style="position:absolute;left:2784;top:1480;width:2895;height:856" coordorigin="2784,1481" coordsize="2895,856" path="m2784,1641l2784,2177,2797,2239,2831,2290,2882,2324,2944,2337,5519,2337,5581,2324,5632,2290,5666,2239,5679,2177,5679,1641,5666,1578,5632,1528,5581,1493,5519,1481,2944,1481,2882,1493,2831,1528,2797,1578,2784,1641xe" filled="false" stroked="true" strokeweight="1pt" strokecolor="#2d4b11">
              <v:path arrowok="t"/>
              <v:stroke dashstyle="solid"/>
            </v:shape>
            <w10:wrap type="none"/>
          </v:group>
        </w:pict>
      </w:r>
      <w:r>
        <w:rPr/>
        <w:pict>
          <v:shape style="position:absolute;margin-left:149.484497pt;margin-top:86.861633pt;width:122.6pt;height:22.8pt;mso-position-horizontal-relative:page;mso-position-vertical-relative:paragraph;z-index:-254209024" type="#_x0000_t202" filled="false" stroked="false">
            <v:textbox inset="0,0,0,0">
              <w:txbxContent>
                <w:p>
                  <w:pPr>
                    <w:spacing w:line="449" w:lineRule="exact" w:before="0"/>
                    <w:ind w:left="0" w:right="0" w:firstLine="0"/>
                    <w:jc w:val="left"/>
                    <w:rPr>
                      <w:rFonts w:ascii="Arial"/>
                      <w:b/>
                      <w:i/>
                      <w:sz w:val="45"/>
                    </w:rPr>
                  </w:pPr>
                  <w:r>
                    <w:rPr>
                      <w:rFonts w:ascii="Arial"/>
                      <w:b/>
                      <w:i/>
                      <w:color w:val="267E00"/>
                      <w:sz w:val="45"/>
                    </w:rPr>
                    <w:t>Case Study</w:t>
                  </w:r>
                </w:p>
              </w:txbxContent>
            </v:textbox>
            <w10:wrap type="none"/>
          </v:shape>
        </w:pict>
      </w:r>
      <w:r>
        <w:rPr/>
        <w:t>Texas</w:t>
      </w:r>
      <w:r>
        <w:rPr>
          <w:spacing w:val="-35"/>
        </w:rPr>
        <w:t> </w:t>
      </w:r>
      <w:r>
        <w:rPr/>
        <w:t>courts</w:t>
      </w:r>
      <w:r>
        <w:rPr>
          <w:spacing w:val="-34"/>
        </w:rPr>
        <w:t> </w:t>
      </w:r>
      <w:r>
        <w:rPr/>
        <w:t>have</w:t>
      </w:r>
      <w:r>
        <w:rPr>
          <w:spacing w:val="-35"/>
        </w:rPr>
        <w:t> </w:t>
      </w:r>
      <w:r>
        <w:rPr/>
        <w:t>also</w:t>
      </w:r>
      <w:r>
        <w:rPr>
          <w:spacing w:val="-34"/>
        </w:rPr>
        <w:t> </w:t>
      </w:r>
      <w:r>
        <w:rPr/>
        <w:t>held</w:t>
      </w:r>
      <w:r>
        <w:rPr>
          <w:spacing w:val="-33"/>
        </w:rPr>
        <w:t> </w:t>
      </w:r>
      <w:r>
        <w:rPr/>
        <w:t>that</w:t>
      </w:r>
      <w:r>
        <w:rPr>
          <w:spacing w:val="-35"/>
        </w:rPr>
        <w:t> </w:t>
      </w:r>
      <w:r>
        <w:rPr/>
        <w:t>although the appraisal clause may be permissive in nature, the underlying action must still be abated</w:t>
      </w:r>
      <w:r>
        <w:rPr>
          <w:spacing w:val="-23"/>
        </w:rPr>
        <w:t> </w:t>
      </w:r>
      <w:r>
        <w:rPr/>
        <w:t>pending</w:t>
      </w:r>
      <w:r>
        <w:rPr>
          <w:spacing w:val="-21"/>
        </w:rPr>
        <w:t> </w:t>
      </w:r>
      <w:r>
        <w:rPr/>
        <w:t>the</w:t>
      </w:r>
      <w:r>
        <w:rPr>
          <w:spacing w:val="-25"/>
        </w:rPr>
        <w:t> </w:t>
      </w:r>
      <w:r>
        <w:rPr/>
        <w:t>outcome</w:t>
      </w:r>
      <w:r>
        <w:rPr>
          <w:spacing w:val="-24"/>
        </w:rPr>
        <w:t> </w:t>
      </w:r>
      <w:r>
        <w:rPr/>
        <w:t>of</w:t>
      </w:r>
      <w:r>
        <w:rPr>
          <w:spacing w:val="-24"/>
        </w:rPr>
        <w:t> </w:t>
      </w:r>
      <w:r>
        <w:rPr/>
        <w:t>the</w:t>
      </w:r>
      <w:r>
        <w:rPr>
          <w:spacing w:val="-23"/>
        </w:rPr>
        <w:t> </w:t>
      </w:r>
      <w:r>
        <w:rPr/>
        <w:t>appraisal process. </w:t>
      </w:r>
      <w:r>
        <w:rPr>
          <w:spacing w:val="3"/>
        </w:rPr>
        <w:t>In </w:t>
      </w:r>
      <w:r>
        <w:rPr>
          <w:u w:val="single"/>
        </w:rPr>
        <w:t>Butler</w:t>
      </w:r>
      <w:r>
        <w:rPr/>
        <w:t>, the court found </w:t>
      </w:r>
      <w:r>
        <w:rPr>
          <w:spacing w:val="-4"/>
        </w:rPr>
        <w:t>that </w:t>
      </w:r>
      <w:r>
        <w:rPr/>
        <w:t>abatement of the entire case pending appraisal</w:t>
      </w:r>
      <w:r>
        <w:rPr>
          <w:spacing w:val="-19"/>
        </w:rPr>
        <w:t> </w:t>
      </w:r>
      <w:r>
        <w:rPr/>
        <w:t>was</w:t>
      </w:r>
      <w:r>
        <w:rPr>
          <w:spacing w:val="-19"/>
        </w:rPr>
        <w:t> </w:t>
      </w:r>
      <w:r>
        <w:rPr/>
        <w:t>appropriate</w:t>
      </w:r>
      <w:r>
        <w:rPr>
          <w:spacing w:val="-20"/>
        </w:rPr>
        <w:t> </w:t>
      </w:r>
      <w:r>
        <w:rPr/>
        <w:t>in</w:t>
      </w:r>
      <w:r>
        <w:rPr>
          <w:spacing w:val="-20"/>
        </w:rPr>
        <w:t> </w:t>
      </w:r>
      <w:r>
        <w:rPr/>
        <w:t>the</w:t>
      </w:r>
      <w:r>
        <w:rPr>
          <w:spacing w:val="-19"/>
        </w:rPr>
        <w:t> </w:t>
      </w:r>
      <w:r>
        <w:rPr/>
        <w:t>interest</w:t>
      </w:r>
      <w:r>
        <w:rPr>
          <w:spacing w:val="-23"/>
        </w:rPr>
        <w:t> </w:t>
      </w:r>
      <w:r>
        <w:rPr/>
        <w:t>of</w:t>
      </w:r>
      <w:r>
        <w:rPr>
          <w:spacing w:val="-21"/>
        </w:rPr>
        <w:t> </w:t>
      </w:r>
      <w:r>
        <w:rPr/>
        <w:t>the efficient and inexpensive administration of justice.</w:t>
      </w:r>
      <w:r>
        <w:rPr>
          <w:spacing w:val="33"/>
        </w:rPr>
        <w:t> </w:t>
      </w:r>
      <w:r>
        <w:rPr/>
        <w:t>The</w:t>
      </w:r>
      <w:r>
        <w:rPr>
          <w:spacing w:val="-19"/>
        </w:rPr>
        <w:t> </w:t>
      </w:r>
      <w:r>
        <w:rPr/>
        <w:t>court</w:t>
      </w:r>
      <w:r>
        <w:rPr>
          <w:spacing w:val="-19"/>
        </w:rPr>
        <w:t> </w:t>
      </w:r>
      <w:r>
        <w:rPr/>
        <w:t>commented</w:t>
      </w:r>
      <w:r>
        <w:rPr>
          <w:spacing w:val="-18"/>
        </w:rPr>
        <w:t> </w:t>
      </w:r>
      <w:r>
        <w:rPr/>
        <w:t>that</w:t>
      </w:r>
      <w:r>
        <w:rPr>
          <w:spacing w:val="-21"/>
        </w:rPr>
        <w:t> </w:t>
      </w:r>
      <w:r>
        <w:rPr/>
        <w:t>the</w:t>
      </w:r>
      <w:r>
        <w:rPr>
          <w:spacing w:val="-16"/>
        </w:rPr>
        <w:t> </w:t>
      </w:r>
      <w:r>
        <w:rPr/>
        <w:t>insured will</w:t>
      </w:r>
      <w:r>
        <w:rPr>
          <w:spacing w:val="-6"/>
        </w:rPr>
        <w:t> </w:t>
      </w:r>
      <w:r>
        <w:rPr/>
        <w:t>have</w:t>
      </w:r>
      <w:r>
        <w:rPr>
          <w:spacing w:val="-8"/>
        </w:rPr>
        <w:t> </w:t>
      </w:r>
      <w:r>
        <w:rPr/>
        <w:t>suffered</w:t>
      </w:r>
      <w:r>
        <w:rPr>
          <w:spacing w:val="-11"/>
        </w:rPr>
        <w:t> </w:t>
      </w:r>
      <w:r>
        <w:rPr/>
        <w:t>no</w:t>
      </w:r>
      <w:r>
        <w:rPr>
          <w:spacing w:val="-10"/>
        </w:rPr>
        <w:t> </w:t>
      </w:r>
      <w:r>
        <w:rPr/>
        <w:t>prejudice</w:t>
      </w:r>
      <w:r>
        <w:rPr>
          <w:spacing w:val="-11"/>
        </w:rPr>
        <w:t> </w:t>
      </w:r>
      <w:r>
        <w:rPr/>
        <w:t>by</w:t>
      </w:r>
      <w:r>
        <w:rPr>
          <w:spacing w:val="-12"/>
        </w:rPr>
        <w:t> </w:t>
      </w:r>
      <w:r>
        <w:rPr/>
        <w:t>abating</w:t>
      </w:r>
      <w:r>
        <w:rPr>
          <w:spacing w:val="-6"/>
        </w:rPr>
        <w:t> </w:t>
      </w:r>
      <w:r>
        <w:rPr/>
        <w:t>the proceeding if she prevailed in the appraisal process, as her claims will still remain</w:t>
      </w:r>
      <w:r>
        <w:rPr>
          <w:spacing w:val="-12"/>
        </w:rPr>
        <w:t> </w:t>
      </w:r>
      <w:r>
        <w:rPr/>
        <w:t>intact.</w:t>
      </w:r>
      <w:r>
        <w:rPr>
          <w:vertAlign w:val="superscript"/>
        </w:rPr>
        <w:t>473</w:t>
      </w:r>
    </w:p>
    <w:p>
      <w:pPr>
        <w:pStyle w:val="BodyText"/>
        <w:spacing w:before="11"/>
        <w:rPr>
          <w:sz w:val="25"/>
        </w:rPr>
      </w:pPr>
    </w:p>
    <w:p>
      <w:pPr>
        <w:pStyle w:val="BodyText"/>
        <w:spacing w:line="242" w:lineRule="auto"/>
        <w:ind w:left="3100" w:right="3199" w:firstLine="720"/>
        <w:jc w:val="both"/>
      </w:pPr>
      <w:r>
        <w:rPr>
          <w:spacing w:val="3"/>
        </w:rPr>
        <w:t>In</w:t>
      </w:r>
      <w:r>
        <w:rPr>
          <w:spacing w:val="-27"/>
        </w:rPr>
        <w:t> </w:t>
      </w:r>
      <w:r>
        <w:rPr/>
        <w:t>a</w:t>
      </w:r>
      <w:r>
        <w:rPr>
          <w:spacing w:val="-26"/>
        </w:rPr>
        <w:t> </w:t>
      </w:r>
      <w:r>
        <w:rPr/>
        <w:t>Texas</w:t>
      </w:r>
      <w:r>
        <w:rPr>
          <w:spacing w:val="-26"/>
        </w:rPr>
        <w:t> </w:t>
      </w:r>
      <w:r>
        <w:rPr/>
        <w:t>case,</w:t>
      </w:r>
      <w:r>
        <w:rPr>
          <w:spacing w:val="-29"/>
        </w:rPr>
        <w:t> </w:t>
      </w:r>
      <w:r>
        <w:rPr/>
        <w:t>the</w:t>
      </w:r>
      <w:r>
        <w:rPr>
          <w:spacing w:val="-27"/>
        </w:rPr>
        <w:t> </w:t>
      </w:r>
      <w:r>
        <w:rPr/>
        <w:t>Court</w:t>
      </w:r>
      <w:r>
        <w:rPr>
          <w:spacing w:val="-29"/>
        </w:rPr>
        <w:t> </w:t>
      </w:r>
      <w:r>
        <w:rPr/>
        <w:t>found</w:t>
      </w:r>
      <w:r>
        <w:rPr>
          <w:spacing w:val="18"/>
        </w:rPr>
        <w:t> </w:t>
      </w:r>
      <w:r>
        <w:rPr/>
        <w:t>it</w:t>
      </w:r>
      <w:r>
        <w:rPr>
          <w:spacing w:val="-30"/>
        </w:rPr>
        <w:t> </w:t>
      </w:r>
      <w:r>
        <w:rPr/>
        <w:t>proper for a trial court to refuse to abate litigation proceedings while the appraisal process</w:t>
      </w:r>
      <w:r>
        <w:rPr>
          <w:spacing w:val="-20"/>
        </w:rPr>
        <w:t> </w:t>
      </w:r>
      <w:r>
        <w:rPr/>
        <w:t>goes forward. </w:t>
      </w:r>
      <w:r>
        <w:rPr>
          <w:spacing w:val="4"/>
        </w:rPr>
        <w:t>In </w:t>
      </w:r>
      <w:r>
        <w:rPr>
          <w:spacing w:val="4"/>
          <w:u w:val="single"/>
        </w:rPr>
        <w:t>In </w:t>
      </w:r>
      <w:r>
        <w:rPr>
          <w:u w:val="single"/>
        </w:rPr>
        <w:t>re Cypress Texas </w:t>
      </w:r>
      <w:r>
        <w:rPr>
          <w:spacing w:val="-5"/>
          <w:u w:val="single"/>
        </w:rPr>
        <w:t>Lloyds</w:t>
      </w:r>
      <w:r>
        <w:rPr>
          <w:spacing w:val="-5"/>
        </w:rPr>
        <w:t>,</w:t>
      </w:r>
      <w:r>
        <w:rPr>
          <w:spacing w:val="-5"/>
          <w:vertAlign w:val="superscript"/>
        </w:rPr>
        <w:t>474</w:t>
      </w:r>
      <w:r>
        <w:rPr>
          <w:spacing w:val="-5"/>
          <w:vertAlign w:val="baseline"/>
        </w:rPr>
        <w:t> </w:t>
      </w:r>
      <w:r>
        <w:rPr>
          <w:vertAlign w:val="baseline"/>
        </w:rPr>
        <w:t>Cypress petitioned the Court of Appeals to compel</w:t>
      </w:r>
      <w:r>
        <w:rPr>
          <w:spacing w:val="-17"/>
          <w:vertAlign w:val="baseline"/>
        </w:rPr>
        <w:t> </w:t>
      </w:r>
      <w:r>
        <w:rPr>
          <w:vertAlign w:val="baseline"/>
        </w:rPr>
        <w:t>the</w:t>
      </w:r>
      <w:r>
        <w:rPr>
          <w:spacing w:val="-16"/>
          <w:vertAlign w:val="baseline"/>
        </w:rPr>
        <w:t> </w:t>
      </w:r>
      <w:r>
        <w:rPr>
          <w:vertAlign w:val="baseline"/>
        </w:rPr>
        <w:t>trial</w:t>
      </w:r>
      <w:r>
        <w:rPr>
          <w:spacing w:val="-15"/>
          <w:vertAlign w:val="baseline"/>
        </w:rPr>
        <w:t> </w:t>
      </w:r>
      <w:r>
        <w:rPr>
          <w:vertAlign w:val="baseline"/>
        </w:rPr>
        <w:t>judge</w:t>
      </w:r>
      <w:r>
        <w:rPr>
          <w:spacing w:val="-14"/>
          <w:vertAlign w:val="baseline"/>
        </w:rPr>
        <w:t> </w:t>
      </w:r>
      <w:r>
        <w:rPr>
          <w:vertAlign w:val="baseline"/>
        </w:rPr>
        <w:t>to</w:t>
      </w:r>
      <w:r>
        <w:rPr>
          <w:spacing w:val="-17"/>
          <w:vertAlign w:val="baseline"/>
        </w:rPr>
        <w:t> </w:t>
      </w:r>
      <w:r>
        <w:rPr>
          <w:vertAlign w:val="baseline"/>
        </w:rPr>
        <w:t>abate</w:t>
      </w:r>
      <w:r>
        <w:rPr>
          <w:spacing w:val="-19"/>
          <w:vertAlign w:val="baseline"/>
        </w:rPr>
        <w:t> </w:t>
      </w:r>
      <w:r>
        <w:rPr>
          <w:vertAlign w:val="baseline"/>
        </w:rPr>
        <w:t>the</w:t>
      </w:r>
      <w:r>
        <w:rPr>
          <w:spacing w:val="-18"/>
          <w:vertAlign w:val="baseline"/>
        </w:rPr>
        <w:t> </w:t>
      </w:r>
      <w:r>
        <w:rPr>
          <w:vertAlign w:val="baseline"/>
        </w:rPr>
        <w:t>underlying proceedings until an appraisal</w:t>
      </w:r>
      <w:r>
        <w:rPr>
          <w:spacing w:val="-5"/>
          <w:vertAlign w:val="baseline"/>
        </w:rPr>
        <w:t> </w:t>
      </w:r>
      <w:r>
        <w:rPr>
          <w:vertAlign w:val="baseline"/>
        </w:rPr>
        <w:t>to determine</w:t>
      </w:r>
    </w:p>
    <w:p>
      <w:pPr>
        <w:pStyle w:val="BodyText"/>
        <w:spacing w:before="2"/>
        <w:rPr>
          <w:sz w:val="22"/>
        </w:rPr>
      </w:pPr>
      <w:r>
        <w:rPr/>
        <w:pict>
          <v:shape style="position:absolute;margin-left:162pt;margin-top:16.028437pt;width:143.9pt;height:.1pt;mso-position-horizontal-relative:page;mso-position-vertical-relative:paragraph;z-index:-251586560;mso-wrap-distance-left:0;mso-wrap-distance-right:0" coordorigin="3240,321" coordsize="2878,0" path="m3240,321l6118,32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3013" w:val="left" w:leader="none"/>
        </w:tabs>
        <w:spacing w:line="240" w:lineRule="auto" w:before="77" w:after="0"/>
        <w:ind w:left="3012" w:right="0" w:hanging="273"/>
        <w:jc w:val="left"/>
        <w:rPr>
          <w:sz w:val="24"/>
        </w:rPr>
      </w:pPr>
      <w:r>
        <w:rPr>
          <w:i/>
          <w:sz w:val="18"/>
        </w:rPr>
        <w:t>See </w:t>
      </w:r>
      <w:r>
        <w:rPr>
          <w:sz w:val="18"/>
          <w:u w:val="single"/>
        </w:rPr>
        <w:t>Butler v. Prop. and Cas. Ins. Co. of Hartford</w:t>
      </w:r>
      <w:r>
        <w:rPr>
          <w:sz w:val="18"/>
        </w:rPr>
        <w:t>, 2011 WL 2174965 (S.D.Tex.</w:t>
      </w:r>
      <w:r>
        <w:rPr>
          <w:spacing w:val="-29"/>
          <w:sz w:val="18"/>
        </w:rPr>
        <w:t> </w:t>
      </w:r>
      <w:r>
        <w:rPr>
          <w:sz w:val="18"/>
        </w:rPr>
        <w:t>2011)</w:t>
      </w:r>
      <w:r>
        <w:rPr>
          <w:sz w:val="24"/>
        </w:rPr>
        <w:t>.</w:t>
      </w:r>
    </w:p>
    <w:p>
      <w:pPr>
        <w:pStyle w:val="ListParagraph"/>
        <w:numPr>
          <w:ilvl w:val="0"/>
          <w:numId w:val="5"/>
        </w:numPr>
        <w:tabs>
          <w:tab w:pos="3010" w:val="left" w:leader="none"/>
        </w:tabs>
        <w:spacing w:line="240" w:lineRule="auto" w:before="1" w:after="0"/>
        <w:ind w:left="3010" w:right="0" w:hanging="270"/>
        <w:jc w:val="left"/>
        <w:rPr>
          <w:sz w:val="18"/>
        </w:rPr>
      </w:pPr>
      <w:r>
        <w:rPr>
          <w:sz w:val="18"/>
        </w:rPr>
        <w:t>2011</w:t>
      </w:r>
      <w:r>
        <w:rPr>
          <w:spacing w:val="-5"/>
          <w:sz w:val="18"/>
        </w:rPr>
        <w:t> </w:t>
      </w:r>
      <w:r>
        <w:rPr>
          <w:sz w:val="18"/>
        </w:rPr>
        <w:t>WL</w:t>
      </w:r>
      <w:r>
        <w:rPr>
          <w:spacing w:val="-8"/>
          <w:sz w:val="18"/>
        </w:rPr>
        <w:t> </w:t>
      </w:r>
      <w:r>
        <w:rPr>
          <w:sz w:val="18"/>
        </w:rPr>
        <w:t>2650724</w:t>
      </w:r>
      <w:r>
        <w:rPr>
          <w:spacing w:val="-3"/>
          <w:sz w:val="18"/>
        </w:rPr>
        <w:t> </w:t>
      </w:r>
      <w:r>
        <w:rPr>
          <w:sz w:val="18"/>
        </w:rPr>
        <w:t>(Tex.App.-Houston</w:t>
      </w:r>
      <w:r>
        <w:rPr>
          <w:spacing w:val="-6"/>
          <w:sz w:val="18"/>
        </w:rPr>
        <w:t> </w:t>
      </w:r>
      <w:r>
        <w:rPr>
          <w:sz w:val="18"/>
        </w:rPr>
        <w:t>[14</w:t>
      </w:r>
      <w:r>
        <w:rPr>
          <w:spacing w:val="-7"/>
          <w:sz w:val="18"/>
        </w:rPr>
        <w:t> </w:t>
      </w:r>
      <w:r>
        <w:rPr>
          <w:sz w:val="18"/>
        </w:rPr>
        <w:t>Dist.]</w:t>
      </w:r>
      <w:r>
        <w:rPr>
          <w:spacing w:val="-4"/>
          <w:sz w:val="18"/>
        </w:rPr>
        <w:t> </w:t>
      </w:r>
      <w:r>
        <w:rPr>
          <w:sz w:val="18"/>
        </w:rPr>
        <w:t>2011);</w:t>
      </w:r>
      <w:r>
        <w:rPr>
          <w:spacing w:val="-7"/>
          <w:sz w:val="18"/>
        </w:rPr>
        <w:t> </w:t>
      </w:r>
      <w:r>
        <w:rPr>
          <w:sz w:val="18"/>
          <w:u w:val="single"/>
        </w:rPr>
        <w:t>In</w:t>
      </w:r>
      <w:r>
        <w:rPr>
          <w:spacing w:val="-6"/>
          <w:sz w:val="18"/>
          <w:u w:val="single"/>
        </w:rPr>
        <w:t> </w:t>
      </w:r>
      <w:r>
        <w:rPr>
          <w:sz w:val="18"/>
          <w:u w:val="single"/>
        </w:rPr>
        <w:t>re</w:t>
      </w:r>
      <w:r>
        <w:rPr>
          <w:spacing w:val="-8"/>
          <w:sz w:val="18"/>
          <w:u w:val="single"/>
        </w:rPr>
        <w:t> </w:t>
      </w:r>
      <w:r>
        <w:rPr>
          <w:sz w:val="18"/>
          <w:u w:val="single"/>
        </w:rPr>
        <w:t>Universal</w:t>
      </w:r>
      <w:r>
        <w:rPr>
          <w:spacing w:val="-8"/>
          <w:sz w:val="18"/>
          <w:u w:val="single"/>
        </w:rPr>
        <w:t> </w:t>
      </w:r>
      <w:r>
        <w:rPr>
          <w:sz w:val="18"/>
          <w:u w:val="single"/>
        </w:rPr>
        <w:t>Und.</w:t>
      </w:r>
      <w:r>
        <w:rPr>
          <w:spacing w:val="-6"/>
          <w:sz w:val="18"/>
          <w:u w:val="single"/>
        </w:rPr>
        <w:t> </w:t>
      </w:r>
      <w:r>
        <w:rPr>
          <w:sz w:val="18"/>
          <w:u w:val="single"/>
        </w:rPr>
        <w:t>of</w:t>
      </w:r>
      <w:r>
        <w:rPr>
          <w:spacing w:val="-7"/>
          <w:sz w:val="18"/>
          <w:u w:val="single"/>
        </w:rPr>
        <w:t> </w:t>
      </w:r>
      <w:r>
        <w:rPr>
          <w:sz w:val="18"/>
          <w:u w:val="single"/>
        </w:rPr>
        <w:t>Texas</w:t>
      </w:r>
    </w:p>
    <w:p>
      <w:pPr>
        <w:spacing w:before="19"/>
        <w:ind w:left="2740" w:right="0" w:firstLine="0"/>
        <w:jc w:val="left"/>
        <w:rPr>
          <w:rFonts w:ascii="Times New Roman"/>
          <w:sz w:val="18"/>
        </w:rPr>
      </w:pPr>
      <w:r>
        <w:rPr>
          <w:rFonts w:ascii="Times New Roman"/>
          <w:sz w:val="18"/>
          <w:u w:val="single"/>
        </w:rPr>
        <w:t>Ins. Co.</w:t>
      </w:r>
      <w:r>
        <w:rPr>
          <w:rFonts w:ascii="Times New Roman"/>
          <w:sz w:val="18"/>
        </w:rPr>
        <w:t>, 2011 WL 1713278, * 7 b. 5 (Tex., 2011); </w:t>
      </w:r>
      <w:r>
        <w:rPr>
          <w:rFonts w:ascii="Times New Roman"/>
          <w:sz w:val="18"/>
          <w:u w:val="single"/>
        </w:rPr>
        <w:t>In re Liberty Mut. Group, Inc.</w:t>
      </w:r>
      <w:r>
        <w:rPr>
          <w:rFonts w:ascii="Times New Roman"/>
          <w:sz w:val="18"/>
        </w:rPr>
        <w:t>, 2011 WL</w:t>
      </w:r>
    </w:p>
    <w:p>
      <w:pPr>
        <w:spacing w:before="4"/>
        <w:ind w:left="2740" w:right="0" w:firstLine="0"/>
        <w:jc w:val="left"/>
        <w:rPr>
          <w:rFonts w:ascii="Times New Roman"/>
          <w:sz w:val="18"/>
        </w:rPr>
      </w:pPr>
      <w:r>
        <w:rPr>
          <w:rFonts w:ascii="Times New Roman"/>
          <w:sz w:val="18"/>
        </w:rPr>
        <w:t>2149482 (Tex.App.-Houston [14 Dist.] 2011).</w:t>
      </w:r>
    </w:p>
    <w:p>
      <w:pPr>
        <w:spacing w:after="0"/>
        <w:jc w:val="left"/>
        <w:rPr>
          <w:rFonts w:ascii="Times New Roman"/>
          <w:sz w:val="18"/>
        </w:rPr>
        <w:sectPr>
          <w:pgSz w:w="12240" w:h="15840"/>
          <w:pgMar w:header="0" w:footer="2273" w:top="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spacing w:after="0"/>
        <w:rPr>
          <w:rFonts w:ascii="Times New Roman"/>
          <w:sz w:val="25"/>
        </w:rPr>
        <w:sectPr>
          <w:pgSz w:w="12240" w:h="15840"/>
          <w:pgMar w:header="0" w:footer="2273" w:top="1500" w:bottom="2460" w:left="140" w:right="40"/>
        </w:sectPr>
      </w:pPr>
    </w:p>
    <w:p>
      <w:pPr>
        <w:pStyle w:val="BodyText"/>
        <w:tabs>
          <w:tab w:pos="4808" w:val="left" w:leader="none"/>
        </w:tabs>
        <w:spacing w:line="242" w:lineRule="auto" w:before="42"/>
        <w:ind w:left="3100"/>
      </w:pPr>
      <w:r>
        <w:rPr/>
        <w:pict>
          <v:shape style="position:absolute;margin-left:131.121994pt;margin-top:244.384171pt;width:351.05pt;height:161.9pt;mso-position-horizontal-relative:page;mso-position-vertical-relative:paragraph;z-index:-254205952" coordorigin="2622,4888" coordsize="7021,3238" path="m5219,2921l12240,2921m12240,-316l5219,-316,5219,2921e" filled="false" stroked="true" strokeweight="2.56pt" strokecolor="#87261f">
            <v:path arrowok="t"/>
            <v:stroke dashstyle="solid"/>
            <w10:wrap type="none"/>
          </v:shape>
        </w:pict>
      </w:r>
      <w:bookmarkStart w:name="Law and Procedure 213" w:id="27"/>
      <w:bookmarkEnd w:id="27"/>
      <w:r>
        <w:rPr/>
      </w:r>
      <w:r>
        <w:rPr/>
        <w:t>the amount </w:t>
      </w:r>
      <w:r>
        <w:rPr>
          <w:spacing w:val="-10"/>
        </w:rPr>
        <w:t>of </w:t>
      </w:r>
      <w:r>
        <w:rPr/>
        <w:t>completed.</w:t>
        <w:tab/>
      </w:r>
      <w:r>
        <w:rPr>
          <w:spacing w:val="3"/>
        </w:rPr>
        <w:t>In</w:t>
      </w:r>
    </w:p>
    <w:p>
      <w:pPr>
        <w:pStyle w:val="BodyText"/>
        <w:spacing w:line="242" w:lineRule="auto" w:before="42"/>
        <w:ind w:left="54" w:right="2411" w:firstLine="50"/>
      </w:pPr>
      <w:r>
        <w:rPr/>
        <w:br w:type="column"/>
      </w:r>
      <w:r>
        <w:rPr/>
        <w:t>the covered loss had</w:t>
      </w:r>
      <w:r>
        <w:rPr>
          <w:spacing w:val="55"/>
        </w:rPr>
        <w:t> </w:t>
      </w:r>
      <w:r>
        <w:rPr/>
        <w:t>been denying the requested relief,</w:t>
      </w:r>
    </w:p>
    <w:p>
      <w:pPr>
        <w:spacing w:after="0" w:line="242" w:lineRule="auto"/>
        <w:sectPr>
          <w:type w:val="continuous"/>
          <w:pgSz w:w="12240" w:h="15840"/>
          <w:pgMar w:top="1500" w:bottom="2460" w:left="140" w:right="40"/>
          <w:cols w:num="2" w:equalWidth="0">
            <w:col w:w="5046" w:space="40"/>
            <w:col w:w="6974"/>
          </w:cols>
        </w:sectPr>
      </w:pPr>
    </w:p>
    <w:p>
      <w:pPr>
        <w:pStyle w:val="BodyText"/>
        <w:spacing w:line="242" w:lineRule="auto"/>
        <w:ind w:left="3100" w:right="3201"/>
        <w:jc w:val="both"/>
      </w:pPr>
      <w:r>
        <w:rPr/>
        <w:t>the court held that under Texas law, litigation proceedings need not be abated while the appraisal goes forward.</w:t>
      </w:r>
    </w:p>
    <w:p>
      <w:pPr>
        <w:pStyle w:val="BodyText"/>
      </w:pPr>
    </w:p>
    <w:p>
      <w:pPr>
        <w:pStyle w:val="BodyText"/>
        <w:tabs>
          <w:tab w:pos="4549" w:val="left" w:leader="none"/>
          <w:tab w:pos="5523" w:val="left" w:leader="none"/>
          <w:tab w:pos="6523" w:val="left" w:leader="none"/>
          <w:tab w:pos="7071" w:val="left" w:leader="none"/>
          <w:tab w:pos="8419" w:val="left" w:leader="none"/>
        </w:tabs>
        <w:spacing w:before="1"/>
        <w:ind w:left="3820"/>
      </w:pPr>
      <w:r>
        <w:rPr/>
        <w:t>The</w:t>
        <w:tab/>
        <w:t>Texas</w:t>
        <w:tab/>
        <w:t>Court</w:t>
        <w:tab/>
        <w:t>of</w:t>
        <w:tab/>
        <w:t>Appeals</w:t>
        <w:tab/>
        <w:t>has</w:t>
      </w:r>
    </w:p>
    <w:p>
      <w:pPr>
        <w:pStyle w:val="BodyText"/>
        <w:spacing w:before="2"/>
        <w:ind w:right="100"/>
        <w:jc w:val="center"/>
      </w:pPr>
      <w:r>
        <w:rPr/>
        <w:t>confirmed that “while  trial  courts have</w:t>
      </w:r>
      <w:r>
        <w:rPr>
          <w:spacing w:val="38"/>
        </w:rPr>
        <w:t> </w:t>
      </w:r>
      <w:r>
        <w:rPr/>
        <w:t>some</w:t>
      </w:r>
    </w:p>
    <w:p>
      <w:pPr>
        <w:pStyle w:val="BodyText"/>
        <w:spacing w:line="242" w:lineRule="auto" w:before="3"/>
        <w:ind w:left="3100" w:right="3196"/>
        <w:jc w:val="both"/>
      </w:pPr>
      <w:r>
        <w:rPr/>
        <w:t>discretion</w:t>
      </w:r>
      <w:r>
        <w:rPr>
          <w:spacing w:val="-18"/>
        </w:rPr>
        <w:t> </w:t>
      </w:r>
      <w:r>
        <w:rPr/>
        <w:t>as</w:t>
      </w:r>
      <w:r>
        <w:rPr>
          <w:spacing w:val="-18"/>
        </w:rPr>
        <w:t> </w:t>
      </w:r>
      <w:r>
        <w:rPr/>
        <w:t>to</w:t>
      </w:r>
      <w:r>
        <w:rPr>
          <w:spacing w:val="-18"/>
        </w:rPr>
        <w:t> </w:t>
      </w:r>
      <w:r>
        <w:rPr/>
        <w:t>the</w:t>
      </w:r>
      <w:r>
        <w:rPr>
          <w:spacing w:val="-19"/>
        </w:rPr>
        <w:t> </w:t>
      </w:r>
      <w:r>
        <w:rPr/>
        <w:t>timing</w:t>
      </w:r>
      <w:r>
        <w:rPr>
          <w:spacing w:val="-18"/>
        </w:rPr>
        <w:t> </w:t>
      </w:r>
      <w:r>
        <w:rPr/>
        <w:t>of</w:t>
      </w:r>
      <w:r>
        <w:rPr>
          <w:spacing w:val="-17"/>
        </w:rPr>
        <w:t> </w:t>
      </w:r>
      <w:r>
        <w:rPr/>
        <w:t>an</w:t>
      </w:r>
      <w:r>
        <w:rPr>
          <w:spacing w:val="-18"/>
        </w:rPr>
        <w:t> </w:t>
      </w:r>
      <w:r>
        <w:rPr/>
        <w:t>appraisal,</w:t>
      </w:r>
      <w:r>
        <w:rPr>
          <w:spacing w:val="-19"/>
        </w:rPr>
        <w:t> </w:t>
      </w:r>
      <w:r>
        <w:rPr/>
        <w:t>they have no discretion to ignore a valid appraisal clause</w:t>
      </w:r>
      <w:r>
        <w:rPr>
          <w:spacing w:val="-8"/>
        </w:rPr>
        <w:t> </w:t>
      </w:r>
      <w:r>
        <w:rPr/>
        <w:t>entirely.”</w:t>
      </w:r>
      <w:r>
        <w:rPr>
          <w:spacing w:val="-9"/>
        </w:rPr>
        <w:t> </w:t>
      </w:r>
      <w:r>
        <w:rPr/>
        <w:t>While</w:t>
      </w:r>
      <w:r>
        <w:rPr>
          <w:spacing w:val="-9"/>
        </w:rPr>
        <w:t> </w:t>
      </w:r>
      <w:r>
        <w:rPr/>
        <w:t>the</w:t>
      </w:r>
      <w:r>
        <w:rPr>
          <w:spacing w:val="-11"/>
        </w:rPr>
        <w:t> </w:t>
      </w:r>
      <w:r>
        <w:rPr/>
        <w:t>time</w:t>
      </w:r>
      <w:r>
        <w:rPr>
          <w:spacing w:val="-10"/>
        </w:rPr>
        <w:t> </w:t>
      </w:r>
      <w:r>
        <w:rPr/>
        <w:t>period</w:t>
      </w:r>
      <w:r>
        <w:rPr>
          <w:spacing w:val="-9"/>
        </w:rPr>
        <w:t> </w:t>
      </w:r>
      <w:r>
        <w:rPr/>
        <w:t>may</w:t>
      </w:r>
      <w:r>
        <w:rPr>
          <w:spacing w:val="-13"/>
        </w:rPr>
        <w:t> </w:t>
      </w:r>
      <w:r>
        <w:rPr/>
        <w:t>be instructive</w:t>
      </w:r>
      <w:r>
        <w:rPr>
          <w:spacing w:val="-29"/>
        </w:rPr>
        <w:t> </w:t>
      </w:r>
      <w:r>
        <w:rPr/>
        <w:t>in</w:t>
      </w:r>
      <w:r>
        <w:rPr>
          <w:spacing w:val="-30"/>
        </w:rPr>
        <w:t> </w:t>
      </w:r>
      <w:r>
        <w:rPr/>
        <w:t>interpreting</w:t>
      </w:r>
      <w:r>
        <w:rPr>
          <w:spacing w:val="-30"/>
        </w:rPr>
        <w:t> </w:t>
      </w:r>
      <w:r>
        <w:rPr/>
        <w:t>the</w:t>
      </w:r>
      <w:r>
        <w:rPr>
          <w:spacing w:val="-28"/>
        </w:rPr>
        <w:t> </w:t>
      </w:r>
      <w:r>
        <w:rPr/>
        <w:t>parties’</w:t>
      </w:r>
      <w:r>
        <w:rPr>
          <w:spacing w:val="-28"/>
        </w:rPr>
        <w:t> </w:t>
      </w:r>
      <w:r>
        <w:rPr/>
        <w:t>intentions, it alone is not the standard by which courts determine the reasonableness of</w:t>
      </w:r>
      <w:r>
        <w:rPr>
          <w:spacing w:val="-10"/>
        </w:rPr>
        <w:t> </w:t>
      </w:r>
      <w:r>
        <w:rPr/>
        <w:t>delay.</w:t>
      </w:r>
      <w:r>
        <w:rPr>
          <w:vertAlign w:val="superscript"/>
        </w:rPr>
        <w:t>475</w:t>
      </w:r>
    </w:p>
    <w:p>
      <w:pPr>
        <w:pStyle w:val="BodyText"/>
        <w:spacing w:before="1"/>
      </w:pPr>
    </w:p>
    <w:p>
      <w:pPr>
        <w:pStyle w:val="BodyText"/>
        <w:spacing w:line="242" w:lineRule="auto"/>
        <w:ind w:left="3100" w:right="3197" w:firstLine="720"/>
        <w:jc w:val="both"/>
      </w:pPr>
      <w:r>
        <w:rPr/>
        <w:pict>
          <v:shape style="position:absolute;margin-left:277.940002pt;margin-top:84.235161pt;width:324.5pt;height:64.25pt;mso-position-horizontal-relative:page;mso-position-vertical-relative:paragraph;z-index:-254206976" coordorigin="5559,1685" coordsize="6490,1285" path="m12031,1685l5838,1685,5829,1694,5829,1904,5838,1914,12031,1914,12040,1904,12040,1694,12031,1685xm12037,1961l5568,1961,5559,1970,5559,2116,5568,2125,12037,2125,12046,2116,12046,1970,12037,1961xm12039,2172l5568,2172,5559,2181,5559,2327,5568,2336,12039,2336,12048,2327,12048,2181,12039,2172xm12035,2383l5568,2383,5559,2393,5559,2538,5568,2547,12035,2547,12044,2538,12044,2393,12035,2383xm12038,2591l5568,2591,5559,2600,5559,2749,5568,2758,12038,2758,12048,2749,12048,2600,12038,2591xm11004,2806l5568,2806,5559,2815,5559,2960,5568,2970,11004,2970,11013,2960,11013,2815,11004,2806xe" filled="true" fillcolor="#fde39d" stroked="false">
            <v:path arrowok="t"/>
            <v:fill opacity="32112f" type="solid"/>
            <w10:wrap type="none"/>
          </v:shape>
        </w:pict>
      </w:r>
      <w:r>
        <w:rPr/>
        <w:t>However, in a Wisconsin case, the court stated</w:t>
      </w:r>
      <w:r>
        <w:rPr>
          <w:spacing w:val="-17"/>
        </w:rPr>
        <w:t> </w:t>
      </w:r>
      <w:r>
        <w:rPr/>
        <w:t>that</w:t>
      </w:r>
      <w:r>
        <w:rPr>
          <w:spacing w:val="-16"/>
        </w:rPr>
        <w:t> </w:t>
      </w:r>
      <w:r>
        <w:rPr/>
        <w:t>“[A]n</w:t>
      </w:r>
      <w:r>
        <w:rPr>
          <w:spacing w:val="-15"/>
        </w:rPr>
        <w:t> </w:t>
      </w:r>
      <w:r>
        <w:rPr/>
        <w:t>insurance</w:t>
      </w:r>
      <w:r>
        <w:rPr>
          <w:spacing w:val="-15"/>
        </w:rPr>
        <w:t> </w:t>
      </w:r>
      <w:r>
        <w:rPr/>
        <w:t>company</w:t>
      </w:r>
      <w:r>
        <w:rPr>
          <w:spacing w:val="-17"/>
        </w:rPr>
        <w:t> </w:t>
      </w:r>
      <w:r>
        <w:rPr/>
        <w:t>may</w:t>
      </w:r>
      <w:r>
        <w:rPr>
          <w:spacing w:val="-15"/>
        </w:rPr>
        <w:t> </w:t>
      </w:r>
      <w:r>
        <w:rPr/>
        <w:t>not demand an appraisal of loss after the commencement of an action by the insured when the insurance company failed to demand</w:t>
      </w:r>
      <w:r>
        <w:rPr>
          <w:spacing w:val="-23"/>
        </w:rPr>
        <w:t> </w:t>
      </w:r>
      <w:r>
        <w:rPr/>
        <w:t>the</w:t>
      </w:r>
      <w:r>
        <w:rPr>
          <w:spacing w:val="-23"/>
        </w:rPr>
        <w:t> </w:t>
      </w:r>
      <w:r>
        <w:rPr/>
        <w:t>appraisal</w:t>
      </w:r>
      <w:r>
        <w:rPr>
          <w:spacing w:val="-21"/>
        </w:rPr>
        <w:t> </w:t>
      </w:r>
      <w:r>
        <w:rPr/>
        <w:t>prior</w:t>
      </w:r>
      <w:r>
        <w:rPr>
          <w:spacing w:val="-22"/>
        </w:rPr>
        <w:t> </w:t>
      </w:r>
      <w:r>
        <w:rPr/>
        <w:t>to</w:t>
      </w:r>
      <w:r>
        <w:rPr>
          <w:spacing w:val="-22"/>
        </w:rPr>
        <w:t> </w:t>
      </w:r>
      <w:r>
        <w:rPr/>
        <w:t>the</w:t>
      </w:r>
      <w:r>
        <w:rPr>
          <w:spacing w:val="-26"/>
        </w:rPr>
        <w:t> </w:t>
      </w:r>
      <w:r>
        <w:rPr/>
        <w:t>lawsuit</w:t>
      </w:r>
      <w:r>
        <w:rPr>
          <w:spacing w:val="-23"/>
        </w:rPr>
        <w:t> </w:t>
      </w:r>
      <w:r>
        <w:rPr/>
        <w:t>even though it had the opportunity to do </w:t>
      </w:r>
      <w:r>
        <w:rPr>
          <w:spacing w:val="-6"/>
        </w:rPr>
        <w:t>so,”</w:t>
      </w:r>
      <w:r>
        <w:rPr>
          <w:spacing w:val="-6"/>
          <w:vertAlign w:val="superscript"/>
        </w:rPr>
        <w:t>476</w:t>
      </w:r>
      <w:r>
        <w:rPr>
          <w:spacing w:val="-6"/>
          <w:vertAlign w:val="baseline"/>
        </w:rPr>
        <w:t> </w:t>
      </w:r>
      <w:r>
        <w:rPr>
          <w:vertAlign w:val="baseline"/>
        </w:rPr>
        <w:t>though even this court recognized that other courts have disagreed with this</w:t>
      </w:r>
      <w:r>
        <w:rPr>
          <w:spacing w:val="-11"/>
          <w:vertAlign w:val="baseline"/>
        </w:rPr>
        <w:t> </w:t>
      </w:r>
      <w:r>
        <w:rPr>
          <w:vertAlign w:val="baseline"/>
        </w:rPr>
        <w:t>conclusion.</w:t>
      </w:r>
      <w:r>
        <w:rPr>
          <w:vertAlign w:val="superscript"/>
        </w:rPr>
        <w:t>477</w:t>
      </w:r>
    </w:p>
    <w:p>
      <w:pPr>
        <w:pStyle w:val="BodyText"/>
        <w:rPr>
          <w:sz w:val="20"/>
        </w:rPr>
      </w:pPr>
    </w:p>
    <w:p>
      <w:pPr>
        <w:pStyle w:val="BodyText"/>
        <w:spacing w:before="9"/>
      </w:pPr>
      <w:r>
        <w:rPr/>
        <w:pict>
          <v:shape style="position:absolute;margin-left:162pt;margin-top:18.835459pt;width:143.9pt;height:.1pt;mso-position-horizontal-relative:page;mso-position-vertical-relative:paragraph;z-index:-251581440;mso-wrap-distance-left:0;mso-wrap-distance-right:0" coordorigin="3240,377" coordsize="2878,0" path="m3240,377l6118,377e" filled="false" stroked="true" strokeweight=".84pt" strokecolor="#000000">
            <v:path arrowok="t"/>
            <v:stroke dashstyle="solid"/>
            <w10:wrap type="topAndBottom"/>
          </v:shape>
        </w:pict>
      </w:r>
    </w:p>
    <w:p>
      <w:pPr>
        <w:pStyle w:val="ListParagraph"/>
        <w:numPr>
          <w:ilvl w:val="0"/>
          <w:numId w:val="5"/>
        </w:numPr>
        <w:tabs>
          <w:tab w:pos="3001" w:val="left" w:leader="none"/>
        </w:tabs>
        <w:spacing w:line="269" w:lineRule="exact" w:before="140" w:after="0"/>
        <w:ind w:left="3001" w:right="0" w:hanging="261"/>
        <w:jc w:val="left"/>
        <w:rPr>
          <w:sz w:val="18"/>
        </w:rPr>
      </w:pPr>
      <w:r>
        <w:rPr>
          <w:sz w:val="18"/>
          <w:u w:val="single"/>
        </w:rPr>
        <w:t>In re Guideone Mut. Ins. Co</w:t>
      </w:r>
      <w:r>
        <w:rPr>
          <w:sz w:val="18"/>
        </w:rPr>
        <w:t>., 2013 WL 257371 (Tex.App.-Beaumont 2013).</w:t>
      </w:r>
    </w:p>
    <w:p>
      <w:pPr>
        <w:pStyle w:val="ListParagraph"/>
        <w:numPr>
          <w:ilvl w:val="0"/>
          <w:numId w:val="5"/>
        </w:numPr>
        <w:tabs>
          <w:tab w:pos="3001" w:val="left" w:leader="none"/>
        </w:tabs>
        <w:spacing w:line="269" w:lineRule="exact" w:before="0" w:after="0"/>
        <w:ind w:left="3000" w:right="0" w:hanging="261"/>
        <w:jc w:val="left"/>
        <w:rPr>
          <w:sz w:val="18"/>
        </w:rPr>
      </w:pPr>
      <w:r>
        <w:rPr>
          <w:sz w:val="18"/>
          <w:u w:val="single"/>
        </w:rPr>
        <w:t>Lynch</w:t>
      </w:r>
      <w:r>
        <w:rPr>
          <w:spacing w:val="-15"/>
          <w:sz w:val="18"/>
          <w:u w:val="single"/>
        </w:rPr>
        <w:t> </w:t>
      </w:r>
      <w:r>
        <w:rPr>
          <w:sz w:val="18"/>
          <w:u w:val="single"/>
        </w:rPr>
        <w:t>v.</w:t>
      </w:r>
      <w:r>
        <w:rPr>
          <w:spacing w:val="-14"/>
          <w:sz w:val="18"/>
          <w:u w:val="single"/>
        </w:rPr>
        <w:t> </w:t>
      </w:r>
      <w:r>
        <w:rPr>
          <w:sz w:val="18"/>
          <w:u w:val="single"/>
        </w:rPr>
        <w:t>American</w:t>
      </w:r>
      <w:r>
        <w:rPr>
          <w:spacing w:val="-15"/>
          <w:sz w:val="18"/>
          <w:u w:val="single"/>
        </w:rPr>
        <w:t> </w:t>
      </w:r>
      <w:r>
        <w:rPr>
          <w:sz w:val="18"/>
          <w:u w:val="single"/>
        </w:rPr>
        <w:t>Family</w:t>
      </w:r>
      <w:r>
        <w:rPr>
          <w:spacing w:val="-16"/>
          <w:sz w:val="18"/>
          <w:u w:val="single"/>
        </w:rPr>
        <w:t> </w:t>
      </w:r>
      <w:r>
        <w:rPr>
          <w:sz w:val="18"/>
          <w:u w:val="single"/>
        </w:rPr>
        <w:t>Mut.</w:t>
      </w:r>
      <w:r>
        <w:rPr>
          <w:spacing w:val="-11"/>
          <w:sz w:val="18"/>
          <w:u w:val="single"/>
        </w:rPr>
        <w:t> </w:t>
      </w:r>
      <w:r>
        <w:rPr>
          <w:sz w:val="18"/>
          <w:u w:val="single"/>
        </w:rPr>
        <w:t>Ins.</w:t>
      </w:r>
      <w:r>
        <w:rPr>
          <w:spacing w:val="-12"/>
          <w:sz w:val="18"/>
          <w:u w:val="single"/>
        </w:rPr>
        <w:t> </w:t>
      </w:r>
      <w:r>
        <w:rPr>
          <w:sz w:val="18"/>
          <w:u w:val="single"/>
        </w:rPr>
        <w:t>Co.</w:t>
      </w:r>
      <w:r>
        <w:rPr>
          <w:sz w:val="18"/>
        </w:rPr>
        <w:t>,</w:t>
      </w:r>
      <w:r>
        <w:rPr>
          <w:spacing w:val="-11"/>
          <w:sz w:val="18"/>
        </w:rPr>
        <w:t> </w:t>
      </w:r>
      <w:r>
        <w:rPr>
          <w:sz w:val="18"/>
        </w:rPr>
        <w:t>163</w:t>
      </w:r>
      <w:r>
        <w:rPr>
          <w:spacing w:val="-11"/>
          <w:sz w:val="18"/>
        </w:rPr>
        <w:t> </w:t>
      </w:r>
      <w:r>
        <w:rPr>
          <w:sz w:val="18"/>
        </w:rPr>
        <w:t>Wis.2d</w:t>
      </w:r>
      <w:r>
        <w:rPr>
          <w:spacing w:val="-11"/>
          <w:sz w:val="18"/>
        </w:rPr>
        <w:t> </w:t>
      </w:r>
      <w:r>
        <w:rPr>
          <w:sz w:val="18"/>
        </w:rPr>
        <w:t>1003,</w:t>
      </w:r>
      <w:r>
        <w:rPr>
          <w:spacing w:val="-11"/>
          <w:sz w:val="18"/>
        </w:rPr>
        <w:t> </w:t>
      </w:r>
      <w:r>
        <w:rPr>
          <w:sz w:val="18"/>
        </w:rPr>
        <w:t>1008,</w:t>
      </w:r>
      <w:r>
        <w:rPr>
          <w:spacing w:val="-11"/>
          <w:sz w:val="18"/>
        </w:rPr>
        <w:t> </w:t>
      </w:r>
      <w:r>
        <w:rPr>
          <w:sz w:val="18"/>
        </w:rPr>
        <w:t>473</w:t>
      </w:r>
      <w:r>
        <w:rPr>
          <w:spacing w:val="-13"/>
          <w:sz w:val="18"/>
        </w:rPr>
        <w:t> </w:t>
      </w:r>
      <w:r>
        <w:rPr>
          <w:sz w:val="18"/>
        </w:rPr>
        <w:t>N.W.2d</w:t>
      </w:r>
      <w:r>
        <w:rPr>
          <w:spacing w:val="-13"/>
          <w:sz w:val="18"/>
        </w:rPr>
        <w:t> </w:t>
      </w:r>
      <w:r>
        <w:rPr>
          <w:sz w:val="18"/>
        </w:rPr>
        <w:t>515,</w:t>
      </w:r>
      <w:r>
        <w:rPr>
          <w:spacing w:val="-14"/>
          <w:sz w:val="18"/>
        </w:rPr>
        <w:t> </w:t>
      </w:r>
      <w:r>
        <w:rPr>
          <w:sz w:val="18"/>
        </w:rPr>
        <w:t>517</w:t>
      </w:r>
    </w:p>
    <w:p>
      <w:pPr>
        <w:spacing w:line="178" w:lineRule="exact" w:before="19"/>
        <w:ind w:left="2740" w:right="0" w:firstLine="0"/>
        <w:jc w:val="left"/>
        <w:rPr>
          <w:rFonts w:ascii="Times New Roman"/>
          <w:sz w:val="18"/>
        </w:rPr>
      </w:pPr>
      <w:r>
        <w:rPr>
          <w:rFonts w:ascii="Times New Roman"/>
          <w:sz w:val="18"/>
        </w:rPr>
        <w:t>(1991).</w:t>
      </w:r>
    </w:p>
    <w:p>
      <w:pPr>
        <w:pStyle w:val="ListParagraph"/>
        <w:numPr>
          <w:ilvl w:val="0"/>
          <w:numId w:val="5"/>
        </w:numPr>
        <w:tabs>
          <w:tab w:pos="3010" w:val="left" w:leader="none"/>
        </w:tabs>
        <w:spacing w:line="240" w:lineRule="exact" w:before="0" w:after="0"/>
        <w:ind w:left="3010" w:right="0" w:hanging="270"/>
        <w:jc w:val="left"/>
        <w:rPr>
          <w:sz w:val="18"/>
        </w:rPr>
      </w:pPr>
      <w:r>
        <w:rPr>
          <w:sz w:val="18"/>
          <w:u w:val="single"/>
        </w:rPr>
        <w:t>Id.</w:t>
      </w:r>
      <w:r>
        <w:rPr>
          <w:sz w:val="18"/>
        </w:rPr>
        <w:t>,</w:t>
      </w:r>
      <w:r>
        <w:rPr>
          <w:spacing w:val="10"/>
          <w:sz w:val="18"/>
        </w:rPr>
        <w:t> </w:t>
      </w:r>
      <w:r>
        <w:rPr>
          <w:sz w:val="18"/>
        </w:rPr>
        <w:t>citing</w:t>
      </w:r>
      <w:r>
        <w:rPr>
          <w:spacing w:val="7"/>
          <w:sz w:val="18"/>
        </w:rPr>
        <w:t> </w:t>
      </w:r>
      <w:r>
        <w:rPr>
          <w:sz w:val="18"/>
          <w:u w:val="single"/>
        </w:rPr>
        <w:t>Hanby</w:t>
      </w:r>
      <w:r>
        <w:rPr>
          <w:spacing w:val="5"/>
          <w:sz w:val="18"/>
          <w:u w:val="single"/>
        </w:rPr>
        <w:t> </w:t>
      </w:r>
      <w:r>
        <w:rPr>
          <w:sz w:val="18"/>
          <w:u w:val="single"/>
        </w:rPr>
        <w:t>v.</w:t>
      </w:r>
      <w:r>
        <w:rPr>
          <w:spacing w:val="9"/>
          <w:sz w:val="18"/>
          <w:u w:val="single"/>
        </w:rPr>
        <w:t> </w:t>
      </w:r>
      <w:r>
        <w:rPr>
          <w:sz w:val="18"/>
          <w:u w:val="single"/>
        </w:rPr>
        <w:t>Maryland</w:t>
      </w:r>
      <w:r>
        <w:rPr>
          <w:spacing w:val="11"/>
          <w:sz w:val="18"/>
          <w:u w:val="single"/>
        </w:rPr>
        <w:t> </w:t>
      </w:r>
      <w:r>
        <w:rPr>
          <w:sz w:val="18"/>
          <w:u w:val="single"/>
        </w:rPr>
        <w:t>Cas.</w:t>
      </w:r>
      <w:r>
        <w:rPr>
          <w:spacing w:val="15"/>
          <w:sz w:val="18"/>
          <w:u w:val="single"/>
        </w:rPr>
        <w:t> </w:t>
      </w:r>
      <w:r>
        <w:rPr>
          <w:sz w:val="18"/>
          <w:u w:val="single"/>
        </w:rPr>
        <w:t>Co.</w:t>
      </w:r>
      <w:r>
        <w:rPr>
          <w:sz w:val="18"/>
        </w:rPr>
        <w:t>,</w:t>
      </w:r>
      <w:r>
        <w:rPr>
          <w:spacing w:val="11"/>
          <w:sz w:val="18"/>
        </w:rPr>
        <w:t> </w:t>
      </w:r>
      <w:r>
        <w:rPr>
          <w:sz w:val="18"/>
        </w:rPr>
        <w:t>265</w:t>
      </w:r>
      <w:r>
        <w:rPr>
          <w:spacing w:val="10"/>
          <w:sz w:val="18"/>
        </w:rPr>
        <w:t> </w:t>
      </w:r>
      <w:r>
        <w:rPr>
          <w:sz w:val="18"/>
        </w:rPr>
        <w:t>A.2d</w:t>
      </w:r>
      <w:r>
        <w:rPr>
          <w:spacing w:val="11"/>
          <w:sz w:val="18"/>
        </w:rPr>
        <w:t> </w:t>
      </w:r>
      <w:r>
        <w:rPr>
          <w:sz w:val="18"/>
        </w:rPr>
        <w:t>28</w:t>
      </w:r>
      <w:r>
        <w:rPr>
          <w:spacing w:val="11"/>
          <w:sz w:val="18"/>
        </w:rPr>
        <w:t> </w:t>
      </w:r>
      <w:r>
        <w:rPr>
          <w:sz w:val="18"/>
        </w:rPr>
        <w:t>(Del.</w:t>
      </w:r>
      <w:r>
        <w:rPr>
          <w:spacing w:val="10"/>
          <w:sz w:val="18"/>
        </w:rPr>
        <w:t> </w:t>
      </w:r>
      <w:r>
        <w:rPr>
          <w:sz w:val="18"/>
        </w:rPr>
        <w:t>1970)</w:t>
      </w:r>
      <w:r>
        <w:rPr>
          <w:spacing w:val="8"/>
          <w:sz w:val="18"/>
        </w:rPr>
        <w:t> </w:t>
      </w:r>
      <w:r>
        <w:rPr>
          <w:sz w:val="18"/>
        </w:rPr>
        <w:t>(affirming</w:t>
      </w:r>
      <w:r>
        <w:rPr>
          <w:spacing w:val="9"/>
          <w:sz w:val="18"/>
        </w:rPr>
        <w:t> </w:t>
      </w:r>
      <w:r>
        <w:rPr>
          <w:sz w:val="18"/>
        </w:rPr>
        <w:t>the</w:t>
      </w:r>
      <w:r>
        <w:rPr>
          <w:spacing w:val="9"/>
          <w:sz w:val="18"/>
        </w:rPr>
        <w:t> </w:t>
      </w:r>
      <w:r>
        <w:rPr>
          <w:sz w:val="18"/>
        </w:rPr>
        <w:t>trial</w:t>
      </w:r>
    </w:p>
    <w:p>
      <w:pPr>
        <w:spacing w:line="244" w:lineRule="auto" w:before="4"/>
        <w:ind w:left="2740" w:right="2842" w:firstLine="0"/>
        <w:jc w:val="both"/>
        <w:rPr>
          <w:rFonts w:ascii="Times New Roman" w:hAnsi="Times New Roman"/>
          <w:sz w:val="18"/>
        </w:rPr>
      </w:pPr>
      <w:r>
        <w:rPr>
          <w:rFonts w:ascii="Times New Roman" w:hAnsi="Times New Roman"/>
          <w:sz w:val="18"/>
        </w:rPr>
        <w:t>court’s decision to stay proceedings until completion of the appraisal process); </w:t>
      </w:r>
      <w:r>
        <w:rPr>
          <w:rFonts w:ascii="Times New Roman" w:hAnsi="Times New Roman"/>
          <w:sz w:val="18"/>
          <w:u w:val="single"/>
        </w:rPr>
        <w:t>School</w:t>
      </w:r>
      <w:r>
        <w:rPr>
          <w:rFonts w:ascii="Times New Roman" w:hAnsi="Times New Roman"/>
          <w:sz w:val="18"/>
        </w:rPr>
        <w:t> </w:t>
      </w:r>
      <w:r>
        <w:rPr>
          <w:rFonts w:ascii="Times New Roman" w:hAnsi="Times New Roman"/>
          <w:sz w:val="18"/>
          <w:u w:val="single"/>
        </w:rPr>
        <w:t>District</w:t>
      </w:r>
      <w:r>
        <w:rPr>
          <w:rFonts w:ascii="Times New Roman" w:hAnsi="Times New Roman"/>
          <w:sz w:val="18"/>
        </w:rPr>
        <w:t>, 146 Mont. 208 (appraisal may be demanded after suit was commenced as long</w:t>
      </w:r>
      <w:r>
        <w:rPr>
          <w:rFonts w:ascii="Times New Roman" w:hAnsi="Times New Roman"/>
          <w:spacing w:val="-16"/>
          <w:sz w:val="18"/>
        </w:rPr>
        <w:t> </w:t>
      </w:r>
      <w:r>
        <w:rPr>
          <w:rFonts w:ascii="Times New Roman" w:hAnsi="Times New Roman"/>
          <w:sz w:val="18"/>
        </w:rPr>
        <w:t>as demand was made within a reasonable time); </w:t>
      </w:r>
      <w:r>
        <w:rPr>
          <w:rFonts w:ascii="Times New Roman" w:hAnsi="Times New Roman"/>
          <w:sz w:val="18"/>
          <w:u w:val="single"/>
        </w:rPr>
        <w:t>United States Fire Ins. Co. v. Franko</w:t>
      </w:r>
      <w:r>
        <w:rPr>
          <w:rFonts w:ascii="Times New Roman" w:hAnsi="Times New Roman"/>
          <w:sz w:val="18"/>
        </w:rPr>
        <w:t>, 443 So.2d</w:t>
      </w:r>
      <w:r>
        <w:rPr>
          <w:rFonts w:ascii="Times New Roman" w:hAnsi="Times New Roman"/>
          <w:spacing w:val="-6"/>
          <w:sz w:val="18"/>
        </w:rPr>
        <w:t> </w:t>
      </w:r>
      <w:r>
        <w:rPr>
          <w:rFonts w:ascii="Times New Roman" w:hAnsi="Times New Roman"/>
          <w:sz w:val="18"/>
        </w:rPr>
        <w:t>170,</w:t>
      </w:r>
      <w:r>
        <w:rPr>
          <w:rFonts w:ascii="Times New Roman" w:hAnsi="Times New Roman"/>
          <w:spacing w:val="-6"/>
          <w:sz w:val="18"/>
        </w:rPr>
        <w:t> </w:t>
      </w:r>
      <w:r>
        <w:rPr>
          <w:rFonts w:ascii="Times New Roman" w:hAnsi="Times New Roman"/>
          <w:sz w:val="18"/>
        </w:rPr>
        <w:t>171-72</w:t>
      </w:r>
      <w:r>
        <w:rPr>
          <w:rFonts w:ascii="Times New Roman" w:hAnsi="Times New Roman"/>
          <w:spacing w:val="-5"/>
          <w:sz w:val="18"/>
        </w:rPr>
        <w:t> </w:t>
      </w:r>
      <w:r>
        <w:rPr>
          <w:rFonts w:ascii="Times New Roman" w:hAnsi="Times New Roman"/>
          <w:sz w:val="18"/>
        </w:rPr>
        <w:t>(Fla.</w:t>
      </w:r>
      <w:r>
        <w:rPr>
          <w:rFonts w:ascii="Times New Roman" w:hAnsi="Times New Roman"/>
          <w:spacing w:val="-6"/>
          <w:sz w:val="18"/>
        </w:rPr>
        <w:t> </w:t>
      </w:r>
      <w:r>
        <w:rPr>
          <w:rFonts w:ascii="Times New Roman" w:hAnsi="Times New Roman"/>
          <w:sz w:val="18"/>
        </w:rPr>
        <w:t>1</w:t>
      </w:r>
      <w:r>
        <w:rPr>
          <w:rFonts w:ascii="Times New Roman" w:hAnsi="Times New Roman"/>
          <w:position w:val="7"/>
          <w:sz w:val="10"/>
        </w:rPr>
        <w:t>st</w:t>
      </w:r>
      <w:r>
        <w:rPr>
          <w:rFonts w:ascii="Times New Roman" w:hAnsi="Times New Roman"/>
          <w:spacing w:val="17"/>
          <w:position w:val="7"/>
          <w:sz w:val="10"/>
        </w:rPr>
        <w:t> </w:t>
      </w:r>
      <w:r>
        <w:rPr>
          <w:rFonts w:ascii="Times New Roman" w:hAnsi="Times New Roman"/>
          <w:sz w:val="18"/>
        </w:rPr>
        <w:t>DCA1983)</w:t>
      </w:r>
      <w:r>
        <w:rPr>
          <w:rFonts w:ascii="Times New Roman" w:hAnsi="Times New Roman"/>
          <w:spacing w:val="-7"/>
          <w:sz w:val="18"/>
        </w:rPr>
        <w:t> </w:t>
      </w:r>
      <w:r>
        <w:rPr>
          <w:rFonts w:ascii="Times New Roman" w:hAnsi="Times New Roman"/>
          <w:sz w:val="18"/>
        </w:rPr>
        <w:t>(plaintiff’s</w:t>
      </w:r>
      <w:r>
        <w:rPr>
          <w:rFonts w:ascii="Times New Roman" w:hAnsi="Times New Roman"/>
          <w:spacing w:val="-4"/>
          <w:sz w:val="18"/>
        </w:rPr>
        <w:t> </w:t>
      </w:r>
      <w:r>
        <w:rPr>
          <w:rFonts w:ascii="Times New Roman" w:hAnsi="Times New Roman"/>
          <w:sz w:val="18"/>
        </w:rPr>
        <w:t>failure</w:t>
      </w:r>
      <w:r>
        <w:rPr>
          <w:rFonts w:ascii="Times New Roman" w:hAnsi="Times New Roman"/>
          <w:spacing w:val="-8"/>
          <w:sz w:val="18"/>
        </w:rPr>
        <w:t> </w:t>
      </w:r>
      <w:r>
        <w:rPr>
          <w:rFonts w:ascii="Times New Roman" w:hAnsi="Times New Roman"/>
          <w:sz w:val="18"/>
        </w:rPr>
        <w:t>to</w:t>
      </w:r>
      <w:r>
        <w:rPr>
          <w:rFonts w:ascii="Times New Roman" w:hAnsi="Times New Roman"/>
          <w:spacing w:val="-5"/>
          <w:sz w:val="18"/>
        </w:rPr>
        <w:t> </w:t>
      </w:r>
      <w:r>
        <w:rPr>
          <w:rFonts w:ascii="Times New Roman" w:hAnsi="Times New Roman"/>
          <w:sz w:val="18"/>
        </w:rPr>
        <w:t>submit</w:t>
      </w:r>
      <w:r>
        <w:rPr>
          <w:rFonts w:ascii="Times New Roman" w:hAnsi="Times New Roman"/>
          <w:spacing w:val="-6"/>
          <w:sz w:val="18"/>
        </w:rPr>
        <w:t> </w:t>
      </w:r>
      <w:r>
        <w:rPr>
          <w:rFonts w:ascii="Times New Roman" w:hAnsi="Times New Roman"/>
          <w:sz w:val="18"/>
        </w:rPr>
        <w:t>to</w:t>
      </w:r>
      <w:r>
        <w:rPr>
          <w:rFonts w:ascii="Times New Roman" w:hAnsi="Times New Roman"/>
          <w:spacing w:val="-6"/>
          <w:sz w:val="18"/>
        </w:rPr>
        <w:t> </w:t>
      </w:r>
      <w:r>
        <w:rPr>
          <w:rFonts w:ascii="Times New Roman" w:hAnsi="Times New Roman"/>
          <w:sz w:val="18"/>
        </w:rPr>
        <w:t>the</w:t>
      </w:r>
      <w:r>
        <w:rPr>
          <w:rFonts w:ascii="Times New Roman" w:hAnsi="Times New Roman"/>
          <w:spacing w:val="-9"/>
          <w:sz w:val="18"/>
        </w:rPr>
        <w:t> </w:t>
      </w:r>
      <w:r>
        <w:rPr>
          <w:rFonts w:ascii="Times New Roman" w:hAnsi="Times New Roman"/>
          <w:sz w:val="18"/>
        </w:rPr>
        <w:t>appraisal</w:t>
      </w:r>
      <w:r>
        <w:rPr>
          <w:rFonts w:ascii="Times New Roman" w:hAnsi="Times New Roman"/>
          <w:spacing w:val="-8"/>
          <w:sz w:val="18"/>
        </w:rPr>
        <w:t> </w:t>
      </w:r>
      <w:r>
        <w:rPr>
          <w:rFonts w:ascii="Times New Roman" w:hAnsi="Times New Roman"/>
          <w:sz w:val="18"/>
        </w:rPr>
        <w:t>process demanded after the complaint was filed warranted dismissal of the</w:t>
      </w:r>
      <w:r>
        <w:rPr>
          <w:rFonts w:ascii="Times New Roman" w:hAnsi="Times New Roman"/>
          <w:spacing w:val="-9"/>
          <w:sz w:val="18"/>
        </w:rPr>
        <w:t> </w:t>
      </w:r>
      <w:r>
        <w:rPr>
          <w:rFonts w:ascii="Times New Roman" w:hAnsi="Times New Roman"/>
          <w:sz w:val="18"/>
        </w:rPr>
        <w:t>lawsuit).</w:t>
      </w:r>
    </w:p>
    <w:p>
      <w:pPr>
        <w:spacing w:after="0" w:line="244" w:lineRule="auto"/>
        <w:jc w:val="both"/>
        <w:rPr>
          <w:rFonts w:ascii="Times New Roman" w:hAnsi="Times New Roman"/>
          <w:sz w:val="18"/>
        </w:rPr>
        <w:sectPr>
          <w:type w:val="continuous"/>
          <w:pgSz w:w="12240" w:h="15840"/>
          <w:pgMar w:top="1500" w:bottom="2460" w:left="140" w:right="40"/>
        </w:sectPr>
      </w:pPr>
    </w:p>
    <w:p>
      <w:pPr>
        <w:pStyle w:val="BodyText"/>
        <w:ind w:left="1033"/>
        <w:rPr>
          <w:rFonts w:ascii="Times New Roman"/>
          <w:sz w:val="20"/>
        </w:rPr>
      </w:pPr>
      <w:r>
        <w:rPr>
          <w:rFonts w:ascii="Times New Roman"/>
          <w:sz w:val="20"/>
        </w:rPr>
        <w:pict>
          <v:group style="width:145.75pt;height:43.8pt;mso-position-horizontal-relative:char;mso-position-vertical-relative:line" coordorigin="0,0" coordsize="2915,876">
            <v:shape style="position:absolute;left:10;top:10;width:2895;height:856" type="#_x0000_t75" stroked="false">
              <v:imagedata r:id="rId19" o:title=""/>
            </v:shape>
            <v:shape style="position:absolute;left:10;top:10;width:2895;height:856" coordorigin="10,10" coordsize="2895,856" path="m10,170l10,706,23,768,57,819,108,853,170,866,2744,866,2807,853,2857,819,2892,768,2904,706,2904,170,2892,108,2857,57,2807,23,2744,10,170,10,108,23,57,57,23,108,10,170xe" filled="false" stroked="true" strokeweight="1pt" strokecolor="#2d4b11">
              <v:path arrowok="t"/>
              <v:stroke dashstyle="solid"/>
            </v:shape>
            <v:shape style="position:absolute;left:0;top:0;width:2915;height:876" type="#_x0000_t202" filled="false" stroked="false">
              <v:textbox inset="0,0,0,0">
                <w:txbxContent>
                  <w:p>
                    <w:pPr>
                      <w:spacing w:before="198"/>
                      <w:ind w:left="215" w:right="0" w:firstLine="0"/>
                      <w:jc w:val="left"/>
                      <w:rPr>
                        <w:rFonts w:ascii="Arial"/>
                        <w:b/>
                        <w:i/>
                        <w:sz w:val="45"/>
                      </w:rPr>
                    </w:pPr>
                    <w:bookmarkStart w:name="Law and Procedure 214" w:id="28"/>
                    <w:bookmarkEnd w:id="28"/>
                    <w:r>
                      <w:rPr/>
                    </w:r>
                    <w:r>
                      <w:rPr>
                        <w:rFonts w:ascii="Arial"/>
                        <w:b/>
                        <w:i/>
                        <w:color w:val="267E00"/>
                        <w:sz w:val="45"/>
                      </w:rPr>
                      <w:t>Case Study</w:t>
                    </w:r>
                  </w:p>
                </w:txbxContent>
              </v:textbox>
              <w10:wrap type="none"/>
            </v:shape>
          </v:group>
        </w:pict>
      </w:r>
      <w:r>
        <w:rPr>
          <w:rFonts w:ascii="Times New Roman"/>
          <w:sz w:val="20"/>
        </w:rPr>
      </w:r>
    </w:p>
    <w:p>
      <w:pPr>
        <w:pStyle w:val="BodyText"/>
        <w:rPr>
          <w:rFonts w:ascii="Times New Roman"/>
          <w:sz w:val="20"/>
        </w:rPr>
      </w:pPr>
    </w:p>
    <w:p>
      <w:pPr>
        <w:pStyle w:val="BodyText"/>
        <w:rPr>
          <w:rFonts w:ascii="Times New Roman"/>
          <w:sz w:val="17"/>
        </w:rPr>
      </w:pPr>
    </w:p>
    <w:p>
      <w:pPr>
        <w:pStyle w:val="BodyText"/>
        <w:spacing w:line="242" w:lineRule="auto" w:before="42"/>
        <w:ind w:left="3100" w:right="3198" w:firstLine="720"/>
        <w:jc w:val="both"/>
      </w:pPr>
      <w:r>
        <w:rPr/>
        <w:pict>
          <v:rect style="position:absolute;margin-left:212.720001pt;margin-top:18.986176pt;width:379.295pt;height:229.92pt;mso-position-horizontal-relative:page;mso-position-vertical-relative:paragraph;z-index:-254200832" filled="false" stroked="true" strokeweight="2.56pt" strokecolor="#87261f">
            <v:stroke dashstyle="solid"/>
            <w10:wrap type="none"/>
          </v:rect>
        </w:pict>
      </w:r>
      <w:r>
        <w:rPr>
          <w:spacing w:val="3"/>
        </w:rPr>
        <w:t>In </w:t>
      </w:r>
      <w:r>
        <w:rPr/>
        <w:t>Maine, the United States Court of Appeals, First Circuit, stated that while a mechanical rule embracing all possible cases is not possible or appropriate, it is sufficient to state that by waiting until after discovery had been completed and the long-scheduled</w:t>
      </w:r>
      <w:r>
        <w:rPr>
          <w:spacing w:val="-50"/>
        </w:rPr>
        <w:t> </w:t>
      </w:r>
      <w:r>
        <w:rPr/>
        <w:t>trial date had almost arrived, that the carrier did unduly delay invoking the appraisal clause. The required elements which must be established in order to prove a waiver of the right</w:t>
      </w:r>
      <w:r>
        <w:rPr>
          <w:spacing w:val="-33"/>
        </w:rPr>
        <w:t> </w:t>
      </w:r>
      <w:r>
        <w:rPr/>
        <w:t>to</w:t>
      </w:r>
      <w:r>
        <w:rPr>
          <w:spacing w:val="-32"/>
        </w:rPr>
        <w:t> </w:t>
      </w:r>
      <w:r>
        <w:rPr/>
        <w:t>demand</w:t>
      </w:r>
      <w:r>
        <w:rPr>
          <w:spacing w:val="-33"/>
        </w:rPr>
        <w:t> </w:t>
      </w:r>
      <w:r>
        <w:rPr/>
        <w:t>appraisal</w:t>
      </w:r>
      <w:r>
        <w:rPr>
          <w:spacing w:val="-33"/>
        </w:rPr>
        <w:t> </w:t>
      </w:r>
      <w:r>
        <w:rPr>
          <w:spacing w:val="-3"/>
        </w:rPr>
        <w:t>are</w:t>
      </w:r>
      <w:r>
        <w:rPr>
          <w:spacing w:val="-35"/>
        </w:rPr>
        <w:t> </w:t>
      </w:r>
      <w:r>
        <w:rPr>
          <w:spacing w:val="-3"/>
        </w:rPr>
        <w:t>the</w:t>
      </w:r>
      <w:r>
        <w:rPr>
          <w:spacing w:val="-34"/>
        </w:rPr>
        <w:t> </w:t>
      </w:r>
      <w:r>
        <w:rPr/>
        <w:t>components of</w:t>
      </w:r>
      <w:r>
        <w:rPr>
          <w:spacing w:val="-26"/>
        </w:rPr>
        <w:t> </w:t>
      </w:r>
      <w:r>
        <w:rPr/>
        <w:t>undue</w:t>
      </w:r>
      <w:r>
        <w:rPr>
          <w:spacing w:val="-25"/>
        </w:rPr>
        <w:t> </w:t>
      </w:r>
      <w:r>
        <w:rPr/>
        <w:t>delay</w:t>
      </w:r>
      <w:r>
        <w:rPr>
          <w:spacing w:val="-29"/>
        </w:rPr>
        <w:t> </w:t>
      </w:r>
      <w:r>
        <w:rPr/>
        <w:t>plus</w:t>
      </w:r>
      <w:r>
        <w:rPr>
          <w:spacing w:val="-26"/>
        </w:rPr>
        <w:t> </w:t>
      </w:r>
      <w:r>
        <w:rPr/>
        <w:t>a</w:t>
      </w:r>
      <w:r>
        <w:rPr>
          <w:spacing w:val="-26"/>
        </w:rPr>
        <w:t> </w:t>
      </w:r>
      <w:r>
        <w:rPr/>
        <w:t>modicum</w:t>
      </w:r>
      <w:r>
        <w:rPr>
          <w:spacing w:val="-26"/>
        </w:rPr>
        <w:t> </w:t>
      </w:r>
      <w:r>
        <w:rPr/>
        <w:t>of</w:t>
      </w:r>
      <w:r>
        <w:rPr>
          <w:spacing w:val="-26"/>
        </w:rPr>
        <w:t> </w:t>
      </w:r>
      <w:r>
        <w:rPr/>
        <w:t>prejudice</w:t>
      </w:r>
      <w:r>
        <w:rPr>
          <w:spacing w:val="-27"/>
        </w:rPr>
        <w:t> </w:t>
      </w:r>
      <w:r>
        <w:rPr/>
        <w:t>to the other</w:t>
      </w:r>
      <w:r>
        <w:rPr>
          <w:spacing w:val="-3"/>
        </w:rPr>
        <w:t> </w:t>
      </w:r>
      <w:r>
        <w:rPr/>
        <w:t>side.</w:t>
      </w:r>
      <w:r>
        <w:rPr>
          <w:vertAlign w:val="superscript"/>
        </w:rPr>
        <w:t>478</w:t>
      </w:r>
    </w:p>
    <w:p>
      <w:pPr>
        <w:pStyle w:val="BodyText"/>
        <w:spacing w:before="10"/>
        <w:rPr>
          <w:sz w:val="25"/>
        </w:rPr>
      </w:pPr>
    </w:p>
    <w:p>
      <w:pPr>
        <w:pStyle w:val="BodyText"/>
        <w:spacing w:line="242" w:lineRule="auto"/>
        <w:ind w:left="3100" w:right="3196" w:firstLine="720"/>
        <w:jc w:val="both"/>
      </w:pPr>
      <w:r>
        <w:rPr/>
        <w:pict>
          <v:shape style="position:absolute;margin-left:308.436981pt;margin-top:106.075172pt;width:223.75pt;height:11.45pt;mso-position-horizontal-relative:page;mso-position-vertical-relative:paragraph;z-index:-254201856" coordorigin="6169,2122" coordsize="4475,229" path="m10634,2122l6178,2122,6169,2131,6169,2341,6178,2350,10634,2350,10643,2341,10643,2131,10634,2122xe" filled="true" fillcolor="#bcefd5" stroked="false">
            <v:path arrowok="t"/>
            <v:fill opacity="32112f" type="solid"/>
            <w10:wrap type="none"/>
          </v:shape>
        </w:pict>
      </w:r>
      <w:r>
        <w:rPr>
          <w:spacing w:val="3"/>
        </w:rPr>
        <w:t>In</w:t>
      </w:r>
      <w:r>
        <w:rPr>
          <w:spacing w:val="-13"/>
        </w:rPr>
        <w:t> </w:t>
      </w:r>
      <w:r>
        <w:rPr/>
        <w:t>Alabama,</w:t>
      </w:r>
      <w:r>
        <w:rPr>
          <w:spacing w:val="-13"/>
        </w:rPr>
        <w:t> </w:t>
      </w:r>
      <w:r>
        <w:rPr/>
        <w:t>the</w:t>
      </w:r>
      <w:r>
        <w:rPr>
          <w:spacing w:val="-16"/>
        </w:rPr>
        <w:t> </w:t>
      </w:r>
      <w:r>
        <w:rPr/>
        <w:t>court</w:t>
      </w:r>
      <w:r>
        <w:rPr>
          <w:spacing w:val="-16"/>
        </w:rPr>
        <w:t> </w:t>
      </w:r>
      <w:r>
        <w:rPr/>
        <w:t>declared</w:t>
      </w:r>
      <w:r>
        <w:rPr>
          <w:spacing w:val="-16"/>
        </w:rPr>
        <w:t> </w:t>
      </w:r>
      <w:r>
        <w:rPr/>
        <w:t>a</w:t>
      </w:r>
      <w:r>
        <w:rPr>
          <w:spacing w:val="-13"/>
        </w:rPr>
        <w:t> </w:t>
      </w:r>
      <w:r>
        <w:rPr/>
        <w:t>policy void and determined no coverage existed where the insured had made intentional, material</w:t>
      </w:r>
      <w:r>
        <w:rPr>
          <w:spacing w:val="-31"/>
        </w:rPr>
        <w:t> </w:t>
      </w:r>
      <w:r>
        <w:rPr/>
        <w:t>misrepresentations</w:t>
      </w:r>
      <w:r>
        <w:rPr>
          <w:spacing w:val="-31"/>
        </w:rPr>
        <w:t> </w:t>
      </w:r>
      <w:r>
        <w:rPr/>
        <w:t>in</w:t>
      </w:r>
      <w:r>
        <w:rPr>
          <w:spacing w:val="-32"/>
        </w:rPr>
        <w:t> </w:t>
      </w:r>
      <w:r>
        <w:rPr/>
        <w:t>asserting</w:t>
      </w:r>
      <w:r>
        <w:rPr>
          <w:spacing w:val="-33"/>
        </w:rPr>
        <w:t> </w:t>
      </w:r>
      <w:r>
        <w:rPr/>
        <w:t>a</w:t>
      </w:r>
      <w:r>
        <w:rPr>
          <w:spacing w:val="-35"/>
        </w:rPr>
        <w:t> </w:t>
      </w:r>
      <w:r>
        <w:rPr/>
        <w:t>claim for</w:t>
      </w:r>
      <w:r>
        <w:rPr>
          <w:spacing w:val="-27"/>
        </w:rPr>
        <w:t> </w:t>
      </w:r>
      <w:r>
        <w:rPr/>
        <w:t>hurricane</w:t>
      </w:r>
      <w:r>
        <w:rPr>
          <w:spacing w:val="-27"/>
        </w:rPr>
        <w:t> </w:t>
      </w:r>
      <w:r>
        <w:rPr/>
        <w:t>damage.</w:t>
      </w:r>
      <w:r>
        <w:rPr>
          <w:spacing w:val="-27"/>
        </w:rPr>
        <w:t> </w:t>
      </w:r>
      <w:r>
        <w:rPr/>
        <w:t>This</w:t>
      </w:r>
      <w:r>
        <w:rPr>
          <w:spacing w:val="-26"/>
        </w:rPr>
        <w:t> </w:t>
      </w:r>
      <w:r>
        <w:rPr/>
        <w:t>was</w:t>
      </w:r>
      <w:r>
        <w:rPr>
          <w:spacing w:val="-28"/>
        </w:rPr>
        <w:t> </w:t>
      </w:r>
      <w:r>
        <w:rPr/>
        <w:t>in</w:t>
      </w:r>
      <w:r>
        <w:rPr>
          <w:spacing w:val="-25"/>
        </w:rPr>
        <w:t> </w:t>
      </w:r>
      <w:r>
        <w:rPr/>
        <w:t>light</w:t>
      </w:r>
      <w:r>
        <w:rPr>
          <w:spacing w:val="-28"/>
        </w:rPr>
        <w:t> </w:t>
      </w:r>
      <w:r>
        <w:rPr/>
        <w:t>of</w:t>
      </w:r>
      <w:r>
        <w:rPr>
          <w:spacing w:val="-25"/>
        </w:rPr>
        <w:t> </w:t>
      </w:r>
      <w:r>
        <w:rPr/>
        <w:t>policy language that voided coverage if the</w:t>
      </w:r>
      <w:r>
        <w:rPr>
          <w:spacing w:val="-26"/>
        </w:rPr>
        <w:t> </w:t>
      </w:r>
      <w:r>
        <w:rPr/>
        <w:t>insured “intentionally</w:t>
      </w:r>
      <w:r>
        <w:rPr>
          <w:spacing w:val="-23"/>
        </w:rPr>
        <w:t> </w:t>
      </w:r>
      <w:r>
        <w:rPr/>
        <w:t>conceal[ed]</w:t>
      </w:r>
      <w:r>
        <w:rPr>
          <w:spacing w:val="-20"/>
        </w:rPr>
        <w:t> </w:t>
      </w:r>
      <w:r>
        <w:rPr/>
        <w:t>or</w:t>
      </w:r>
      <w:r>
        <w:rPr>
          <w:spacing w:val="-25"/>
        </w:rPr>
        <w:t> </w:t>
      </w:r>
      <w:r>
        <w:rPr/>
        <w:t>misrepresent[ed] a material fact concerning the claim”. Ultimately, the court determined that the insurer was within its right to perform this investigation of the claim before pursuing </w:t>
      </w:r>
      <w:r>
        <w:rPr>
          <w:spacing w:val="4"/>
        </w:rPr>
        <w:t>appraisal, </w:t>
      </w:r>
      <w:r>
        <w:rPr>
          <w:spacing w:val="3"/>
        </w:rPr>
        <w:t>and granted </w:t>
      </w:r>
      <w:r>
        <w:rPr>
          <w:spacing w:val="2"/>
        </w:rPr>
        <w:t>the insurer </w:t>
      </w:r>
      <w:r>
        <w:rPr/>
        <w:t>a declaratory judgment stating that the issued policy was void and coverage</w:t>
      </w:r>
      <w:r>
        <w:rPr>
          <w:spacing w:val="-16"/>
        </w:rPr>
        <w:t> </w:t>
      </w:r>
      <w:r>
        <w:rPr/>
        <w:t>nonexistent.</w:t>
      </w:r>
      <w:r>
        <w:rPr>
          <w:u w:val="single"/>
          <w:vertAlign w:val="superscript"/>
        </w:rPr>
        <w:t>479</w:t>
      </w:r>
    </w:p>
    <w:p>
      <w:pPr>
        <w:pStyle w:val="BodyText"/>
        <w:rPr>
          <w:sz w:val="20"/>
        </w:rPr>
      </w:pPr>
    </w:p>
    <w:p>
      <w:pPr>
        <w:pStyle w:val="BodyText"/>
        <w:spacing w:before="4"/>
        <w:rPr>
          <w:sz w:val="22"/>
        </w:rPr>
      </w:pPr>
      <w:r>
        <w:rPr/>
        <w:pict>
          <v:shape style="position:absolute;margin-left:162pt;margin-top:16.104565pt;width:143.9pt;height:.1pt;mso-position-horizontal-relative:page;mso-position-vertical-relative:paragraph;z-index:-251576320;mso-wrap-distance-left:0;mso-wrap-distance-right:0" coordorigin="3240,322" coordsize="2878,0" path="m3240,322l6118,32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3015" w:val="left" w:leader="none"/>
        </w:tabs>
        <w:spacing w:line="256" w:lineRule="exact" w:before="71" w:after="0"/>
        <w:ind w:left="3014" w:right="0" w:hanging="275"/>
        <w:jc w:val="left"/>
        <w:rPr>
          <w:sz w:val="18"/>
        </w:rPr>
      </w:pPr>
      <w:r>
        <w:rPr>
          <w:sz w:val="18"/>
          <w:u w:val="single"/>
        </w:rPr>
        <w:t>Rankin v. Allstate Ins. Co.</w:t>
      </w:r>
      <w:r>
        <w:rPr>
          <w:sz w:val="18"/>
        </w:rPr>
        <w:t>, 336 F.3d 8 (1</w:t>
      </w:r>
      <w:r>
        <w:rPr>
          <w:position w:val="7"/>
          <w:sz w:val="10"/>
        </w:rPr>
        <w:t>st </w:t>
      </w:r>
      <w:r>
        <w:rPr>
          <w:sz w:val="18"/>
        </w:rPr>
        <w:t>Circ. Conn.</w:t>
      </w:r>
      <w:r>
        <w:rPr>
          <w:spacing w:val="2"/>
          <w:sz w:val="18"/>
        </w:rPr>
        <w:t> </w:t>
      </w:r>
      <w:r>
        <w:rPr>
          <w:sz w:val="18"/>
        </w:rPr>
        <w:t>2003).</w:t>
      </w:r>
    </w:p>
    <w:p>
      <w:pPr>
        <w:pStyle w:val="ListParagraph"/>
        <w:numPr>
          <w:ilvl w:val="0"/>
          <w:numId w:val="5"/>
        </w:numPr>
        <w:tabs>
          <w:tab w:pos="3032" w:val="left" w:leader="none"/>
        </w:tabs>
        <w:spacing w:line="228" w:lineRule="exact" w:before="35" w:after="0"/>
        <w:ind w:left="2740" w:right="2842" w:firstLine="0"/>
        <w:jc w:val="left"/>
        <w:rPr>
          <w:rFonts w:ascii="Century Gothic"/>
          <w:sz w:val="18"/>
        </w:rPr>
      </w:pPr>
      <w:r>
        <w:rPr>
          <w:sz w:val="18"/>
          <w:u w:val="single"/>
        </w:rPr>
        <w:t>Scottsdale Ins. Co. v. Prayer Tabernacle Early Church of Jesus Christ</w:t>
      </w:r>
      <w:r>
        <w:rPr>
          <w:rFonts w:ascii="Century Gothic"/>
          <w:sz w:val="18"/>
        </w:rPr>
        <w:t>, </w:t>
      </w:r>
      <w:r>
        <w:rPr>
          <w:sz w:val="18"/>
        </w:rPr>
        <w:t>2011 WL 3320544 (S.D. Ala.</w:t>
      </w:r>
      <w:r>
        <w:rPr>
          <w:spacing w:val="1"/>
          <w:sz w:val="18"/>
        </w:rPr>
        <w:t> </w:t>
      </w:r>
      <w:r>
        <w:rPr>
          <w:sz w:val="18"/>
        </w:rPr>
        <w:t>2011)</w:t>
      </w:r>
      <w:r>
        <w:rPr>
          <w:rFonts w:ascii="Century Gothic"/>
          <w:sz w:val="18"/>
        </w:rPr>
        <w:t>.</w:t>
      </w:r>
    </w:p>
    <w:p>
      <w:pPr>
        <w:spacing w:after="0" w:line="228" w:lineRule="exact"/>
        <w:jc w:val="left"/>
        <w:rPr>
          <w:rFonts w:ascii="Century Gothic"/>
          <w:sz w:val="18"/>
        </w:rPr>
        <w:sectPr>
          <w:pgSz w:w="12240" w:h="15840"/>
          <w:pgMar w:header="0" w:footer="2273" w:top="116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195" w:firstLine="720"/>
        <w:jc w:val="both"/>
      </w:pPr>
      <w:bookmarkStart w:name="Law and Procedure 215" w:id="29"/>
      <w:bookmarkEnd w:id="29"/>
      <w:r>
        <w:rPr/>
      </w:r>
      <w:r>
        <w:rPr/>
        <w:t>A demand for appraisal was </w:t>
      </w:r>
      <w:r>
        <w:rPr>
          <w:spacing w:val="-3"/>
        </w:rPr>
        <w:t>deemed </w:t>
      </w:r>
      <w:r>
        <w:rPr/>
        <w:t>untimely and thus a provision was rendered unenforceable </w:t>
      </w:r>
      <w:r>
        <w:rPr>
          <w:spacing w:val="2"/>
        </w:rPr>
        <w:t>in </w:t>
      </w:r>
      <w:r>
        <w:rPr/>
        <w:t>a decision in which requirements for timeliness were explored in Louisiana. The court asserted that a "critical factor" in evaluating timeliness is when a dispute surrounding an amount of loss arose, and noted that where there was no contractual guidance as to when appraisal must</w:t>
      </w:r>
      <w:r>
        <w:rPr>
          <w:spacing w:val="-16"/>
        </w:rPr>
        <w:t> </w:t>
      </w:r>
      <w:r>
        <w:rPr/>
        <w:t>be</w:t>
      </w:r>
      <w:r>
        <w:rPr>
          <w:spacing w:val="-17"/>
        </w:rPr>
        <w:t> </w:t>
      </w:r>
      <w:r>
        <w:rPr/>
        <w:t>invoked,</w:t>
      </w:r>
      <w:r>
        <w:rPr>
          <w:spacing w:val="-19"/>
        </w:rPr>
        <w:t> </w:t>
      </w:r>
      <w:r>
        <w:rPr/>
        <w:t>then</w:t>
      </w:r>
      <w:r>
        <w:rPr>
          <w:spacing w:val="-17"/>
        </w:rPr>
        <w:t> </w:t>
      </w:r>
      <w:r>
        <w:rPr/>
        <w:t>it</w:t>
      </w:r>
      <w:r>
        <w:rPr>
          <w:spacing w:val="-16"/>
        </w:rPr>
        <w:t> </w:t>
      </w:r>
      <w:r>
        <w:rPr/>
        <w:t>must</w:t>
      </w:r>
      <w:r>
        <w:rPr>
          <w:spacing w:val="-16"/>
        </w:rPr>
        <w:t> </w:t>
      </w:r>
      <w:r>
        <w:rPr/>
        <w:t>be</w:t>
      </w:r>
      <w:r>
        <w:rPr>
          <w:spacing w:val="-14"/>
        </w:rPr>
        <w:t> </w:t>
      </w:r>
      <w:r>
        <w:rPr/>
        <w:t>done</w:t>
      </w:r>
      <w:r>
        <w:rPr>
          <w:spacing w:val="-14"/>
        </w:rPr>
        <w:t> </w:t>
      </w:r>
      <w:r>
        <w:rPr/>
        <w:t>within</w:t>
      </w:r>
      <w:r>
        <w:rPr>
          <w:spacing w:val="-14"/>
        </w:rPr>
        <w:t> </w:t>
      </w:r>
      <w:r>
        <w:rPr/>
        <w:t>a reasonable time following the dispute. The Court</w:t>
      </w:r>
      <w:r>
        <w:rPr>
          <w:spacing w:val="-15"/>
        </w:rPr>
        <w:t> </w:t>
      </w:r>
      <w:r>
        <w:rPr/>
        <w:t>looked</w:t>
      </w:r>
      <w:r>
        <w:rPr>
          <w:spacing w:val="-12"/>
        </w:rPr>
        <w:t> </w:t>
      </w:r>
      <w:r>
        <w:rPr/>
        <w:t>to</w:t>
      </w:r>
      <w:r>
        <w:rPr>
          <w:spacing w:val="-13"/>
        </w:rPr>
        <w:t> </w:t>
      </w:r>
      <w:r>
        <w:rPr/>
        <w:t>other</w:t>
      </w:r>
      <w:r>
        <w:rPr>
          <w:spacing w:val="-16"/>
        </w:rPr>
        <w:t> </w:t>
      </w:r>
      <w:r>
        <w:rPr/>
        <w:t>state</w:t>
      </w:r>
      <w:r>
        <w:rPr>
          <w:spacing w:val="-15"/>
        </w:rPr>
        <w:t> </w:t>
      </w:r>
      <w:r>
        <w:rPr/>
        <w:t>decisions</w:t>
      </w:r>
      <w:r>
        <w:rPr>
          <w:spacing w:val="-12"/>
        </w:rPr>
        <w:t> </w:t>
      </w:r>
      <w:r>
        <w:rPr/>
        <w:t>to</w:t>
      </w:r>
      <w:r>
        <w:rPr>
          <w:spacing w:val="-12"/>
        </w:rPr>
        <w:t> </w:t>
      </w:r>
      <w:r>
        <w:rPr/>
        <w:t>further define this reasonableness requirement, and confirmed that the timing of the demand should be consistent with the subject policy’s Loss Payment Provision. </w:t>
      </w:r>
      <w:r>
        <w:rPr>
          <w:spacing w:val="2"/>
        </w:rPr>
        <w:t>In </w:t>
      </w:r>
      <w:r>
        <w:rPr/>
        <w:t>this particular case, an</w:t>
      </w:r>
      <w:r>
        <w:rPr>
          <w:spacing w:val="-23"/>
        </w:rPr>
        <w:t> </w:t>
      </w:r>
      <w:r>
        <w:rPr/>
        <w:t>insurer's</w:t>
      </w:r>
      <w:r>
        <w:rPr>
          <w:spacing w:val="-23"/>
        </w:rPr>
        <w:t> </w:t>
      </w:r>
      <w:r>
        <w:rPr/>
        <w:t>request</w:t>
      </w:r>
      <w:r>
        <w:rPr>
          <w:spacing w:val="-25"/>
        </w:rPr>
        <w:t> </w:t>
      </w:r>
      <w:r>
        <w:rPr/>
        <w:t>was</w:t>
      </w:r>
      <w:r>
        <w:rPr>
          <w:spacing w:val="-22"/>
        </w:rPr>
        <w:t> </w:t>
      </w:r>
      <w:r>
        <w:rPr/>
        <w:t>held</w:t>
      </w:r>
      <w:r>
        <w:rPr>
          <w:spacing w:val="-24"/>
        </w:rPr>
        <w:t> </w:t>
      </w:r>
      <w:r>
        <w:rPr/>
        <w:t>untimely</w:t>
      </w:r>
      <w:r>
        <w:rPr>
          <w:spacing w:val="-23"/>
        </w:rPr>
        <w:t> </w:t>
      </w:r>
      <w:r>
        <w:rPr/>
        <w:t>because it had not provided insureds with notice of its intent to request appraisal within 30 days</w:t>
      </w:r>
      <w:r>
        <w:rPr>
          <w:spacing w:val="-24"/>
        </w:rPr>
        <w:t> </w:t>
      </w:r>
      <w:r>
        <w:rPr/>
        <w:t>from when the proof of loss was submitted as required.</w:t>
      </w:r>
      <w:r>
        <w:rPr>
          <w:vertAlign w:val="superscript"/>
        </w:rPr>
        <w:t>480</w:t>
      </w:r>
    </w:p>
    <w:p>
      <w:pPr>
        <w:pStyle w:val="BodyText"/>
        <w:spacing w:before="7"/>
        <w:rPr>
          <w:sz w:val="25"/>
        </w:rPr>
      </w:pPr>
    </w:p>
    <w:p>
      <w:pPr>
        <w:pStyle w:val="BodyText"/>
        <w:spacing w:line="242" w:lineRule="auto"/>
        <w:ind w:left="3100" w:right="3198" w:firstLine="720"/>
        <w:jc w:val="both"/>
      </w:pPr>
      <w:r>
        <w:rPr>
          <w:spacing w:val="3"/>
        </w:rPr>
        <w:t>In </w:t>
      </w:r>
      <w:r>
        <w:rPr/>
        <w:t>Louisiana, an insurer’s demand </w:t>
      </w:r>
      <w:r>
        <w:rPr>
          <w:spacing w:val="-4"/>
        </w:rPr>
        <w:t>for </w:t>
      </w:r>
      <w:r>
        <w:rPr/>
        <w:t>appraisal and request for a stay of litigation made</w:t>
      </w:r>
      <w:r>
        <w:rPr>
          <w:spacing w:val="-35"/>
        </w:rPr>
        <w:t> </w:t>
      </w:r>
      <w:r>
        <w:rPr/>
        <w:t>just</w:t>
      </w:r>
      <w:r>
        <w:rPr>
          <w:spacing w:val="-35"/>
        </w:rPr>
        <w:t> </w:t>
      </w:r>
      <w:r>
        <w:rPr/>
        <w:t>weeks</w:t>
      </w:r>
      <w:r>
        <w:rPr>
          <w:spacing w:val="-36"/>
        </w:rPr>
        <w:t> </w:t>
      </w:r>
      <w:r>
        <w:rPr/>
        <w:t>before</w:t>
      </w:r>
      <w:r>
        <w:rPr>
          <w:spacing w:val="-35"/>
        </w:rPr>
        <w:t> </w:t>
      </w:r>
      <w:r>
        <w:rPr/>
        <w:t>trial</w:t>
      </w:r>
      <w:r>
        <w:rPr>
          <w:spacing w:val="-33"/>
        </w:rPr>
        <w:t> </w:t>
      </w:r>
      <w:r>
        <w:rPr/>
        <w:t>was</w:t>
      </w:r>
      <w:r>
        <w:rPr>
          <w:spacing w:val="-33"/>
        </w:rPr>
        <w:t> </w:t>
      </w:r>
      <w:r>
        <w:rPr/>
        <w:t>determined</w:t>
      </w:r>
      <w:r>
        <w:rPr>
          <w:spacing w:val="-33"/>
        </w:rPr>
        <w:t> </w:t>
      </w:r>
      <w:r>
        <w:rPr/>
        <w:t>to be unreasonable and</w:t>
      </w:r>
      <w:r>
        <w:rPr>
          <w:spacing w:val="-4"/>
        </w:rPr>
        <w:t> </w:t>
      </w:r>
      <w:r>
        <w:rPr/>
        <w:t>untimely.</w:t>
      </w:r>
      <w:r>
        <w:rPr>
          <w:vertAlign w:val="superscript"/>
        </w:rPr>
        <w:t>481</w:t>
      </w:r>
    </w:p>
    <w:p>
      <w:pPr>
        <w:pStyle w:val="BodyText"/>
        <w:spacing w:before="2"/>
      </w:pPr>
    </w:p>
    <w:p>
      <w:pPr>
        <w:pStyle w:val="BodyText"/>
        <w:spacing w:line="242" w:lineRule="auto"/>
        <w:ind w:left="3100" w:right="3197" w:firstLine="720"/>
        <w:jc w:val="both"/>
      </w:pPr>
      <w:r>
        <w:rPr/>
        <w:t>In Georgia, specific performance of an appraisal provision was not warranted where</w:t>
      </w:r>
    </w:p>
    <w:p>
      <w:pPr>
        <w:pStyle w:val="BodyText"/>
        <w:spacing w:before="5"/>
        <w:rPr>
          <w:sz w:val="27"/>
        </w:rPr>
      </w:pPr>
      <w:r>
        <w:rPr/>
        <w:pict>
          <v:shape style="position:absolute;margin-left:162pt;margin-top:19.226568pt;width:143.9pt;height:.1pt;mso-position-horizontal-relative:page;mso-position-vertical-relative:paragraph;z-index:-251573248;mso-wrap-distance-left:0;mso-wrap-distance-right:0" coordorigin="3240,385" coordsize="2878,0" path="m3240,385l6118,385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5"/>
        </w:numPr>
        <w:tabs>
          <w:tab w:pos="3027" w:val="left" w:leader="none"/>
        </w:tabs>
        <w:spacing w:line="240" w:lineRule="auto" w:before="72" w:after="0"/>
        <w:ind w:left="3026" w:right="0" w:hanging="287"/>
        <w:jc w:val="left"/>
        <w:rPr>
          <w:sz w:val="18"/>
        </w:rPr>
      </w:pPr>
      <w:r>
        <w:rPr>
          <w:sz w:val="18"/>
          <w:u w:val="single"/>
        </w:rPr>
        <w:t>Triple K, Inc. v. Century Surety Co.</w:t>
      </w:r>
      <w:r>
        <w:rPr>
          <w:sz w:val="18"/>
        </w:rPr>
        <w:t>, 2010 WL 3418237 (E.D.La.</w:t>
      </w:r>
      <w:r>
        <w:rPr>
          <w:spacing w:val="-8"/>
          <w:sz w:val="18"/>
        </w:rPr>
        <w:t> </w:t>
      </w:r>
      <w:r>
        <w:rPr>
          <w:sz w:val="18"/>
        </w:rPr>
        <w:t>2010).</w:t>
      </w:r>
    </w:p>
    <w:p>
      <w:pPr>
        <w:pStyle w:val="ListParagraph"/>
        <w:numPr>
          <w:ilvl w:val="0"/>
          <w:numId w:val="5"/>
        </w:numPr>
        <w:tabs>
          <w:tab w:pos="3015" w:val="left" w:leader="none"/>
        </w:tabs>
        <w:spacing w:line="240" w:lineRule="auto" w:before="8" w:after="0"/>
        <w:ind w:left="3014" w:right="0" w:hanging="275"/>
        <w:jc w:val="left"/>
        <w:rPr>
          <w:sz w:val="18"/>
        </w:rPr>
      </w:pPr>
      <w:r>
        <w:rPr>
          <w:sz w:val="18"/>
          <w:u w:val="single"/>
        </w:rPr>
        <w:t>Dwyer v. Fidelity Nat.l Prop. Ins. Co.</w:t>
      </w:r>
      <w:r>
        <w:rPr>
          <w:sz w:val="18"/>
        </w:rPr>
        <w:t>, 2007 WL 1063266 (E.D. La.</w:t>
      </w:r>
      <w:r>
        <w:rPr>
          <w:spacing w:val="-3"/>
          <w:sz w:val="18"/>
        </w:rPr>
        <w:t> </w:t>
      </w:r>
      <w:r>
        <w:rPr>
          <w:sz w:val="18"/>
        </w:rPr>
        <w:t>2007).</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r>
        <w:rPr/>
        <w:pict>
          <v:rect style="position:absolute;margin-left:269.511993pt;margin-top:29.069174pt;width:333.63pt;height:282.199pt;mso-position-horizontal-relative:page;mso-position-vertical-relative:paragraph;z-index:-254197760" filled="false" stroked="true" strokeweight="4.12pt" strokecolor="#e44234">
            <v:stroke dashstyle="solid"/>
            <w10:wrap type="none"/>
          </v:rect>
        </w:pict>
      </w:r>
      <w:r>
        <w:rPr/>
        <w:pict>
          <v:group style="position:absolute;margin-left:63.082001pt;margin-top:82.006172pt;width:145.75pt;height:43.8pt;mso-position-horizontal-relative:page;mso-position-vertical-relative:paragraph;z-index:-254196736" coordorigin="1262,1640" coordsize="2915,876">
            <v:shape style="position:absolute;left:1271;top:1650;width:2895;height:856" type="#_x0000_t75" stroked="false">
              <v:imagedata r:id="rId20" o:title=""/>
            </v:shape>
            <v:shape style="position:absolute;left:1271;top:1650;width:2895;height:856" coordorigin="1272,1650" coordsize="2895,856" path="m1272,1810l1272,2346,1284,2408,1319,2459,1369,2494,1432,2506,4006,2506,4068,2494,4119,2459,4153,2408,4166,2346,4166,1810,4153,1748,4119,1697,4068,1663,4006,1650,1432,1650,1369,1663,1319,1697,1284,1748,1272,1810xe" filled="false" stroked="true" strokeweight="1pt" strokecolor="#2d4b11">
              <v:path arrowok="t"/>
              <v:stroke dashstyle="solid"/>
            </v:shape>
            <w10:wrap type="none"/>
          </v:group>
        </w:pict>
      </w:r>
      <w:bookmarkStart w:name="Law and Procedure 216" w:id="30"/>
      <w:bookmarkEnd w:id="30"/>
      <w:r>
        <w:rPr/>
      </w:r>
      <w:r>
        <w:rPr/>
        <w:t>more</w:t>
      </w:r>
      <w:r>
        <w:rPr>
          <w:spacing w:val="-16"/>
        </w:rPr>
        <w:t> </w:t>
      </w:r>
      <w:r>
        <w:rPr/>
        <w:t>than</w:t>
      </w:r>
      <w:r>
        <w:rPr>
          <w:spacing w:val="-17"/>
        </w:rPr>
        <w:t> </w:t>
      </w:r>
      <w:r>
        <w:rPr/>
        <w:t>a</w:t>
      </w:r>
      <w:r>
        <w:rPr>
          <w:spacing w:val="-19"/>
        </w:rPr>
        <w:t> </w:t>
      </w:r>
      <w:r>
        <w:rPr/>
        <w:t>year</w:t>
      </w:r>
      <w:r>
        <w:rPr>
          <w:spacing w:val="-19"/>
        </w:rPr>
        <w:t> </w:t>
      </w:r>
      <w:r>
        <w:rPr/>
        <w:t>had</w:t>
      </w:r>
      <w:r>
        <w:rPr>
          <w:spacing w:val="-17"/>
        </w:rPr>
        <w:t> </w:t>
      </w:r>
      <w:r>
        <w:rPr/>
        <w:t>passed</w:t>
      </w:r>
      <w:r>
        <w:rPr>
          <w:spacing w:val="-16"/>
        </w:rPr>
        <w:t> </w:t>
      </w:r>
      <w:r>
        <w:rPr/>
        <w:t>from</w:t>
      </w:r>
      <w:r>
        <w:rPr>
          <w:spacing w:val="-18"/>
        </w:rPr>
        <w:t> </w:t>
      </w:r>
      <w:r>
        <w:rPr/>
        <w:t>the</w:t>
      </w:r>
      <w:r>
        <w:rPr>
          <w:spacing w:val="-18"/>
        </w:rPr>
        <w:t> </w:t>
      </w:r>
      <w:r>
        <w:rPr/>
        <w:t>date</w:t>
      </w:r>
      <w:r>
        <w:rPr>
          <w:spacing w:val="-16"/>
        </w:rPr>
        <w:t> </w:t>
      </w:r>
      <w:r>
        <w:rPr/>
        <w:t>of loss. Although the provision did not contain a time</w:t>
      </w:r>
      <w:r>
        <w:rPr>
          <w:spacing w:val="-28"/>
        </w:rPr>
        <w:t> </w:t>
      </w:r>
      <w:r>
        <w:rPr/>
        <w:t>limit,</w:t>
      </w:r>
      <w:r>
        <w:rPr>
          <w:spacing w:val="-30"/>
        </w:rPr>
        <w:t> </w:t>
      </w:r>
      <w:r>
        <w:rPr/>
        <w:t>under</w:t>
      </w:r>
      <w:r>
        <w:rPr>
          <w:spacing w:val="-30"/>
        </w:rPr>
        <w:t> </w:t>
      </w:r>
      <w:r>
        <w:rPr/>
        <w:t>those</w:t>
      </w:r>
      <w:r>
        <w:rPr>
          <w:spacing w:val="-29"/>
        </w:rPr>
        <w:t> </w:t>
      </w:r>
      <w:r>
        <w:rPr/>
        <w:t>circumstances</w:t>
      </w:r>
      <w:r>
        <w:rPr>
          <w:spacing w:val="-29"/>
        </w:rPr>
        <w:t> </w:t>
      </w:r>
      <w:r>
        <w:rPr/>
        <w:t>the</w:t>
      </w:r>
      <w:r>
        <w:rPr>
          <w:spacing w:val="-30"/>
        </w:rPr>
        <w:t> </w:t>
      </w:r>
      <w:r>
        <w:rPr/>
        <w:t>Court found that a policy term barring an action against an insurer unless it was brought within one</w:t>
      </w:r>
      <w:r>
        <w:rPr>
          <w:spacing w:val="15"/>
        </w:rPr>
        <w:t> </w:t>
      </w:r>
      <w:r>
        <w:rPr/>
        <w:t>year</w:t>
      </w:r>
      <w:r>
        <w:rPr>
          <w:spacing w:val="13"/>
        </w:rPr>
        <w:t> </w:t>
      </w:r>
      <w:r>
        <w:rPr/>
        <w:t>from</w:t>
      </w:r>
      <w:r>
        <w:rPr>
          <w:spacing w:val="15"/>
        </w:rPr>
        <w:t> </w:t>
      </w:r>
      <w:r>
        <w:rPr/>
        <w:t>the</w:t>
      </w:r>
      <w:r>
        <w:rPr>
          <w:spacing w:val="15"/>
        </w:rPr>
        <w:t> </w:t>
      </w:r>
      <w:r>
        <w:rPr/>
        <w:t>date</w:t>
      </w:r>
      <w:r>
        <w:rPr>
          <w:spacing w:val="15"/>
        </w:rPr>
        <w:t> </w:t>
      </w:r>
      <w:r>
        <w:rPr/>
        <w:t>of</w:t>
      </w:r>
      <w:r>
        <w:rPr>
          <w:spacing w:val="16"/>
        </w:rPr>
        <w:t> </w:t>
      </w:r>
      <w:r>
        <w:rPr/>
        <w:t>loss,</w:t>
      </w:r>
      <w:r>
        <w:rPr>
          <w:spacing w:val="14"/>
        </w:rPr>
        <w:t> </w:t>
      </w:r>
      <w:r>
        <w:rPr/>
        <w:t>prohibited</w:t>
      </w:r>
      <w:r>
        <w:rPr>
          <w:spacing w:val="15"/>
        </w:rPr>
        <w:t> </w:t>
      </w:r>
      <w:r>
        <w:rPr/>
        <w:t>an</w:t>
      </w:r>
    </w:p>
    <w:p>
      <w:pPr>
        <w:pStyle w:val="BodyText"/>
        <w:tabs>
          <w:tab w:pos="4393" w:val="left" w:leader="none"/>
          <w:tab w:pos="5000" w:val="left" w:leader="none"/>
          <w:tab w:pos="5534" w:val="left" w:leader="none"/>
          <w:tab w:pos="6960" w:val="left" w:leader="none"/>
          <w:tab w:pos="7680" w:val="left" w:leader="none"/>
        </w:tabs>
        <w:spacing w:line="352" w:lineRule="exact"/>
        <w:ind w:left="1337"/>
      </w:pPr>
      <w:r>
        <w:rPr>
          <w:rFonts w:ascii="Arial" w:hAnsi="Arial"/>
          <w:b/>
          <w:i/>
          <w:color w:val="267E00"/>
          <w:w w:val="101"/>
          <w:position w:val="-2"/>
          <w:sz w:val="45"/>
        </w:rPr>
        <w:t>Case</w:t>
      </w:r>
      <w:r>
        <w:rPr>
          <w:rFonts w:ascii="Arial" w:hAnsi="Arial"/>
          <w:b/>
          <w:i/>
          <w:color w:val="267E00"/>
          <w:spacing w:val="1"/>
          <w:position w:val="-2"/>
          <w:sz w:val="45"/>
        </w:rPr>
        <w:t> </w:t>
      </w:r>
      <w:r>
        <w:rPr>
          <w:rFonts w:ascii="Arial" w:hAnsi="Arial"/>
          <w:b/>
          <w:i/>
          <w:color w:val="267E00"/>
          <w:w w:val="101"/>
          <w:position w:val="-2"/>
          <w:sz w:val="45"/>
        </w:rPr>
        <w:t>St</w:t>
      </w:r>
      <w:r>
        <w:rPr>
          <w:rFonts w:ascii="Arial" w:hAnsi="Arial"/>
          <w:b/>
          <w:i/>
          <w:color w:val="267E00"/>
          <w:spacing w:val="-189"/>
          <w:w w:val="101"/>
          <w:position w:val="-2"/>
          <w:sz w:val="45"/>
        </w:rPr>
        <w:t>u</w:t>
      </w:r>
      <w:r>
        <w:rPr>
          <w:spacing w:val="3"/>
          <w:w w:val="99"/>
        </w:rPr>
        <w:t>i</w:t>
      </w:r>
      <w:r>
        <w:rPr>
          <w:spacing w:val="-25"/>
          <w:w w:val="99"/>
        </w:rPr>
        <w:t>n</w:t>
      </w:r>
      <w:r>
        <w:rPr>
          <w:rFonts w:ascii="Arial" w:hAnsi="Arial"/>
          <w:b/>
          <w:i/>
          <w:color w:val="267E00"/>
          <w:spacing w:val="-254"/>
          <w:w w:val="101"/>
          <w:position w:val="-2"/>
          <w:sz w:val="45"/>
        </w:rPr>
        <w:t>d</w:t>
      </w:r>
      <w:r>
        <w:rPr>
          <w:w w:val="99"/>
        </w:rPr>
        <w:t>s</w:t>
      </w:r>
      <w:r>
        <w:rPr>
          <w:spacing w:val="-5"/>
          <w:w w:val="99"/>
        </w:rPr>
        <w:t>u</w:t>
      </w:r>
      <w:r>
        <w:rPr>
          <w:rFonts w:ascii="Arial" w:hAnsi="Arial"/>
          <w:b/>
          <w:i/>
          <w:color w:val="267E00"/>
          <w:spacing w:val="-249"/>
          <w:w w:val="101"/>
          <w:position w:val="-2"/>
          <w:sz w:val="45"/>
        </w:rPr>
        <w:t>y</w:t>
      </w:r>
      <w:r>
        <w:rPr>
          <w:w w:val="99"/>
        </w:rPr>
        <w:t>r</w:t>
      </w:r>
      <w:r>
        <w:rPr>
          <w:w w:val="99"/>
        </w:rPr>
        <w:t>ed’s</w:t>
      </w:r>
      <w:r>
        <w:rPr/>
        <w:tab/>
      </w:r>
      <w:r>
        <w:rPr>
          <w:w w:val="99"/>
        </w:rPr>
        <w:t>su</w:t>
      </w:r>
      <w:r>
        <w:rPr>
          <w:spacing w:val="4"/>
          <w:w w:val="99"/>
        </w:rPr>
        <w:t>i</w:t>
      </w:r>
      <w:r>
        <w:rPr>
          <w:w w:val="99"/>
        </w:rPr>
        <w:t>t</w:t>
      </w:r>
      <w:r>
        <w:rPr/>
        <w:tab/>
      </w:r>
      <w:r>
        <w:rPr>
          <w:w w:val="99"/>
        </w:rPr>
        <w:t>for</w:t>
      </w:r>
      <w:r>
        <w:rPr/>
        <w:tab/>
      </w:r>
      <w:r>
        <w:rPr>
          <w:w w:val="99"/>
        </w:rPr>
        <w:t>damages</w:t>
      </w:r>
      <w:r>
        <w:rPr/>
        <w:tab/>
      </w:r>
      <w:r>
        <w:rPr>
          <w:w w:val="99"/>
        </w:rPr>
        <w:t>and</w:t>
      </w:r>
      <w:r>
        <w:rPr/>
        <w:tab/>
      </w:r>
      <w:r>
        <w:rPr>
          <w:w w:val="99"/>
        </w:rPr>
        <w:t>app</w:t>
      </w:r>
      <w:r>
        <w:rPr>
          <w:spacing w:val="1"/>
          <w:w w:val="99"/>
        </w:rPr>
        <w:t>r</w:t>
      </w:r>
      <w:r>
        <w:rPr>
          <w:w w:val="99"/>
        </w:rPr>
        <w:t>a</w:t>
      </w:r>
      <w:r>
        <w:rPr>
          <w:spacing w:val="5"/>
          <w:w w:val="99"/>
        </w:rPr>
        <w:t>i</w:t>
      </w:r>
      <w:r>
        <w:rPr>
          <w:spacing w:val="2"/>
          <w:w w:val="99"/>
        </w:rPr>
        <w:t>s</w:t>
      </w:r>
      <w:r>
        <w:rPr>
          <w:w w:val="99"/>
        </w:rPr>
        <w:t>al</w:t>
      </w:r>
    </w:p>
    <w:p>
      <w:pPr>
        <w:pStyle w:val="BodyText"/>
        <w:spacing w:line="286" w:lineRule="exact"/>
        <w:ind w:left="3100"/>
      </w:pPr>
      <w:r>
        <w:rPr/>
        <w:t>enforcement.</w:t>
      </w:r>
      <w:r>
        <w:rPr>
          <w:vertAlign w:val="superscript"/>
        </w:rPr>
        <w:t>482</w:t>
      </w:r>
    </w:p>
    <w:p>
      <w:pPr>
        <w:pStyle w:val="BodyText"/>
        <w:spacing w:before="3"/>
        <w:rPr>
          <w:sz w:val="23"/>
        </w:rPr>
      </w:pPr>
    </w:p>
    <w:p>
      <w:pPr>
        <w:pStyle w:val="BodyText"/>
        <w:spacing w:before="1"/>
        <w:ind w:left="3820"/>
      </w:pPr>
      <w:r>
        <w:rPr/>
        <w:t>However,  appraisal  demanded </w:t>
      </w:r>
      <w:r>
        <w:rPr>
          <w:spacing w:val="53"/>
        </w:rPr>
        <w:t> </w:t>
      </w:r>
      <w:r>
        <w:rPr/>
        <w:t>within</w:t>
      </w:r>
    </w:p>
    <w:p>
      <w:pPr>
        <w:pStyle w:val="BodyText"/>
        <w:spacing w:before="2"/>
        <w:ind w:right="101"/>
        <w:jc w:val="center"/>
      </w:pPr>
      <w:r>
        <w:rPr>
          <w:spacing w:val="-3"/>
        </w:rPr>
        <w:t>two </w:t>
      </w:r>
      <w:r>
        <w:rPr>
          <w:spacing w:val="30"/>
        </w:rPr>
        <w:t> </w:t>
      </w:r>
      <w:r>
        <w:rPr/>
        <w:t>months </w:t>
      </w:r>
      <w:r>
        <w:rPr>
          <w:spacing w:val="27"/>
        </w:rPr>
        <w:t> </w:t>
      </w:r>
      <w:r>
        <w:rPr/>
        <w:t>of </w:t>
      </w:r>
      <w:r>
        <w:rPr>
          <w:spacing w:val="27"/>
        </w:rPr>
        <w:t> </w:t>
      </w:r>
      <w:r>
        <w:rPr/>
        <w:t>the </w:t>
      </w:r>
      <w:r>
        <w:rPr>
          <w:spacing w:val="26"/>
        </w:rPr>
        <w:t> </w:t>
      </w:r>
      <w:r>
        <w:rPr/>
        <w:t>onset </w:t>
      </w:r>
      <w:r>
        <w:rPr>
          <w:spacing w:val="27"/>
        </w:rPr>
        <w:t> </w:t>
      </w:r>
      <w:r>
        <w:rPr/>
        <w:t>of </w:t>
      </w:r>
      <w:r>
        <w:rPr>
          <w:spacing w:val="27"/>
        </w:rPr>
        <w:t> </w:t>
      </w:r>
      <w:r>
        <w:rPr/>
        <w:t>litigation </w:t>
      </w:r>
      <w:r>
        <w:rPr>
          <w:spacing w:val="27"/>
        </w:rPr>
        <w:t> </w:t>
      </w:r>
      <w:r>
        <w:rPr/>
        <w:t>was</w:t>
      </w:r>
    </w:p>
    <w:p>
      <w:pPr>
        <w:pStyle w:val="BodyText"/>
        <w:spacing w:before="3"/>
        <w:ind w:left="3100"/>
      </w:pPr>
      <w:r>
        <w:rPr/>
        <w:t>considered “timely”. </w:t>
      </w:r>
      <w:r>
        <w:rPr>
          <w:vertAlign w:val="superscript"/>
        </w:rPr>
        <w:t>483</w:t>
      </w:r>
    </w:p>
    <w:p>
      <w:pPr>
        <w:pStyle w:val="BodyText"/>
        <w:spacing w:before="6"/>
      </w:pPr>
    </w:p>
    <w:p>
      <w:pPr>
        <w:pStyle w:val="BodyText"/>
        <w:spacing w:line="242" w:lineRule="auto"/>
        <w:ind w:left="3100" w:right="3198" w:firstLine="720"/>
        <w:jc w:val="both"/>
      </w:pPr>
      <w:r>
        <w:rPr>
          <w:spacing w:val="3"/>
        </w:rPr>
        <w:t>In </w:t>
      </w:r>
      <w:r>
        <w:rPr/>
        <w:t>Alabama, the court found prejudicial delay</w:t>
      </w:r>
      <w:r>
        <w:rPr>
          <w:spacing w:val="-26"/>
        </w:rPr>
        <w:t> </w:t>
      </w:r>
      <w:r>
        <w:rPr/>
        <w:t>in</w:t>
      </w:r>
      <w:r>
        <w:rPr>
          <w:spacing w:val="-24"/>
        </w:rPr>
        <w:t> </w:t>
      </w:r>
      <w:r>
        <w:rPr/>
        <w:t>seeking</w:t>
      </w:r>
      <w:r>
        <w:rPr>
          <w:spacing w:val="-23"/>
        </w:rPr>
        <w:t> </w:t>
      </w:r>
      <w:r>
        <w:rPr/>
        <w:t>an</w:t>
      </w:r>
      <w:r>
        <w:rPr>
          <w:spacing w:val="-21"/>
        </w:rPr>
        <w:t> </w:t>
      </w:r>
      <w:r>
        <w:rPr/>
        <w:t>appraisal</w:t>
      </w:r>
      <w:r>
        <w:rPr>
          <w:spacing w:val="-22"/>
        </w:rPr>
        <w:t> </w:t>
      </w:r>
      <w:r>
        <w:rPr/>
        <w:t>where</w:t>
      </w:r>
      <w:r>
        <w:rPr>
          <w:spacing w:val="-26"/>
        </w:rPr>
        <w:t> </w:t>
      </w:r>
      <w:r>
        <w:rPr/>
        <w:t>an</w:t>
      </w:r>
      <w:r>
        <w:rPr>
          <w:spacing w:val="-23"/>
        </w:rPr>
        <w:t> </w:t>
      </w:r>
      <w:r>
        <w:rPr/>
        <w:t>insured received compensation for a loss from its </w:t>
      </w:r>
      <w:r>
        <w:rPr>
          <w:spacing w:val="7"/>
        </w:rPr>
        <w:t>insurance </w:t>
      </w:r>
      <w:r>
        <w:rPr>
          <w:spacing w:val="6"/>
        </w:rPr>
        <w:t>company and </w:t>
      </w:r>
      <w:r>
        <w:rPr>
          <w:spacing w:val="8"/>
        </w:rPr>
        <w:t>subsequently </w:t>
      </w:r>
      <w:r>
        <w:rPr/>
        <w:t>requested appraisal upon determination </w:t>
      </w:r>
      <w:r>
        <w:rPr>
          <w:spacing w:val="-6"/>
        </w:rPr>
        <w:t>of </w:t>
      </w:r>
      <w:r>
        <w:rPr/>
        <w:t>additional damage. There, the insured</w:t>
      </w:r>
      <w:r>
        <w:rPr>
          <w:spacing w:val="-37"/>
        </w:rPr>
        <w:t> </w:t>
      </w:r>
      <w:r>
        <w:rPr/>
        <w:t>waited until 15 months after the claim was paid and damaged</w:t>
      </w:r>
      <w:r>
        <w:rPr>
          <w:spacing w:val="-11"/>
        </w:rPr>
        <w:t> </w:t>
      </w:r>
      <w:r>
        <w:rPr/>
        <w:t>property</w:t>
      </w:r>
      <w:r>
        <w:rPr>
          <w:spacing w:val="-14"/>
        </w:rPr>
        <w:t> </w:t>
      </w:r>
      <w:r>
        <w:rPr/>
        <w:t>had</w:t>
      </w:r>
      <w:r>
        <w:rPr>
          <w:spacing w:val="-11"/>
        </w:rPr>
        <w:t> </w:t>
      </w:r>
      <w:r>
        <w:rPr/>
        <w:t>been</w:t>
      </w:r>
      <w:r>
        <w:rPr>
          <w:spacing w:val="-10"/>
        </w:rPr>
        <w:t> </w:t>
      </w:r>
      <w:r>
        <w:rPr/>
        <w:t>fully</w:t>
      </w:r>
      <w:r>
        <w:rPr>
          <w:spacing w:val="-10"/>
        </w:rPr>
        <w:t> </w:t>
      </w:r>
      <w:r>
        <w:rPr/>
        <w:t>repaired</w:t>
      </w:r>
      <w:r>
        <w:rPr>
          <w:spacing w:val="-12"/>
        </w:rPr>
        <w:t> </w:t>
      </w:r>
      <w:r>
        <w:rPr/>
        <w:t>to seek appraisal of the damaged property. The court</w:t>
      </w:r>
      <w:r>
        <w:rPr>
          <w:spacing w:val="-32"/>
        </w:rPr>
        <w:t> </w:t>
      </w:r>
      <w:r>
        <w:rPr/>
        <w:t>deemed</w:t>
      </w:r>
      <w:r>
        <w:rPr>
          <w:spacing w:val="-32"/>
        </w:rPr>
        <w:t> </w:t>
      </w:r>
      <w:r>
        <w:rPr/>
        <w:t>the</w:t>
      </w:r>
      <w:r>
        <w:rPr>
          <w:spacing w:val="-30"/>
        </w:rPr>
        <w:t> </w:t>
      </w:r>
      <w:r>
        <w:rPr/>
        <w:t>issue</w:t>
      </w:r>
      <w:r>
        <w:rPr>
          <w:spacing w:val="-30"/>
        </w:rPr>
        <w:t> </w:t>
      </w:r>
      <w:r>
        <w:rPr/>
        <w:t>to</w:t>
      </w:r>
      <w:r>
        <w:rPr>
          <w:spacing w:val="-32"/>
        </w:rPr>
        <w:t> </w:t>
      </w:r>
      <w:r>
        <w:rPr/>
        <w:t>be</w:t>
      </w:r>
      <w:r>
        <w:rPr>
          <w:spacing w:val="-32"/>
        </w:rPr>
        <w:t> </w:t>
      </w:r>
      <w:r>
        <w:rPr/>
        <w:t>“not</w:t>
      </w:r>
      <w:r>
        <w:rPr>
          <w:spacing w:val="-34"/>
        </w:rPr>
        <w:t> </w:t>
      </w:r>
      <w:r>
        <w:rPr/>
        <w:t>whether</w:t>
      </w:r>
      <w:r>
        <w:rPr>
          <w:spacing w:val="-35"/>
        </w:rPr>
        <w:t> </w:t>
      </w:r>
      <w:r>
        <w:rPr/>
        <w:t>any</w:t>
      </w:r>
    </w:p>
    <w:p>
      <w:pPr>
        <w:pStyle w:val="BodyText"/>
        <w:spacing w:line="242" w:lineRule="auto"/>
        <w:ind w:left="3100" w:right="3198"/>
        <w:jc w:val="both"/>
      </w:pPr>
      <w:r>
        <w:rPr>
          <w:spacing w:val="16"/>
        </w:rPr>
        <w:t>disagreement </w:t>
      </w:r>
      <w:r>
        <w:rPr>
          <w:spacing w:val="15"/>
        </w:rPr>
        <w:t>exists </w:t>
      </w:r>
      <w:r>
        <w:rPr>
          <w:spacing w:val="13"/>
        </w:rPr>
        <w:t>but whether </w:t>
      </w:r>
      <w:r>
        <w:rPr/>
        <w:t>a disagreement</w:t>
      </w:r>
      <w:r>
        <w:rPr>
          <w:spacing w:val="-28"/>
        </w:rPr>
        <w:t> </w:t>
      </w:r>
      <w:r>
        <w:rPr/>
        <w:t>was</w:t>
      </w:r>
      <w:r>
        <w:rPr>
          <w:spacing w:val="-20"/>
        </w:rPr>
        <w:t> </w:t>
      </w:r>
      <w:r>
        <w:rPr/>
        <w:t>manifested</w:t>
      </w:r>
      <w:r>
        <w:rPr>
          <w:spacing w:val="-23"/>
        </w:rPr>
        <w:t> </w:t>
      </w:r>
      <w:r>
        <w:rPr/>
        <w:t>so</w:t>
      </w:r>
      <w:r>
        <w:rPr>
          <w:spacing w:val="-21"/>
        </w:rPr>
        <w:t> </w:t>
      </w:r>
      <w:r>
        <w:rPr/>
        <w:t>as</w:t>
      </w:r>
      <w:r>
        <w:rPr>
          <w:spacing w:val="-21"/>
        </w:rPr>
        <w:t> </w:t>
      </w:r>
      <w:r>
        <w:rPr/>
        <w:t>to</w:t>
      </w:r>
      <w:r>
        <w:rPr>
          <w:spacing w:val="-22"/>
        </w:rPr>
        <w:t> </w:t>
      </w:r>
      <w:r>
        <w:rPr/>
        <w:t>warrant invocation of the appraisal clause of the insurance</w:t>
      </w:r>
      <w:r>
        <w:rPr>
          <w:spacing w:val="-9"/>
        </w:rPr>
        <w:t> </w:t>
      </w:r>
      <w:r>
        <w:rPr/>
        <w:t>policy,</w:t>
      </w:r>
      <w:r>
        <w:rPr>
          <w:spacing w:val="-12"/>
        </w:rPr>
        <w:t> </w:t>
      </w:r>
      <w:r>
        <w:rPr/>
        <w:t>or</w:t>
      </w:r>
      <w:r>
        <w:rPr>
          <w:spacing w:val="-9"/>
        </w:rPr>
        <w:t> </w:t>
      </w:r>
      <w:r>
        <w:rPr/>
        <w:t>in</w:t>
      </w:r>
      <w:r>
        <w:rPr>
          <w:spacing w:val="-9"/>
        </w:rPr>
        <w:t> </w:t>
      </w:r>
      <w:r>
        <w:rPr/>
        <w:t>the</w:t>
      </w:r>
      <w:r>
        <w:rPr>
          <w:spacing w:val="-9"/>
        </w:rPr>
        <w:t> </w:t>
      </w:r>
      <w:r>
        <w:rPr/>
        <w:t>alternative,</w:t>
      </w:r>
      <w:r>
        <w:rPr>
          <w:spacing w:val="-12"/>
        </w:rPr>
        <w:t> </w:t>
      </w:r>
      <w:r>
        <w:rPr>
          <w:spacing w:val="-3"/>
        </w:rPr>
        <w:t>whether </w:t>
      </w:r>
      <w:r>
        <w:rPr/>
        <w:t>[the</w:t>
      </w:r>
      <w:r>
        <w:rPr>
          <w:spacing w:val="-33"/>
        </w:rPr>
        <w:t> </w:t>
      </w:r>
      <w:r>
        <w:rPr/>
        <w:t>insured’s]</w:t>
      </w:r>
      <w:r>
        <w:rPr>
          <w:spacing w:val="-30"/>
        </w:rPr>
        <w:t> </w:t>
      </w:r>
      <w:r>
        <w:rPr/>
        <w:t>waiting</w:t>
      </w:r>
      <w:r>
        <w:rPr>
          <w:spacing w:val="-31"/>
        </w:rPr>
        <w:t> </w:t>
      </w:r>
      <w:r>
        <w:rPr/>
        <w:t>until</w:t>
      </w:r>
      <w:r>
        <w:rPr>
          <w:spacing w:val="-31"/>
        </w:rPr>
        <w:t> </w:t>
      </w:r>
      <w:r>
        <w:rPr/>
        <w:t>after</w:t>
      </w:r>
      <w:r>
        <w:rPr>
          <w:spacing w:val="-34"/>
        </w:rPr>
        <w:t> </w:t>
      </w:r>
      <w:r>
        <w:rPr/>
        <w:t>the</w:t>
      </w:r>
      <w:r>
        <w:rPr>
          <w:spacing w:val="-32"/>
        </w:rPr>
        <w:t> </w:t>
      </w:r>
      <w:r>
        <w:rPr/>
        <w:t>repairs</w:t>
      </w:r>
      <w:r>
        <w:rPr>
          <w:spacing w:val="-34"/>
        </w:rPr>
        <w:t> </w:t>
      </w:r>
      <w:r>
        <w:rPr/>
        <w:t>had been  made  and  after  the  claim  had</w:t>
      </w:r>
      <w:r>
        <w:rPr>
          <w:spacing w:val="-31"/>
        </w:rPr>
        <w:t> </w:t>
      </w:r>
      <w:r>
        <w:rPr>
          <w:spacing w:val="-3"/>
        </w:rPr>
        <w:t>been</w:t>
      </w:r>
    </w:p>
    <w:p>
      <w:pPr>
        <w:pStyle w:val="BodyText"/>
        <w:rPr>
          <w:sz w:val="16"/>
        </w:rPr>
      </w:pPr>
      <w:r>
        <w:rPr/>
        <w:pict>
          <v:shape style="position:absolute;margin-left:162pt;margin-top:12.250803pt;width:143.9pt;height:.1pt;mso-position-horizontal-relative:page;mso-position-vertical-relative:paragraph;z-index:-251572224;mso-wrap-distance-left:0;mso-wrap-distance-right:0" coordorigin="3240,245" coordsize="2878,0" path="m3240,245l6118,24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3018" w:val="left" w:leader="none"/>
        </w:tabs>
        <w:spacing w:line="261" w:lineRule="auto" w:before="71" w:after="0"/>
        <w:ind w:left="2740" w:right="2845" w:firstLine="0"/>
        <w:jc w:val="left"/>
        <w:rPr>
          <w:sz w:val="18"/>
        </w:rPr>
      </w:pPr>
      <w:r>
        <w:rPr>
          <w:sz w:val="18"/>
          <w:u w:val="single"/>
        </w:rPr>
        <w:t>Aaron v. Georgia Farm Bureau Mut. Ins. Co.,</w:t>
      </w:r>
      <w:r>
        <w:rPr>
          <w:sz w:val="18"/>
        </w:rPr>
        <w:t> 297 Ga. App.403, 677 S.E.2d 419 (Ga. App. 2009).</w:t>
      </w:r>
    </w:p>
    <w:p>
      <w:pPr>
        <w:pStyle w:val="ListParagraph"/>
        <w:numPr>
          <w:ilvl w:val="0"/>
          <w:numId w:val="5"/>
        </w:numPr>
        <w:tabs>
          <w:tab w:pos="3015" w:val="left" w:leader="none"/>
        </w:tabs>
        <w:spacing w:line="250" w:lineRule="exact" w:before="0" w:after="0"/>
        <w:ind w:left="3014" w:right="0" w:hanging="275"/>
        <w:jc w:val="left"/>
        <w:rPr>
          <w:sz w:val="18"/>
        </w:rPr>
      </w:pPr>
      <w:r>
        <w:rPr>
          <w:sz w:val="18"/>
          <w:u w:val="single"/>
        </w:rPr>
        <w:t>Newman v. Lexington Ins. Co.</w:t>
      </w:r>
      <w:r>
        <w:rPr>
          <w:sz w:val="18"/>
        </w:rPr>
        <w:t>, 2007 WL 1063578 (E.D. La.</w:t>
      </w:r>
      <w:r>
        <w:rPr>
          <w:spacing w:val="-1"/>
          <w:sz w:val="18"/>
        </w:rPr>
        <w:t> </w:t>
      </w:r>
      <w:r>
        <w:rPr>
          <w:sz w:val="18"/>
        </w:rPr>
        <w:t>2007).</w:t>
      </w:r>
    </w:p>
    <w:p>
      <w:pPr>
        <w:spacing w:after="0" w:line="250"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tabs>
          <w:tab w:pos="861" w:val="left" w:leader="none"/>
          <w:tab w:pos="1351" w:val="left" w:leader="none"/>
          <w:tab w:pos="1967" w:val="left" w:leader="none"/>
          <w:tab w:pos="2495" w:val="left" w:leader="none"/>
          <w:tab w:pos="3683" w:val="left" w:leader="none"/>
          <w:tab w:pos="4427" w:val="left" w:leader="none"/>
        </w:tabs>
        <w:spacing w:before="41"/>
        <w:ind w:right="100"/>
        <w:jc w:val="center"/>
      </w:pPr>
      <w:r>
        <w:rPr/>
        <w:pict>
          <v:shape style="position:absolute;margin-left:170.838715pt;margin-top:4.980031pt;width:8.9pt;height:13pt;mso-position-horizontal-relative:page;mso-position-vertical-relative:paragraph;z-index:-254194688" type="#_x0000_t202" filled="false" stroked="false">
            <v:textbox inset="0,0,0,0">
              <w:txbxContent>
                <w:p>
                  <w:pPr>
                    <w:pStyle w:val="BodyText"/>
                    <w:spacing w:line="259" w:lineRule="exact"/>
                  </w:pPr>
                  <w:r>
                    <w:rPr>
                      <w:w w:val="99"/>
                    </w:rPr>
                    <w:t>a</w:t>
                  </w:r>
                </w:p>
              </w:txbxContent>
            </v:textbox>
            <w10:wrap type="none"/>
          </v:shape>
        </w:pict>
      </w:r>
      <w:r>
        <w:rPr/>
        <w:pict>
          <v:shape style="position:absolute;margin-left:89.467201pt;margin-top:199.84816pt;width:395.9pt;height:141.65pt;mso-position-horizontal-relative:page;mso-position-vertical-relative:paragraph;z-index:-254193664" coordorigin="1789,3997" coordsize="7918,2833" path="m3537,346l11455,346,11455,-2486m3537,-2486l3537,346e" filled="false" stroked="true" strokeweight="4.12pt" strokecolor="#e44234">
            <v:path arrowok="t"/>
            <v:stroke dashstyle="solid"/>
            <w10:wrap type="none"/>
          </v:shape>
        </w:pict>
      </w:r>
      <w:bookmarkStart w:name="Law and Procedure 217" w:id="31"/>
      <w:bookmarkEnd w:id="31"/>
      <w:r>
        <w:rPr/>
      </w:r>
      <w:r>
        <w:rPr/>
        <w:t>p </w:t>
      </w:r>
      <w:r>
        <w:rPr>
          <w:spacing w:val="34"/>
        </w:rPr>
        <w:t> </w:t>
      </w:r>
      <w:r>
        <w:rPr/>
        <w:t>id</w:t>
        <w:tab/>
        <w:t>in</w:t>
        <w:tab/>
        <w:t>full</w:t>
        <w:tab/>
        <w:t>to</w:t>
        <w:tab/>
        <w:t>express</w:t>
        <w:tab/>
        <w:t>any</w:t>
        <w:tab/>
        <w:t>discontent</w:t>
      </w:r>
    </w:p>
    <w:p>
      <w:pPr>
        <w:pStyle w:val="BodyText"/>
        <w:spacing w:line="242" w:lineRule="auto" w:before="3"/>
        <w:ind w:left="3100" w:right="3197"/>
        <w:jc w:val="both"/>
      </w:pPr>
      <w:r>
        <w:rPr/>
        <w:t>whatsoever with the amount of the loss assessed</w:t>
      </w:r>
      <w:r>
        <w:rPr>
          <w:spacing w:val="-33"/>
        </w:rPr>
        <w:t> </w:t>
      </w:r>
      <w:r>
        <w:rPr/>
        <w:t>by</w:t>
      </w:r>
      <w:r>
        <w:rPr>
          <w:spacing w:val="-33"/>
        </w:rPr>
        <w:t> </w:t>
      </w:r>
      <w:r>
        <w:rPr/>
        <w:t>[the</w:t>
      </w:r>
      <w:r>
        <w:rPr>
          <w:spacing w:val="-32"/>
        </w:rPr>
        <w:t> </w:t>
      </w:r>
      <w:r>
        <w:rPr/>
        <w:t>insurer]</w:t>
      </w:r>
      <w:r>
        <w:rPr>
          <w:spacing w:val="-31"/>
        </w:rPr>
        <w:t> </w:t>
      </w:r>
      <w:r>
        <w:rPr/>
        <w:t>constituted</w:t>
      </w:r>
      <w:r>
        <w:rPr>
          <w:spacing w:val="-34"/>
        </w:rPr>
        <w:t> </w:t>
      </w:r>
      <w:r>
        <w:rPr/>
        <w:t>a</w:t>
      </w:r>
      <w:r>
        <w:rPr>
          <w:spacing w:val="-35"/>
        </w:rPr>
        <w:t> </w:t>
      </w:r>
      <w:r>
        <w:rPr>
          <w:spacing w:val="-3"/>
        </w:rPr>
        <w:t>waiver</w:t>
      </w:r>
      <w:r>
        <w:rPr>
          <w:spacing w:val="-33"/>
        </w:rPr>
        <w:t> </w:t>
      </w:r>
      <w:r>
        <w:rPr/>
        <w:t>of his right to seek an appraisal of the damage.” The court found that such a delay was so prejudicial to the insurer that it constituted</w:t>
      </w:r>
      <w:r>
        <w:rPr>
          <w:spacing w:val="-32"/>
        </w:rPr>
        <w:t> </w:t>
      </w:r>
      <w:r>
        <w:rPr/>
        <w:t>the insured’s waiver of its right to appraisal.</w:t>
      </w:r>
      <w:r>
        <w:rPr>
          <w:vertAlign w:val="superscript"/>
        </w:rPr>
        <w:t>484</w:t>
      </w:r>
      <w:r>
        <w:rPr>
          <w:spacing w:val="-27"/>
          <w:vertAlign w:val="baseline"/>
        </w:rPr>
        <w:t> </w:t>
      </w:r>
      <w:r>
        <w:rPr>
          <w:spacing w:val="-13"/>
          <w:vertAlign w:val="baseline"/>
        </w:rPr>
        <w:t>One </w:t>
      </w:r>
      <w:r>
        <w:rPr>
          <w:vertAlign w:val="baseline"/>
        </w:rPr>
        <w:t>would</w:t>
      </w:r>
      <w:r>
        <w:rPr>
          <w:spacing w:val="-30"/>
          <w:vertAlign w:val="baseline"/>
        </w:rPr>
        <w:t> </w:t>
      </w:r>
      <w:r>
        <w:rPr>
          <w:vertAlign w:val="baseline"/>
        </w:rPr>
        <w:t>reasonably</w:t>
      </w:r>
      <w:r>
        <w:rPr>
          <w:spacing w:val="-30"/>
          <w:vertAlign w:val="baseline"/>
        </w:rPr>
        <w:t> </w:t>
      </w:r>
      <w:r>
        <w:rPr>
          <w:vertAlign w:val="baseline"/>
        </w:rPr>
        <w:t>wonder</w:t>
      </w:r>
      <w:r>
        <w:rPr>
          <w:spacing w:val="-33"/>
          <w:vertAlign w:val="baseline"/>
        </w:rPr>
        <w:t> </w:t>
      </w:r>
      <w:r>
        <w:rPr>
          <w:vertAlign w:val="baseline"/>
        </w:rPr>
        <w:t>if</w:t>
      </w:r>
      <w:r>
        <w:rPr>
          <w:spacing w:val="-32"/>
          <w:vertAlign w:val="baseline"/>
        </w:rPr>
        <w:t> </w:t>
      </w:r>
      <w:r>
        <w:rPr>
          <w:vertAlign w:val="baseline"/>
        </w:rPr>
        <w:t>the</w:t>
      </w:r>
      <w:r>
        <w:rPr>
          <w:spacing w:val="-32"/>
          <w:vertAlign w:val="baseline"/>
        </w:rPr>
        <w:t> </w:t>
      </w:r>
      <w:r>
        <w:rPr>
          <w:vertAlign w:val="baseline"/>
        </w:rPr>
        <w:t>result</w:t>
      </w:r>
      <w:r>
        <w:rPr>
          <w:spacing w:val="-30"/>
          <w:vertAlign w:val="baseline"/>
        </w:rPr>
        <w:t> </w:t>
      </w:r>
      <w:r>
        <w:rPr>
          <w:vertAlign w:val="baseline"/>
        </w:rPr>
        <w:t>would</w:t>
      </w:r>
      <w:r>
        <w:rPr>
          <w:spacing w:val="-29"/>
          <w:vertAlign w:val="baseline"/>
        </w:rPr>
        <w:t> </w:t>
      </w:r>
      <w:r>
        <w:rPr>
          <w:vertAlign w:val="baseline"/>
        </w:rPr>
        <w:t>be different in the absence of such</w:t>
      </w:r>
      <w:r>
        <w:rPr>
          <w:spacing w:val="-9"/>
          <w:vertAlign w:val="baseline"/>
        </w:rPr>
        <w:t> </w:t>
      </w:r>
      <w:r>
        <w:rPr>
          <w:vertAlign w:val="baseline"/>
        </w:rPr>
        <w:t>prejudice.</w:t>
      </w:r>
    </w:p>
    <w:p>
      <w:pPr>
        <w:pStyle w:val="BodyText"/>
      </w:pPr>
    </w:p>
    <w:p>
      <w:pPr>
        <w:pStyle w:val="BodyText"/>
        <w:spacing w:line="242" w:lineRule="auto"/>
        <w:ind w:left="3100" w:right="3197" w:firstLine="720"/>
        <w:jc w:val="both"/>
      </w:pPr>
      <w:r>
        <w:rPr/>
        <w:t>Prejudicial</w:t>
      </w:r>
      <w:r>
        <w:rPr>
          <w:spacing w:val="-33"/>
        </w:rPr>
        <w:t> </w:t>
      </w:r>
      <w:r>
        <w:rPr/>
        <w:t>delay</w:t>
      </w:r>
      <w:r>
        <w:rPr>
          <w:spacing w:val="-34"/>
        </w:rPr>
        <w:t> </w:t>
      </w:r>
      <w:r>
        <w:rPr/>
        <w:t>was</w:t>
      </w:r>
      <w:r>
        <w:rPr>
          <w:spacing w:val="-32"/>
        </w:rPr>
        <w:t> </w:t>
      </w:r>
      <w:r>
        <w:rPr/>
        <w:t>further</w:t>
      </w:r>
      <w:r>
        <w:rPr>
          <w:spacing w:val="-35"/>
        </w:rPr>
        <w:t> </w:t>
      </w:r>
      <w:r>
        <w:rPr/>
        <w:t>found</w:t>
      </w:r>
      <w:r>
        <w:rPr>
          <w:spacing w:val="-31"/>
        </w:rPr>
        <w:t> </w:t>
      </w:r>
      <w:r>
        <w:rPr>
          <w:spacing w:val="-3"/>
        </w:rPr>
        <w:t>where </w:t>
      </w:r>
      <w:r>
        <w:rPr/>
        <w:t>insureds failed to provide timely notice to</w:t>
      </w:r>
      <w:r>
        <w:rPr>
          <w:spacing w:val="-42"/>
        </w:rPr>
        <w:t> </w:t>
      </w:r>
      <w:r>
        <w:rPr/>
        <w:t>their insurer of a supplemental claim in Alabama. Under</w:t>
      </w:r>
      <w:r>
        <w:rPr>
          <w:spacing w:val="-33"/>
        </w:rPr>
        <w:t> </w:t>
      </w:r>
      <w:r>
        <w:rPr/>
        <w:t>those</w:t>
      </w:r>
      <w:r>
        <w:rPr>
          <w:spacing w:val="-31"/>
        </w:rPr>
        <w:t> </w:t>
      </w:r>
      <w:r>
        <w:rPr/>
        <w:t>circumstances,</w:t>
      </w:r>
      <w:r>
        <w:rPr>
          <w:spacing w:val="-35"/>
        </w:rPr>
        <w:t> </w:t>
      </w:r>
      <w:r>
        <w:rPr/>
        <w:t>insureds</w:t>
      </w:r>
      <w:r>
        <w:rPr>
          <w:spacing w:val="-32"/>
        </w:rPr>
        <w:t> </w:t>
      </w:r>
      <w:r>
        <w:rPr/>
        <w:t>submitted their supplemental claim several years after payment</w:t>
      </w:r>
      <w:r>
        <w:rPr>
          <w:spacing w:val="-13"/>
        </w:rPr>
        <w:t> </w:t>
      </w:r>
      <w:r>
        <w:rPr/>
        <w:t>from</w:t>
      </w:r>
      <w:r>
        <w:rPr>
          <w:spacing w:val="-11"/>
        </w:rPr>
        <w:t> </w:t>
      </w:r>
      <w:r>
        <w:rPr/>
        <w:t>their</w:t>
      </w:r>
      <w:r>
        <w:rPr>
          <w:spacing w:val="-9"/>
        </w:rPr>
        <w:t> </w:t>
      </w:r>
      <w:r>
        <w:rPr/>
        <w:t>insurer</w:t>
      </w:r>
      <w:r>
        <w:rPr>
          <w:spacing w:val="-11"/>
        </w:rPr>
        <w:t> </w:t>
      </w:r>
      <w:r>
        <w:rPr/>
        <w:t>had</w:t>
      </w:r>
      <w:r>
        <w:rPr>
          <w:spacing w:val="-10"/>
        </w:rPr>
        <w:t> </w:t>
      </w:r>
      <w:r>
        <w:rPr/>
        <w:t>been</w:t>
      </w:r>
      <w:r>
        <w:rPr>
          <w:spacing w:val="-11"/>
        </w:rPr>
        <w:t> </w:t>
      </w:r>
      <w:r>
        <w:rPr/>
        <w:t>received and</w:t>
      </w:r>
      <w:r>
        <w:rPr>
          <w:spacing w:val="-40"/>
        </w:rPr>
        <w:t> </w:t>
      </w:r>
      <w:r>
        <w:rPr/>
        <w:t>admitted</w:t>
      </w:r>
      <w:r>
        <w:rPr>
          <w:spacing w:val="-38"/>
        </w:rPr>
        <w:t> </w:t>
      </w:r>
      <w:r>
        <w:rPr/>
        <w:t>that</w:t>
      </w:r>
      <w:r>
        <w:rPr>
          <w:spacing w:val="-38"/>
        </w:rPr>
        <w:t> </w:t>
      </w:r>
      <w:r>
        <w:rPr/>
        <w:t>relevant</w:t>
      </w:r>
      <w:r>
        <w:rPr>
          <w:spacing w:val="-38"/>
        </w:rPr>
        <w:t> </w:t>
      </w:r>
      <w:r>
        <w:rPr/>
        <w:t>damage</w:t>
      </w:r>
      <w:r>
        <w:rPr>
          <w:spacing w:val="-37"/>
        </w:rPr>
        <w:t> </w:t>
      </w:r>
      <w:r>
        <w:rPr/>
        <w:t>had</w:t>
      </w:r>
      <w:r>
        <w:rPr>
          <w:spacing w:val="-39"/>
        </w:rPr>
        <w:t> </w:t>
      </w:r>
      <w:r>
        <w:rPr/>
        <w:t>been repaired more than two years prior. There, it was not sufficiently demonstrated that their supplemental claim was within the confines</w:t>
      </w:r>
      <w:r>
        <w:rPr>
          <w:spacing w:val="-45"/>
        </w:rPr>
        <w:t> </w:t>
      </w:r>
      <w:r>
        <w:rPr/>
        <w:t>of coverage.</w:t>
      </w:r>
      <w:r>
        <w:rPr>
          <w:vertAlign w:val="superscript"/>
        </w:rPr>
        <w:t>485</w:t>
      </w:r>
    </w:p>
    <w:p>
      <w:pPr>
        <w:pStyle w:val="BodyText"/>
        <w:spacing w:before="11"/>
        <w:rPr>
          <w:sz w:val="25"/>
        </w:rPr>
      </w:pPr>
    </w:p>
    <w:p>
      <w:pPr>
        <w:pStyle w:val="BodyText"/>
        <w:spacing w:line="242" w:lineRule="auto"/>
        <w:ind w:left="3100" w:right="3196" w:firstLine="720"/>
        <w:jc w:val="both"/>
      </w:pPr>
      <w:r>
        <w:rPr/>
        <w:t>An insurer’s nine-day delay in invoking appraisal following a dispute was deemed reasonable by a court in Louisiana, where the applicable appraisal provision contained no specified deadline. However, the Court clarified that in the absence of such a</w:t>
      </w:r>
    </w:p>
    <w:p>
      <w:pPr>
        <w:pStyle w:val="BodyText"/>
        <w:rPr>
          <w:sz w:val="20"/>
        </w:rPr>
      </w:pPr>
    </w:p>
    <w:p>
      <w:pPr>
        <w:pStyle w:val="BodyText"/>
        <w:spacing w:before="5"/>
        <w:rPr>
          <w:sz w:val="19"/>
        </w:rPr>
      </w:pPr>
      <w:r>
        <w:rPr/>
        <w:pict>
          <v:shape style="position:absolute;margin-left:162pt;margin-top:14.337085pt;width:143.9pt;height:.1pt;mso-position-horizontal-relative:page;mso-position-vertical-relative:paragraph;z-index:-251569152;mso-wrap-distance-left:0;mso-wrap-distance-right:0" coordorigin="3240,287" coordsize="2878,0" path="m3240,287l6118,28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3020" w:val="left" w:leader="none"/>
        </w:tabs>
        <w:spacing w:line="261" w:lineRule="auto" w:before="71" w:after="0"/>
        <w:ind w:left="2740" w:right="2845" w:firstLine="0"/>
        <w:jc w:val="left"/>
        <w:rPr>
          <w:sz w:val="18"/>
        </w:rPr>
      </w:pPr>
      <w:r>
        <w:rPr>
          <w:sz w:val="18"/>
          <w:u w:val="single"/>
        </w:rPr>
        <w:t>Jadick v. Nationwide Prop. and Ins. Co.</w:t>
      </w:r>
      <w:r>
        <w:rPr>
          <w:sz w:val="18"/>
        </w:rPr>
        <w:t>, 2011 Ala. Civ. App. LEXIS 357 (Ala. App. 2011).</w:t>
      </w:r>
    </w:p>
    <w:p>
      <w:pPr>
        <w:pStyle w:val="ListParagraph"/>
        <w:numPr>
          <w:ilvl w:val="0"/>
          <w:numId w:val="5"/>
        </w:numPr>
        <w:tabs>
          <w:tab w:pos="3001" w:val="left" w:leader="none"/>
        </w:tabs>
        <w:spacing w:line="122" w:lineRule="auto" w:before="46" w:after="0"/>
        <w:ind w:left="3001" w:right="0" w:hanging="261"/>
        <w:jc w:val="left"/>
        <w:rPr>
          <w:sz w:val="24"/>
        </w:rPr>
      </w:pPr>
      <w:r>
        <w:rPr>
          <w:position w:val="-9"/>
          <w:sz w:val="18"/>
          <w:u w:val="single"/>
        </w:rPr>
        <w:t>Id</w:t>
      </w:r>
      <w:r>
        <w:rPr>
          <w:position w:val="-9"/>
          <w:sz w:val="24"/>
        </w:rPr>
        <w:t>.</w:t>
      </w:r>
    </w:p>
    <w:p>
      <w:pPr>
        <w:spacing w:after="0" w:line="122" w:lineRule="auto"/>
        <w:jc w:val="left"/>
        <w:rPr>
          <w:sz w:val="24"/>
        </w:rPr>
        <w:sectPr>
          <w:footerReference w:type="default" r:id="rId21"/>
          <w:pgSz w:w="12240" w:h="15840"/>
          <w:pgMar w:footer="2273" w:header="0" w:top="0" w:bottom="2460" w:left="140" w:right="40"/>
          <w:pgNumType w:start="26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20"/>
      </w:pPr>
      <w:bookmarkStart w:name="Law and Procedure 218" w:id="32"/>
      <w:bookmarkEnd w:id="32"/>
      <w:r>
        <w:rPr/>
      </w:r>
      <w:r>
        <w:rPr/>
        <w:t>deadline, appraisal must still be invoked within a reasonable time after a dispute arises.</w:t>
      </w:r>
      <w:r>
        <w:rPr>
          <w:vertAlign w:val="superscript"/>
        </w:rPr>
        <w:t>486</w:t>
      </w:r>
    </w:p>
    <w:p>
      <w:pPr>
        <w:pStyle w:val="BodyText"/>
        <w:spacing w:before="1"/>
      </w:pPr>
    </w:p>
    <w:p>
      <w:pPr>
        <w:pStyle w:val="BodyText"/>
        <w:spacing w:line="242" w:lineRule="auto" w:before="1"/>
        <w:ind w:left="3100" w:right="3197" w:firstLine="720"/>
        <w:jc w:val="both"/>
      </w:pPr>
      <w:r>
        <w:rPr>
          <w:spacing w:val="3"/>
        </w:rPr>
        <w:t>In </w:t>
      </w:r>
      <w:r>
        <w:rPr/>
        <w:t>a claim arising out of the World Trade Center attack, it was held that appraisal may no longer be practical where a delay in demanding the appraisal has resulted in the removal,</w:t>
      </w:r>
      <w:r>
        <w:rPr>
          <w:spacing w:val="-28"/>
        </w:rPr>
        <w:t> </w:t>
      </w:r>
      <w:r>
        <w:rPr/>
        <w:t>destruction</w:t>
      </w:r>
      <w:r>
        <w:rPr>
          <w:spacing w:val="-23"/>
        </w:rPr>
        <w:t> </w:t>
      </w:r>
      <w:r>
        <w:rPr/>
        <w:t>or</w:t>
      </w:r>
      <w:r>
        <w:rPr>
          <w:spacing w:val="-24"/>
        </w:rPr>
        <w:t> </w:t>
      </w:r>
      <w:r>
        <w:rPr/>
        <w:t>repair</w:t>
      </w:r>
      <w:r>
        <w:rPr>
          <w:spacing w:val="-25"/>
        </w:rPr>
        <w:t> </w:t>
      </w:r>
      <w:r>
        <w:rPr/>
        <w:t>of</w:t>
      </w:r>
      <w:r>
        <w:rPr>
          <w:spacing w:val="-24"/>
        </w:rPr>
        <w:t> </w:t>
      </w:r>
      <w:r>
        <w:rPr/>
        <w:t>the</w:t>
      </w:r>
      <w:r>
        <w:rPr>
          <w:spacing w:val="-25"/>
        </w:rPr>
        <w:t> </w:t>
      </w:r>
      <w:r>
        <w:rPr/>
        <w:t>damaged property. Plaintiff had sought recovery for property damage and loss of business</w:t>
      </w:r>
      <w:r>
        <w:rPr>
          <w:spacing w:val="-50"/>
        </w:rPr>
        <w:t> </w:t>
      </w:r>
      <w:r>
        <w:rPr/>
        <w:t>income in the aftermath of the September 11, 2001 disaster. After litigation had commenced, the carrier contended it was entitled to appraisal under the policy. Citing </w:t>
      </w:r>
      <w:r>
        <w:rPr>
          <w:u w:val="single"/>
        </w:rPr>
        <w:t>Chainless Cycle Mfg.</w:t>
      </w:r>
      <w:r>
        <w:rPr/>
        <w:t> </w:t>
      </w:r>
      <w:r>
        <w:rPr>
          <w:u w:val="single"/>
        </w:rPr>
        <w:t>Co.</w:t>
      </w:r>
      <w:r>
        <w:rPr>
          <w:spacing w:val="-22"/>
          <w:u w:val="single"/>
        </w:rPr>
        <w:t> </w:t>
      </w:r>
      <w:r>
        <w:rPr>
          <w:u w:val="single"/>
        </w:rPr>
        <w:t>v.</w:t>
      </w:r>
      <w:r>
        <w:rPr>
          <w:spacing w:val="-23"/>
          <w:u w:val="single"/>
        </w:rPr>
        <w:t> </w:t>
      </w:r>
      <w:r>
        <w:rPr>
          <w:u w:val="single"/>
        </w:rPr>
        <w:t>Security</w:t>
      </w:r>
      <w:r>
        <w:rPr>
          <w:spacing w:val="-23"/>
          <w:u w:val="single"/>
        </w:rPr>
        <w:t> </w:t>
      </w:r>
      <w:r>
        <w:rPr>
          <w:u w:val="single"/>
        </w:rPr>
        <w:t>Ins.</w:t>
      </w:r>
      <w:r>
        <w:rPr>
          <w:spacing w:val="-20"/>
          <w:u w:val="single"/>
        </w:rPr>
        <w:t> </w:t>
      </w:r>
      <w:r>
        <w:rPr>
          <w:u w:val="single"/>
        </w:rPr>
        <w:t>Co.</w:t>
      </w:r>
      <w:r>
        <w:rPr>
          <w:vertAlign w:val="superscript"/>
        </w:rPr>
        <w:t>487</w:t>
      </w:r>
      <w:r>
        <w:rPr>
          <w:spacing w:val="-19"/>
          <w:vertAlign w:val="baseline"/>
        </w:rPr>
        <w:t> </w:t>
      </w:r>
      <w:r>
        <w:rPr>
          <w:vertAlign w:val="baseline"/>
        </w:rPr>
        <w:t>and</w:t>
      </w:r>
      <w:r>
        <w:rPr>
          <w:spacing w:val="-20"/>
          <w:vertAlign w:val="baseline"/>
        </w:rPr>
        <w:t> </w:t>
      </w:r>
      <w:r>
        <w:rPr>
          <w:u w:val="single"/>
          <w:vertAlign w:val="baseline"/>
        </w:rPr>
        <w:t>Peck</w:t>
      </w:r>
      <w:r>
        <w:rPr>
          <w:spacing w:val="-20"/>
          <w:u w:val="single"/>
          <w:vertAlign w:val="baseline"/>
        </w:rPr>
        <w:t> </w:t>
      </w:r>
      <w:r>
        <w:rPr>
          <w:u w:val="single"/>
          <w:vertAlign w:val="baseline"/>
        </w:rPr>
        <w:t>v.</w:t>
      </w:r>
      <w:r>
        <w:rPr>
          <w:spacing w:val="-23"/>
          <w:u w:val="single"/>
          <w:vertAlign w:val="baseline"/>
        </w:rPr>
        <w:t> </w:t>
      </w:r>
      <w:r>
        <w:rPr>
          <w:u w:val="single"/>
          <w:vertAlign w:val="baseline"/>
        </w:rPr>
        <w:t>Planet</w:t>
      </w:r>
      <w:r>
        <w:rPr>
          <w:spacing w:val="-21"/>
          <w:u w:val="single"/>
          <w:vertAlign w:val="baseline"/>
        </w:rPr>
        <w:t> </w:t>
      </w:r>
      <w:r>
        <w:rPr>
          <w:spacing w:val="-8"/>
          <w:u w:val="single"/>
          <w:vertAlign w:val="baseline"/>
        </w:rPr>
        <w:t>Ins.</w:t>
      </w:r>
      <w:r>
        <w:rPr>
          <w:spacing w:val="-8"/>
          <w:vertAlign w:val="baseline"/>
        </w:rPr>
        <w:t> </w:t>
      </w:r>
      <w:r>
        <w:rPr>
          <w:u w:val="single"/>
          <w:vertAlign w:val="baseline"/>
        </w:rPr>
        <w:t>Co.</w:t>
      </w:r>
      <w:r>
        <w:rPr>
          <w:vertAlign w:val="superscript"/>
        </w:rPr>
        <w:t>488</w:t>
      </w:r>
      <w:r>
        <w:rPr>
          <w:vertAlign w:val="baseline"/>
        </w:rPr>
        <w:t> for the proposition that under New </w:t>
      </w:r>
      <w:r>
        <w:rPr>
          <w:spacing w:val="-10"/>
          <w:vertAlign w:val="baseline"/>
        </w:rPr>
        <w:t>York </w:t>
      </w:r>
      <w:r>
        <w:rPr>
          <w:vertAlign w:val="baseline"/>
        </w:rPr>
        <w:t>law, the right of appraisal must be exercised within a reasonable</w:t>
      </w:r>
      <w:r>
        <w:rPr>
          <w:spacing w:val="-3"/>
          <w:vertAlign w:val="baseline"/>
        </w:rPr>
        <w:t> </w:t>
      </w:r>
      <w:r>
        <w:rPr>
          <w:vertAlign w:val="baseline"/>
        </w:rPr>
        <w:t>period.</w:t>
      </w:r>
      <w:r>
        <w:rPr>
          <w:vertAlign w:val="superscript"/>
        </w:rPr>
        <w:t>489</w:t>
      </w:r>
    </w:p>
    <w:p>
      <w:pPr>
        <w:pStyle w:val="BodyText"/>
        <w:spacing w:before="9"/>
        <w:rPr>
          <w:sz w:val="25"/>
        </w:rPr>
      </w:pPr>
    </w:p>
    <w:p>
      <w:pPr>
        <w:pStyle w:val="BodyText"/>
        <w:spacing w:line="242" w:lineRule="auto"/>
        <w:ind w:left="3100" w:right="3199" w:firstLine="720"/>
        <w:jc w:val="both"/>
      </w:pPr>
      <w:r>
        <w:rPr/>
        <w:t>However, in another case arising out of the</w:t>
      </w:r>
      <w:r>
        <w:rPr>
          <w:spacing w:val="-19"/>
        </w:rPr>
        <w:t> </w:t>
      </w:r>
      <w:r>
        <w:rPr>
          <w:spacing w:val="-3"/>
        </w:rPr>
        <w:t>World</w:t>
      </w:r>
      <w:r>
        <w:rPr>
          <w:spacing w:val="-19"/>
        </w:rPr>
        <w:t> </w:t>
      </w:r>
      <w:r>
        <w:rPr/>
        <w:t>Trade</w:t>
      </w:r>
      <w:r>
        <w:rPr>
          <w:spacing w:val="-19"/>
        </w:rPr>
        <w:t> </w:t>
      </w:r>
      <w:r>
        <w:rPr/>
        <w:t>Center</w:t>
      </w:r>
      <w:r>
        <w:rPr>
          <w:spacing w:val="-20"/>
        </w:rPr>
        <w:t> </w:t>
      </w:r>
      <w:r>
        <w:rPr/>
        <w:t>attack,</w:t>
      </w:r>
      <w:r>
        <w:rPr>
          <w:spacing w:val="-21"/>
        </w:rPr>
        <w:t> </w:t>
      </w:r>
      <w:r>
        <w:rPr/>
        <w:t>it</w:t>
      </w:r>
      <w:r>
        <w:rPr>
          <w:spacing w:val="-22"/>
        </w:rPr>
        <w:t> </w:t>
      </w:r>
      <w:r>
        <w:rPr/>
        <w:t>was</w:t>
      </w:r>
      <w:r>
        <w:rPr>
          <w:spacing w:val="-18"/>
        </w:rPr>
        <w:t> </w:t>
      </w:r>
      <w:r>
        <w:rPr/>
        <w:t>held</w:t>
      </w:r>
      <w:r>
        <w:rPr>
          <w:spacing w:val="-16"/>
        </w:rPr>
        <w:t> </w:t>
      </w:r>
      <w:r>
        <w:rPr/>
        <w:t>that where multiple carriers insured the same risk, and an appraisal incepted between </w:t>
      </w:r>
      <w:r>
        <w:rPr>
          <w:spacing w:val="-5"/>
        </w:rPr>
        <w:t>the </w:t>
      </w:r>
      <w:r>
        <w:rPr/>
        <w:t>insured</w:t>
      </w:r>
      <w:r>
        <w:rPr>
          <w:spacing w:val="-16"/>
        </w:rPr>
        <w:t> </w:t>
      </w:r>
      <w:r>
        <w:rPr/>
        <w:t>and</w:t>
      </w:r>
      <w:r>
        <w:rPr>
          <w:spacing w:val="-11"/>
        </w:rPr>
        <w:t> </w:t>
      </w:r>
      <w:r>
        <w:rPr/>
        <w:t>certain</w:t>
      </w:r>
      <w:r>
        <w:rPr>
          <w:spacing w:val="-15"/>
        </w:rPr>
        <w:t> </w:t>
      </w:r>
      <w:r>
        <w:rPr/>
        <w:t>insurers,</w:t>
      </w:r>
      <w:r>
        <w:rPr>
          <w:spacing w:val="-17"/>
        </w:rPr>
        <w:t> </w:t>
      </w:r>
      <w:r>
        <w:rPr/>
        <w:t>that</w:t>
      </w:r>
      <w:r>
        <w:rPr>
          <w:spacing w:val="-15"/>
        </w:rPr>
        <w:t> </w:t>
      </w:r>
      <w:r>
        <w:rPr/>
        <w:t>an</w:t>
      </w:r>
      <w:r>
        <w:rPr>
          <w:spacing w:val="-14"/>
        </w:rPr>
        <w:t> </w:t>
      </w:r>
      <w:r>
        <w:rPr/>
        <w:t>additional insurer that had resisted the appraisal while coverage issues were being resolved by the court,</w:t>
      </w:r>
      <w:r>
        <w:rPr>
          <w:spacing w:val="-38"/>
        </w:rPr>
        <w:t> </w:t>
      </w:r>
      <w:r>
        <w:rPr/>
        <w:t>had</w:t>
      </w:r>
      <w:r>
        <w:rPr>
          <w:spacing w:val="-32"/>
        </w:rPr>
        <w:t> </w:t>
      </w:r>
      <w:r>
        <w:rPr/>
        <w:t>not</w:t>
      </w:r>
      <w:r>
        <w:rPr>
          <w:spacing w:val="-34"/>
        </w:rPr>
        <w:t> </w:t>
      </w:r>
      <w:r>
        <w:rPr/>
        <w:t>waived</w:t>
      </w:r>
      <w:r>
        <w:rPr>
          <w:spacing w:val="-35"/>
        </w:rPr>
        <w:t> </w:t>
      </w:r>
      <w:r>
        <w:rPr/>
        <w:t>participation</w:t>
      </w:r>
      <w:r>
        <w:rPr>
          <w:spacing w:val="-34"/>
        </w:rPr>
        <w:t> </w:t>
      </w:r>
      <w:r>
        <w:rPr/>
        <w:t>by</w:t>
      </w:r>
      <w:r>
        <w:rPr>
          <w:spacing w:val="-35"/>
        </w:rPr>
        <w:t> </w:t>
      </w:r>
      <w:r>
        <w:rPr/>
        <w:t>virtue</w:t>
      </w:r>
      <w:r>
        <w:rPr>
          <w:spacing w:val="-37"/>
        </w:rPr>
        <w:t> </w:t>
      </w:r>
      <w:r>
        <w:rPr/>
        <w:t>of</w:t>
      </w:r>
    </w:p>
    <w:p>
      <w:pPr>
        <w:pStyle w:val="BodyText"/>
        <w:spacing w:before="4"/>
        <w:rPr>
          <w:sz w:val="25"/>
        </w:rPr>
      </w:pPr>
      <w:r>
        <w:rPr/>
        <w:pict>
          <v:shape style="position:absolute;margin-left:162pt;margin-top:17.935396pt;width:143.9pt;height:.1pt;mso-position-horizontal-relative:page;mso-position-vertical-relative:paragraph;z-index:-251566080;mso-wrap-distance-left:0;mso-wrap-distance-right:0" coordorigin="3240,359" coordsize="2878,0" path="m3240,359l6118,35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5"/>
        </w:numPr>
        <w:tabs>
          <w:tab w:pos="3015" w:val="left" w:leader="none"/>
        </w:tabs>
        <w:spacing w:line="240" w:lineRule="auto" w:before="71" w:after="0"/>
        <w:ind w:left="3014" w:right="0" w:hanging="275"/>
        <w:jc w:val="left"/>
        <w:rPr>
          <w:sz w:val="18"/>
        </w:rPr>
      </w:pPr>
      <w:r>
        <w:rPr>
          <w:sz w:val="18"/>
          <w:u w:val="single"/>
        </w:rPr>
        <w:t>Beasley v. GeoVera Specialty Ins. Co.</w:t>
      </w:r>
      <w:r>
        <w:rPr>
          <w:sz w:val="18"/>
        </w:rPr>
        <w:t>, 2013 WL 3187289 (E.D. La.</w:t>
      </w:r>
      <w:r>
        <w:rPr>
          <w:spacing w:val="-10"/>
          <w:sz w:val="18"/>
        </w:rPr>
        <w:t> </w:t>
      </w:r>
      <w:r>
        <w:rPr>
          <w:sz w:val="18"/>
        </w:rPr>
        <w:t>2013).</w:t>
      </w:r>
    </w:p>
    <w:p>
      <w:pPr>
        <w:pStyle w:val="ListParagraph"/>
        <w:numPr>
          <w:ilvl w:val="0"/>
          <w:numId w:val="5"/>
        </w:numPr>
        <w:tabs>
          <w:tab w:pos="3015" w:val="left" w:leader="none"/>
        </w:tabs>
        <w:spacing w:line="240" w:lineRule="auto" w:before="23" w:after="0"/>
        <w:ind w:left="3014" w:right="0" w:hanging="275"/>
        <w:jc w:val="left"/>
        <w:rPr>
          <w:sz w:val="18"/>
        </w:rPr>
      </w:pPr>
      <w:r>
        <w:rPr>
          <w:sz w:val="18"/>
          <w:u w:val="single"/>
        </w:rPr>
        <w:t>Chainless Cycle Mfg. Co.</w:t>
      </w:r>
      <w:r>
        <w:rPr>
          <w:sz w:val="18"/>
        </w:rPr>
        <w:t>, 169 N.Y. 304.</w:t>
      </w:r>
    </w:p>
    <w:p>
      <w:pPr>
        <w:spacing w:line="254" w:lineRule="exact" w:before="14"/>
        <w:ind w:left="2740" w:right="0" w:firstLine="0"/>
        <w:jc w:val="left"/>
        <w:rPr>
          <w:rFonts w:ascii="Times New Roman"/>
          <w:sz w:val="24"/>
        </w:rPr>
      </w:pPr>
      <w:r>
        <w:rPr>
          <w:rFonts w:ascii="Times New Roman"/>
          <w:position w:val="10"/>
          <w:sz w:val="14"/>
        </w:rPr>
        <w:t>488 </w:t>
      </w:r>
      <w:r>
        <w:rPr>
          <w:rFonts w:ascii="Times New Roman"/>
          <w:sz w:val="18"/>
          <w:u w:val="single"/>
        </w:rPr>
        <w:t>Peck v. Planet</w:t>
      </w:r>
      <w:r>
        <w:rPr>
          <w:rFonts w:ascii="Times New Roman"/>
          <w:sz w:val="18"/>
        </w:rPr>
        <w:t>, 1994 WL 381544 (S.D.N.Y. 1994)</w:t>
      </w:r>
      <w:r>
        <w:rPr>
          <w:rFonts w:ascii="Times New Roman"/>
          <w:sz w:val="24"/>
        </w:rPr>
        <w:t>.</w:t>
      </w:r>
    </w:p>
    <w:p>
      <w:pPr>
        <w:pStyle w:val="ListParagraph"/>
        <w:numPr>
          <w:ilvl w:val="0"/>
          <w:numId w:val="6"/>
        </w:numPr>
        <w:tabs>
          <w:tab w:pos="3001" w:val="left" w:leader="none"/>
        </w:tabs>
        <w:spacing w:line="241" w:lineRule="exact" w:before="0" w:after="0"/>
        <w:ind w:left="3001" w:right="0" w:hanging="261"/>
        <w:jc w:val="left"/>
        <w:rPr>
          <w:sz w:val="18"/>
        </w:rPr>
      </w:pPr>
      <w:r>
        <w:rPr>
          <w:sz w:val="18"/>
          <w:u w:val="single"/>
        </w:rPr>
        <w:t>Indian Chef, Inc. v. Fire &amp; Cas. Ins. Co. of Connecticut.</w:t>
      </w:r>
      <w:r>
        <w:rPr>
          <w:sz w:val="18"/>
        </w:rPr>
        <w:t>, 2003 WL 329054</w:t>
      </w:r>
      <w:r>
        <w:rPr>
          <w:spacing w:val="13"/>
          <w:sz w:val="18"/>
        </w:rPr>
        <w:t> </w:t>
      </w:r>
      <w:r>
        <w:rPr>
          <w:sz w:val="18"/>
        </w:rPr>
        <w:t>(S.D.N.Y.</w:t>
      </w:r>
    </w:p>
    <w:p>
      <w:pPr>
        <w:spacing w:before="5"/>
        <w:ind w:left="2740" w:right="0" w:firstLine="0"/>
        <w:jc w:val="left"/>
        <w:rPr>
          <w:rFonts w:ascii="Times New Roman"/>
          <w:sz w:val="18"/>
        </w:rPr>
      </w:pPr>
      <w:r>
        <w:rPr>
          <w:rFonts w:ascii="Times New Roman"/>
          <w:sz w:val="18"/>
        </w:rPr>
        <w:t>2003).</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r>
        <w:rPr/>
        <w:pict>
          <v:line style="position:absolute;mso-position-horizontal-relative:page;mso-position-vertical-relative:paragraph;z-index:-254189568" from="351.352997pt,141.323166pt" to="603.144997pt,141.323166pt" stroked="true" strokeweight="2.95pt" strokecolor="#e44234">
            <v:stroke dashstyle="solid"/>
            <w10:wrap type="none"/>
          </v:line>
        </w:pict>
      </w:r>
      <w:r>
        <w:rPr/>
        <w:pict>
          <v:line style="position:absolute;mso-position-horizontal-relative:page;mso-position-vertical-relative:paragraph;z-index:-254188544" from="315.352997pt,173.48317pt" to="603.256997pt,173.48317pt" stroked="true" strokeweight="2.95pt" strokecolor="#e44234">
            <v:stroke dashstyle="solid"/>
            <w10:wrap type="none"/>
          </v:line>
        </w:pict>
      </w:r>
      <w:r>
        <w:rPr/>
        <w:pict>
          <v:line style="position:absolute;mso-position-horizontal-relative:page;mso-position-vertical-relative:paragraph;z-index:-254187520" from="315.352997pt,189.563156pt" to="603.305997pt,189.563156pt" stroked="true" strokeweight="2.95pt" strokecolor="#e44234">
            <v:stroke dashstyle="solid"/>
            <w10:wrap type="none"/>
          </v:line>
        </w:pict>
      </w:r>
      <w:r>
        <w:rPr/>
        <w:pict>
          <v:line style="position:absolute;mso-position-horizontal-relative:page;mso-position-vertical-relative:paragraph;z-index:-254186496" from="315.352997pt,205.643158pt" to="377.534997pt,205.643158pt" stroked="true" strokeweight="2.95pt" strokecolor="#e44234">
            <v:stroke dashstyle="solid"/>
            <w10:wrap type="none"/>
          </v:line>
        </w:pict>
      </w:r>
      <w:bookmarkStart w:name="Law and Procedure 219" w:id="33"/>
      <w:bookmarkEnd w:id="33"/>
      <w:r>
        <w:rPr/>
      </w:r>
      <w:r>
        <w:rPr/>
        <w:t>its delay despite the absence of ongoing negotiations where there was no showing </w:t>
      </w:r>
      <w:r>
        <w:rPr>
          <w:spacing w:val="12"/>
        </w:rPr>
        <w:t>made </w:t>
      </w:r>
      <w:r>
        <w:rPr>
          <w:spacing w:val="8"/>
        </w:rPr>
        <w:t>of </w:t>
      </w:r>
      <w:r>
        <w:rPr>
          <w:spacing w:val="15"/>
        </w:rPr>
        <w:t>prejudice, </w:t>
      </w:r>
      <w:r>
        <w:rPr>
          <w:spacing w:val="17"/>
        </w:rPr>
        <w:t>impossibility </w:t>
      </w:r>
      <w:r>
        <w:rPr>
          <w:spacing w:val="8"/>
        </w:rPr>
        <w:t>or </w:t>
      </w:r>
      <w:r>
        <w:rPr/>
        <w:t>impracticality arising from the demand. This was </w:t>
      </w:r>
      <w:r>
        <w:rPr>
          <w:spacing w:val="3"/>
        </w:rPr>
        <w:t>particularly </w:t>
      </w:r>
      <w:r>
        <w:rPr/>
        <w:t>so, where the carrier conceded its willingness to participate in the appraisal on the same terms of the other appraising</w:t>
      </w:r>
      <w:r>
        <w:rPr>
          <w:spacing w:val="-16"/>
        </w:rPr>
        <w:t> </w:t>
      </w:r>
      <w:r>
        <w:rPr/>
        <w:t>insurers</w:t>
      </w:r>
      <w:r>
        <w:rPr>
          <w:spacing w:val="-16"/>
        </w:rPr>
        <w:t> </w:t>
      </w:r>
      <w:r>
        <w:rPr/>
        <w:t>and</w:t>
      </w:r>
      <w:r>
        <w:rPr>
          <w:spacing w:val="-15"/>
        </w:rPr>
        <w:t> </w:t>
      </w:r>
      <w:r>
        <w:rPr/>
        <w:t>be</w:t>
      </w:r>
      <w:r>
        <w:rPr>
          <w:spacing w:val="-17"/>
        </w:rPr>
        <w:t> </w:t>
      </w:r>
      <w:r>
        <w:rPr/>
        <w:t>subject</w:t>
      </w:r>
      <w:r>
        <w:rPr>
          <w:spacing w:val="-18"/>
        </w:rPr>
        <w:t> </w:t>
      </w:r>
      <w:r>
        <w:rPr/>
        <w:t>to</w:t>
      </w:r>
      <w:r>
        <w:rPr>
          <w:spacing w:val="-15"/>
        </w:rPr>
        <w:t> </w:t>
      </w:r>
      <w:r>
        <w:rPr/>
        <w:t>the</w:t>
      </w:r>
      <w:r>
        <w:rPr>
          <w:spacing w:val="-19"/>
        </w:rPr>
        <w:t> </w:t>
      </w:r>
      <w:r>
        <w:rPr/>
        <w:t>same policy</w:t>
      </w:r>
      <w:r>
        <w:rPr>
          <w:spacing w:val="-4"/>
        </w:rPr>
        <w:t> </w:t>
      </w:r>
      <w:r>
        <w:rPr/>
        <w:t>form.</w:t>
      </w:r>
      <w:r>
        <w:rPr>
          <w:vertAlign w:val="superscript"/>
        </w:rPr>
        <w:t>490</w:t>
      </w:r>
    </w:p>
    <w:p>
      <w:pPr>
        <w:pStyle w:val="BodyText"/>
        <w:spacing w:before="4"/>
        <w:rPr>
          <w:sz w:val="11"/>
        </w:rPr>
      </w:pPr>
      <w:r>
        <w:rPr/>
        <w:pict>
          <v:shape style="position:absolute;margin-left:315.352997pt;margin-top:10.410954pt;width:287.9pt;height:.1pt;mso-position-horizontal-relative:page;mso-position-vertical-relative:paragraph;z-index:-251565056;mso-wrap-distance-left:0;mso-wrap-distance-right:0" coordorigin="6307,208" coordsize="5758,0" path="m6307,208l12065,208e" filled="false" stroked="true" strokeweight="2.95pt" strokecolor="#e44234">
            <v:path arrowok="t"/>
            <v:stroke dashstyle="solid"/>
            <w10:wrap type="topAndBottom"/>
          </v:shape>
        </w:pict>
      </w:r>
    </w:p>
    <w:p>
      <w:pPr>
        <w:pStyle w:val="BodyText"/>
        <w:spacing w:line="242" w:lineRule="auto" w:before="51"/>
        <w:ind w:left="3100" w:right="3197" w:firstLine="720"/>
        <w:jc w:val="both"/>
      </w:pPr>
      <w:r>
        <w:rPr/>
        <w:t>A Florida court found that an insurer did not invoke its right to appraisal in a timely manner where parties, through their adjusters, agreed on the amount of loss. There, the appraisal provision in the subject policy allowed the parties to agree on such an issue and was applicable only if the parties (or</w:t>
      </w:r>
      <w:r>
        <w:rPr>
          <w:spacing w:val="-22"/>
        </w:rPr>
        <w:t> </w:t>
      </w:r>
      <w:r>
        <w:rPr/>
        <w:t>their adjusters) disputed the amount of loss. </w:t>
      </w:r>
      <w:r>
        <w:rPr>
          <w:spacing w:val="3"/>
        </w:rPr>
        <w:t>In </w:t>
      </w:r>
      <w:r>
        <w:rPr/>
        <w:t>that case the parties’ adjusters had mutually agreed</w:t>
      </w:r>
      <w:r>
        <w:rPr>
          <w:spacing w:val="-31"/>
        </w:rPr>
        <w:t> </w:t>
      </w:r>
      <w:r>
        <w:rPr/>
        <w:t>on</w:t>
      </w:r>
      <w:r>
        <w:rPr>
          <w:spacing w:val="-28"/>
        </w:rPr>
        <w:t> </w:t>
      </w:r>
      <w:r>
        <w:rPr/>
        <w:t>this</w:t>
      </w:r>
      <w:r>
        <w:rPr>
          <w:spacing w:val="-29"/>
        </w:rPr>
        <w:t> </w:t>
      </w:r>
      <w:r>
        <w:rPr/>
        <w:t>point,</w:t>
      </w:r>
      <w:r>
        <w:rPr>
          <w:spacing w:val="-31"/>
        </w:rPr>
        <w:t> </w:t>
      </w:r>
      <w:r>
        <w:rPr/>
        <w:t>rendering</w:t>
      </w:r>
      <w:r>
        <w:rPr>
          <w:spacing w:val="-31"/>
        </w:rPr>
        <w:t> </w:t>
      </w:r>
      <w:r>
        <w:rPr/>
        <w:t>the</w:t>
      </w:r>
      <w:r>
        <w:rPr>
          <w:spacing w:val="-31"/>
        </w:rPr>
        <w:t> </w:t>
      </w:r>
      <w:r>
        <w:rPr/>
        <w:t>demand</w:t>
      </w:r>
      <w:r>
        <w:rPr>
          <w:spacing w:val="-32"/>
        </w:rPr>
        <w:t> </w:t>
      </w:r>
      <w:r>
        <w:rPr/>
        <w:t>for appraisal too</w:t>
      </w:r>
      <w:r>
        <w:rPr>
          <w:spacing w:val="-2"/>
        </w:rPr>
        <w:t> </w:t>
      </w:r>
      <w:r>
        <w:rPr/>
        <w:t>late.</w:t>
      </w:r>
      <w:r>
        <w:rPr>
          <w:vertAlign w:val="superscript"/>
        </w:rPr>
        <w:t>491</w:t>
      </w:r>
    </w:p>
    <w:p>
      <w:pPr>
        <w:pStyle w:val="BodyText"/>
        <w:spacing w:before="10"/>
        <w:rPr>
          <w:sz w:val="25"/>
        </w:rPr>
      </w:pPr>
    </w:p>
    <w:p>
      <w:pPr>
        <w:pStyle w:val="BodyText"/>
        <w:spacing w:line="242" w:lineRule="auto" w:before="1"/>
        <w:ind w:left="3100" w:right="3197" w:firstLine="720"/>
        <w:jc w:val="both"/>
      </w:pPr>
      <w:r>
        <w:rPr/>
        <w:t>The demand for appraisal is not a weapon of attack, but of defense, </w:t>
      </w:r>
      <w:r>
        <w:rPr>
          <w:spacing w:val="-4"/>
        </w:rPr>
        <w:t>and </w:t>
      </w:r>
      <w:r>
        <w:rPr/>
        <w:t>accordingly,</w:t>
      </w:r>
      <w:r>
        <w:rPr>
          <w:spacing w:val="-29"/>
        </w:rPr>
        <w:t> </w:t>
      </w:r>
      <w:r>
        <w:rPr/>
        <w:t>in</w:t>
      </w:r>
      <w:r>
        <w:rPr>
          <w:spacing w:val="-26"/>
        </w:rPr>
        <w:t> </w:t>
      </w:r>
      <w:r>
        <w:rPr/>
        <w:t>order</w:t>
      </w:r>
      <w:r>
        <w:rPr>
          <w:spacing w:val="-28"/>
        </w:rPr>
        <w:t> </w:t>
      </w:r>
      <w:r>
        <w:rPr/>
        <w:t>to</w:t>
      </w:r>
      <w:r>
        <w:rPr>
          <w:spacing w:val="-23"/>
        </w:rPr>
        <w:t> </w:t>
      </w:r>
      <w:r>
        <w:rPr/>
        <w:t>use</w:t>
      </w:r>
      <w:r>
        <w:rPr>
          <w:spacing w:val="-25"/>
        </w:rPr>
        <w:t> </w:t>
      </w:r>
      <w:r>
        <w:rPr/>
        <w:t>it,</w:t>
      </w:r>
      <w:r>
        <w:rPr>
          <w:spacing w:val="-29"/>
        </w:rPr>
        <w:t> </w:t>
      </w:r>
      <w:r>
        <w:rPr/>
        <w:t>a</w:t>
      </w:r>
      <w:r>
        <w:rPr>
          <w:spacing w:val="-26"/>
        </w:rPr>
        <w:t> </w:t>
      </w:r>
      <w:r>
        <w:rPr/>
        <w:t>party</w:t>
      </w:r>
      <w:r>
        <w:rPr>
          <w:spacing w:val="-28"/>
        </w:rPr>
        <w:t> </w:t>
      </w:r>
      <w:r>
        <w:rPr/>
        <w:t>must</w:t>
      </w:r>
      <w:r>
        <w:rPr>
          <w:spacing w:val="-28"/>
        </w:rPr>
        <w:t> </w:t>
      </w:r>
      <w:r>
        <w:rPr/>
        <w:t>give reasonable notice of the intention to</w:t>
      </w:r>
      <w:r>
        <w:rPr>
          <w:spacing w:val="-51"/>
        </w:rPr>
        <w:t> </w:t>
      </w:r>
      <w:r>
        <w:rPr/>
        <w:t>demand appraisal. The failure to give reasonable and timely notice </w:t>
      </w:r>
      <w:r>
        <w:rPr>
          <w:spacing w:val="2"/>
        </w:rPr>
        <w:t>is </w:t>
      </w:r>
      <w:r>
        <w:rPr/>
        <w:t>evidence of a</w:t>
      </w:r>
      <w:r>
        <w:rPr>
          <w:spacing w:val="51"/>
        </w:rPr>
        <w:t> </w:t>
      </w:r>
      <w:r>
        <w:rPr/>
        <w:t>waiver,</w:t>
      </w:r>
    </w:p>
    <w:p>
      <w:pPr>
        <w:pStyle w:val="BodyText"/>
        <w:rPr>
          <w:sz w:val="20"/>
        </w:rPr>
      </w:pPr>
    </w:p>
    <w:p>
      <w:pPr>
        <w:pStyle w:val="BodyText"/>
        <w:spacing w:before="7"/>
        <w:rPr>
          <w:sz w:val="13"/>
        </w:rPr>
      </w:pPr>
      <w:r>
        <w:rPr/>
        <w:pict>
          <v:shape style="position:absolute;margin-left:162pt;margin-top:10.72431pt;width:143.9pt;height:.1pt;mso-position-horizontal-relative:page;mso-position-vertical-relative:paragraph;z-index:-251564032;mso-wrap-distance-left:0;mso-wrap-distance-right:0" coordorigin="3240,214" coordsize="2878,0" path="m3240,214l6118,21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3051" w:val="left" w:leader="none"/>
        </w:tabs>
        <w:spacing w:line="264" w:lineRule="auto" w:before="80" w:after="0"/>
        <w:ind w:left="2740" w:right="2845" w:firstLine="0"/>
        <w:jc w:val="left"/>
        <w:rPr>
          <w:sz w:val="24"/>
        </w:rPr>
      </w:pPr>
      <w:r>
        <w:rPr>
          <w:sz w:val="18"/>
          <w:u w:val="single"/>
        </w:rPr>
        <w:t>S.R.</w:t>
      </w:r>
      <w:r>
        <w:rPr>
          <w:spacing w:val="-11"/>
          <w:sz w:val="18"/>
          <w:u w:val="single"/>
        </w:rPr>
        <w:t> </w:t>
      </w:r>
      <w:r>
        <w:rPr>
          <w:sz w:val="18"/>
          <w:u w:val="single"/>
        </w:rPr>
        <w:t>International</w:t>
      </w:r>
      <w:r>
        <w:rPr>
          <w:spacing w:val="-12"/>
          <w:sz w:val="18"/>
          <w:u w:val="single"/>
        </w:rPr>
        <w:t> </w:t>
      </w:r>
      <w:r>
        <w:rPr>
          <w:sz w:val="18"/>
          <w:u w:val="single"/>
        </w:rPr>
        <w:t>Business</w:t>
      </w:r>
      <w:r>
        <w:rPr>
          <w:spacing w:val="-13"/>
          <w:sz w:val="18"/>
          <w:u w:val="single"/>
        </w:rPr>
        <w:t> </w:t>
      </w:r>
      <w:r>
        <w:rPr>
          <w:sz w:val="18"/>
          <w:u w:val="single"/>
        </w:rPr>
        <w:t>Ins.</w:t>
      </w:r>
      <w:r>
        <w:rPr>
          <w:spacing w:val="-12"/>
          <w:sz w:val="18"/>
          <w:u w:val="single"/>
        </w:rPr>
        <w:t> </w:t>
      </w:r>
      <w:r>
        <w:rPr>
          <w:sz w:val="18"/>
          <w:u w:val="single"/>
        </w:rPr>
        <w:t>Co.,</w:t>
      </w:r>
      <w:r>
        <w:rPr>
          <w:spacing w:val="-8"/>
          <w:sz w:val="18"/>
          <w:u w:val="single"/>
        </w:rPr>
        <w:t> </w:t>
      </w:r>
      <w:r>
        <w:rPr>
          <w:sz w:val="18"/>
          <w:u w:val="single"/>
        </w:rPr>
        <w:t>Ltd.</w:t>
      </w:r>
      <w:r>
        <w:rPr>
          <w:spacing w:val="-9"/>
          <w:sz w:val="18"/>
          <w:u w:val="single"/>
        </w:rPr>
        <w:t> </w:t>
      </w:r>
      <w:r>
        <w:rPr>
          <w:sz w:val="18"/>
          <w:u w:val="single"/>
        </w:rPr>
        <w:t>v.</w:t>
      </w:r>
      <w:r>
        <w:rPr>
          <w:spacing w:val="-11"/>
          <w:sz w:val="18"/>
          <w:u w:val="single"/>
        </w:rPr>
        <w:t> </w:t>
      </w:r>
      <w:r>
        <w:rPr>
          <w:sz w:val="18"/>
          <w:u w:val="single"/>
        </w:rPr>
        <w:t>World</w:t>
      </w:r>
      <w:r>
        <w:rPr>
          <w:spacing w:val="-10"/>
          <w:sz w:val="18"/>
          <w:u w:val="single"/>
        </w:rPr>
        <w:t> </w:t>
      </w:r>
      <w:r>
        <w:rPr>
          <w:sz w:val="18"/>
          <w:u w:val="single"/>
        </w:rPr>
        <w:t>Trade</w:t>
      </w:r>
      <w:r>
        <w:rPr>
          <w:spacing w:val="-13"/>
          <w:sz w:val="18"/>
          <w:u w:val="single"/>
        </w:rPr>
        <w:t> </w:t>
      </w:r>
      <w:r>
        <w:rPr>
          <w:sz w:val="18"/>
          <w:u w:val="single"/>
        </w:rPr>
        <w:t>Center</w:t>
      </w:r>
      <w:r>
        <w:rPr>
          <w:spacing w:val="-12"/>
          <w:sz w:val="18"/>
          <w:u w:val="single"/>
        </w:rPr>
        <w:t> </w:t>
      </w:r>
      <w:r>
        <w:rPr>
          <w:sz w:val="18"/>
          <w:u w:val="single"/>
        </w:rPr>
        <w:t>Properties,</w:t>
      </w:r>
      <w:r>
        <w:rPr>
          <w:spacing w:val="-12"/>
          <w:sz w:val="18"/>
          <w:u w:val="single"/>
        </w:rPr>
        <w:t> </w:t>
      </w:r>
      <w:r>
        <w:rPr>
          <w:sz w:val="18"/>
          <w:u w:val="single"/>
        </w:rPr>
        <w:t>LLC</w:t>
      </w:r>
      <w:r>
        <w:rPr>
          <w:sz w:val="18"/>
        </w:rPr>
        <w:t>,</w:t>
      </w:r>
      <w:r>
        <w:rPr>
          <w:spacing w:val="-11"/>
          <w:sz w:val="18"/>
        </w:rPr>
        <w:t> </w:t>
      </w:r>
      <w:r>
        <w:rPr>
          <w:sz w:val="18"/>
        </w:rPr>
        <w:t>2004 WL 2979790 (S.D.N.Y.</w:t>
      </w:r>
      <w:r>
        <w:rPr>
          <w:spacing w:val="-1"/>
          <w:sz w:val="18"/>
        </w:rPr>
        <w:t> </w:t>
      </w:r>
      <w:r>
        <w:rPr>
          <w:sz w:val="18"/>
        </w:rPr>
        <w:t>2004)</w:t>
      </w:r>
      <w:r>
        <w:rPr>
          <w:sz w:val="24"/>
        </w:rPr>
        <w:t>.</w:t>
      </w:r>
    </w:p>
    <w:p>
      <w:pPr>
        <w:pStyle w:val="ListParagraph"/>
        <w:numPr>
          <w:ilvl w:val="0"/>
          <w:numId w:val="6"/>
        </w:numPr>
        <w:tabs>
          <w:tab w:pos="3015" w:val="left" w:leader="none"/>
        </w:tabs>
        <w:spacing w:line="243" w:lineRule="exact" w:before="0" w:after="0"/>
        <w:ind w:left="3014" w:right="0" w:hanging="275"/>
        <w:jc w:val="left"/>
        <w:rPr>
          <w:sz w:val="18"/>
        </w:rPr>
      </w:pPr>
      <w:r>
        <w:rPr>
          <w:sz w:val="18"/>
          <w:u w:val="single"/>
        </w:rPr>
        <w:t>Bankers Security Ins. Co. v. Brady</w:t>
      </w:r>
      <w:r>
        <w:rPr>
          <w:sz w:val="18"/>
        </w:rPr>
        <w:t>, 765 So.2d 870 (Fla.5th DCA</w:t>
      </w:r>
      <w:r>
        <w:rPr>
          <w:spacing w:val="-3"/>
          <w:sz w:val="18"/>
        </w:rPr>
        <w:t> </w:t>
      </w:r>
      <w:r>
        <w:rPr>
          <w:sz w:val="18"/>
        </w:rPr>
        <w:t>2000).</w:t>
      </w:r>
    </w:p>
    <w:p>
      <w:pPr>
        <w:spacing w:after="0" w:line="243"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jc w:val="both"/>
      </w:pPr>
      <w:bookmarkStart w:name="Law and Procedure 220" w:id="34"/>
      <w:bookmarkEnd w:id="34"/>
      <w:r>
        <w:rPr/>
      </w:r>
      <w:r>
        <w:rPr/>
        <w:t>depending on the circumstances of </w:t>
      </w:r>
      <w:r>
        <w:rPr>
          <w:spacing w:val="-4"/>
        </w:rPr>
        <w:t>the </w:t>
      </w:r>
      <w:r>
        <w:rPr/>
        <w:t>particular claim. This is especially true where the insured detrimentally relied on the</w:t>
      </w:r>
      <w:r>
        <w:rPr>
          <w:spacing w:val="-32"/>
        </w:rPr>
        <w:t> </w:t>
      </w:r>
      <w:r>
        <w:rPr/>
        <w:t>insurer's failure to demand</w:t>
      </w:r>
      <w:r>
        <w:rPr>
          <w:spacing w:val="-3"/>
        </w:rPr>
        <w:t> </w:t>
      </w:r>
      <w:r>
        <w:rPr/>
        <w:t>appraisal.</w:t>
      </w:r>
      <w:r>
        <w:rPr>
          <w:vertAlign w:val="superscript"/>
        </w:rPr>
        <w:t>492</w:t>
      </w:r>
    </w:p>
    <w:p>
      <w:pPr>
        <w:pStyle w:val="BodyText"/>
        <w:spacing w:before="1"/>
      </w:pPr>
    </w:p>
    <w:p>
      <w:pPr>
        <w:pStyle w:val="BodyText"/>
        <w:spacing w:line="242" w:lineRule="auto"/>
        <w:ind w:left="3100" w:right="3197" w:firstLine="720"/>
        <w:jc w:val="both"/>
      </w:pPr>
      <w:r>
        <w:rPr/>
        <w:t>Where the company waited until after the expiration of 60 days from the filing of a proof of loss, it was held to have waived the right to appraisal.</w:t>
      </w:r>
      <w:r>
        <w:rPr>
          <w:vertAlign w:val="superscript"/>
        </w:rPr>
        <w:t>493</w:t>
      </w:r>
    </w:p>
    <w:p>
      <w:pPr>
        <w:pStyle w:val="BodyText"/>
        <w:spacing w:before="1"/>
      </w:pPr>
    </w:p>
    <w:p>
      <w:pPr>
        <w:pStyle w:val="BodyText"/>
        <w:spacing w:line="242" w:lineRule="auto"/>
        <w:ind w:left="3100" w:right="3197" w:firstLine="720"/>
        <w:jc w:val="both"/>
      </w:pPr>
      <w:r>
        <w:rPr/>
        <w:t>The</w:t>
      </w:r>
      <w:r>
        <w:rPr>
          <w:spacing w:val="-20"/>
        </w:rPr>
        <w:t> </w:t>
      </w:r>
      <w:r>
        <w:rPr/>
        <w:t>parties</w:t>
      </w:r>
      <w:r>
        <w:rPr>
          <w:spacing w:val="-21"/>
        </w:rPr>
        <w:t> </w:t>
      </w:r>
      <w:r>
        <w:rPr/>
        <w:t>do</w:t>
      </w:r>
      <w:r>
        <w:rPr>
          <w:spacing w:val="-22"/>
        </w:rPr>
        <w:t> </w:t>
      </w:r>
      <w:r>
        <w:rPr/>
        <w:t>not</w:t>
      </w:r>
      <w:r>
        <w:rPr>
          <w:spacing w:val="-22"/>
        </w:rPr>
        <w:t> </w:t>
      </w:r>
      <w:r>
        <w:rPr/>
        <w:t>have</w:t>
      </w:r>
      <w:r>
        <w:rPr>
          <w:spacing w:val="-23"/>
        </w:rPr>
        <w:t> </w:t>
      </w:r>
      <w:r>
        <w:rPr/>
        <w:t>an</w:t>
      </w:r>
      <w:r>
        <w:rPr>
          <w:spacing w:val="-22"/>
        </w:rPr>
        <w:t> </w:t>
      </w:r>
      <w:r>
        <w:rPr/>
        <w:t>absolute</w:t>
      </w:r>
      <w:r>
        <w:rPr>
          <w:spacing w:val="-21"/>
        </w:rPr>
        <w:t> </w:t>
      </w:r>
      <w:r>
        <w:rPr/>
        <w:t>right to</w:t>
      </w:r>
      <w:r>
        <w:rPr>
          <w:spacing w:val="-12"/>
        </w:rPr>
        <w:t> </w:t>
      </w:r>
      <w:r>
        <w:rPr/>
        <w:t>wait</w:t>
      </w:r>
      <w:r>
        <w:rPr>
          <w:spacing w:val="-14"/>
        </w:rPr>
        <w:t> </w:t>
      </w:r>
      <w:r>
        <w:rPr/>
        <w:t>until</w:t>
      </w:r>
      <w:r>
        <w:rPr>
          <w:spacing w:val="-11"/>
        </w:rPr>
        <w:t> </w:t>
      </w:r>
      <w:r>
        <w:rPr/>
        <w:t>the</w:t>
      </w:r>
      <w:r>
        <w:rPr>
          <w:spacing w:val="-12"/>
        </w:rPr>
        <w:t> </w:t>
      </w:r>
      <w:r>
        <w:rPr/>
        <w:t>last</w:t>
      </w:r>
      <w:r>
        <w:rPr>
          <w:spacing w:val="-13"/>
        </w:rPr>
        <w:t> </w:t>
      </w:r>
      <w:r>
        <w:rPr/>
        <w:t>moment</w:t>
      </w:r>
      <w:r>
        <w:rPr>
          <w:spacing w:val="-12"/>
        </w:rPr>
        <w:t> </w:t>
      </w:r>
      <w:r>
        <w:rPr/>
        <w:t>during</w:t>
      </w:r>
      <w:r>
        <w:rPr>
          <w:spacing w:val="-9"/>
        </w:rPr>
        <w:t> </w:t>
      </w:r>
      <w:r>
        <w:rPr/>
        <w:t>the</w:t>
      </w:r>
      <w:r>
        <w:rPr>
          <w:spacing w:val="-11"/>
        </w:rPr>
        <w:t> </w:t>
      </w:r>
      <w:r>
        <w:rPr/>
        <w:t>60</w:t>
      </w:r>
      <w:r>
        <w:rPr>
          <w:spacing w:val="-11"/>
        </w:rPr>
        <w:t> </w:t>
      </w:r>
      <w:r>
        <w:rPr/>
        <w:t>day period</w:t>
      </w:r>
      <w:r>
        <w:rPr>
          <w:spacing w:val="-33"/>
        </w:rPr>
        <w:t> </w:t>
      </w:r>
      <w:r>
        <w:rPr/>
        <w:t>before</w:t>
      </w:r>
      <w:r>
        <w:rPr>
          <w:spacing w:val="-33"/>
        </w:rPr>
        <w:t> </w:t>
      </w:r>
      <w:r>
        <w:rPr/>
        <w:t>the</w:t>
      </w:r>
      <w:r>
        <w:rPr>
          <w:spacing w:val="-33"/>
        </w:rPr>
        <w:t> </w:t>
      </w:r>
      <w:r>
        <w:rPr/>
        <w:t>loss</w:t>
      </w:r>
      <w:r>
        <w:rPr>
          <w:spacing w:val="-30"/>
        </w:rPr>
        <w:t> </w:t>
      </w:r>
      <w:r>
        <w:rPr/>
        <w:t>becomes</w:t>
      </w:r>
      <w:r>
        <w:rPr>
          <w:spacing w:val="-34"/>
        </w:rPr>
        <w:t> </w:t>
      </w:r>
      <w:r>
        <w:rPr/>
        <w:t>payable</w:t>
      </w:r>
      <w:r>
        <w:rPr>
          <w:spacing w:val="-31"/>
        </w:rPr>
        <w:t> </w:t>
      </w:r>
      <w:r>
        <w:rPr>
          <w:spacing w:val="-3"/>
        </w:rPr>
        <w:t>under </w:t>
      </w:r>
      <w:r>
        <w:rPr/>
        <w:t>the</w:t>
      </w:r>
      <w:r>
        <w:rPr>
          <w:spacing w:val="-18"/>
        </w:rPr>
        <w:t> </w:t>
      </w:r>
      <w:r>
        <w:rPr/>
        <w:t>policy,</w:t>
      </w:r>
      <w:r>
        <w:rPr>
          <w:spacing w:val="-17"/>
        </w:rPr>
        <w:t> </w:t>
      </w:r>
      <w:r>
        <w:rPr/>
        <w:t>only</w:t>
      </w:r>
      <w:r>
        <w:rPr>
          <w:spacing w:val="-16"/>
        </w:rPr>
        <w:t> </w:t>
      </w:r>
      <w:r>
        <w:rPr/>
        <w:t>then</w:t>
      </w:r>
      <w:r>
        <w:rPr>
          <w:spacing w:val="-14"/>
        </w:rPr>
        <w:t> </w:t>
      </w:r>
      <w:r>
        <w:rPr/>
        <w:t>to</w:t>
      </w:r>
      <w:r>
        <w:rPr>
          <w:spacing w:val="-15"/>
        </w:rPr>
        <w:t> </w:t>
      </w:r>
      <w:r>
        <w:rPr/>
        <w:t>demand</w:t>
      </w:r>
      <w:r>
        <w:rPr>
          <w:spacing w:val="-17"/>
        </w:rPr>
        <w:t> </w:t>
      </w:r>
      <w:r>
        <w:rPr/>
        <w:t>the</w:t>
      </w:r>
      <w:r>
        <w:rPr>
          <w:spacing w:val="-17"/>
        </w:rPr>
        <w:t> </w:t>
      </w:r>
      <w:r>
        <w:rPr/>
        <w:t>appraisal, but the demand must be made in </w:t>
      </w:r>
      <w:r>
        <w:rPr>
          <w:spacing w:val="-12"/>
        </w:rPr>
        <w:t>a </w:t>
      </w:r>
      <w:r>
        <w:rPr/>
        <w:t>reasonable time, depending on the facts of the</w:t>
      </w:r>
      <w:r>
        <w:rPr>
          <w:spacing w:val="-1"/>
        </w:rPr>
        <w:t> </w:t>
      </w:r>
      <w:r>
        <w:rPr/>
        <w:t>case.</w:t>
      </w:r>
      <w:r>
        <w:rPr>
          <w:vertAlign w:val="superscript"/>
        </w:rPr>
        <w:t>494</w:t>
      </w:r>
    </w:p>
    <w:p>
      <w:pPr>
        <w:pStyle w:val="BodyText"/>
      </w:pPr>
    </w:p>
    <w:p>
      <w:pPr>
        <w:pStyle w:val="BodyText"/>
        <w:spacing w:line="242" w:lineRule="auto" w:before="1"/>
        <w:ind w:left="3100" w:right="3200" w:firstLine="720"/>
        <w:jc w:val="both"/>
      </w:pPr>
      <w:r>
        <w:rPr/>
        <w:t>Although</w:t>
      </w:r>
      <w:r>
        <w:rPr>
          <w:spacing w:val="-30"/>
        </w:rPr>
        <w:t> </w:t>
      </w:r>
      <w:r>
        <w:rPr/>
        <w:t>an</w:t>
      </w:r>
      <w:r>
        <w:rPr>
          <w:spacing w:val="-34"/>
        </w:rPr>
        <w:t> </w:t>
      </w:r>
      <w:r>
        <w:rPr>
          <w:spacing w:val="-3"/>
        </w:rPr>
        <w:t>Ontario</w:t>
      </w:r>
      <w:r>
        <w:rPr>
          <w:spacing w:val="-33"/>
        </w:rPr>
        <w:t> </w:t>
      </w:r>
      <w:r>
        <w:rPr/>
        <w:t>decision</w:t>
      </w:r>
      <w:r>
        <w:rPr>
          <w:spacing w:val="-35"/>
        </w:rPr>
        <w:t> </w:t>
      </w:r>
      <w:r>
        <w:rPr>
          <w:spacing w:val="-3"/>
        </w:rPr>
        <w:t>recognized </w:t>
      </w:r>
      <w:r>
        <w:rPr/>
        <w:t>the existence of a “reasonable limitation” on the right to appraisal as provided by statutory condition 11 of </w:t>
      </w:r>
      <w:r>
        <w:rPr>
          <w:spacing w:val="-3"/>
        </w:rPr>
        <w:t>The </w:t>
      </w:r>
      <w:r>
        <w:rPr/>
        <w:t>Insurance Act allowing for appraisal, it refused to define this limitation under other statutory terms requiring that the loss</w:t>
      </w:r>
      <w:r>
        <w:rPr>
          <w:spacing w:val="-30"/>
        </w:rPr>
        <w:t> </w:t>
      </w:r>
      <w:r>
        <w:rPr/>
        <w:t>be</w:t>
      </w:r>
      <w:r>
        <w:rPr>
          <w:spacing w:val="-29"/>
        </w:rPr>
        <w:t> </w:t>
      </w:r>
      <w:r>
        <w:rPr/>
        <w:t>payable</w:t>
      </w:r>
      <w:r>
        <w:rPr>
          <w:spacing w:val="-27"/>
        </w:rPr>
        <w:t> </w:t>
      </w:r>
      <w:r>
        <w:rPr/>
        <w:t>within</w:t>
      </w:r>
      <w:r>
        <w:rPr>
          <w:spacing w:val="-30"/>
        </w:rPr>
        <w:t> </w:t>
      </w:r>
      <w:r>
        <w:rPr/>
        <w:t>60</w:t>
      </w:r>
      <w:r>
        <w:rPr>
          <w:spacing w:val="-28"/>
        </w:rPr>
        <w:t> </w:t>
      </w:r>
      <w:r>
        <w:rPr/>
        <w:t>days</w:t>
      </w:r>
      <w:r>
        <w:rPr>
          <w:spacing w:val="-29"/>
        </w:rPr>
        <w:t> </w:t>
      </w:r>
      <w:r>
        <w:rPr/>
        <w:t>of</w:t>
      </w:r>
      <w:r>
        <w:rPr>
          <w:spacing w:val="-29"/>
        </w:rPr>
        <w:t> </w:t>
      </w:r>
      <w:r>
        <w:rPr/>
        <w:t>completion</w:t>
      </w:r>
      <w:r>
        <w:rPr>
          <w:spacing w:val="-29"/>
        </w:rPr>
        <w:t> </w:t>
      </w:r>
      <w:r>
        <w:rPr/>
        <w:t>of the proof of loss unless otherwise provided</w:t>
      </w:r>
      <w:r>
        <w:rPr>
          <w:spacing w:val="32"/>
        </w:rPr>
        <w:t> </w:t>
      </w:r>
      <w:r>
        <w:rPr/>
        <w:t>in</w:t>
      </w:r>
    </w:p>
    <w:p>
      <w:pPr>
        <w:pStyle w:val="BodyText"/>
        <w:spacing w:before="11"/>
        <w:rPr>
          <w:sz w:val="22"/>
        </w:rPr>
      </w:pPr>
      <w:r>
        <w:rPr/>
        <w:pict>
          <v:shape style="position:absolute;margin-left:162pt;margin-top:16.460102pt;width:143.9pt;height:.1pt;mso-position-horizontal-relative:page;mso-position-vertical-relative:paragraph;z-index:-251558912;mso-wrap-distance-left:0;mso-wrap-distance-right:0" coordorigin="3240,329" coordsize="2878,0" path="m3240,329l6118,32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3015" w:val="left" w:leader="none"/>
        </w:tabs>
        <w:spacing w:line="248" w:lineRule="exact" w:before="71" w:after="0"/>
        <w:ind w:left="3014" w:right="0" w:hanging="275"/>
        <w:jc w:val="left"/>
        <w:rPr>
          <w:sz w:val="18"/>
        </w:rPr>
      </w:pPr>
      <w:r>
        <w:rPr>
          <w:sz w:val="18"/>
          <w:u w:val="single"/>
        </w:rPr>
        <w:t>Chainless Cycle Mfg. Co.</w:t>
      </w:r>
      <w:r>
        <w:rPr>
          <w:sz w:val="18"/>
        </w:rPr>
        <w:t>, 169 N.Y. 304.</w:t>
      </w:r>
    </w:p>
    <w:p>
      <w:pPr>
        <w:pStyle w:val="ListParagraph"/>
        <w:numPr>
          <w:ilvl w:val="0"/>
          <w:numId w:val="6"/>
        </w:numPr>
        <w:tabs>
          <w:tab w:pos="2991" w:val="left" w:leader="none"/>
        </w:tabs>
        <w:spacing w:line="248" w:lineRule="exact" w:before="0" w:after="0"/>
        <w:ind w:left="2990" w:right="0" w:hanging="251"/>
        <w:jc w:val="left"/>
        <w:rPr>
          <w:sz w:val="18"/>
        </w:rPr>
      </w:pPr>
      <w:r>
        <w:rPr>
          <w:sz w:val="18"/>
          <w:u w:val="single"/>
        </w:rPr>
        <w:t>Winchester v. North British Ins. Co. of London and Edinburgh</w:t>
      </w:r>
      <w:r>
        <w:rPr>
          <w:sz w:val="18"/>
        </w:rPr>
        <w:t>, 160 Cal. 1, 116 P.</w:t>
      </w:r>
      <w:r>
        <w:rPr>
          <w:spacing w:val="6"/>
          <w:sz w:val="18"/>
        </w:rPr>
        <w:t> </w:t>
      </w:r>
      <w:r>
        <w:rPr>
          <w:sz w:val="18"/>
        </w:rPr>
        <w:t>63</w:t>
      </w:r>
    </w:p>
    <w:p>
      <w:pPr>
        <w:spacing w:before="4"/>
        <w:ind w:left="2740" w:right="0" w:firstLine="0"/>
        <w:jc w:val="left"/>
        <w:rPr>
          <w:rFonts w:ascii="Times New Roman"/>
          <w:sz w:val="18"/>
        </w:rPr>
      </w:pPr>
      <w:r>
        <w:rPr>
          <w:rFonts w:ascii="Times New Roman"/>
          <w:sz w:val="18"/>
        </w:rPr>
        <w:t>(1911); </w:t>
      </w:r>
      <w:r>
        <w:rPr>
          <w:rFonts w:ascii="Times New Roman"/>
          <w:sz w:val="18"/>
          <w:u w:val="single"/>
        </w:rPr>
        <w:t>Bear v. New Jersey Ins. Co.</w:t>
      </w:r>
      <w:r>
        <w:rPr>
          <w:rFonts w:ascii="Times New Roman"/>
          <w:sz w:val="18"/>
        </w:rPr>
        <w:t>, 138 Fla. 298, 189 So. 252 ( 1939); </w:t>
      </w:r>
      <w:r>
        <w:rPr>
          <w:rFonts w:ascii="Times New Roman"/>
          <w:sz w:val="18"/>
          <w:u w:val="single"/>
        </w:rPr>
        <w:t>School District</w:t>
      </w:r>
      <w:r>
        <w:rPr>
          <w:rFonts w:ascii="Times New Roman"/>
          <w:sz w:val="18"/>
        </w:rPr>
        <w:t>,</w:t>
      </w:r>
    </w:p>
    <w:p>
      <w:pPr>
        <w:spacing w:line="244" w:lineRule="auto" w:before="5"/>
        <w:ind w:left="2740" w:right="2826" w:firstLine="0"/>
        <w:jc w:val="left"/>
        <w:rPr>
          <w:rFonts w:ascii="Times New Roman" w:hAnsi="Times New Roman"/>
          <w:sz w:val="18"/>
        </w:rPr>
      </w:pPr>
      <w:r>
        <w:rPr>
          <w:rFonts w:ascii="Times New Roman" w:hAnsi="Times New Roman"/>
          <w:sz w:val="18"/>
        </w:rPr>
        <w:t>146 Mont 208; </w:t>
      </w:r>
      <w:r>
        <w:rPr>
          <w:rFonts w:ascii="Times New Roman" w:hAnsi="Times New Roman"/>
          <w:sz w:val="18"/>
          <w:u w:val="single"/>
        </w:rPr>
        <w:t>Nguyen v. St. Paul Travelers Ins. Co.</w:t>
      </w:r>
      <w:r>
        <w:rPr>
          <w:rFonts w:ascii="Times New Roman" w:hAnsi="Times New Roman"/>
          <w:sz w:val="18"/>
        </w:rPr>
        <w:t>, 2007 WL 1672504 (E.D. La. 2007) (insurer’s failure to demand appraisal within 60 days of receipt of satisfactory proof of loss rendered demand untimely).</w:t>
      </w:r>
    </w:p>
    <w:p>
      <w:pPr>
        <w:pStyle w:val="ListParagraph"/>
        <w:numPr>
          <w:ilvl w:val="0"/>
          <w:numId w:val="7"/>
        </w:numPr>
        <w:tabs>
          <w:tab w:pos="3015" w:val="left" w:leader="none"/>
        </w:tabs>
        <w:spacing w:line="265" w:lineRule="exact" w:before="0" w:after="0"/>
        <w:ind w:left="3014" w:right="0" w:hanging="275"/>
        <w:jc w:val="left"/>
        <w:rPr>
          <w:sz w:val="18"/>
        </w:rPr>
      </w:pPr>
      <w:r>
        <w:rPr>
          <w:sz w:val="18"/>
          <w:u w:val="single"/>
        </w:rPr>
        <w:t>Langsner v. German Alliance Ins. Co.</w:t>
      </w:r>
      <w:r>
        <w:rPr>
          <w:sz w:val="18"/>
        </w:rPr>
        <w:t>, 67 Misc. 411, 123 N.Y.S. 144</w:t>
      </w:r>
      <w:r>
        <w:rPr>
          <w:spacing w:val="3"/>
          <w:sz w:val="18"/>
        </w:rPr>
        <w:t> </w:t>
      </w:r>
      <w:r>
        <w:rPr>
          <w:sz w:val="18"/>
        </w:rPr>
        <w:t>(1910).</w:t>
      </w:r>
    </w:p>
    <w:p>
      <w:pPr>
        <w:spacing w:after="0" w:line="265"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21" w:id="35"/>
      <w:bookmarkEnd w:id="35"/>
      <w:r>
        <w:rPr/>
      </w:r>
      <w:r>
        <w:rPr/>
        <w:t>the policy (statutory condition 12). </w:t>
      </w:r>
      <w:r>
        <w:rPr>
          <w:spacing w:val="3"/>
        </w:rPr>
        <w:t>It </w:t>
      </w:r>
      <w:r>
        <w:rPr/>
        <w:t>clarified that appraisal was not a condition precedent to commencing that action. The Court reasoned that “[w]hile </w:t>
      </w:r>
      <w:r>
        <w:rPr>
          <w:spacing w:val="2"/>
        </w:rPr>
        <w:t>it </w:t>
      </w:r>
      <w:r>
        <w:rPr/>
        <w:t>is clear that statutory condition 11 </w:t>
      </w:r>
      <w:r>
        <w:rPr>
          <w:spacing w:val="2"/>
        </w:rPr>
        <w:t>limits </w:t>
      </w:r>
      <w:r>
        <w:rPr/>
        <w:t>the time </w:t>
      </w:r>
      <w:r>
        <w:rPr>
          <w:b/>
        </w:rPr>
        <w:t>before </w:t>
      </w:r>
      <w:r>
        <w:rPr/>
        <w:t>which an appraisal</w:t>
      </w:r>
      <w:r>
        <w:rPr>
          <w:spacing w:val="-26"/>
        </w:rPr>
        <w:t> </w:t>
      </w:r>
      <w:r>
        <w:rPr/>
        <w:t>can</w:t>
      </w:r>
      <w:r>
        <w:rPr>
          <w:spacing w:val="-24"/>
        </w:rPr>
        <w:t> </w:t>
      </w:r>
      <w:r>
        <w:rPr/>
        <w:t>be</w:t>
      </w:r>
      <w:r>
        <w:rPr>
          <w:spacing w:val="-25"/>
        </w:rPr>
        <w:t> </w:t>
      </w:r>
      <w:r>
        <w:rPr/>
        <w:t>sought,</w:t>
      </w:r>
      <w:r>
        <w:rPr>
          <w:spacing w:val="-26"/>
        </w:rPr>
        <w:t> </w:t>
      </w:r>
      <w:r>
        <w:rPr/>
        <w:t>it</w:t>
      </w:r>
      <w:r>
        <w:rPr>
          <w:spacing w:val="-29"/>
        </w:rPr>
        <w:t> </w:t>
      </w:r>
      <w:r>
        <w:rPr/>
        <w:t>does</w:t>
      </w:r>
      <w:r>
        <w:rPr>
          <w:spacing w:val="-26"/>
        </w:rPr>
        <w:t> </w:t>
      </w:r>
      <w:r>
        <w:rPr/>
        <w:t>not...impose</w:t>
      </w:r>
      <w:r>
        <w:rPr>
          <w:spacing w:val="-26"/>
        </w:rPr>
        <w:t> </w:t>
      </w:r>
      <w:r>
        <w:rPr/>
        <w:t>a limitation </w:t>
      </w:r>
      <w:r>
        <w:rPr>
          <w:b/>
        </w:rPr>
        <w:t>beyond </w:t>
      </w:r>
      <w:r>
        <w:rPr/>
        <w:t>which an appraisal can be sought.</w:t>
      </w:r>
      <w:r>
        <w:rPr>
          <w:spacing w:val="-25"/>
        </w:rPr>
        <w:t> </w:t>
      </w:r>
      <w:r>
        <w:rPr/>
        <w:t>Had</w:t>
      </w:r>
      <w:r>
        <w:rPr>
          <w:spacing w:val="-19"/>
        </w:rPr>
        <w:t> </w:t>
      </w:r>
      <w:r>
        <w:rPr/>
        <w:t>such</w:t>
      </w:r>
      <w:r>
        <w:rPr>
          <w:spacing w:val="-19"/>
        </w:rPr>
        <w:t> </w:t>
      </w:r>
      <w:r>
        <w:rPr/>
        <w:t>a</w:t>
      </w:r>
      <w:r>
        <w:rPr>
          <w:spacing w:val="-21"/>
        </w:rPr>
        <w:t> </w:t>
      </w:r>
      <w:r>
        <w:rPr/>
        <w:t>limitation</w:t>
      </w:r>
      <w:r>
        <w:rPr>
          <w:spacing w:val="-20"/>
        </w:rPr>
        <w:t> </w:t>
      </w:r>
      <w:r>
        <w:rPr/>
        <w:t>been</w:t>
      </w:r>
      <w:r>
        <w:rPr>
          <w:spacing w:val="-18"/>
        </w:rPr>
        <w:t> </w:t>
      </w:r>
      <w:r>
        <w:rPr/>
        <w:t>intended,</w:t>
      </w:r>
      <w:r>
        <w:rPr>
          <w:spacing w:val="-24"/>
        </w:rPr>
        <w:t> </w:t>
      </w:r>
      <w:r>
        <w:rPr/>
        <w:t>it could</w:t>
      </w:r>
      <w:r>
        <w:rPr>
          <w:spacing w:val="-16"/>
        </w:rPr>
        <w:t> </w:t>
      </w:r>
      <w:r>
        <w:rPr/>
        <w:t>easily</w:t>
      </w:r>
      <w:r>
        <w:rPr>
          <w:spacing w:val="-20"/>
        </w:rPr>
        <w:t> </w:t>
      </w:r>
      <w:r>
        <w:rPr/>
        <w:t>have</w:t>
      </w:r>
      <w:r>
        <w:rPr>
          <w:spacing w:val="-18"/>
        </w:rPr>
        <w:t> </w:t>
      </w:r>
      <w:r>
        <w:rPr/>
        <w:t>been</w:t>
      </w:r>
      <w:r>
        <w:rPr>
          <w:spacing w:val="-19"/>
        </w:rPr>
        <w:t> </w:t>
      </w:r>
      <w:r>
        <w:rPr/>
        <w:t>specified.”</w:t>
      </w:r>
      <w:r>
        <w:rPr>
          <w:spacing w:val="-19"/>
        </w:rPr>
        <w:t> </w:t>
      </w:r>
      <w:r>
        <w:rPr/>
        <w:t>Further,</w:t>
      </w:r>
      <w:r>
        <w:rPr>
          <w:spacing w:val="-21"/>
        </w:rPr>
        <w:t> </w:t>
      </w:r>
      <w:r>
        <w:rPr/>
        <w:t>the condition’s terms showed a legislative intent that a loss determination be resolved by appraisal before recovery on the contract could take</w:t>
      </w:r>
      <w:r>
        <w:rPr>
          <w:spacing w:val="-2"/>
        </w:rPr>
        <w:t> </w:t>
      </w:r>
      <w:r>
        <w:rPr/>
        <w:t>place.</w:t>
      </w:r>
      <w:r>
        <w:rPr>
          <w:u w:val="single"/>
          <w:vertAlign w:val="superscript"/>
        </w:rPr>
        <w:t>495</w:t>
      </w:r>
    </w:p>
    <w:p>
      <w:pPr>
        <w:pStyle w:val="BodyText"/>
        <w:spacing w:before="10"/>
        <w:rPr>
          <w:sz w:val="25"/>
        </w:rPr>
      </w:pPr>
    </w:p>
    <w:p>
      <w:pPr>
        <w:pStyle w:val="BodyText"/>
        <w:spacing w:line="242" w:lineRule="auto"/>
        <w:ind w:left="3100" w:right="3201" w:firstLine="720"/>
        <w:jc w:val="both"/>
      </w:pPr>
      <w:r>
        <w:rPr>
          <w:spacing w:val="4"/>
        </w:rPr>
        <w:t>In </w:t>
      </w:r>
      <w:r>
        <w:rPr/>
        <w:t>a large and complex claim, </w:t>
      </w:r>
      <w:r>
        <w:rPr>
          <w:spacing w:val="-6"/>
        </w:rPr>
        <w:t>the </w:t>
      </w:r>
      <w:r>
        <w:rPr/>
        <w:t>presentation of a proof of loss denoted </w:t>
      </w:r>
      <w:r>
        <w:rPr>
          <w:spacing w:val="-7"/>
        </w:rPr>
        <w:t>as </w:t>
      </w:r>
      <w:r>
        <w:rPr/>
        <w:t>“preliminary” was held not to trigger the obligation</w:t>
      </w:r>
      <w:r>
        <w:rPr>
          <w:spacing w:val="-31"/>
        </w:rPr>
        <w:t> </w:t>
      </w:r>
      <w:r>
        <w:rPr/>
        <w:t>to</w:t>
      </w:r>
      <w:r>
        <w:rPr>
          <w:spacing w:val="-31"/>
        </w:rPr>
        <w:t> </w:t>
      </w:r>
      <w:r>
        <w:rPr/>
        <w:t>demand</w:t>
      </w:r>
      <w:r>
        <w:rPr>
          <w:spacing w:val="-32"/>
        </w:rPr>
        <w:t> </w:t>
      </w:r>
      <w:r>
        <w:rPr/>
        <w:t>appraisal</w:t>
      </w:r>
      <w:r>
        <w:rPr>
          <w:spacing w:val="-30"/>
        </w:rPr>
        <w:t> </w:t>
      </w:r>
      <w:r>
        <w:rPr/>
        <w:t>within</w:t>
      </w:r>
      <w:r>
        <w:rPr>
          <w:spacing w:val="-32"/>
        </w:rPr>
        <w:t> </w:t>
      </w:r>
      <w:r>
        <w:rPr/>
        <w:t>the</w:t>
      </w:r>
      <w:r>
        <w:rPr>
          <w:spacing w:val="-31"/>
        </w:rPr>
        <w:t> </w:t>
      </w:r>
      <w:r>
        <w:rPr/>
        <w:t>time provided for payment of claims under </w:t>
      </w:r>
      <w:r>
        <w:rPr>
          <w:spacing w:val="-6"/>
        </w:rPr>
        <w:t>the </w:t>
      </w:r>
      <w:r>
        <w:rPr/>
        <w:t>terms of the</w:t>
      </w:r>
      <w:r>
        <w:rPr>
          <w:spacing w:val="-4"/>
        </w:rPr>
        <w:t> </w:t>
      </w:r>
      <w:r>
        <w:rPr/>
        <w:t>policy.</w:t>
      </w:r>
      <w:r>
        <w:rPr>
          <w:vertAlign w:val="superscript"/>
        </w:rPr>
        <w:t>496</w:t>
      </w:r>
    </w:p>
    <w:p>
      <w:pPr>
        <w:pStyle w:val="BodyText"/>
      </w:pPr>
    </w:p>
    <w:p>
      <w:pPr>
        <w:pStyle w:val="BodyText"/>
        <w:spacing w:line="242" w:lineRule="auto"/>
        <w:ind w:left="3100" w:right="3198" w:firstLine="720"/>
        <w:jc w:val="both"/>
      </w:pPr>
      <w:r>
        <w:rPr>
          <w:spacing w:val="-3"/>
        </w:rPr>
        <w:t>Where </w:t>
      </w:r>
      <w:r>
        <w:rPr/>
        <w:t>the carrier has reason to believe that additional evidence of damage will be presented</w:t>
      </w:r>
      <w:r>
        <w:rPr>
          <w:spacing w:val="-22"/>
        </w:rPr>
        <w:t> </w:t>
      </w:r>
      <w:r>
        <w:rPr/>
        <w:t>subsequent</w:t>
      </w:r>
      <w:r>
        <w:rPr>
          <w:spacing w:val="-19"/>
        </w:rPr>
        <w:t> </w:t>
      </w:r>
      <w:r>
        <w:rPr/>
        <w:t>to</w:t>
      </w:r>
      <w:r>
        <w:rPr>
          <w:spacing w:val="-21"/>
        </w:rPr>
        <w:t> </w:t>
      </w:r>
      <w:r>
        <w:rPr/>
        <w:t>the</w:t>
      </w:r>
      <w:r>
        <w:rPr>
          <w:spacing w:val="-22"/>
        </w:rPr>
        <w:t> </w:t>
      </w:r>
      <w:r>
        <w:rPr/>
        <w:t>presentment</w:t>
      </w:r>
      <w:r>
        <w:rPr>
          <w:spacing w:val="-25"/>
        </w:rPr>
        <w:t> </w:t>
      </w:r>
      <w:r>
        <w:rPr/>
        <w:t>of</w:t>
      </w:r>
      <w:r>
        <w:rPr>
          <w:spacing w:val="-21"/>
        </w:rPr>
        <w:t> </w:t>
      </w:r>
      <w:r>
        <w:rPr/>
        <w:t>a preliminary proof of loss, such a filing appears not</w:t>
      </w:r>
      <w:r>
        <w:rPr>
          <w:spacing w:val="-11"/>
        </w:rPr>
        <w:t> </w:t>
      </w:r>
      <w:r>
        <w:rPr/>
        <w:t>to</w:t>
      </w:r>
      <w:r>
        <w:rPr>
          <w:spacing w:val="-9"/>
        </w:rPr>
        <w:t> </w:t>
      </w:r>
      <w:r>
        <w:rPr/>
        <w:t>start</w:t>
      </w:r>
      <w:r>
        <w:rPr>
          <w:spacing w:val="-11"/>
        </w:rPr>
        <w:t> </w:t>
      </w:r>
      <w:r>
        <w:rPr/>
        <w:t>the</w:t>
      </w:r>
      <w:r>
        <w:rPr>
          <w:spacing w:val="-13"/>
        </w:rPr>
        <w:t> </w:t>
      </w:r>
      <w:r>
        <w:rPr/>
        <w:t>clock</w:t>
      </w:r>
      <w:r>
        <w:rPr>
          <w:spacing w:val="-8"/>
        </w:rPr>
        <w:t> </w:t>
      </w:r>
      <w:r>
        <w:rPr/>
        <w:t>running</w:t>
      </w:r>
      <w:r>
        <w:rPr>
          <w:spacing w:val="-9"/>
        </w:rPr>
        <w:t> </w:t>
      </w:r>
      <w:r>
        <w:rPr/>
        <w:t>for</w:t>
      </w:r>
      <w:r>
        <w:rPr>
          <w:spacing w:val="-11"/>
        </w:rPr>
        <w:t> </w:t>
      </w:r>
      <w:r>
        <w:rPr/>
        <w:t>a</w:t>
      </w:r>
      <w:r>
        <w:rPr>
          <w:spacing w:val="-9"/>
        </w:rPr>
        <w:t> </w:t>
      </w:r>
      <w:r>
        <w:rPr/>
        <w:t>demand</w:t>
      </w:r>
      <w:r>
        <w:rPr>
          <w:spacing w:val="-10"/>
        </w:rPr>
        <w:t> </w:t>
      </w:r>
      <w:r>
        <w:rPr/>
        <w:t>for appraisal.</w:t>
      </w:r>
    </w:p>
    <w:p>
      <w:pPr>
        <w:pStyle w:val="BodyText"/>
        <w:rPr>
          <w:sz w:val="20"/>
        </w:rPr>
      </w:pPr>
    </w:p>
    <w:p>
      <w:pPr>
        <w:pStyle w:val="BodyText"/>
        <w:spacing w:before="2"/>
        <w:rPr>
          <w:sz w:val="17"/>
        </w:rPr>
      </w:pPr>
      <w:r>
        <w:rPr/>
        <w:pict>
          <v:shape style="position:absolute;margin-left:162pt;margin-top:12.924653pt;width:143.9pt;height:.1pt;mso-position-horizontal-relative:page;mso-position-vertical-relative:paragraph;z-index:-251557888;mso-wrap-distance-left:0;mso-wrap-distance-right:0" coordorigin="3240,258" coordsize="2878,0" path="m3240,258l6118,258e" filled="false" stroked="true" strokeweight=".84pt" strokecolor="#000000">
            <v:path arrowok="t"/>
            <v:stroke dashstyle="solid"/>
            <w10:wrap type="topAndBottom"/>
          </v:shape>
        </w:pict>
      </w:r>
    </w:p>
    <w:p>
      <w:pPr>
        <w:pStyle w:val="ListParagraph"/>
        <w:numPr>
          <w:ilvl w:val="0"/>
          <w:numId w:val="7"/>
        </w:numPr>
        <w:tabs>
          <w:tab w:pos="2998" w:val="left" w:leader="none"/>
        </w:tabs>
        <w:spacing w:line="244" w:lineRule="auto" w:before="140" w:after="0"/>
        <w:ind w:left="2740" w:right="2846" w:firstLine="0"/>
        <w:jc w:val="left"/>
        <w:rPr>
          <w:sz w:val="18"/>
        </w:rPr>
      </w:pPr>
      <w:r>
        <w:rPr>
          <w:sz w:val="18"/>
          <w:u w:val="single"/>
        </w:rPr>
        <w:t>Sadema</w:t>
      </w:r>
      <w:r>
        <w:rPr>
          <w:spacing w:val="-4"/>
          <w:sz w:val="18"/>
          <w:u w:val="single"/>
        </w:rPr>
        <w:t> </w:t>
      </w:r>
      <w:r>
        <w:rPr>
          <w:sz w:val="18"/>
          <w:u w:val="single"/>
        </w:rPr>
        <w:t>Lumber</w:t>
      </w:r>
      <w:r>
        <w:rPr>
          <w:spacing w:val="-3"/>
          <w:sz w:val="18"/>
          <w:u w:val="single"/>
        </w:rPr>
        <w:t> </w:t>
      </w:r>
      <w:r>
        <w:rPr>
          <w:sz w:val="18"/>
          <w:u w:val="single"/>
        </w:rPr>
        <w:t>Products</w:t>
      </w:r>
      <w:r>
        <w:rPr>
          <w:spacing w:val="-4"/>
          <w:sz w:val="18"/>
          <w:u w:val="single"/>
        </w:rPr>
        <w:t> </w:t>
      </w:r>
      <w:r>
        <w:rPr>
          <w:sz w:val="18"/>
          <w:u w:val="single"/>
        </w:rPr>
        <w:t>Ltd.</w:t>
      </w:r>
      <w:r>
        <w:rPr>
          <w:spacing w:val="-2"/>
          <w:sz w:val="18"/>
          <w:u w:val="single"/>
        </w:rPr>
        <w:t> </w:t>
      </w:r>
      <w:r>
        <w:rPr>
          <w:sz w:val="18"/>
          <w:u w:val="single"/>
        </w:rPr>
        <w:t>v.</w:t>
      </w:r>
      <w:r>
        <w:rPr>
          <w:spacing w:val="-3"/>
          <w:sz w:val="18"/>
          <w:u w:val="single"/>
        </w:rPr>
        <w:t> </w:t>
      </w:r>
      <w:r>
        <w:rPr>
          <w:sz w:val="18"/>
          <w:u w:val="single"/>
        </w:rPr>
        <w:t>Hanover</w:t>
      </w:r>
      <w:r>
        <w:rPr>
          <w:spacing w:val="-2"/>
          <w:sz w:val="18"/>
          <w:u w:val="single"/>
        </w:rPr>
        <w:t> </w:t>
      </w:r>
      <w:r>
        <w:rPr>
          <w:sz w:val="18"/>
          <w:u w:val="single"/>
        </w:rPr>
        <w:t>Ins. Co.</w:t>
      </w:r>
      <w:r>
        <w:rPr>
          <w:sz w:val="18"/>
        </w:rPr>
        <w:t>,</w:t>
      </w:r>
      <w:r>
        <w:rPr>
          <w:spacing w:val="-2"/>
          <w:sz w:val="18"/>
        </w:rPr>
        <w:t> </w:t>
      </w:r>
      <w:r>
        <w:rPr>
          <w:sz w:val="18"/>
        </w:rPr>
        <w:t>(1981)</w:t>
      </w:r>
      <w:r>
        <w:rPr>
          <w:spacing w:val="-2"/>
          <w:sz w:val="18"/>
        </w:rPr>
        <w:t> </w:t>
      </w:r>
      <w:r>
        <w:rPr>
          <w:sz w:val="18"/>
        </w:rPr>
        <w:t>O.J.</w:t>
      </w:r>
      <w:r>
        <w:rPr>
          <w:spacing w:val="-3"/>
          <w:sz w:val="18"/>
        </w:rPr>
        <w:t> </w:t>
      </w:r>
      <w:r>
        <w:rPr>
          <w:sz w:val="18"/>
        </w:rPr>
        <w:t>No.</w:t>
      </w:r>
      <w:r>
        <w:rPr>
          <w:spacing w:val="-2"/>
          <w:sz w:val="18"/>
        </w:rPr>
        <w:t> </w:t>
      </w:r>
      <w:r>
        <w:rPr>
          <w:sz w:val="18"/>
        </w:rPr>
        <w:t>228,</w:t>
      </w:r>
      <w:r>
        <w:rPr>
          <w:spacing w:val="-3"/>
          <w:sz w:val="18"/>
        </w:rPr>
        <w:t> </w:t>
      </w:r>
      <w:r>
        <w:rPr>
          <w:sz w:val="18"/>
        </w:rPr>
        <w:t>(1981)</w:t>
      </w:r>
      <w:r>
        <w:rPr>
          <w:spacing w:val="-5"/>
          <w:sz w:val="18"/>
        </w:rPr>
        <w:t> </w:t>
      </w:r>
      <w:r>
        <w:rPr>
          <w:sz w:val="18"/>
        </w:rPr>
        <w:t>I.L.R. 279,</w:t>
      </w:r>
      <w:r>
        <w:rPr>
          <w:spacing w:val="-14"/>
          <w:sz w:val="18"/>
        </w:rPr>
        <w:t> </w:t>
      </w:r>
      <w:r>
        <w:rPr>
          <w:sz w:val="18"/>
        </w:rPr>
        <w:t>(1981)</w:t>
      </w:r>
      <w:r>
        <w:rPr>
          <w:spacing w:val="-13"/>
          <w:sz w:val="18"/>
        </w:rPr>
        <w:t> </w:t>
      </w:r>
      <w:r>
        <w:rPr>
          <w:sz w:val="18"/>
        </w:rPr>
        <w:t>I.L.R.1-1381,</w:t>
      </w:r>
      <w:r>
        <w:rPr>
          <w:spacing w:val="-14"/>
          <w:sz w:val="18"/>
        </w:rPr>
        <w:t> </w:t>
      </w:r>
      <w:r>
        <w:rPr>
          <w:sz w:val="18"/>
        </w:rPr>
        <w:t>8</w:t>
      </w:r>
      <w:r>
        <w:rPr>
          <w:spacing w:val="-12"/>
          <w:sz w:val="18"/>
        </w:rPr>
        <w:t> </w:t>
      </w:r>
      <w:r>
        <w:rPr>
          <w:sz w:val="18"/>
        </w:rPr>
        <w:t>A.C.W.S.</w:t>
      </w:r>
      <w:r>
        <w:rPr>
          <w:spacing w:val="-11"/>
          <w:sz w:val="18"/>
        </w:rPr>
        <w:t> </w:t>
      </w:r>
      <w:r>
        <w:rPr>
          <w:sz w:val="18"/>
        </w:rPr>
        <w:t>(2d)</w:t>
      </w:r>
      <w:r>
        <w:rPr>
          <w:spacing w:val="-14"/>
          <w:sz w:val="18"/>
        </w:rPr>
        <w:t> </w:t>
      </w:r>
      <w:r>
        <w:rPr>
          <w:sz w:val="18"/>
        </w:rPr>
        <w:t>300,</w:t>
      </w:r>
      <w:r>
        <w:rPr>
          <w:spacing w:val="-13"/>
          <w:sz w:val="18"/>
        </w:rPr>
        <w:t> </w:t>
      </w:r>
      <w:r>
        <w:rPr>
          <w:sz w:val="18"/>
        </w:rPr>
        <w:t>1981</w:t>
      </w:r>
      <w:r>
        <w:rPr>
          <w:spacing w:val="-14"/>
          <w:sz w:val="18"/>
        </w:rPr>
        <w:t> </w:t>
      </w:r>
      <w:r>
        <w:rPr>
          <w:sz w:val="18"/>
        </w:rPr>
        <w:t>CarswellOnt</w:t>
      </w:r>
      <w:r>
        <w:rPr>
          <w:spacing w:val="-13"/>
          <w:sz w:val="18"/>
        </w:rPr>
        <w:t> </w:t>
      </w:r>
      <w:r>
        <w:rPr>
          <w:sz w:val="18"/>
        </w:rPr>
        <w:t>672</w:t>
      </w:r>
      <w:r>
        <w:rPr>
          <w:spacing w:val="-14"/>
          <w:sz w:val="18"/>
        </w:rPr>
        <w:t> </w:t>
      </w:r>
      <w:r>
        <w:rPr>
          <w:sz w:val="18"/>
        </w:rPr>
        <w:t>;</w:t>
      </w:r>
      <w:r>
        <w:rPr>
          <w:spacing w:val="-16"/>
          <w:sz w:val="18"/>
        </w:rPr>
        <w:t> </w:t>
      </w:r>
      <w:r>
        <w:rPr>
          <w:i/>
          <w:sz w:val="18"/>
        </w:rPr>
        <w:t>The</w:t>
      </w:r>
      <w:r>
        <w:rPr>
          <w:i/>
          <w:spacing w:val="-16"/>
          <w:sz w:val="18"/>
        </w:rPr>
        <w:t> </w:t>
      </w:r>
      <w:r>
        <w:rPr>
          <w:i/>
          <w:sz w:val="18"/>
        </w:rPr>
        <w:t>Insurance</w:t>
      </w:r>
      <w:r>
        <w:rPr>
          <w:i/>
          <w:spacing w:val="-16"/>
          <w:sz w:val="18"/>
        </w:rPr>
        <w:t> </w:t>
      </w:r>
      <w:r>
        <w:rPr>
          <w:i/>
          <w:sz w:val="18"/>
        </w:rPr>
        <w:t>Act</w:t>
      </w:r>
      <w:r>
        <w:rPr>
          <w:sz w:val="18"/>
        </w:rPr>
        <w:t>;</w:t>
      </w:r>
    </w:p>
    <w:p>
      <w:pPr>
        <w:spacing w:line="178" w:lineRule="exact" w:before="0"/>
        <w:ind w:left="2740" w:right="0" w:firstLine="0"/>
        <w:jc w:val="left"/>
        <w:rPr>
          <w:rFonts w:ascii="Times New Roman"/>
          <w:sz w:val="18"/>
        </w:rPr>
      </w:pPr>
      <w:r>
        <w:rPr>
          <w:rFonts w:ascii="Times New Roman"/>
          <w:sz w:val="18"/>
        </w:rPr>
        <w:t>R.S.O. 1970, c. 224, s. 102 and s.122.</w:t>
      </w:r>
    </w:p>
    <w:p>
      <w:pPr>
        <w:pStyle w:val="ListParagraph"/>
        <w:numPr>
          <w:ilvl w:val="0"/>
          <w:numId w:val="7"/>
        </w:numPr>
        <w:tabs>
          <w:tab w:pos="2998" w:val="left" w:leader="none"/>
        </w:tabs>
        <w:spacing w:line="240" w:lineRule="exact" w:before="0" w:after="0"/>
        <w:ind w:left="2998" w:right="0" w:hanging="258"/>
        <w:jc w:val="left"/>
        <w:rPr>
          <w:sz w:val="18"/>
        </w:rPr>
      </w:pPr>
      <w:r>
        <w:rPr>
          <w:sz w:val="18"/>
          <w:u w:val="single"/>
        </w:rPr>
        <w:t>S.R.</w:t>
      </w:r>
      <w:r>
        <w:rPr>
          <w:spacing w:val="-1"/>
          <w:sz w:val="18"/>
          <w:u w:val="single"/>
        </w:rPr>
        <w:t> </w:t>
      </w:r>
      <w:r>
        <w:rPr>
          <w:sz w:val="18"/>
          <w:u w:val="single"/>
        </w:rPr>
        <w:t>International</w:t>
      </w:r>
      <w:r>
        <w:rPr>
          <w:spacing w:val="-3"/>
          <w:sz w:val="18"/>
          <w:u w:val="single"/>
        </w:rPr>
        <w:t> </w:t>
      </w:r>
      <w:r>
        <w:rPr>
          <w:sz w:val="18"/>
          <w:u w:val="single"/>
        </w:rPr>
        <w:t>Bus.</w:t>
      </w:r>
      <w:r>
        <w:rPr>
          <w:spacing w:val="-2"/>
          <w:sz w:val="18"/>
          <w:u w:val="single"/>
        </w:rPr>
        <w:t> </w:t>
      </w:r>
      <w:r>
        <w:rPr>
          <w:sz w:val="18"/>
          <w:u w:val="single"/>
        </w:rPr>
        <w:t>Ins.</w:t>
      </w:r>
      <w:r>
        <w:rPr>
          <w:spacing w:val="-2"/>
          <w:sz w:val="18"/>
          <w:u w:val="single"/>
        </w:rPr>
        <w:t> </w:t>
      </w:r>
      <w:r>
        <w:rPr>
          <w:sz w:val="18"/>
          <w:u w:val="single"/>
        </w:rPr>
        <w:t>Co.</w:t>
      </w:r>
      <w:r>
        <w:rPr>
          <w:spacing w:val="-2"/>
          <w:sz w:val="18"/>
          <w:u w:val="single"/>
        </w:rPr>
        <w:t> </w:t>
      </w:r>
      <w:r>
        <w:rPr>
          <w:sz w:val="18"/>
          <w:u w:val="single"/>
        </w:rPr>
        <w:t>Ltd.</w:t>
      </w:r>
      <w:r>
        <w:rPr>
          <w:spacing w:val="-4"/>
          <w:sz w:val="18"/>
          <w:u w:val="single"/>
        </w:rPr>
        <w:t> </w:t>
      </w:r>
      <w:r>
        <w:rPr>
          <w:sz w:val="18"/>
          <w:u w:val="single"/>
        </w:rPr>
        <w:t>v.</w:t>
      </w:r>
      <w:r>
        <w:rPr>
          <w:spacing w:val="-4"/>
          <w:sz w:val="18"/>
          <w:u w:val="single"/>
        </w:rPr>
        <w:t> </w:t>
      </w:r>
      <w:r>
        <w:rPr>
          <w:sz w:val="18"/>
          <w:u w:val="single"/>
        </w:rPr>
        <w:t>World</w:t>
      </w:r>
      <w:r>
        <w:rPr>
          <w:spacing w:val="-3"/>
          <w:sz w:val="18"/>
          <w:u w:val="single"/>
        </w:rPr>
        <w:t> </w:t>
      </w:r>
      <w:r>
        <w:rPr>
          <w:sz w:val="18"/>
          <w:u w:val="single"/>
        </w:rPr>
        <w:t>Trade</w:t>
      </w:r>
      <w:r>
        <w:rPr>
          <w:spacing w:val="-5"/>
          <w:sz w:val="18"/>
          <w:u w:val="single"/>
        </w:rPr>
        <w:t> </w:t>
      </w:r>
      <w:r>
        <w:rPr>
          <w:sz w:val="18"/>
          <w:u w:val="single"/>
        </w:rPr>
        <w:t>Center</w:t>
      </w:r>
      <w:r>
        <w:rPr>
          <w:spacing w:val="-6"/>
          <w:sz w:val="18"/>
          <w:u w:val="single"/>
        </w:rPr>
        <w:t> </w:t>
      </w:r>
      <w:r>
        <w:rPr>
          <w:sz w:val="18"/>
          <w:u w:val="single"/>
        </w:rPr>
        <w:t>Properties,</w:t>
      </w:r>
      <w:r>
        <w:rPr>
          <w:spacing w:val="-5"/>
          <w:sz w:val="18"/>
          <w:u w:val="single"/>
        </w:rPr>
        <w:t> </w:t>
      </w:r>
      <w:r>
        <w:rPr>
          <w:sz w:val="18"/>
          <w:u w:val="single"/>
        </w:rPr>
        <w:t>LLC</w:t>
      </w:r>
      <w:r>
        <w:rPr>
          <w:sz w:val="18"/>
        </w:rPr>
        <w:t>,</w:t>
      </w:r>
      <w:r>
        <w:rPr>
          <w:spacing w:val="-4"/>
          <w:sz w:val="18"/>
        </w:rPr>
        <w:t> </w:t>
      </w:r>
      <w:r>
        <w:rPr>
          <w:sz w:val="18"/>
        </w:rPr>
        <w:t>2004</w:t>
      </w:r>
      <w:r>
        <w:rPr>
          <w:spacing w:val="-1"/>
          <w:sz w:val="18"/>
        </w:rPr>
        <w:t> </w:t>
      </w:r>
      <w:r>
        <w:rPr>
          <w:sz w:val="18"/>
        </w:rPr>
        <w:t>WL</w:t>
      </w:r>
    </w:p>
    <w:p>
      <w:pPr>
        <w:spacing w:before="6"/>
        <w:ind w:left="2740" w:right="0" w:firstLine="0"/>
        <w:jc w:val="left"/>
        <w:rPr>
          <w:rFonts w:ascii="Times New Roman"/>
          <w:sz w:val="24"/>
        </w:rPr>
      </w:pPr>
      <w:r>
        <w:rPr>
          <w:rFonts w:ascii="Times New Roman"/>
          <w:sz w:val="18"/>
        </w:rPr>
        <w:t>2979790 (S.D.N.Y. 2004)</w:t>
      </w:r>
      <w:r>
        <w:rPr>
          <w:rFonts w:ascii="Times New Roman"/>
          <w:sz w:val="24"/>
        </w:rPr>
        <w:t>.</w:t>
      </w:r>
    </w:p>
    <w:p>
      <w:pPr>
        <w:spacing w:after="0"/>
        <w:jc w:val="left"/>
        <w:rPr>
          <w:rFonts w:ascii="Times New Roman"/>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firstLine="720"/>
        <w:jc w:val="both"/>
      </w:pPr>
      <w:r>
        <w:rPr/>
        <w:pict>
          <v:line style="position:absolute;mso-position-horizontal-relative:page;mso-position-vertical-relative:paragraph;z-index:-254181376" from="423.019989pt,109.163162pt" to="603.048989pt,109.163162pt" stroked="true" strokeweight="2.95pt" strokecolor="#000000">
            <v:stroke dashstyle="solid"/>
            <w10:wrap type="none"/>
          </v:line>
        </w:pict>
      </w:r>
      <w:r>
        <w:rPr/>
        <w:pict>
          <v:line style="position:absolute;mso-position-horizontal-relative:page;mso-position-vertical-relative:paragraph;z-index:-254180352" from="315.351013pt,125.243164pt" to="603.126013pt,125.243164pt" stroked="true" strokeweight="2.95pt" strokecolor="#000000">
            <v:stroke dashstyle="solid"/>
            <w10:wrap type="none"/>
          </v:line>
        </w:pict>
      </w:r>
      <w:r>
        <w:rPr/>
        <w:pict>
          <v:line style="position:absolute;mso-position-horizontal-relative:page;mso-position-vertical-relative:paragraph;z-index:-254179328" from="315.351013pt,141.323166pt" to="603.128013pt,141.323166pt" stroked="true" strokeweight="2.95pt" strokecolor="#000000">
            <v:stroke dashstyle="solid"/>
            <w10:wrap type="none"/>
          </v:line>
        </w:pict>
      </w:r>
      <w:r>
        <w:rPr/>
        <w:pict>
          <v:line style="position:absolute;mso-position-horizontal-relative:page;mso-position-vertical-relative:paragraph;z-index:-254178304" from="315.351013pt,173.483154pt" to="445.842013pt,173.483154pt" stroked="true" strokeweight="2.95pt" strokecolor="#000000">
            <v:stroke dashstyle="solid"/>
            <w10:wrap type="none"/>
          </v:line>
        </w:pict>
      </w:r>
      <w:bookmarkStart w:name="Law and Procedure 222" w:id="36"/>
      <w:bookmarkEnd w:id="36"/>
      <w:r>
        <w:rPr/>
      </w:r>
      <w:r>
        <w:rPr/>
        <w:t>What constitutes a reasonable time to demand appraisal depends on all the surrounding circumstances and where the circumstances are complex, thirty days was held not to be a reasonable time for the insurers to review the insured’s claim and determine whether an appraisal was appropriate, particularly where the proof presented was identified as “preliminary.”</w:t>
      </w:r>
      <w:r>
        <w:rPr>
          <w:vertAlign w:val="superscript"/>
        </w:rPr>
        <w:t>497</w:t>
      </w:r>
    </w:p>
    <w:p>
      <w:pPr>
        <w:pStyle w:val="BodyText"/>
        <w:spacing w:before="4"/>
        <w:rPr>
          <w:sz w:val="11"/>
        </w:rPr>
      </w:pPr>
      <w:r>
        <w:rPr/>
        <w:pict>
          <v:shape style="position:absolute;margin-left:315.351013pt;margin-top:10.410953pt;width:288.05pt;height:.1pt;mso-position-horizontal-relative:page;mso-position-vertical-relative:paragraph;z-index:-251556864;mso-wrap-distance-left:0;mso-wrap-distance-right:0" coordorigin="6307,208" coordsize="5761,0" path="m6307,208l12068,208e" filled="false" stroked="true" strokeweight="2.95pt" strokecolor="#000000">
            <v:path arrowok="t"/>
            <v:stroke dashstyle="solid"/>
            <w10:wrap type="topAndBottom"/>
          </v:shape>
        </w:pict>
      </w:r>
    </w:p>
    <w:p>
      <w:pPr>
        <w:pStyle w:val="BodyText"/>
        <w:spacing w:line="242" w:lineRule="auto" w:before="51"/>
        <w:ind w:left="3100" w:right="3201" w:firstLine="720"/>
        <w:jc w:val="both"/>
      </w:pPr>
      <w:r>
        <w:rPr>
          <w:spacing w:val="3"/>
        </w:rPr>
        <w:t>In</w:t>
      </w:r>
      <w:r>
        <w:rPr>
          <w:spacing w:val="-21"/>
        </w:rPr>
        <w:t> </w:t>
      </w:r>
      <w:r>
        <w:rPr/>
        <w:t>Kentucky,</w:t>
      </w:r>
      <w:r>
        <w:rPr>
          <w:spacing w:val="-22"/>
        </w:rPr>
        <w:t> </w:t>
      </w:r>
      <w:r>
        <w:rPr/>
        <w:t>the</w:t>
      </w:r>
      <w:r>
        <w:rPr>
          <w:spacing w:val="-24"/>
        </w:rPr>
        <w:t> </w:t>
      </w:r>
      <w:r>
        <w:rPr/>
        <w:t>court</w:t>
      </w:r>
      <w:r>
        <w:rPr>
          <w:spacing w:val="-24"/>
        </w:rPr>
        <w:t> </w:t>
      </w:r>
      <w:r>
        <w:rPr/>
        <w:t>construed</w:t>
      </w:r>
      <w:r>
        <w:rPr>
          <w:spacing w:val="-22"/>
        </w:rPr>
        <w:t> </w:t>
      </w:r>
      <w:r>
        <w:rPr/>
        <w:t>a</w:t>
      </w:r>
      <w:r>
        <w:rPr>
          <w:spacing w:val="-21"/>
        </w:rPr>
        <w:t> </w:t>
      </w:r>
      <w:r>
        <w:rPr/>
        <w:t>pro</w:t>
      </w:r>
      <w:r>
        <w:rPr>
          <w:spacing w:val="-20"/>
        </w:rPr>
        <w:t> </w:t>
      </w:r>
      <w:r>
        <w:rPr>
          <w:spacing w:val="-6"/>
        </w:rPr>
        <w:t>se </w:t>
      </w:r>
      <w:r>
        <w:rPr/>
        <w:t>litigant’s response to an insurer’s motion to dismiss</w:t>
      </w:r>
      <w:r>
        <w:rPr>
          <w:spacing w:val="-23"/>
        </w:rPr>
        <w:t> </w:t>
      </w:r>
      <w:r>
        <w:rPr/>
        <w:t>as</w:t>
      </w:r>
      <w:r>
        <w:rPr>
          <w:spacing w:val="-22"/>
        </w:rPr>
        <w:t> </w:t>
      </w:r>
      <w:r>
        <w:rPr/>
        <w:t>a</w:t>
      </w:r>
      <w:r>
        <w:rPr>
          <w:spacing w:val="-20"/>
        </w:rPr>
        <w:t> </w:t>
      </w:r>
      <w:r>
        <w:rPr/>
        <w:t>motion</w:t>
      </w:r>
      <w:r>
        <w:rPr>
          <w:spacing w:val="-20"/>
        </w:rPr>
        <w:t> </w:t>
      </w:r>
      <w:r>
        <w:rPr/>
        <w:t>to</w:t>
      </w:r>
      <w:r>
        <w:rPr>
          <w:spacing w:val="-20"/>
        </w:rPr>
        <w:t> </w:t>
      </w:r>
      <w:r>
        <w:rPr/>
        <w:t>compel</w:t>
      </w:r>
      <w:r>
        <w:rPr>
          <w:spacing w:val="-19"/>
        </w:rPr>
        <w:t> </w:t>
      </w:r>
      <w:r>
        <w:rPr/>
        <w:t>appraisal,</w:t>
      </w:r>
      <w:r>
        <w:rPr>
          <w:spacing w:val="-22"/>
        </w:rPr>
        <w:t> </w:t>
      </w:r>
      <w:r>
        <w:rPr/>
        <w:t>as</w:t>
      </w:r>
      <w:r>
        <w:rPr>
          <w:spacing w:val="-20"/>
        </w:rPr>
        <w:t> </w:t>
      </w:r>
      <w:r>
        <w:rPr>
          <w:spacing w:val="-5"/>
        </w:rPr>
        <w:t>the </w:t>
      </w:r>
      <w:r>
        <w:rPr/>
        <w:t>court</w:t>
      </w:r>
      <w:r>
        <w:rPr>
          <w:spacing w:val="-33"/>
        </w:rPr>
        <w:t> </w:t>
      </w:r>
      <w:r>
        <w:rPr/>
        <w:t>noted</w:t>
      </w:r>
      <w:r>
        <w:rPr>
          <w:spacing w:val="-32"/>
        </w:rPr>
        <w:t> </w:t>
      </w:r>
      <w:r>
        <w:rPr/>
        <w:t>that</w:t>
      </w:r>
      <w:r>
        <w:rPr>
          <w:spacing w:val="-32"/>
        </w:rPr>
        <w:t> </w:t>
      </w:r>
      <w:r>
        <w:rPr/>
        <w:t>liberal</w:t>
      </w:r>
      <w:r>
        <w:rPr>
          <w:spacing w:val="-31"/>
        </w:rPr>
        <w:t> </w:t>
      </w:r>
      <w:r>
        <w:rPr/>
        <w:t>construction</w:t>
      </w:r>
      <w:r>
        <w:rPr>
          <w:spacing w:val="-30"/>
        </w:rPr>
        <w:t> </w:t>
      </w:r>
      <w:r>
        <w:rPr/>
        <w:t>is</w:t>
      </w:r>
      <w:r>
        <w:rPr>
          <w:spacing w:val="-30"/>
        </w:rPr>
        <w:t> </w:t>
      </w:r>
      <w:r>
        <w:rPr>
          <w:spacing w:val="-3"/>
        </w:rPr>
        <w:t>afforded </w:t>
      </w:r>
      <w:r>
        <w:rPr/>
        <w:t>pro se</w:t>
      </w:r>
      <w:r>
        <w:rPr>
          <w:spacing w:val="-2"/>
        </w:rPr>
        <w:t> </w:t>
      </w:r>
      <w:r>
        <w:rPr/>
        <w:t>litigants.</w:t>
      </w:r>
      <w:r>
        <w:rPr>
          <w:vertAlign w:val="superscript"/>
        </w:rPr>
        <w:t>498</w:t>
      </w:r>
    </w:p>
    <w:p>
      <w:pPr>
        <w:pStyle w:val="BodyText"/>
      </w:pPr>
    </w:p>
    <w:p>
      <w:pPr>
        <w:pStyle w:val="BodyText"/>
        <w:spacing w:line="242" w:lineRule="auto" w:before="1"/>
        <w:ind w:left="3100" w:right="3197" w:firstLine="720"/>
        <w:jc w:val="both"/>
      </w:pPr>
      <w:r>
        <w:rPr>
          <w:spacing w:val="3"/>
        </w:rPr>
        <w:t>It</w:t>
      </w:r>
      <w:r>
        <w:rPr>
          <w:spacing w:val="-20"/>
        </w:rPr>
        <w:t> </w:t>
      </w:r>
      <w:r>
        <w:rPr/>
        <w:t>has</w:t>
      </w:r>
      <w:r>
        <w:rPr>
          <w:spacing w:val="-18"/>
        </w:rPr>
        <w:t> </w:t>
      </w:r>
      <w:r>
        <w:rPr/>
        <w:t>been</w:t>
      </w:r>
      <w:r>
        <w:rPr>
          <w:spacing w:val="-18"/>
        </w:rPr>
        <w:t> </w:t>
      </w:r>
      <w:r>
        <w:rPr/>
        <w:t>held</w:t>
      </w:r>
      <w:r>
        <w:rPr>
          <w:spacing w:val="-18"/>
        </w:rPr>
        <w:t> </w:t>
      </w:r>
      <w:r>
        <w:rPr/>
        <w:t>that</w:t>
      </w:r>
      <w:r>
        <w:rPr>
          <w:spacing w:val="-19"/>
        </w:rPr>
        <w:t> </w:t>
      </w:r>
      <w:r>
        <w:rPr/>
        <w:t>although</w:t>
      </w:r>
      <w:r>
        <w:rPr>
          <w:spacing w:val="-16"/>
        </w:rPr>
        <w:t> </w:t>
      </w:r>
      <w:r>
        <w:rPr/>
        <w:t>the</w:t>
      </w:r>
      <w:r>
        <w:rPr>
          <w:spacing w:val="-18"/>
        </w:rPr>
        <w:t> </w:t>
      </w:r>
      <w:r>
        <w:rPr/>
        <w:t>policy does not state that the appraisal process</w:t>
      </w:r>
      <w:r>
        <w:rPr>
          <w:spacing w:val="-36"/>
        </w:rPr>
        <w:t> </w:t>
      </w:r>
      <w:r>
        <w:rPr/>
        <w:t>may be</w:t>
      </w:r>
      <w:r>
        <w:rPr>
          <w:spacing w:val="-32"/>
        </w:rPr>
        <w:t> </w:t>
      </w:r>
      <w:r>
        <w:rPr/>
        <w:t>invoked</w:t>
      </w:r>
      <w:r>
        <w:rPr>
          <w:spacing w:val="-30"/>
        </w:rPr>
        <w:t> </w:t>
      </w:r>
      <w:r>
        <w:rPr/>
        <w:t>only</w:t>
      </w:r>
      <w:r>
        <w:rPr>
          <w:spacing w:val="-30"/>
        </w:rPr>
        <w:t> </w:t>
      </w:r>
      <w:r>
        <w:rPr/>
        <w:t>after</w:t>
      </w:r>
      <w:r>
        <w:rPr>
          <w:spacing w:val="-34"/>
        </w:rPr>
        <w:t> </w:t>
      </w:r>
      <w:r>
        <w:rPr/>
        <w:t>the</w:t>
      </w:r>
      <w:r>
        <w:rPr>
          <w:spacing w:val="-32"/>
        </w:rPr>
        <w:t> </w:t>
      </w:r>
      <w:r>
        <w:rPr/>
        <w:t>insured</w:t>
      </w:r>
      <w:r>
        <w:rPr>
          <w:spacing w:val="-32"/>
        </w:rPr>
        <w:t> </w:t>
      </w:r>
      <w:r>
        <w:rPr/>
        <w:t>has</w:t>
      </w:r>
      <w:r>
        <w:rPr>
          <w:spacing w:val="-30"/>
        </w:rPr>
        <w:t> </w:t>
      </w:r>
      <w:r>
        <w:rPr/>
        <w:t>submitted proofs</w:t>
      </w:r>
      <w:r>
        <w:rPr>
          <w:spacing w:val="-6"/>
        </w:rPr>
        <w:t> </w:t>
      </w:r>
      <w:r>
        <w:rPr/>
        <w:t>of</w:t>
      </w:r>
      <w:r>
        <w:rPr>
          <w:spacing w:val="-8"/>
        </w:rPr>
        <w:t> </w:t>
      </w:r>
      <w:r>
        <w:rPr/>
        <w:t>loss,</w:t>
      </w:r>
      <w:r>
        <w:rPr>
          <w:spacing w:val="-7"/>
        </w:rPr>
        <w:t> </w:t>
      </w:r>
      <w:r>
        <w:rPr/>
        <w:t>it</w:t>
      </w:r>
      <w:r>
        <w:rPr>
          <w:spacing w:val="-9"/>
        </w:rPr>
        <w:t> </w:t>
      </w:r>
      <w:r>
        <w:rPr/>
        <w:t>does</w:t>
      </w:r>
      <w:r>
        <w:rPr>
          <w:spacing w:val="-7"/>
        </w:rPr>
        <w:t> </w:t>
      </w:r>
      <w:r>
        <w:rPr/>
        <w:t>provide</w:t>
      </w:r>
      <w:r>
        <w:rPr>
          <w:spacing w:val="-8"/>
        </w:rPr>
        <w:t> </w:t>
      </w:r>
      <w:r>
        <w:rPr/>
        <w:t>that</w:t>
      </w:r>
      <w:r>
        <w:rPr>
          <w:spacing w:val="-5"/>
        </w:rPr>
        <w:t> </w:t>
      </w:r>
      <w:r>
        <w:rPr/>
        <w:t>a</w:t>
      </w:r>
      <w:r>
        <w:rPr>
          <w:spacing w:val="-4"/>
        </w:rPr>
        <w:t> </w:t>
      </w:r>
      <w:r>
        <w:rPr/>
        <w:t>party</w:t>
      </w:r>
      <w:r>
        <w:rPr>
          <w:spacing w:val="-8"/>
        </w:rPr>
        <w:t> </w:t>
      </w:r>
      <w:r>
        <w:rPr/>
        <w:t>may demand</w:t>
      </w:r>
      <w:r>
        <w:rPr>
          <w:spacing w:val="-29"/>
        </w:rPr>
        <w:t> </w:t>
      </w:r>
      <w:r>
        <w:rPr/>
        <w:t>appraisal</w:t>
      </w:r>
      <w:r>
        <w:rPr>
          <w:spacing w:val="-26"/>
        </w:rPr>
        <w:t> </w:t>
      </w:r>
      <w:r>
        <w:rPr/>
        <w:t>if</w:t>
      </w:r>
      <w:r>
        <w:rPr>
          <w:spacing w:val="-29"/>
        </w:rPr>
        <w:t> </w:t>
      </w:r>
      <w:r>
        <w:rPr/>
        <w:t>the</w:t>
      </w:r>
      <w:r>
        <w:rPr>
          <w:spacing w:val="-28"/>
        </w:rPr>
        <w:t> </w:t>
      </w:r>
      <w:r>
        <w:rPr/>
        <w:t>parties</w:t>
      </w:r>
      <w:r>
        <w:rPr>
          <w:spacing w:val="-26"/>
        </w:rPr>
        <w:t> </w:t>
      </w:r>
      <w:r>
        <w:rPr/>
        <w:t>fail</w:t>
      </w:r>
      <w:r>
        <w:rPr>
          <w:spacing w:val="-26"/>
        </w:rPr>
        <w:t> </w:t>
      </w:r>
      <w:r>
        <w:rPr/>
        <w:t>to</w:t>
      </w:r>
      <w:r>
        <w:rPr>
          <w:spacing w:val="-26"/>
        </w:rPr>
        <w:t> </w:t>
      </w:r>
      <w:r>
        <w:rPr/>
        <w:t>agree</w:t>
      </w:r>
      <w:r>
        <w:rPr>
          <w:spacing w:val="-27"/>
        </w:rPr>
        <w:t> </w:t>
      </w:r>
      <w:r>
        <w:rPr/>
        <w:t>on the</w:t>
      </w:r>
      <w:r>
        <w:rPr>
          <w:spacing w:val="-18"/>
        </w:rPr>
        <w:t> </w:t>
      </w:r>
      <w:r>
        <w:rPr/>
        <w:t>amount</w:t>
      </w:r>
      <w:r>
        <w:rPr>
          <w:spacing w:val="-17"/>
        </w:rPr>
        <w:t> </w:t>
      </w:r>
      <w:r>
        <w:rPr/>
        <w:t>of</w:t>
      </w:r>
      <w:r>
        <w:rPr>
          <w:spacing w:val="-16"/>
        </w:rPr>
        <w:t> </w:t>
      </w:r>
      <w:r>
        <w:rPr/>
        <w:t>loss.</w:t>
      </w:r>
      <w:r>
        <w:rPr>
          <w:spacing w:val="39"/>
        </w:rPr>
        <w:t> </w:t>
      </w:r>
      <w:r>
        <w:rPr/>
        <w:t>This</w:t>
      </w:r>
      <w:r>
        <w:rPr>
          <w:spacing w:val="-17"/>
        </w:rPr>
        <w:t> </w:t>
      </w:r>
      <w:r>
        <w:rPr/>
        <w:t>implies</w:t>
      </w:r>
      <w:r>
        <w:rPr>
          <w:spacing w:val="-17"/>
        </w:rPr>
        <w:t> </w:t>
      </w:r>
      <w:r>
        <w:rPr/>
        <w:t>that</w:t>
      </w:r>
      <w:r>
        <w:rPr>
          <w:spacing w:val="-17"/>
        </w:rPr>
        <w:t> </w:t>
      </w:r>
      <w:r>
        <w:rPr/>
        <w:t>the</w:t>
      </w:r>
      <w:r>
        <w:rPr>
          <w:spacing w:val="-18"/>
        </w:rPr>
        <w:t> </w:t>
      </w:r>
      <w:r>
        <w:rPr/>
        <w:t>insured was required to fulfill their post-loss duties and make a good faith attempt to come to an agreement on the amount of loss </w:t>
      </w:r>
      <w:r>
        <w:rPr>
          <w:spacing w:val="-3"/>
        </w:rPr>
        <w:t>before </w:t>
      </w:r>
      <w:r>
        <w:rPr/>
        <w:t>invoking the clause. This necessarily means that the parties would engage in </w:t>
      </w:r>
      <w:r>
        <w:rPr>
          <w:spacing w:val="-3"/>
        </w:rPr>
        <w:t>some </w:t>
      </w:r>
      <w:r>
        <w:rPr/>
        <w:t>meaningful</w:t>
      </w:r>
      <w:r>
        <w:rPr>
          <w:spacing w:val="-14"/>
        </w:rPr>
        <w:t> </w:t>
      </w:r>
      <w:r>
        <w:rPr/>
        <w:t>exchange</w:t>
      </w:r>
      <w:r>
        <w:rPr>
          <w:spacing w:val="-15"/>
        </w:rPr>
        <w:t> </w:t>
      </w:r>
      <w:r>
        <w:rPr/>
        <w:t>of</w:t>
      </w:r>
      <w:r>
        <w:rPr>
          <w:spacing w:val="-17"/>
        </w:rPr>
        <w:t> </w:t>
      </w:r>
      <w:r>
        <w:rPr/>
        <w:t>information</w:t>
      </w:r>
      <w:r>
        <w:rPr>
          <w:spacing w:val="-18"/>
        </w:rPr>
        <w:t> </w:t>
      </w:r>
      <w:r>
        <w:rPr/>
        <w:t>sufficient</w:t>
      </w:r>
    </w:p>
    <w:p>
      <w:pPr>
        <w:pStyle w:val="BodyText"/>
        <w:rPr>
          <w:sz w:val="20"/>
        </w:rPr>
      </w:pPr>
    </w:p>
    <w:p>
      <w:pPr>
        <w:pStyle w:val="BodyText"/>
        <w:spacing w:before="4"/>
        <w:rPr>
          <w:sz w:val="13"/>
        </w:rPr>
      </w:pPr>
      <w:r>
        <w:rPr/>
        <w:pict>
          <v:shape style="position:absolute;margin-left:162pt;margin-top:10.611274pt;width:143.9pt;height:.1pt;mso-position-horizontal-relative:page;mso-position-vertical-relative:paragraph;z-index:-251555840;mso-wrap-distance-left:0;mso-wrap-distance-right:0" coordorigin="3240,212" coordsize="2878,0" path="m3240,212l6118,21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3056" w:val="left" w:leader="none"/>
        </w:tabs>
        <w:spacing w:line="328" w:lineRule="auto" w:before="80" w:after="0"/>
        <w:ind w:left="2740" w:right="2840" w:firstLine="0"/>
        <w:jc w:val="left"/>
        <w:rPr>
          <w:sz w:val="18"/>
        </w:rPr>
      </w:pPr>
      <w:r>
        <w:rPr>
          <w:sz w:val="18"/>
          <w:u w:val="single"/>
        </w:rPr>
        <w:t>S.R.</w:t>
      </w:r>
      <w:r>
        <w:rPr>
          <w:spacing w:val="-12"/>
          <w:sz w:val="18"/>
          <w:u w:val="single"/>
        </w:rPr>
        <w:t> </w:t>
      </w:r>
      <w:r>
        <w:rPr>
          <w:sz w:val="18"/>
          <w:u w:val="single"/>
        </w:rPr>
        <w:t>International</w:t>
      </w:r>
      <w:r>
        <w:rPr>
          <w:spacing w:val="-12"/>
          <w:sz w:val="18"/>
          <w:u w:val="single"/>
        </w:rPr>
        <w:t> </w:t>
      </w:r>
      <w:r>
        <w:rPr>
          <w:sz w:val="18"/>
          <w:u w:val="single"/>
        </w:rPr>
        <w:t>Bus.</w:t>
      </w:r>
      <w:r>
        <w:rPr>
          <w:spacing w:val="-12"/>
          <w:sz w:val="18"/>
          <w:u w:val="single"/>
        </w:rPr>
        <w:t> </w:t>
      </w:r>
      <w:r>
        <w:rPr>
          <w:sz w:val="18"/>
          <w:u w:val="single"/>
        </w:rPr>
        <w:t>Ins.</w:t>
      </w:r>
      <w:r>
        <w:rPr>
          <w:spacing w:val="-12"/>
          <w:sz w:val="18"/>
          <w:u w:val="single"/>
        </w:rPr>
        <w:t> </w:t>
      </w:r>
      <w:r>
        <w:rPr>
          <w:sz w:val="18"/>
          <w:u w:val="single"/>
        </w:rPr>
        <w:t>Co.,</w:t>
      </w:r>
      <w:r>
        <w:rPr>
          <w:spacing w:val="-11"/>
          <w:sz w:val="18"/>
          <w:u w:val="single"/>
        </w:rPr>
        <w:t> </w:t>
      </w:r>
      <w:r>
        <w:rPr>
          <w:sz w:val="18"/>
          <w:u w:val="single"/>
        </w:rPr>
        <w:t>Ltd.</w:t>
      </w:r>
      <w:r>
        <w:rPr>
          <w:spacing w:val="-11"/>
          <w:sz w:val="18"/>
          <w:u w:val="single"/>
        </w:rPr>
        <w:t> </w:t>
      </w:r>
      <w:r>
        <w:rPr>
          <w:sz w:val="18"/>
          <w:u w:val="single"/>
        </w:rPr>
        <w:t>v.</w:t>
      </w:r>
      <w:r>
        <w:rPr>
          <w:spacing w:val="-11"/>
          <w:sz w:val="18"/>
          <w:u w:val="single"/>
        </w:rPr>
        <w:t> </w:t>
      </w:r>
      <w:r>
        <w:rPr>
          <w:sz w:val="18"/>
          <w:u w:val="single"/>
        </w:rPr>
        <w:t>World</w:t>
      </w:r>
      <w:r>
        <w:rPr>
          <w:spacing w:val="-10"/>
          <w:sz w:val="18"/>
          <w:u w:val="single"/>
        </w:rPr>
        <w:t> </w:t>
      </w:r>
      <w:r>
        <w:rPr>
          <w:sz w:val="18"/>
          <w:u w:val="single"/>
        </w:rPr>
        <w:t>Trade</w:t>
      </w:r>
      <w:r>
        <w:rPr>
          <w:spacing w:val="-13"/>
          <w:sz w:val="18"/>
          <w:u w:val="single"/>
        </w:rPr>
        <w:t> </w:t>
      </w:r>
      <w:r>
        <w:rPr>
          <w:sz w:val="18"/>
          <w:u w:val="single"/>
        </w:rPr>
        <w:t>Center</w:t>
      </w:r>
      <w:r>
        <w:rPr>
          <w:spacing w:val="-13"/>
          <w:sz w:val="18"/>
          <w:u w:val="single"/>
        </w:rPr>
        <w:t> </w:t>
      </w:r>
      <w:r>
        <w:rPr>
          <w:sz w:val="18"/>
          <w:u w:val="single"/>
        </w:rPr>
        <w:t>Properties,</w:t>
      </w:r>
      <w:r>
        <w:rPr>
          <w:spacing w:val="-12"/>
          <w:sz w:val="18"/>
          <w:u w:val="single"/>
        </w:rPr>
        <w:t> </w:t>
      </w:r>
      <w:r>
        <w:rPr>
          <w:sz w:val="18"/>
          <w:u w:val="single"/>
        </w:rPr>
        <w:t>LLC</w:t>
      </w:r>
      <w:r>
        <w:rPr>
          <w:sz w:val="18"/>
        </w:rPr>
        <w:t>,</w:t>
      </w:r>
      <w:r>
        <w:rPr>
          <w:spacing w:val="-9"/>
          <w:sz w:val="18"/>
        </w:rPr>
        <w:t> </w:t>
      </w:r>
      <w:r>
        <w:rPr>
          <w:sz w:val="18"/>
        </w:rPr>
        <w:t>2004</w:t>
      </w:r>
      <w:r>
        <w:rPr>
          <w:spacing w:val="-8"/>
          <w:sz w:val="18"/>
        </w:rPr>
        <w:t> </w:t>
      </w:r>
      <w:r>
        <w:rPr>
          <w:sz w:val="18"/>
        </w:rPr>
        <w:t>WL 2979790 (S.D.N.Y.</w:t>
      </w:r>
      <w:r>
        <w:rPr>
          <w:spacing w:val="1"/>
          <w:sz w:val="18"/>
        </w:rPr>
        <w:t> </w:t>
      </w:r>
      <w:r>
        <w:rPr>
          <w:sz w:val="18"/>
        </w:rPr>
        <w:t>2004).</w:t>
      </w:r>
    </w:p>
    <w:p>
      <w:pPr>
        <w:pStyle w:val="ListParagraph"/>
        <w:numPr>
          <w:ilvl w:val="0"/>
          <w:numId w:val="7"/>
        </w:numPr>
        <w:tabs>
          <w:tab w:pos="3015" w:val="left" w:leader="none"/>
        </w:tabs>
        <w:spacing w:line="207" w:lineRule="exact" w:before="0" w:after="0"/>
        <w:ind w:left="3014" w:right="0" w:hanging="275"/>
        <w:jc w:val="left"/>
        <w:rPr>
          <w:sz w:val="18"/>
        </w:rPr>
      </w:pPr>
      <w:r>
        <w:rPr>
          <w:i/>
          <w:sz w:val="18"/>
        </w:rPr>
        <w:t>See </w:t>
      </w:r>
      <w:r>
        <w:rPr>
          <w:sz w:val="18"/>
          <w:u w:val="single"/>
        </w:rPr>
        <w:t>Bruckner v. Sentinel Ins. Co., Ltd.</w:t>
      </w:r>
      <w:r>
        <w:rPr>
          <w:sz w:val="18"/>
        </w:rPr>
        <w:t>, 2011 WL 589911 (E.D.Ky.</w:t>
      </w:r>
      <w:r>
        <w:rPr>
          <w:spacing w:val="-1"/>
          <w:sz w:val="18"/>
        </w:rPr>
        <w:t> </w:t>
      </w:r>
      <w:r>
        <w:rPr>
          <w:sz w:val="18"/>
        </w:rPr>
        <w:t>2011).</w:t>
      </w:r>
    </w:p>
    <w:p>
      <w:pPr>
        <w:spacing w:after="0" w:line="207"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88"/>
      </w:pPr>
      <w:r>
        <w:rPr/>
        <w:pict>
          <v:group style="position:absolute;margin-left:12.9014pt;margin-top:30.363159pt;width:145.75pt;height:43.8pt;mso-position-horizontal-relative:page;mso-position-vertical-relative:paragraph;z-index:251768832" coordorigin="258,607" coordsize="2915,876">
            <v:shape style="position:absolute;left:268;top:617;width:2895;height:856" type="#_x0000_t75" stroked="false">
              <v:imagedata r:id="rId23" o:title=""/>
            </v:shape>
            <v:shape style="position:absolute;left:268;top:617;width:2895;height:856" coordorigin="268,617" coordsize="2895,856" path="m268,777l268,1313,281,1376,315,1426,366,1461,428,1473,3002,1473,3065,1461,3115,1426,3150,1376,3162,1313,3162,777,3150,715,3115,664,3065,630,3002,617,428,617,366,630,315,664,281,715,268,777xe" filled="false" stroked="true" strokeweight="1pt" strokecolor="#2d4b11">
              <v:path arrowok="t"/>
              <v:stroke dashstyle="solid"/>
            </v:shape>
            <v:shape style="position:absolute;left:258;top:607;width:2915;height:876" type="#_x0000_t202" filled="false" stroked="false">
              <v:textbox inset="0,0,0,0">
                <w:txbxContent>
                  <w:p>
                    <w:pPr>
                      <w:spacing w:before="198"/>
                      <w:ind w:left="215" w:right="0" w:firstLine="0"/>
                      <w:jc w:val="left"/>
                      <w:rPr>
                        <w:rFonts w:ascii="Arial"/>
                        <w:b/>
                        <w:i/>
                        <w:sz w:val="45"/>
                      </w:rPr>
                    </w:pPr>
                    <w:r>
                      <w:rPr>
                        <w:rFonts w:ascii="Arial"/>
                        <w:b/>
                        <w:i/>
                        <w:color w:val="267E00"/>
                        <w:sz w:val="45"/>
                      </w:rPr>
                      <w:t>Case Study</w:t>
                    </w:r>
                  </w:p>
                </w:txbxContent>
              </v:textbox>
              <w10:wrap type="none"/>
            </v:shape>
            <w10:wrap type="none"/>
          </v:group>
        </w:pict>
      </w:r>
      <w:bookmarkStart w:name="Law and Procedure 223" w:id="37"/>
      <w:bookmarkEnd w:id="37"/>
      <w:r>
        <w:rPr/>
      </w:r>
      <w:r>
        <w:rPr/>
        <w:t>for</w:t>
      </w:r>
      <w:r>
        <w:rPr>
          <w:spacing w:val="-13"/>
        </w:rPr>
        <w:t> </w:t>
      </w:r>
      <w:r>
        <w:rPr/>
        <w:t>each</w:t>
      </w:r>
      <w:r>
        <w:rPr>
          <w:spacing w:val="-11"/>
        </w:rPr>
        <w:t> </w:t>
      </w:r>
      <w:r>
        <w:rPr/>
        <w:t>party</w:t>
      </w:r>
      <w:r>
        <w:rPr>
          <w:spacing w:val="-14"/>
        </w:rPr>
        <w:t> </w:t>
      </w:r>
      <w:r>
        <w:rPr/>
        <w:t>to</w:t>
      </w:r>
      <w:r>
        <w:rPr>
          <w:spacing w:val="-11"/>
        </w:rPr>
        <w:t> </w:t>
      </w:r>
      <w:r>
        <w:rPr/>
        <w:t>arrive</w:t>
      </w:r>
      <w:r>
        <w:rPr>
          <w:spacing w:val="-13"/>
        </w:rPr>
        <w:t> </w:t>
      </w:r>
      <w:r>
        <w:rPr/>
        <w:t>at</w:t>
      </w:r>
      <w:r>
        <w:rPr>
          <w:spacing w:val="-11"/>
        </w:rPr>
        <w:t> </w:t>
      </w:r>
      <w:r>
        <w:rPr/>
        <w:t>a</w:t>
      </w:r>
      <w:r>
        <w:rPr>
          <w:spacing w:val="-10"/>
        </w:rPr>
        <w:t> </w:t>
      </w:r>
      <w:r>
        <w:rPr/>
        <w:t>conclusion</w:t>
      </w:r>
      <w:r>
        <w:rPr>
          <w:spacing w:val="-9"/>
        </w:rPr>
        <w:t> </w:t>
      </w:r>
      <w:r>
        <w:rPr/>
        <w:t>before a disagreement could</w:t>
      </w:r>
      <w:r>
        <w:rPr>
          <w:spacing w:val="-6"/>
        </w:rPr>
        <w:t> </w:t>
      </w:r>
      <w:r>
        <w:rPr/>
        <w:t>exist.</w:t>
      </w:r>
      <w:r>
        <w:rPr>
          <w:vertAlign w:val="superscript"/>
        </w:rPr>
        <w:t>499</w:t>
      </w:r>
    </w:p>
    <w:p>
      <w:pPr>
        <w:pStyle w:val="BodyText"/>
        <w:spacing w:before="1"/>
      </w:pPr>
    </w:p>
    <w:p>
      <w:pPr>
        <w:pStyle w:val="BodyText"/>
        <w:spacing w:line="242" w:lineRule="auto" w:before="1"/>
        <w:ind w:left="3100" w:right="3199" w:firstLine="720"/>
        <w:jc w:val="both"/>
      </w:pPr>
      <w:r>
        <w:rPr/>
        <w:pict>
          <v:rect style="position:absolute;margin-left:257.376007pt;margin-top:-5.443821pt;width:343.782pt;height:206.334pt;mso-position-horizontal-relative:page;mso-position-vertical-relative:paragraph;z-index:-254176256" filled="false" stroked="true" strokeweight="2.56pt" strokecolor="#87261f">
            <v:stroke dashstyle="solid"/>
            <w10:wrap type="none"/>
          </v:rect>
        </w:pict>
      </w:r>
      <w:r>
        <w:rPr/>
        <w:t>However, if the carrier had waived the proof of loss requirement, a superfluous </w:t>
      </w:r>
      <w:r>
        <w:rPr>
          <w:spacing w:val="-4"/>
        </w:rPr>
        <w:t>proof </w:t>
      </w:r>
      <w:r>
        <w:rPr/>
        <w:t>filed after the commencement of litigation does</w:t>
      </w:r>
      <w:r>
        <w:rPr>
          <w:spacing w:val="-28"/>
        </w:rPr>
        <w:t> </w:t>
      </w:r>
      <w:r>
        <w:rPr/>
        <w:t>not</w:t>
      </w:r>
      <w:r>
        <w:rPr>
          <w:spacing w:val="-29"/>
        </w:rPr>
        <w:t> </w:t>
      </w:r>
      <w:r>
        <w:rPr/>
        <w:t>reinstate</w:t>
      </w:r>
      <w:r>
        <w:rPr>
          <w:spacing w:val="-28"/>
        </w:rPr>
        <w:t> </w:t>
      </w:r>
      <w:r>
        <w:rPr/>
        <w:t>the</w:t>
      </w:r>
      <w:r>
        <w:rPr>
          <w:spacing w:val="-25"/>
        </w:rPr>
        <w:t> </w:t>
      </w:r>
      <w:r>
        <w:rPr/>
        <w:t>insurer’s</w:t>
      </w:r>
      <w:r>
        <w:rPr>
          <w:spacing w:val="-25"/>
        </w:rPr>
        <w:t> </w:t>
      </w:r>
      <w:r>
        <w:rPr/>
        <w:t>right</w:t>
      </w:r>
      <w:r>
        <w:rPr>
          <w:spacing w:val="-29"/>
        </w:rPr>
        <w:t> </w:t>
      </w:r>
      <w:r>
        <w:rPr/>
        <w:t>to</w:t>
      </w:r>
      <w:r>
        <w:rPr>
          <w:spacing w:val="-27"/>
        </w:rPr>
        <w:t> </w:t>
      </w:r>
      <w:r>
        <w:rPr/>
        <w:t>demand appraisal.</w:t>
      </w:r>
      <w:r>
        <w:rPr>
          <w:vertAlign w:val="superscript"/>
        </w:rPr>
        <w:t>500</w:t>
      </w:r>
    </w:p>
    <w:p>
      <w:pPr>
        <w:pStyle w:val="BodyText"/>
      </w:pPr>
    </w:p>
    <w:p>
      <w:pPr>
        <w:pStyle w:val="BodyText"/>
        <w:spacing w:line="242" w:lineRule="auto" w:before="1"/>
        <w:ind w:left="3100" w:right="3199" w:firstLine="720"/>
        <w:jc w:val="both"/>
      </w:pPr>
      <w:r>
        <w:rPr/>
        <w:t>The disagreement necessary to </w:t>
      </w:r>
      <w:r>
        <w:rPr>
          <w:spacing w:val="-3"/>
        </w:rPr>
        <w:t>trigger </w:t>
      </w:r>
      <w:r>
        <w:rPr/>
        <w:t>appraisal cannot be unilateral in that the </w:t>
      </w:r>
      <w:r>
        <w:rPr>
          <w:spacing w:val="6"/>
        </w:rPr>
        <w:t>clause</w:t>
      </w:r>
      <w:r>
        <w:rPr>
          <w:spacing w:val="83"/>
        </w:rPr>
        <w:t> </w:t>
      </w:r>
      <w:r>
        <w:rPr>
          <w:spacing w:val="5"/>
        </w:rPr>
        <w:t>contemplates </w:t>
      </w:r>
      <w:r>
        <w:rPr>
          <w:spacing w:val="3"/>
        </w:rPr>
        <w:t>some </w:t>
      </w:r>
      <w:r>
        <w:rPr>
          <w:spacing w:val="5"/>
        </w:rPr>
        <w:t>meaningful </w:t>
      </w:r>
      <w:r>
        <w:rPr/>
        <w:t>exchange of information sufficient for each party to arrive at a conclusion before a disagreement can exist.</w:t>
      </w:r>
      <w:r>
        <w:rPr>
          <w:vertAlign w:val="superscript"/>
        </w:rPr>
        <w:t>501</w:t>
      </w:r>
    </w:p>
    <w:p>
      <w:pPr>
        <w:pStyle w:val="BodyText"/>
      </w:pPr>
    </w:p>
    <w:p>
      <w:pPr>
        <w:pStyle w:val="BodyText"/>
        <w:spacing w:line="242" w:lineRule="auto"/>
        <w:ind w:left="3100" w:right="3197" w:firstLine="720"/>
        <w:jc w:val="both"/>
      </w:pPr>
      <w:r>
        <w:rPr/>
        <w:t>This</w:t>
      </w:r>
      <w:r>
        <w:rPr>
          <w:spacing w:val="-32"/>
        </w:rPr>
        <w:t> </w:t>
      </w:r>
      <w:r>
        <w:rPr/>
        <w:t>issue</w:t>
      </w:r>
      <w:r>
        <w:rPr>
          <w:spacing w:val="-30"/>
        </w:rPr>
        <w:t> </w:t>
      </w:r>
      <w:r>
        <w:rPr/>
        <w:t>was</w:t>
      </w:r>
      <w:r>
        <w:rPr>
          <w:spacing w:val="-29"/>
        </w:rPr>
        <w:t> </w:t>
      </w:r>
      <w:r>
        <w:rPr/>
        <w:t>highlighted</w:t>
      </w:r>
      <w:r>
        <w:rPr>
          <w:spacing w:val="-32"/>
        </w:rPr>
        <w:t> </w:t>
      </w:r>
      <w:r>
        <w:rPr/>
        <w:t>in</w:t>
      </w:r>
      <w:r>
        <w:rPr>
          <w:spacing w:val="-31"/>
        </w:rPr>
        <w:t> </w:t>
      </w:r>
      <w:r>
        <w:rPr/>
        <w:t>a</w:t>
      </w:r>
      <w:r>
        <w:rPr>
          <w:spacing w:val="-30"/>
        </w:rPr>
        <w:t> </w:t>
      </w:r>
      <w:r>
        <w:rPr/>
        <w:t>Florida</w:t>
      </w:r>
      <w:r>
        <w:rPr>
          <w:spacing w:val="-34"/>
        </w:rPr>
        <w:t> </w:t>
      </w:r>
      <w:r>
        <w:rPr>
          <w:spacing w:val="-3"/>
        </w:rPr>
        <w:t>case </w:t>
      </w:r>
      <w:r>
        <w:rPr/>
        <w:t>in which the insured demanded an appraisal before providing notice to the insurer that it disagreed with the insurer’s position on the amount</w:t>
      </w:r>
      <w:r>
        <w:rPr>
          <w:spacing w:val="-12"/>
        </w:rPr>
        <w:t> </w:t>
      </w:r>
      <w:r>
        <w:rPr/>
        <w:t>of</w:t>
      </w:r>
      <w:r>
        <w:rPr>
          <w:spacing w:val="-11"/>
        </w:rPr>
        <w:t> </w:t>
      </w:r>
      <w:r>
        <w:rPr/>
        <w:t>loss,</w:t>
      </w:r>
      <w:r>
        <w:rPr>
          <w:spacing w:val="-12"/>
        </w:rPr>
        <w:t> </w:t>
      </w:r>
      <w:r>
        <w:rPr/>
        <w:t>and</w:t>
      </w:r>
      <w:r>
        <w:rPr>
          <w:spacing w:val="-8"/>
        </w:rPr>
        <w:t> </w:t>
      </w:r>
      <w:r>
        <w:rPr/>
        <w:t>thus,</w:t>
      </w:r>
      <w:r>
        <w:rPr>
          <w:spacing w:val="-10"/>
        </w:rPr>
        <w:t> </w:t>
      </w:r>
      <w:r>
        <w:rPr/>
        <w:t>before</w:t>
      </w:r>
      <w:r>
        <w:rPr>
          <w:spacing w:val="-9"/>
        </w:rPr>
        <w:t> </w:t>
      </w:r>
      <w:r>
        <w:rPr/>
        <w:t>there</w:t>
      </w:r>
      <w:r>
        <w:rPr>
          <w:spacing w:val="-10"/>
        </w:rPr>
        <w:t> </w:t>
      </w:r>
      <w:r>
        <w:rPr/>
        <w:t>was</w:t>
      </w:r>
      <w:r>
        <w:rPr>
          <w:spacing w:val="-8"/>
        </w:rPr>
        <w:t> </w:t>
      </w:r>
      <w:r>
        <w:rPr/>
        <w:t>the requisite disagreement between the parties. The court held that the insured’s appraisal request was premature as the insurer was not given the opportunity to invoke the post-loss conditions </w:t>
      </w:r>
      <w:r>
        <w:rPr>
          <w:spacing w:val="2"/>
        </w:rPr>
        <w:t>in </w:t>
      </w:r>
      <w:r>
        <w:rPr/>
        <w:t>the policies, much less assert disagreement with the insured. As the court determined</w:t>
      </w:r>
      <w:r>
        <w:rPr>
          <w:spacing w:val="-28"/>
        </w:rPr>
        <w:t> </w:t>
      </w:r>
      <w:r>
        <w:rPr/>
        <w:t>that</w:t>
      </w:r>
      <w:r>
        <w:rPr>
          <w:spacing w:val="-28"/>
        </w:rPr>
        <w:t> </w:t>
      </w:r>
      <w:r>
        <w:rPr/>
        <w:t>the</w:t>
      </w:r>
      <w:r>
        <w:rPr>
          <w:spacing w:val="-27"/>
        </w:rPr>
        <w:t> </w:t>
      </w:r>
      <w:r>
        <w:rPr/>
        <w:t>insured</w:t>
      </w:r>
      <w:r>
        <w:rPr>
          <w:spacing w:val="-26"/>
        </w:rPr>
        <w:t> </w:t>
      </w:r>
      <w:r>
        <w:rPr/>
        <w:t>was</w:t>
      </w:r>
      <w:r>
        <w:rPr>
          <w:spacing w:val="-26"/>
        </w:rPr>
        <w:t> </w:t>
      </w:r>
      <w:r>
        <w:rPr/>
        <w:t>attempting</w:t>
      </w:r>
      <w:r>
        <w:rPr>
          <w:spacing w:val="-26"/>
        </w:rPr>
        <w:t> </w:t>
      </w:r>
      <w:r>
        <w:rPr/>
        <w:t>to</w:t>
      </w:r>
    </w:p>
    <w:p>
      <w:pPr>
        <w:pStyle w:val="BodyText"/>
        <w:rPr>
          <w:sz w:val="20"/>
        </w:rPr>
      </w:pPr>
    </w:p>
    <w:p>
      <w:pPr>
        <w:pStyle w:val="BodyText"/>
        <w:spacing w:before="5"/>
        <w:rPr>
          <w:sz w:val="13"/>
        </w:rPr>
      </w:pPr>
      <w:r>
        <w:rPr/>
        <w:pict>
          <v:shape style="position:absolute;margin-left:162pt;margin-top:10.642652pt;width:143.9pt;height:.1pt;mso-position-horizontal-relative:page;mso-position-vertical-relative:paragraph;z-index:-251550720;mso-wrap-distance-left:0;mso-wrap-distance-right:0" coordorigin="3240,213" coordsize="2878,0" path="m3240,213l6118,21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3015" w:val="left" w:leader="none"/>
        </w:tabs>
        <w:spacing w:line="240" w:lineRule="auto" w:before="80" w:after="0"/>
        <w:ind w:left="3014" w:right="0" w:hanging="275"/>
        <w:jc w:val="left"/>
        <w:rPr>
          <w:sz w:val="18"/>
        </w:rPr>
      </w:pPr>
      <w:r>
        <w:rPr>
          <w:sz w:val="18"/>
          <w:u w:val="single"/>
        </w:rPr>
        <w:t>Tavilla v. Employer Mut. Cas. Ins. Co.</w:t>
      </w:r>
      <w:r>
        <w:rPr>
          <w:sz w:val="18"/>
        </w:rPr>
        <w:t>, 2008 WL 2154800 (Ariz. App. Div.1</w:t>
      </w:r>
      <w:r>
        <w:rPr>
          <w:spacing w:val="-1"/>
          <w:sz w:val="18"/>
        </w:rPr>
        <w:t> </w:t>
      </w:r>
      <w:r>
        <w:rPr>
          <w:sz w:val="18"/>
        </w:rPr>
        <w:t>2008).</w:t>
      </w:r>
    </w:p>
    <w:p>
      <w:pPr>
        <w:pStyle w:val="ListParagraph"/>
        <w:numPr>
          <w:ilvl w:val="0"/>
          <w:numId w:val="7"/>
        </w:numPr>
        <w:tabs>
          <w:tab w:pos="3015" w:val="left" w:leader="none"/>
        </w:tabs>
        <w:spacing w:line="240" w:lineRule="auto" w:before="15" w:after="0"/>
        <w:ind w:left="3014" w:right="0" w:hanging="275"/>
        <w:jc w:val="left"/>
        <w:rPr>
          <w:sz w:val="18"/>
        </w:rPr>
      </w:pPr>
      <w:r>
        <w:rPr>
          <w:sz w:val="18"/>
          <w:u w:val="single"/>
        </w:rPr>
        <w:t>Williams v. Southern General Ins. Co.</w:t>
      </w:r>
      <w:r>
        <w:rPr>
          <w:sz w:val="18"/>
        </w:rPr>
        <w:t>, 440 S.E.2d 753 (Ga. Ct. App.</w:t>
      </w:r>
      <w:r>
        <w:rPr>
          <w:spacing w:val="2"/>
          <w:sz w:val="18"/>
        </w:rPr>
        <w:t> </w:t>
      </w:r>
      <w:r>
        <w:rPr>
          <w:sz w:val="18"/>
        </w:rPr>
        <w:t>1994).</w:t>
      </w:r>
    </w:p>
    <w:p>
      <w:pPr>
        <w:spacing w:before="13"/>
        <w:ind w:left="2740" w:right="0" w:firstLine="0"/>
        <w:jc w:val="left"/>
        <w:rPr>
          <w:rFonts w:ascii="Times New Roman"/>
          <w:sz w:val="24"/>
        </w:rPr>
      </w:pPr>
      <w:r>
        <w:rPr>
          <w:rFonts w:ascii="Times New Roman"/>
          <w:position w:val="10"/>
          <w:sz w:val="14"/>
        </w:rPr>
        <w:t>501 </w:t>
      </w:r>
      <w:r>
        <w:rPr>
          <w:rFonts w:ascii="Times New Roman"/>
          <w:sz w:val="18"/>
          <w:u w:val="single"/>
        </w:rPr>
        <w:t>Hailey v. Auto-owners Ins. Co.</w:t>
      </w:r>
      <w:r>
        <w:rPr>
          <w:rFonts w:ascii="Times New Roman"/>
          <w:sz w:val="18"/>
        </w:rPr>
        <w:t>, 181 N.C. App. 677, 640 S.E.2d 849 (2007)</w:t>
      </w:r>
      <w:r>
        <w:rPr>
          <w:rFonts w:ascii="Times New Roman"/>
          <w:sz w:val="24"/>
        </w:rPr>
        <w:t>.</w:t>
      </w:r>
    </w:p>
    <w:p>
      <w:pPr>
        <w:spacing w:after="0"/>
        <w:jc w:val="left"/>
        <w:rPr>
          <w:rFonts w:ascii="Times New Roman"/>
          <w:sz w:val="24"/>
        </w:rPr>
        <w:sectPr>
          <w:footerReference w:type="default" r:id="rId22"/>
          <w:pgSz w:w="12240" w:h="15840"/>
          <w:pgMar w:footer="2273" w:header="0" w:top="1500" w:bottom="2460" w:left="140" w:right="40"/>
        </w:sectPr>
      </w:pPr>
    </w:p>
    <w:p>
      <w:pPr>
        <w:pStyle w:val="BodyText"/>
        <w:ind w:left="1993"/>
        <w:rPr>
          <w:rFonts w:ascii="Times New Roman"/>
          <w:sz w:val="20"/>
        </w:rPr>
      </w:pPr>
      <w:r>
        <w:rPr>
          <w:rFonts w:ascii="Times New Roman"/>
          <w:sz w:val="20"/>
        </w:rPr>
        <w:pict>
          <v:group style="width:145.75pt;height:43.8pt;mso-position-horizontal-relative:char;mso-position-vertical-relative:line" coordorigin="0,0" coordsize="2915,876">
            <v:shape style="position:absolute;left:10;top:10;width:2895;height:856" type="#_x0000_t75" stroked="false">
              <v:imagedata r:id="rId25" o:title=""/>
            </v:shape>
            <v:shape style="position:absolute;left:10;top:10;width:2895;height:856" coordorigin="10,10" coordsize="2895,856" path="m10,170l10,706,23,768,57,819,108,853,170,866,2744,866,2807,853,2857,819,2892,768,2904,706,2904,170,2892,108,2857,57,2807,23,2744,10,170,10,108,23,57,57,23,108,10,170xe" filled="false" stroked="true" strokeweight="1.0pt" strokecolor="#2d4b11">
              <v:path arrowok="t"/>
              <v:stroke dashstyle="solid"/>
            </v:shape>
            <v:shape style="position:absolute;left:0;top:0;width:2915;height:876" type="#_x0000_t202" filled="false" stroked="false">
              <v:textbox inset="0,0,0,0">
                <w:txbxContent>
                  <w:p>
                    <w:pPr>
                      <w:spacing w:before="198"/>
                      <w:ind w:left="215" w:right="0" w:firstLine="0"/>
                      <w:jc w:val="left"/>
                      <w:rPr>
                        <w:rFonts w:ascii="Arial"/>
                        <w:b/>
                        <w:i/>
                        <w:sz w:val="45"/>
                      </w:rPr>
                    </w:pPr>
                    <w:bookmarkStart w:name="Law and Procedure 224" w:id="38"/>
                    <w:bookmarkEnd w:id="38"/>
                    <w:r>
                      <w:rPr/>
                    </w:r>
                    <w:r>
                      <w:rPr>
                        <w:rFonts w:ascii="Arial"/>
                        <w:b/>
                        <w:i/>
                        <w:color w:val="267E00"/>
                        <w:sz w:val="45"/>
                      </w:rPr>
                      <w:t>Case Study</w:t>
                    </w:r>
                  </w:p>
                </w:txbxContent>
              </v:textbox>
              <w10:wrap type="none"/>
            </v:shape>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7"/>
        </w:rPr>
      </w:pPr>
    </w:p>
    <w:p>
      <w:pPr>
        <w:pStyle w:val="BodyText"/>
        <w:spacing w:line="242" w:lineRule="auto" w:before="42"/>
        <w:ind w:left="3100" w:right="3197"/>
      </w:pPr>
      <w:r>
        <w:rPr/>
        <w:pict>
          <v:rect style="position:absolute;margin-left:207.743591pt;margin-top:23.95417pt;width:386.881pt;height:264.034pt;mso-position-horizontal-relative:page;mso-position-vertical-relative:paragraph;z-index:-254169088" filled="false" stroked="true" strokeweight="2.56pt" strokecolor="#87261f">
            <v:stroke dashstyle="solid"/>
            <w10:wrap type="none"/>
          </v:rect>
        </w:pict>
      </w:r>
      <w:r>
        <w:rPr/>
        <w:t>unilaterally</w:t>
      </w:r>
      <w:r>
        <w:rPr>
          <w:spacing w:val="-28"/>
        </w:rPr>
        <w:t> </w:t>
      </w:r>
      <w:r>
        <w:rPr/>
        <w:t>create</w:t>
      </w:r>
      <w:r>
        <w:rPr>
          <w:spacing w:val="-29"/>
        </w:rPr>
        <w:t> </w:t>
      </w:r>
      <w:r>
        <w:rPr/>
        <w:t>a</w:t>
      </w:r>
      <w:r>
        <w:rPr>
          <w:spacing w:val="-28"/>
        </w:rPr>
        <w:t> </w:t>
      </w:r>
      <w:r>
        <w:rPr/>
        <w:t>disagreement,</w:t>
      </w:r>
      <w:r>
        <w:rPr>
          <w:spacing w:val="-29"/>
        </w:rPr>
        <w:t> </w:t>
      </w:r>
      <w:r>
        <w:rPr/>
        <w:t>the</w:t>
      </w:r>
      <w:r>
        <w:rPr>
          <w:spacing w:val="-28"/>
        </w:rPr>
        <w:t> </w:t>
      </w:r>
      <w:r>
        <w:rPr/>
        <w:t>insured could not yet compel</w:t>
      </w:r>
      <w:r>
        <w:rPr>
          <w:spacing w:val="-3"/>
        </w:rPr>
        <w:t> </w:t>
      </w:r>
      <w:r>
        <w:rPr/>
        <w:t>appraisal.</w:t>
      </w:r>
      <w:r>
        <w:rPr>
          <w:vertAlign w:val="superscript"/>
        </w:rPr>
        <w:t>502</w:t>
      </w:r>
    </w:p>
    <w:p>
      <w:pPr>
        <w:pStyle w:val="BodyText"/>
        <w:spacing w:before="1"/>
      </w:pPr>
    </w:p>
    <w:p>
      <w:pPr>
        <w:pStyle w:val="BodyText"/>
        <w:spacing w:line="242" w:lineRule="auto" w:before="1"/>
        <w:ind w:left="3100" w:right="3199" w:firstLine="720"/>
        <w:jc w:val="both"/>
      </w:pPr>
      <w:r>
        <w:rPr>
          <w:spacing w:val="3"/>
        </w:rPr>
        <w:t>It </w:t>
      </w:r>
      <w:r>
        <w:rPr/>
        <w:t>should be noted that where there</w:t>
      </w:r>
      <w:r>
        <w:rPr>
          <w:spacing w:val="-37"/>
        </w:rPr>
        <w:t> </w:t>
      </w:r>
      <w:r>
        <w:rPr/>
        <w:t>had been</w:t>
      </w:r>
      <w:r>
        <w:rPr>
          <w:spacing w:val="-34"/>
        </w:rPr>
        <w:t> </w:t>
      </w:r>
      <w:r>
        <w:rPr/>
        <w:t>a</w:t>
      </w:r>
      <w:r>
        <w:rPr>
          <w:spacing w:val="-33"/>
        </w:rPr>
        <w:t> </w:t>
      </w:r>
      <w:r>
        <w:rPr/>
        <w:t>continuation</w:t>
      </w:r>
      <w:r>
        <w:rPr>
          <w:spacing w:val="-34"/>
        </w:rPr>
        <w:t> </w:t>
      </w:r>
      <w:r>
        <w:rPr/>
        <w:t>of</w:t>
      </w:r>
      <w:r>
        <w:rPr>
          <w:spacing w:val="-33"/>
        </w:rPr>
        <w:t> </w:t>
      </w:r>
      <w:r>
        <w:rPr/>
        <w:t>good</w:t>
      </w:r>
      <w:r>
        <w:rPr>
          <w:spacing w:val="-32"/>
        </w:rPr>
        <w:t> </w:t>
      </w:r>
      <w:r>
        <w:rPr/>
        <w:t>faith</w:t>
      </w:r>
      <w:r>
        <w:rPr>
          <w:spacing w:val="-33"/>
        </w:rPr>
        <w:t> </w:t>
      </w:r>
      <w:r>
        <w:rPr/>
        <w:t>negotiations as</w:t>
      </w:r>
      <w:r>
        <w:rPr>
          <w:spacing w:val="-23"/>
        </w:rPr>
        <w:t> </w:t>
      </w:r>
      <w:r>
        <w:rPr/>
        <w:t>to</w:t>
      </w:r>
      <w:r>
        <w:rPr>
          <w:spacing w:val="-22"/>
        </w:rPr>
        <w:t> </w:t>
      </w:r>
      <w:r>
        <w:rPr/>
        <w:t>the</w:t>
      </w:r>
      <w:r>
        <w:rPr>
          <w:spacing w:val="-24"/>
        </w:rPr>
        <w:t> </w:t>
      </w:r>
      <w:r>
        <w:rPr/>
        <w:t>amount</w:t>
      </w:r>
      <w:r>
        <w:rPr>
          <w:spacing w:val="-23"/>
        </w:rPr>
        <w:t> </w:t>
      </w:r>
      <w:r>
        <w:rPr/>
        <w:t>of</w:t>
      </w:r>
      <w:r>
        <w:rPr>
          <w:spacing w:val="-22"/>
        </w:rPr>
        <w:t> </w:t>
      </w:r>
      <w:r>
        <w:rPr/>
        <w:t>loss,</w:t>
      </w:r>
      <w:r>
        <w:rPr>
          <w:spacing w:val="-26"/>
        </w:rPr>
        <w:t> </w:t>
      </w:r>
      <w:r>
        <w:rPr/>
        <w:t>and</w:t>
      </w:r>
      <w:r>
        <w:rPr>
          <w:spacing w:val="-24"/>
        </w:rPr>
        <w:t> </w:t>
      </w:r>
      <w:r>
        <w:rPr/>
        <w:t>where</w:t>
      </w:r>
      <w:r>
        <w:rPr>
          <w:spacing w:val="-26"/>
        </w:rPr>
        <w:t> </w:t>
      </w:r>
      <w:r>
        <w:rPr/>
        <w:t>the</w:t>
      </w:r>
      <w:r>
        <w:rPr>
          <w:spacing w:val="-23"/>
        </w:rPr>
        <w:t> </w:t>
      </w:r>
      <w:r>
        <w:rPr/>
        <w:t>insured was</w:t>
      </w:r>
      <w:r>
        <w:rPr>
          <w:spacing w:val="-12"/>
        </w:rPr>
        <w:t> </w:t>
      </w:r>
      <w:r>
        <w:rPr/>
        <w:t>not</w:t>
      </w:r>
      <w:r>
        <w:rPr>
          <w:spacing w:val="-13"/>
        </w:rPr>
        <w:t> </w:t>
      </w:r>
      <w:r>
        <w:rPr/>
        <w:t>handicapped</w:t>
      </w:r>
      <w:r>
        <w:rPr>
          <w:spacing w:val="-11"/>
        </w:rPr>
        <w:t> </w:t>
      </w:r>
      <w:r>
        <w:rPr/>
        <w:t>by</w:t>
      </w:r>
      <w:r>
        <w:rPr>
          <w:spacing w:val="-11"/>
        </w:rPr>
        <w:t> </w:t>
      </w:r>
      <w:r>
        <w:rPr/>
        <w:t>the</w:t>
      </w:r>
      <w:r>
        <w:rPr>
          <w:spacing w:val="-10"/>
        </w:rPr>
        <w:t> </w:t>
      </w:r>
      <w:r>
        <w:rPr/>
        <w:t>insurer’s</w:t>
      </w:r>
      <w:r>
        <w:rPr>
          <w:spacing w:val="-13"/>
        </w:rPr>
        <w:t> </w:t>
      </w:r>
      <w:r>
        <w:rPr/>
        <w:t>delay</w:t>
      </w:r>
      <w:r>
        <w:rPr>
          <w:spacing w:val="-13"/>
        </w:rPr>
        <w:t> </w:t>
      </w:r>
      <w:r>
        <w:rPr>
          <w:spacing w:val="-5"/>
        </w:rPr>
        <w:t>in </w:t>
      </w:r>
      <w:r>
        <w:rPr/>
        <w:t>demanding appraisal, the insurer’s delay until after the insured had instituted suit was not unreasonable and the parties were forced to proceed to appraisal, particularly where the loss was more than usually difficult to</w:t>
      </w:r>
      <w:r>
        <w:rPr>
          <w:spacing w:val="2"/>
        </w:rPr>
        <w:t> </w:t>
      </w:r>
      <w:r>
        <w:rPr>
          <w:spacing w:val="-4"/>
        </w:rPr>
        <w:t>assess.</w:t>
      </w:r>
      <w:r>
        <w:rPr>
          <w:spacing w:val="-4"/>
          <w:vertAlign w:val="superscript"/>
        </w:rPr>
        <w:t>503</w:t>
      </w:r>
    </w:p>
    <w:p>
      <w:pPr>
        <w:pStyle w:val="BodyText"/>
        <w:spacing w:before="7"/>
        <w:rPr>
          <w:sz w:val="22"/>
        </w:rPr>
      </w:pPr>
    </w:p>
    <w:p>
      <w:pPr>
        <w:pStyle w:val="BodyText"/>
        <w:spacing w:before="41"/>
        <w:ind w:left="3820"/>
      </w:pPr>
      <w:r>
        <w:rPr/>
        <w:t>A   Federal  District  Court  sitting  in  </w:t>
      </w:r>
      <w:r>
        <w:rPr>
          <w:spacing w:val="3"/>
        </w:rPr>
        <w:t> </w:t>
      </w:r>
      <w:r>
        <w:rPr/>
        <w:t>the</w:t>
      </w:r>
    </w:p>
    <w:p>
      <w:pPr>
        <w:pStyle w:val="BodyText"/>
        <w:spacing w:line="242" w:lineRule="auto" w:before="3"/>
        <w:ind w:left="3100" w:right="3197"/>
        <w:jc w:val="both"/>
      </w:pPr>
      <w:r>
        <w:rPr/>
        <w:pict>
          <v:shape style="position:absolute;margin-left:285.882019pt;margin-top:99.745178pt;width:324.150pt;height:22.75pt;mso-position-horizontal-relative:page;mso-position-vertical-relative:paragraph;z-index:-254170112" coordorigin="5718,1995" coordsize="6483,455" path="m12191,1995l5999,1995,5990,2004,5990,2215,5999,2224,12191,2224,12201,2215,12201,2004,12191,1995xm6894,2286l5727,2286,5718,2295,5718,2440,5727,2449,6894,2449,6903,2440,6903,2295,6894,2286xe" filled="true" fillcolor="#bcefd5" stroked="false">
            <v:path arrowok="t"/>
            <v:fill opacity="32112f" type="solid"/>
            <w10:wrap type="none"/>
          </v:shape>
        </w:pict>
      </w:r>
      <w:r>
        <w:rPr/>
        <w:t>Northern District of </w:t>
      </w:r>
      <w:r>
        <w:rPr>
          <w:spacing w:val="2"/>
        </w:rPr>
        <w:t>Iowa </w:t>
      </w:r>
      <w:r>
        <w:rPr/>
        <w:t>has held that as the appraisal clause lacks a specific time for the demand to be made, contract interpretation requires a demand to be made within a “reasonable time. </w:t>
      </w:r>
      <w:r>
        <w:rPr>
          <w:spacing w:val="3"/>
        </w:rPr>
        <w:t>In </w:t>
      </w:r>
      <w:r>
        <w:rPr>
          <w:u w:val="single"/>
        </w:rPr>
        <w:t>Terra Industries, </w:t>
      </w:r>
      <w:r>
        <w:rPr>
          <w:spacing w:val="-6"/>
          <w:u w:val="single"/>
        </w:rPr>
        <w:t>Inc.</w:t>
      </w:r>
      <w:r>
        <w:rPr>
          <w:spacing w:val="-6"/>
        </w:rPr>
        <w:t>,”</w:t>
      </w:r>
      <w:r>
        <w:rPr>
          <w:spacing w:val="-6"/>
          <w:vertAlign w:val="superscript"/>
        </w:rPr>
        <w:t>504</w:t>
      </w:r>
      <w:r>
        <w:rPr>
          <w:spacing w:val="-6"/>
          <w:vertAlign w:val="baseline"/>
        </w:rPr>
        <w:t> </w:t>
      </w:r>
      <w:r>
        <w:rPr>
          <w:vertAlign w:val="baseline"/>
        </w:rPr>
        <w:t>the</w:t>
      </w:r>
      <w:r>
        <w:rPr>
          <w:spacing w:val="-16"/>
          <w:vertAlign w:val="baseline"/>
        </w:rPr>
        <w:t> </w:t>
      </w:r>
      <w:r>
        <w:rPr>
          <w:vertAlign w:val="baseline"/>
        </w:rPr>
        <w:t>court</w:t>
      </w:r>
      <w:r>
        <w:rPr>
          <w:spacing w:val="-17"/>
          <w:vertAlign w:val="baseline"/>
        </w:rPr>
        <w:t> </w:t>
      </w:r>
      <w:r>
        <w:rPr>
          <w:vertAlign w:val="baseline"/>
        </w:rPr>
        <w:t>was</w:t>
      </w:r>
      <w:r>
        <w:rPr>
          <w:spacing w:val="-14"/>
          <w:vertAlign w:val="baseline"/>
        </w:rPr>
        <w:t> </w:t>
      </w:r>
      <w:r>
        <w:rPr>
          <w:vertAlign w:val="baseline"/>
        </w:rPr>
        <w:t>confronted</w:t>
      </w:r>
      <w:r>
        <w:rPr>
          <w:spacing w:val="-16"/>
          <w:vertAlign w:val="baseline"/>
        </w:rPr>
        <w:t> </w:t>
      </w:r>
      <w:r>
        <w:rPr>
          <w:vertAlign w:val="baseline"/>
        </w:rPr>
        <w:t>with</w:t>
      </w:r>
      <w:r>
        <w:rPr>
          <w:spacing w:val="-17"/>
          <w:vertAlign w:val="baseline"/>
        </w:rPr>
        <w:t> </w:t>
      </w:r>
      <w:r>
        <w:rPr>
          <w:vertAlign w:val="baseline"/>
        </w:rPr>
        <w:t>the</w:t>
      </w:r>
      <w:r>
        <w:rPr>
          <w:spacing w:val="-13"/>
          <w:vertAlign w:val="baseline"/>
        </w:rPr>
        <w:t> </w:t>
      </w:r>
      <w:r>
        <w:rPr>
          <w:vertAlign w:val="baseline"/>
        </w:rPr>
        <w:t>occurrence of a catastrophic explosion at the insured’s </w:t>
      </w:r>
      <w:r>
        <w:rPr>
          <w:spacing w:val="23"/>
          <w:vertAlign w:val="baseline"/>
        </w:rPr>
        <w:t>ferti </w:t>
      </w:r>
      <w:r>
        <w:rPr>
          <w:vertAlign w:val="baseline"/>
        </w:rPr>
        <w:t>l i </w:t>
      </w:r>
      <w:r>
        <w:rPr>
          <w:spacing w:val="20"/>
          <w:vertAlign w:val="baseline"/>
        </w:rPr>
        <w:t>zer </w:t>
      </w:r>
      <w:r>
        <w:rPr>
          <w:spacing w:val="23"/>
          <w:vertAlign w:val="baseline"/>
        </w:rPr>
        <w:t>plan </w:t>
      </w:r>
      <w:r>
        <w:rPr>
          <w:vertAlign w:val="baseline"/>
        </w:rPr>
        <w:t>t </w:t>
      </w:r>
      <w:r>
        <w:rPr>
          <w:spacing w:val="14"/>
          <w:vertAlign w:val="baseline"/>
        </w:rPr>
        <w:t>wh </w:t>
      </w:r>
      <w:r>
        <w:rPr>
          <w:vertAlign w:val="baseline"/>
        </w:rPr>
        <w:t>i c h </w:t>
      </w:r>
      <w:r>
        <w:rPr>
          <w:spacing w:val="25"/>
          <w:vertAlign w:val="baseline"/>
        </w:rPr>
        <w:t>caused</w:t>
      </w:r>
      <w:r>
        <w:rPr>
          <w:spacing w:val="54"/>
          <w:vertAlign w:val="baseline"/>
        </w:rPr>
        <w:t> </w:t>
      </w:r>
      <w:r>
        <w:rPr>
          <w:spacing w:val="15"/>
          <w:vertAlign w:val="baseline"/>
        </w:rPr>
        <w:t>an </w:t>
      </w:r>
      <w:r>
        <w:rPr>
          <w:vertAlign w:val="baseline"/>
        </w:rPr>
        <w:t>unprecedented amount of damage. After more than </w:t>
      </w:r>
      <w:r>
        <w:rPr>
          <w:spacing w:val="-3"/>
          <w:vertAlign w:val="baseline"/>
        </w:rPr>
        <w:t>two </w:t>
      </w:r>
      <w:r>
        <w:rPr>
          <w:vertAlign w:val="baseline"/>
        </w:rPr>
        <w:t>years of investigation and discussion concerning quantification of the damage, the insured commenced litigation, followed six days later by the submission of a final proof of loss.  Several months later,</w:t>
      </w:r>
      <w:r>
        <w:rPr>
          <w:spacing w:val="-50"/>
          <w:vertAlign w:val="baseline"/>
        </w:rPr>
        <w:t> </w:t>
      </w:r>
      <w:r>
        <w:rPr>
          <w:vertAlign w:val="baseline"/>
        </w:rPr>
        <w:t>during</w:t>
      </w:r>
    </w:p>
    <w:p>
      <w:pPr>
        <w:pStyle w:val="BodyText"/>
        <w:spacing w:before="10"/>
        <w:rPr>
          <w:sz w:val="27"/>
        </w:rPr>
      </w:pPr>
      <w:r>
        <w:rPr/>
        <w:pict>
          <v:shape style="position:absolute;margin-left:162pt;margin-top:19.495640pt;width:143.9pt;height:.1pt;mso-position-horizontal-relative:page;mso-position-vertical-relative:paragraph;z-index:-251544576;mso-wrap-distance-left:0;mso-wrap-distance-right:0" coordorigin="3240,390" coordsize="2878,0" path="m3240,390l6118,390e" filled="false" stroked="true" strokeweight=".84pt" strokecolor="#000000">
            <v:path arrowok="t"/>
            <v:stroke dashstyle="solid"/>
            <w10:wrap type="topAndBottom"/>
          </v:shape>
        </w:pict>
      </w:r>
    </w:p>
    <w:p>
      <w:pPr>
        <w:pStyle w:val="BodyText"/>
        <w:spacing w:before="4"/>
        <w:rPr>
          <w:sz w:val="10"/>
        </w:rPr>
      </w:pPr>
    </w:p>
    <w:p>
      <w:pPr>
        <w:spacing w:line="261" w:lineRule="auto" w:before="71"/>
        <w:ind w:left="2740" w:right="2826" w:firstLine="0"/>
        <w:jc w:val="left"/>
        <w:rPr>
          <w:rFonts w:ascii="Times New Roman" w:hAnsi="Times New Roman"/>
          <w:sz w:val="18"/>
        </w:rPr>
      </w:pPr>
      <w:r>
        <w:rPr>
          <w:rFonts w:ascii="Times New Roman" w:hAnsi="Times New Roman"/>
          <w:position w:val="10"/>
          <w:sz w:val="14"/>
        </w:rPr>
        <w:t>502</w:t>
      </w:r>
      <w:r>
        <w:rPr>
          <w:rFonts w:ascii="Times New Roman" w:hAnsi="Times New Roman"/>
          <w:sz w:val="14"/>
        </w:rPr>
        <w:t> </w:t>
      </w:r>
      <w:r>
        <w:rPr>
          <w:rFonts w:ascii="Times New Roman" w:hAnsi="Times New Roman"/>
          <w:sz w:val="18"/>
          <w:u w:val="single"/>
        </w:rPr>
        <w:t>Garden-Aire Village South Condo Ass’n Inc. v. QBE Ins. Corp.</w:t>
      </w:r>
      <w:r>
        <w:rPr>
          <w:rFonts w:ascii="Times New Roman" w:hAnsi="Times New Roman"/>
          <w:sz w:val="18"/>
        </w:rPr>
        <w:t>, 774 F.Supp.2d 1224 (S.D.Fla. 2011).</w:t>
      </w:r>
    </w:p>
    <w:p>
      <w:pPr>
        <w:spacing w:line="168" w:lineRule="exact" w:before="0"/>
        <w:ind w:left="2740" w:right="0" w:firstLine="0"/>
        <w:jc w:val="left"/>
        <w:rPr>
          <w:rFonts w:ascii="Times New Roman"/>
          <w:sz w:val="18"/>
        </w:rPr>
      </w:pPr>
      <w:r>
        <w:rPr>
          <w:rFonts w:ascii="Times New Roman"/>
          <w:position w:val="10"/>
          <w:sz w:val="14"/>
        </w:rPr>
        <w:t>503</w:t>
      </w:r>
      <w:r>
        <w:rPr>
          <w:rFonts w:ascii="Times New Roman"/>
          <w:sz w:val="14"/>
        </w:rPr>
        <w:t> </w:t>
      </w:r>
      <w:r>
        <w:rPr>
          <w:rFonts w:ascii="Times New Roman"/>
          <w:sz w:val="18"/>
          <w:u w:val="single"/>
        </w:rPr>
        <w:t>School District No. 1 of Silver Bow County</w:t>
      </w:r>
      <w:r>
        <w:rPr>
          <w:rFonts w:ascii="Times New Roman"/>
          <w:sz w:val="18"/>
        </w:rPr>
        <w:t>, 146 Mont. 208 (1965).</w:t>
      </w:r>
    </w:p>
    <w:p>
      <w:pPr>
        <w:spacing w:line="235" w:lineRule="exact" w:before="0"/>
        <w:ind w:left="2740" w:right="0" w:firstLine="0"/>
        <w:jc w:val="left"/>
        <w:rPr>
          <w:rFonts w:ascii="Times New Roman"/>
          <w:sz w:val="18"/>
        </w:rPr>
      </w:pPr>
      <w:r>
        <w:rPr>
          <w:rFonts w:ascii="Times New Roman"/>
          <w:position w:val="9"/>
          <w:sz w:val="14"/>
        </w:rPr>
        <w:t>504 </w:t>
      </w:r>
      <w:r>
        <w:rPr>
          <w:rFonts w:ascii="Times New Roman"/>
          <w:sz w:val="18"/>
        </w:rPr>
        <w:t>981 F.Supp. 581 (N.D. Iowa 1997).</w:t>
      </w:r>
    </w:p>
    <w:p>
      <w:pPr>
        <w:spacing w:after="0" w:line="235" w:lineRule="exact"/>
        <w:jc w:val="left"/>
        <w:rPr>
          <w:rFonts w:ascii="Times New Roman"/>
          <w:sz w:val="18"/>
        </w:rPr>
        <w:sectPr>
          <w:footerReference w:type="default" r:id="rId24"/>
          <w:pgSz w:w="12240" w:h="15840"/>
          <w:pgMar w:footer="2273" w:header="0" w:top="580" w:bottom="2460" w:left="140" w:right="40"/>
          <w:pgNumType w:start="27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25" w:id="39"/>
      <w:bookmarkEnd w:id="39"/>
      <w:r>
        <w:rPr/>
      </w:r>
      <w:r>
        <w:rPr/>
        <w:t>motion practice, the insurer demanded appraisal. </w:t>
      </w:r>
      <w:r>
        <w:rPr>
          <w:spacing w:val="3"/>
        </w:rPr>
        <w:t>In </w:t>
      </w:r>
      <w:r>
        <w:rPr/>
        <w:t>concluding that the insurer </w:t>
      </w:r>
      <w:r>
        <w:rPr>
          <w:spacing w:val="-4"/>
        </w:rPr>
        <w:t>had </w:t>
      </w:r>
      <w:r>
        <w:rPr/>
        <w:t>waived its right to demand an appraisal, the court relied on the language of the appraisal provision itself in concluding that the carrier’s actions were unreasonable. The insurance policy under consideration, as most insurance policies, requires an appraisal demand to be made when “the insured and the company shall</w:t>
      </w:r>
      <w:r>
        <w:rPr>
          <w:spacing w:val="-22"/>
        </w:rPr>
        <w:t> </w:t>
      </w:r>
      <w:r>
        <w:rPr/>
        <w:t>fail</w:t>
      </w:r>
      <w:r>
        <w:rPr>
          <w:spacing w:val="-24"/>
        </w:rPr>
        <w:t> </w:t>
      </w:r>
      <w:r>
        <w:rPr/>
        <w:t>to</w:t>
      </w:r>
      <w:r>
        <w:rPr>
          <w:spacing w:val="-23"/>
        </w:rPr>
        <w:t> </w:t>
      </w:r>
      <w:r>
        <w:rPr/>
        <w:t>agree</w:t>
      </w:r>
      <w:r>
        <w:rPr>
          <w:spacing w:val="-25"/>
        </w:rPr>
        <w:t> </w:t>
      </w:r>
      <w:r>
        <w:rPr/>
        <w:t>as</w:t>
      </w:r>
      <w:r>
        <w:rPr>
          <w:spacing w:val="-23"/>
        </w:rPr>
        <w:t> </w:t>
      </w:r>
      <w:r>
        <w:rPr/>
        <w:t>to</w:t>
      </w:r>
      <w:r>
        <w:rPr>
          <w:spacing w:val="-23"/>
        </w:rPr>
        <w:t> </w:t>
      </w:r>
      <w:r>
        <w:rPr/>
        <w:t>the</w:t>
      </w:r>
      <w:r>
        <w:rPr>
          <w:spacing w:val="-25"/>
        </w:rPr>
        <w:t> </w:t>
      </w:r>
      <w:r>
        <w:rPr/>
        <w:t>actual</w:t>
      </w:r>
      <w:r>
        <w:rPr>
          <w:spacing w:val="-22"/>
        </w:rPr>
        <w:t> </w:t>
      </w:r>
      <w:r>
        <w:rPr/>
        <w:t>cash</w:t>
      </w:r>
      <w:r>
        <w:rPr>
          <w:spacing w:val="-23"/>
        </w:rPr>
        <w:t> </w:t>
      </w:r>
      <w:r>
        <w:rPr/>
        <w:t>value</w:t>
      </w:r>
      <w:r>
        <w:rPr>
          <w:spacing w:val="-22"/>
        </w:rPr>
        <w:t> </w:t>
      </w:r>
      <w:r>
        <w:rPr/>
        <w:t>of the amount of loss.” While the clause lacks a specific time constraint requiring the demand be made within a particular amount of time, rules of construction require that such a demand</w:t>
      </w:r>
      <w:r>
        <w:rPr>
          <w:spacing w:val="-34"/>
        </w:rPr>
        <w:t> </w:t>
      </w:r>
      <w:r>
        <w:rPr/>
        <w:t>be</w:t>
      </w:r>
      <w:r>
        <w:rPr>
          <w:spacing w:val="-30"/>
        </w:rPr>
        <w:t> </w:t>
      </w:r>
      <w:r>
        <w:rPr/>
        <w:t>made</w:t>
      </w:r>
      <w:r>
        <w:rPr>
          <w:spacing w:val="-32"/>
        </w:rPr>
        <w:t> </w:t>
      </w:r>
      <w:r>
        <w:rPr/>
        <w:t>within</w:t>
      </w:r>
      <w:r>
        <w:rPr>
          <w:spacing w:val="-32"/>
        </w:rPr>
        <w:t> </w:t>
      </w:r>
      <w:r>
        <w:rPr/>
        <w:t>“a</w:t>
      </w:r>
      <w:r>
        <w:rPr>
          <w:spacing w:val="-32"/>
        </w:rPr>
        <w:t> </w:t>
      </w:r>
      <w:r>
        <w:rPr/>
        <w:t>reasonable</w:t>
      </w:r>
      <w:r>
        <w:rPr>
          <w:spacing w:val="-30"/>
        </w:rPr>
        <w:t> </w:t>
      </w:r>
      <w:r>
        <w:rPr/>
        <w:t>period of</w:t>
      </w:r>
      <w:r>
        <w:rPr>
          <w:spacing w:val="-1"/>
        </w:rPr>
        <w:t> </w:t>
      </w:r>
      <w:r>
        <w:rPr/>
        <w:t>time”.</w:t>
      </w:r>
      <w:r>
        <w:rPr>
          <w:vertAlign w:val="superscript"/>
        </w:rPr>
        <w:t>505</w:t>
      </w:r>
    </w:p>
    <w:p>
      <w:pPr>
        <w:pStyle w:val="BodyText"/>
        <w:spacing w:before="9"/>
        <w:rPr>
          <w:sz w:val="25"/>
        </w:rPr>
      </w:pPr>
    </w:p>
    <w:p>
      <w:pPr>
        <w:pStyle w:val="BodyText"/>
        <w:tabs>
          <w:tab w:pos="4477" w:val="left" w:leader="none"/>
          <w:tab w:pos="5778" w:val="left" w:leader="none"/>
          <w:tab w:pos="6255" w:val="left" w:leader="none"/>
          <w:tab w:pos="7113" w:val="left" w:leader="none"/>
          <w:tab w:pos="8679" w:val="left" w:leader="none"/>
        </w:tabs>
        <w:ind w:left="3820"/>
      </w:pPr>
      <w:r>
        <w:rPr/>
        <w:t>The</w:t>
        <w:tab/>
        <w:t>question</w:t>
        <w:tab/>
        <w:t>of</w:t>
        <w:tab/>
        <w:t>what</w:t>
        <w:tab/>
        <w:t>constitutes</w:t>
        <w:tab/>
        <w:t>a</w:t>
      </w:r>
    </w:p>
    <w:p>
      <w:pPr>
        <w:pStyle w:val="BodyText"/>
        <w:rPr>
          <w:sz w:val="21"/>
        </w:rPr>
      </w:pPr>
      <w:r>
        <w:rPr/>
        <w:pict>
          <v:shape style="position:absolute;margin-left:162pt;margin-top:15.320586pt;width:143.9pt;height:.1pt;mso-position-horizontal-relative:page;mso-position-vertical-relative:paragraph;z-index:-251541504;mso-wrap-distance-left:0;mso-wrap-distance-right:0" coordorigin="3240,306" coordsize="2878,0" path="m3240,306l6118,306e" filled="false" stroked="true" strokeweight=".84pt" strokecolor="#000000">
            <v:path arrowok="t"/>
            <v:stroke dashstyle="solid"/>
            <w10:wrap type="topAndBottom"/>
          </v:shape>
        </w:pict>
      </w:r>
    </w:p>
    <w:p>
      <w:pPr>
        <w:pStyle w:val="ListParagraph"/>
        <w:numPr>
          <w:ilvl w:val="0"/>
          <w:numId w:val="8"/>
        </w:numPr>
        <w:tabs>
          <w:tab w:pos="2989" w:val="left" w:leader="none"/>
        </w:tabs>
        <w:spacing w:line="244" w:lineRule="auto" w:before="140" w:after="0"/>
        <w:ind w:left="2740" w:right="2840" w:firstLine="0"/>
        <w:jc w:val="both"/>
        <w:rPr>
          <w:sz w:val="18"/>
        </w:rPr>
      </w:pPr>
      <w:r>
        <w:rPr>
          <w:sz w:val="18"/>
          <w:u w:val="single"/>
        </w:rPr>
        <w:t>Id</w:t>
      </w:r>
      <w:r>
        <w:rPr>
          <w:sz w:val="18"/>
        </w:rPr>
        <w:t>.</w:t>
      </w:r>
      <w:r>
        <w:rPr>
          <w:spacing w:val="-10"/>
          <w:sz w:val="18"/>
        </w:rPr>
        <w:t> </w:t>
      </w:r>
      <w:r>
        <w:rPr>
          <w:sz w:val="18"/>
        </w:rPr>
        <w:t>at</w:t>
      </w:r>
      <w:r>
        <w:rPr>
          <w:spacing w:val="-11"/>
          <w:sz w:val="18"/>
        </w:rPr>
        <w:t> </w:t>
      </w:r>
      <w:r>
        <w:rPr>
          <w:sz w:val="18"/>
        </w:rPr>
        <w:t>597;</w:t>
      </w:r>
      <w:r>
        <w:rPr>
          <w:spacing w:val="-11"/>
          <w:sz w:val="18"/>
        </w:rPr>
        <w:t> </w:t>
      </w:r>
      <w:r>
        <w:rPr>
          <w:i/>
          <w:sz w:val="18"/>
        </w:rPr>
        <w:t>See</w:t>
      </w:r>
      <w:r>
        <w:rPr>
          <w:i/>
          <w:spacing w:val="-12"/>
          <w:sz w:val="18"/>
        </w:rPr>
        <w:t> </w:t>
      </w:r>
      <w:r>
        <w:rPr>
          <w:i/>
          <w:sz w:val="18"/>
        </w:rPr>
        <w:t>also</w:t>
      </w:r>
      <w:r>
        <w:rPr>
          <w:sz w:val="18"/>
        </w:rPr>
        <w:t>,</w:t>
      </w:r>
      <w:r>
        <w:rPr>
          <w:spacing w:val="-10"/>
          <w:sz w:val="18"/>
        </w:rPr>
        <w:t> </w:t>
      </w:r>
      <w:r>
        <w:rPr>
          <w:sz w:val="18"/>
          <w:u w:val="single"/>
        </w:rPr>
        <w:t>Middlesex</w:t>
      </w:r>
      <w:r>
        <w:rPr>
          <w:spacing w:val="-14"/>
          <w:sz w:val="18"/>
          <w:u w:val="single"/>
        </w:rPr>
        <w:t> </w:t>
      </w:r>
      <w:r>
        <w:rPr>
          <w:sz w:val="18"/>
          <w:u w:val="single"/>
        </w:rPr>
        <w:t>Mut.</w:t>
      </w:r>
      <w:r>
        <w:rPr>
          <w:spacing w:val="-11"/>
          <w:sz w:val="18"/>
          <w:u w:val="single"/>
        </w:rPr>
        <w:t> </w:t>
      </w:r>
      <w:r>
        <w:rPr>
          <w:sz w:val="18"/>
          <w:u w:val="single"/>
        </w:rPr>
        <w:t>Assur.</w:t>
      </w:r>
      <w:r>
        <w:rPr>
          <w:spacing w:val="-10"/>
          <w:sz w:val="18"/>
          <w:u w:val="single"/>
        </w:rPr>
        <w:t> </w:t>
      </w:r>
      <w:r>
        <w:rPr>
          <w:sz w:val="18"/>
          <w:u w:val="single"/>
        </w:rPr>
        <w:t>Co.</w:t>
      </w:r>
      <w:r>
        <w:rPr>
          <w:spacing w:val="-10"/>
          <w:sz w:val="18"/>
          <w:u w:val="single"/>
        </w:rPr>
        <w:t> </w:t>
      </w:r>
      <w:r>
        <w:rPr>
          <w:sz w:val="18"/>
          <w:u w:val="single"/>
        </w:rPr>
        <w:t>v.</w:t>
      </w:r>
      <w:r>
        <w:rPr>
          <w:spacing w:val="-10"/>
          <w:sz w:val="18"/>
          <w:u w:val="single"/>
        </w:rPr>
        <w:t> </w:t>
      </w:r>
      <w:r>
        <w:rPr>
          <w:sz w:val="18"/>
          <w:u w:val="single"/>
        </w:rPr>
        <w:t>Clinton</w:t>
      </w:r>
      <w:r>
        <w:rPr>
          <w:sz w:val="18"/>
        </w:rPr>
        <w:t>,</w:t>
      </w:r>
      <w:r>
        <w:rPr>
          <w:spacing w:val="-10"/>
          <w:sz w:val="18"/>
        </w:rPr>
        <w:t> </w:t>
      </w:r>
      <w:r>
        <w:rPr>
          <w:sz w:val="18"/>
        </w:rPr>
        <w:t>38</w:t>
      </w:r>
      <w:r>
        <w:rPr>
          <w:spacing w:val="-11"/>
          <w:sz w:val="18"/>
        </w:rPr>
        <w:t> </w:t>
      </w:r>
      <w:r>
        <w:rPr>
          <w:sz w:val="18"/>
        </w:rPr>
        <w:t>Conn.</w:t>
      </w:r>
      <w:r>
        <w:rPr>
          <w:spacing w:val="-9"/>
          <w:sz w:val="18"/>
        </w:rPr>
        <w:t> </w:t>
      </w:r>
      <w:r>
        <w:rPr>
          <w:sz w:val="18"/>
        </w:rPr>
        <w:t>App.</w:t>
      </w:r>
      <w:r>
        <w:rPr>
          <w:spacing w:val="-8"/>
          <w:sz w:val="18"/>
        </w:rPr>
        <w:t> </w:t>
      </w:r>
      <w:r>
        <w:rPr>
          <w:sz w:val="18"/>
        </w:rPr>
        <w:t>555,</w:t>
      </w:r>
      <w:r>
        <w:rPr>
          <w:spacing w:val="-11"/>
          <w:sz w:val="18"/>
        </w:rPr>
        <w:t> </w:t>
      </w:r>
      <w:r>
        <w:rPr>
          <w:sz w:val="18"/>
        </w:rPr>
        <w:t>569,</w:t>
      </w:r>
      <w:r>
        <w:rPr>
          <w:spacing w:val="-10"/>
          <w:sz w:val="18"/>
        </w:rPr>
        <w:t> </w:t>
      </w:r>
      <w:r>
        <w:rPr>
          <w:sz w:val="18"/>
        </w:rPr>
        <w:t>662 A.2d 1319, 1327 (1995) (insurer waived its right to appraisal because of an unjustifiable delay in demanding it.); </w:t>
      </w:r>
      <w:r>
        <w:rPr>
          <w:sz w:val="18"/>
          <w:u w:val="single"/>
        </w:rPr>
        <w:t>Meineke v. Twin City Fire Ins. Co.</w:t>
      </w:r>
      <w:r>
        <w:rPr>
          <w:sz w:val="18"/>
        </w:rPr>
        <w:t>, 181 Az. 576, 892 P.2d 1365 (Ariz.App.Div. 1 1995) (court investigated whether the carrier had waived appraisal by</w:t>
      </w:r>
      <w:r>
        <w:rPr>
          <w:spacing w:val="-31"/>
          <w:sz w:val="18"/>
        </w:rPr>
        <w:t> </w:t>
      </w:r>
      <w:r>
        <w:rPr>
          <w:sz w:val="18"/>
        </w:rPr>
        <w:t>an “unreasonable</w:t>
      </w:r>
      <w:r>
        <w:rPr>
          <w:spacing w:val="-22"/>
          <w:sz w:val="18"/>
        </w:rPr>
        <w:t> </w:t>
      </w:r>
      <w:r>
        <w:rPr>
          <w:sz w:val="18"/>
        </w:rPr>
        <w:t>delay”</w:t>
      </w:r>
      <w:r>
        <w:rPr>
          <w:spacing w:val="-21"/>
          <w:sz w:val="18"/>
        </w:rPr>
        <w:t> </w:t>
      </w:r>
      <w:r>
        <w:rPr>
          <w:sz w:val="18"/>
        </w:rPr>
        <w:t>before</w:t>
      </w:r>
      <w:r>
        <w:rPr>
          <w:spacing w:val="-20"/>
          <w:sz w:val="18"/>
        </w:rPr>
        <w:t> </w:t>
      </w:r>
      <w:r>
        <w:rPr>
          <w:sz w:val="18"/>
        </w:rPr>
        <w:t>making</w:t>
      </w:r>
      <w:r>
        <w:rPr>
          <w:spacing w:val="-19"/>
          <w:sz w:val="18"/>
        </w:rPr>
        <w:t> </w:t>
      </w:r>
      <w:r>
        <w:rPr>
          <w:sz w:val="18"/>
        </w:rPr>
        <w:t>such</w:t>
      </w:r>
      <w:r>
        <w:rPr>
          <w:spacing w:val="-17"/>
          <w:sz w:val="18"/>
        </w:rPr>
        <w:t> </w:t>
      </w:r>
      <w:r>
        <w:rPr>
          <w:sz w:val="18"/>
        </w:rPr>
        <w:t>demand);</w:t>
      </w:r>
      <w:r>
        <w:rPr>
          <w:spacing w:val="-16"/>
          <w:sz w:val="18"/>
        </w:rPr>
        <w:t> </w:t>
      </w:r>
      <w:r>
        <w:rPr>
          <w:sz w:val="18"/>
          <w:u w:val="single"/>
        </w:rPr>
        <w:t>Preferred</w:t>
      </w:r>
      <w:r>
        <w:rPr>
          <w:spacing w:val="-18"/>
          <w:sz w:val="18"/>
          <w:u w:val="single"/>
        </w:rPr>
        <w:t> </w:t>
      </w:r>
      <w:r>
        <w:rPr>
          <w:sz w:val="18"/>
          <w:u w:val="single"/>
        </w:rPr>
        <w:t>Mut.</w:t>
      </w:r>
      <w:r>
        <w:rPr>
          <w:spacing w:val="-17"/>
          <w:sz w:val="18"/>
          <w:u w:val="single"/>
        </w:rPr>
        <w:t> </w:t>
      </w:r>
      <w:r>
        <w:rPr>
          <w:sz w:val="18"/>
          <w:u w:val="single"/>
        </w:rPr>
        <w:t>Ins.</w:t>
      </w:r>
      <w:r>
        <w:rPr>
          <w:spacing w:val="-17"/>
          <w:sz w:val="18"/>
          <w:u w:val="single"/>
        </w:rPr>
        <w:t> </w:t>
      </w:r>
      <w:r>
        <w:rPr>
          <w:sz w:val="18"/>
          <w:u w:val="single"/>
        </w:rPr>
        <w:t>Co.</w:t>
      </w:r>
      <w:r>
        <w:rPr>
          <w:spacing w:val="-17"/>
          <w:sz w:val="18"/>
          <w:u w:val="single"/>
        </w:rPr>
        <w:t> </w:t>
      </w:r>
      <w:r>
        <w:rPr>
          <w:sz w:val="18"/>
          <w:u w:val="single"/>
        </w:rPr>
        <w:t>v.</w:t>
      </w:r>
      <w:r>
        <w:rPr>
          <w:spacing w:val="-21"/>
          <w:sz w:val="18"/>
          <w:u w:val="single"/>
        </w:rPr>
        <w:t> </w:t>
      </w:r>
      <w:r>
        <w:rPr>
          <w:sz w:val="18"/>
          <w:u w:val="single"/>
        </w:rPr>
        <w:t>Martinez</w:t>
      </w:r>
      <w:r>
        <w:rPr>
          <w:sz w:val="18"/>
        </w:rPr>
        <w:t>,</w:t>
      </w:r>
      <w:r>
        <w:rPr>
          <w:spacing w:val="-20"/>
          <w:sz w:val="18"/>
        </w:rPr>
        <w:t> </w:t>
      </w:r>
      <w:r>
        <w:rPr>
          <w:sz w:val="18"/>
        </w:rPr>
        <w:t>643 So.2d 1101, 1102-03 (Fla. Dist. Ct. App. 1</w:t>
      </w:r>
      <w:r>
        <w:rPr>
          <w:position w:val="7"/>
          <w:sz w:val="10"/>
        </w:rPr>
        <w:t>st </w:t>
      </w:r>
      <w:r>
        <w:rPr>
          <w:sz w:val="18"/>
        </w:rPr>
        <w:t>Dist. 1994) (court considered whether the insurer</w:t>
      </w:r>
      <w:r>
        <w:rPr>
          <w:spacing w:val="-12"/>
          <w:sz w:val="18"/>
        </w:rPr>
        <w:t> </w:t>
      </w:r>
      <w:r>
        <w:rPr>
          <w:sz w:val="18"/>
        </w:rPr>
        <w:t>unreasonably</w:t>
      </w:r>
      <w:r>
        <w:rPr>
          <w:spacing w:val="-14"/>
          <w:sz w:val="18"/>
        </w:rPr>
        <w:t> </w:t>
      </w:r>
      <w:r>
        <w:rPr>
          <w:sz w:val="18"/>
        </w:rPr>
        <w:t>delayed</w:t>
      </w:r>
      <w:r>
        <w:rPr>
          <w:spacing w:val="-11"/>
          <w:sz w:val="18"/>
        </w:rPr>
        <w:t> </w:t>
      </w:r>
      <w:r>
        <w:rPr>
          <w:sz w:val="18"/>
        </w:rPr>
        <w:t>making</w:t>
      </w:r>
      <w:r>
        <w:rPr>
          <w:spacing w:val="-9"/>
          <w:sz w:val="18"/>
        </w:rPr>
        <w:t> </w:t>
      </w:r>
      <w:r>
        <w:rPr>
          <w:sz w:val="18"/>
        </w:rPr>
        <w:t>a</w:t>
      </w:r>
      <w:r>
        <w:rPr>
          <w:spacing w:val="-11"/>
          <w:sz w:val="18"/>
        </w:rPr>
        <w:t> </w:t>
      </w:r>
      <w:r>
        <w:rPr>
          <w:sz w:val="18"/>
        </w:rPr>
        <w:t>demand</w:t>
      </w:r>
      <w:r>
        <w:rPr>
          <w:spacing w:val="-10"/>
          <w:sz w:val="18"/>
        </w:rPr>
        <w:t> </w:t>
      </w:r>
      <w:r>
        <w:rPr>
          <w:sz w:val="18"/>
        </w:rPr>
        <w:t>for</w:t>
      </w:r>
      <w:r>
        <w:rPr>
          <w:spacing w:val="-10"/>
          <w:sz w:val="18"/>
        </w:rPr>
        <w:t> </w:t>
      </w:r>
      <w:r>
        <w:rPr>
          <w:sz w:val="18"/>
        </w:rPr>
        <w:t>appraisal</w:t>
      </w:r>
      <w:r>
        <w:rPr>
          <w:spacing w:val="-13"/>
          <w:sz w:val="18"/>
        </w:rPr>
        <w:t> </w:t>
      </w:r>
      <w:r>
        <w:rPr>
          <w:sz w:val="18"/>
        </w:rPr>
        <w:t>and</w:t>
      </w:r>
      <w:r>
        <w:rPr>
          <w:spacing w:val="-9"/>
          <w:sz w:val="18"/>
        </w:rPr>
        <w:t> </w:t>
      </w:r>
      <w:r>
        <w:rPr>
          <w:sz w:val="18"/>
        </w:rPr>
        <w:t>thus</w:t>
      </w:r>
      <w:r>
        <w:rPr>
          <w:spacing w:val="-12"/>
          <w:sz w:val="18"/>
        </w:rPr>
        <w:t> </w:t>
      </w:r>
      <w:r>
        <w:rPr>
          <w:sz w:val="18"/>
        </w:rPr>
        <w:t>waived</w:t>
      </w:r>
      <w:r>
        <w:rPr>
          <w:spacing w:val="-11"/>
          <w:sz w:val="18"/>
        </w:rPr>
        <w:t> </w:t>
      </w:r>
      <w:r>
        <w:rPr>
          <w:sz w:val="18"/>
        </w:rPr>
        <w:t>the</w:t>
      </w:r>
      <w:r>
        <w:rPr>
          <w:spacing w:val="-11"/>
          <w:sz w:val="18"/>
        </w:rPr>
        <w:t> </w:t>
      </w:r>
      <w:r>
        <w:rPr>
          <w:sz w:val="18"/>
        </w:rPr>
        <w:t>benefit</w:t>
      </w:r>
      <w:r>
        <w:rPr>
          <w:spacing w:val="-11"/>
          <w:sz w:val="18"/>
        </w:rPr>
        <w:t> </w:t>
      </w:r>
      <w:r>
        <w:rPr>
          <w:sz w:val="18"/>
        </w:rPr>
        <w:t>of the provision when insurer failed to demand appraisal during lengthy negotiations prior</w:t>
      </w:r>
      <w:r>
        <w:rPr>
          <w:spacing w:val="-26"/>
          <w:sz w:val="18"/>
        </w:rPr>
        <w:t> </w:t>
      </w:r>
      <w:r>
        <w:rPr>
          <w:sz w:val="18"/>
        </w:rPr>
        <w:t>to trial);</w:t>
      </w:r>
      <w:r>
        <w:rPr>
          <w:spacing w:val="-12"/>
          <w:sz w:val="18"/>
        </w:rPr>
        <w:t> </w:t>
      </w:r>
      <w:r>
        <w:rPr>
          <w:sz w:val="18"/>
          <w:u w:val="single"/>
        </w:rPr>
        <w:t>Monroe</w:t>
      </w:r>
      <w:r>
        <w:rPr>
          <w:spacing w:val="-13"/>
          <w:sz w:val="18"/>
          <w:u w:val="single"/>
        </w:rPr>
        <w:t> </w:t>
      </w:r>
      <w:r>
        <w:rPr>
          <w:sz w:val="18"/>
          <w:u w:val="single"/>
        </w:rPr>
        <w:t>Guar.</w:t>
      </w:r>
      <w:r>
        <w:rPr>
          <w:spacing w:val="-15"/>
          <w:sz w:val="18"/>
          <w:u w:val="single"/>
        </w:rPr>
        <w:t> </w:t>
      </w:r>
      <w:r>
        <w:rPr>
          <w:sz w:val="18"/>
          <w:u w:val="single"/>
        </w:rPr>
        <w:t>Ins.</w:t>
      </w:r>
      <w:r>
        <w:rPr>
          <w:spacing w:val="-14"/>
          <w:sz w:val="18"/>
          <w:u w:val="single"/>
        </w:rPr>
        <w:t> </w:t>
      </w:r>
      <w:r>
        <w:rPr>
          <w:sz w:val="18"/>
          <w:u w:val="single"/>
        </w:rPr>
        <w:t>Co.</w:t>
      </w:r>
      <w:r>
        <w:rPr>
          <w:spacing w:val="-14"/>
          <w:sz w:val="18"/>
          <w:u w:val="single"/>
        </w:rPr>
        <w:t> </w:t>
      </w:r>
      <w:r>
        <w:rPr>
          <w:sz w:val="18"/>
          <w:u w:val="single"/>
        </w:rPr>
        <w:t>v.</w:t>
      </w:r>
      <w:r>
        <w:rPr>
          <w:spacing w:val="-15"/>
          <w:sz w:val="18"/>
          <w:u w:val="single"/>
        </w:rPr>
        <w:t> </w:t>
      </w:r>
      <w:r>
        <w:rPr>
          <w:sz w:val="18"/>
          <w:u w:val="single"/>
        </w:rPr>
        <w:t>Backstage,</w:t>
      </w:r>
      <w:r>
        <w:rPr>
          <w:spacing w:val="-14"/>
          <w:sz w:val="18"/>
          <w:u w:val="single"/>
        </w:rPr>
        <w:t> </w:t>
      </w:r>
      <w:r>
        <w:rPr>
          <w:sz w:val="18"/>
          <w:u w:val="single"/>
        </w:rPr>
        <w:t>Inc.</w:t>
      </w:r>
      <w:r>
        <w:rPr>
          <w:sz w:val="18"/>
        </w:rPr>
        <w:t>,</w:t>
      </w:r>
      <w:r>
        <w:rPr>
          <w:spacing w:val="-15"/>
          <w:sz w:val="18"/>
        </w:rPr>
        <w:t> </w:t>
      </w:r>
      <w:r>
        <w:rPr>
          <w:sz w:val="18"/>
        </w:rPr>
        <w:t>537</w:t>
      </w:r>
      <w:r>
        <w:rPr>
          <w:spacing w:val="-13"/>
          <w:sz w:val="18"/>
        </w:rPr>
        <w:t> </w:t>
      </w:r>
      <w:r>
        <w:rPr>
          <w:sz w:val="18"/>
        </w:rPr>
        <w:t>N.E.2d</w:t>
      </w:r>
      <w:r>
        <w:rPr>
          <w:spacing w:val="-14"/>
          <w:sz w:val="18"/>
        </w:rPr>
        <w:t> </w:t>
      </w:r>
      <w:r>
        <w:rPr>
          <w:sz w:val="18"/>
        </w:rPr>
        <w:t>528,</w:t>
      </w:r>
      <w:r>
        <w:rPr>
          <w:spacing w:val="-16"/>
          <w:sz w:val="18"/>
        </w:rPr>
        <w:t> </w:t>
      </w:r>
      <w:r>
        <w:rPr>
          <w:sz w:val="18"/>
        </w:rPr>
        <w:t>529</w:t>
      </w:r>
      <w:r>
        <w:rPr>
          <w:spacing w:val="-12"/>
          <w:sz w:val="18"/>
        </w:rPr>
        <w:t> </w:t>
      </w:r>
      <w:r>
        <w:rPr>
          <w:sz w:val="18"/>
        </w:rPr>
        <w:t>(Ind.</w:t>
      </w:r>
      <w:r>
        <w:rPr>
          <w:spacing w:val="-12"/>
          <w:sz w:val="18"/>
        </w:rPr>
        <w:t> </w:t>
      </w:r>
      <w:r>
        <w:rPr>
          <w:sz w:val="18"/>
        </w:rPr>
        <w:t>Ct.</w:t>
      </w:r>
      <w:r>
        <w:rPr>
          <w:spacing w:val="-11"/>
          <w:sz w:val="18"/>
        </w:rPr>
        <w:t> </w:t>
      </w:r>
      <w:r>
        <w:rPr>
          <w:sz w:val="18"/>
        </w:rPr>
        <w:t>App.</w:t>
      </w:r>
      <w:r>
        <w:rPr>
          <w:spacing w:val="-11"/>
          <w:sz w:val="18"/>
        </w:rPr>
        <w:t> </w:t>
      </w:r>
      <w:r>
        <w:rPr>
          <w:sz w:val="18"/>
        </w:rPr>
        <w:t>3d</w:t>
      </w:r>
      <w:r>
        <w:rPr>
          <w:spacing w:val="-13"/>
          <w:sz w:val="18"/>
        </w:rPr>
        <w:t> </w:t>
      </w:r>
      <w:r>
        <w:rPr>
          <w:sz w:val="18"/>
        </w:rPr>
        <w:t>Dist. 1989) (suit had been commenced six weeks before the appraisal demand and the court considered</w:t>
      </w:r>
      <w:r>
        <w:rPr>
          <w:spacing w:val="-19"/>
          <w:sz w:val="18"/>
        </w:rPr>
        <w:t> </w:t>
      </w:r>
      <w:r>
        <w:rPr>
          <w:sz w:val="18"/>
        </w:rPr>
        <w:t>whether</w:t>
      </w:r>
      <w:r>
        <w:rPr>
          <w:spacing w:val="-19"/>
          <w:sz w:val="18"/>
        </w:rPr>
        <w:t> </w:t>
      </w:r>
      <w:r>
        <w:rPr>
          <w:sz w:val="18"/>
        </w:rPr>
        <w:t>the</w:t>
      </w:r>
      <w:r>
        <w:rPr>
          <w:spacing w:val="-19"/>
          <w:sz w:val="18"/>
        </w:rPr>
        <w:t> </w:t>
      </w:r>
      <w:r>
        <w:rPr>
          <w:sz w:val="18"/>
        </w:rPr>
        <w:t>demand</w:t>
      </w:r>
      <w:r>
        <w:rPr>
          <w:spacing w:val="-17"/>
          <w:sz w:val="18"/>
        </w:rPr>
        <w:t> </w:t>
      </w:r>
      <w:r>
        <w:rPr>
          <w:sz w:val="18"/>
        </w:rPr>
        <w:t>was</w:t>
      </w:r>
      <w:r>
        <w:rPr>
          <w:spacing w:val="-19"/>
          <w:sz w:val="18"/>
        </w:rPr>
        <w:t> </w:t>
      </w:r>
      <w:r>
        <w:rPr>
          <w:sz w:val="18"/>
        </w:rPr>
        <w:t>made</w:t>
      </w:r>
      <w:r>
        <w:rPr>
          <w:spacing w:val="-19"/>
          <w:sz w:val="18"/>
        </w:rPr>
        <w:t> </w:t>
      </w:r>
      <w:r>
        <w:rPr>
          <w:sz w:val="18"/>
        </w:rPr>
        <w:t>within</w:t>
      </w:r>
      <w:r>
        <w:rPr>
          <w:spacing w:val="-15"/>
          <w:sz w:val="18"/>
        </w:rPr>
        <w:t> </w:t>
      </w:r>
      <w:r>
        <w:rPr>
          <w:sz w:val="18"/>
        </w:rPr>
        <w:t>a</w:t>
      </w:r>
      <w:r>
        <w:rPr>
          <w:spacing w:val="-17"/>
          <w:sz w:val="18"/>
        </w:rPr>
        <w:t> </w:t>
      </w:r>
      <w:r>
        <w:rPr>
          <w:sz w:val="18"/>
        </w:rPr>
        <w:t>“reasonable</w:t>
      </w:r>
      <w:r>
        <w:rPr>
          <w:spacing w:val="-17"/>
          <w:sz w:val="18"/>
        </w:rPr>
        <w:t> </w:t>
      </w:r>
      <w:r>
        <w:rPr>
          <w:sz w:val="18"/>
        </w:rPr>
        <w:t>time.”);</w:t>
      </w:r>
      <w:r>
        <w:rPr>
          <w:spacing w:val="-17"/>
          <w:sz w:val="18"/>
        </w:rPr>
        <w:t> </w:t>
      </w:r>
      <w:r>
        <w:rPr>
          <w:sz w:val="18"/>
          <w:u w:val="single"/>
        </w:rPr>
        <w:t>Keesling</w:t>
      </w:r>
      <w:r>
        <w:rPr>
          <w:spacing w:val="-20"/>
          <w:sz w:val="18"/>
          <w:u w:val="single"/>
        </w:rPr>
        <w:t> </w:t>
      </w:r>
      <w:r>
        <w:rPr>
          <w:sz w:val="18"/>
          <w:u w:val="single"/>
        </w:rPr>
        <w:t>v.</w:t>
      </w:r>
      <w:r>
        <w:rPr>
          <w:spacing w:val="-17"/>
          <w:sz w:val="18"/>
          <w:u w:val="single"/>
        </w:rPr>
        <w:t> </w:t>
      </w:r>
      <w:r>
        <w:rPr>
          <w:sz w:val="18"/>
          <w:u w:val="single"/>
        </w:rPr>
        <w:t>Western Fire Ins. Co. of Fort Scott, Kansas</w:t>
      </w:r>
      <w:r>
        <w:rPr>
          <w:sz w:val="18"/>
        </w:rPr>
        <w:t>, 10 Wash. App. </w:t>
      </w:r>
      <w:r>
        <w:rPr>
          <w:spacing w:val="2"/>
          <w:sz w:val="18"/>
        </w:rPr>
        <w:t>841, </w:t>
      </w:r>
      <w:r>
        <w:rPr>
          <w:sz w:val="18"/>
        </w:rPr>
        <w:t>847-48, 520 P.2d 622, 626-27 (1974) (the court considered whether appraisal demand made after the action was commenced</w:t>
      </w:r>
      <w:r>
        <w:rPr>
          <w:spacing w:val="-9"/>
          <w:sz w:val="18"/>
        </w:rPr>
        <w:t> </w:t>
      </w:r>
      <w:r>
        <w:rPr>
          <w:sz w:val="18"/>
        </w:rPr>
        <w:t>was</w:t>
      </w:r>
      <w:r>
        <w:rPr>
          <w:spacing w:val="-8"/>
          <w:sz w:val="18"/>
        </w:rPr>
        <w:t> </w:t>
      </w:r>
      <w:r>
        <w:rPr>
          <w:sz w:val="18"/>
        </w:rPr>
        <w:t>made</w:t>
      </w:r>
      <w:r>
        <w:rPr>
          <w:spacing w:val="-8"/>
          <w:sz w:val="18"/>
        </w:rPr>
        <w:t> </w:t>
      </w:r>
      <w:r>
        <w:rPr>
          <w:sz w:val="18"/>
        </w:rPr>
        <w:t>within</w:t>
      </w:r>
      <w:r>
        <w:rPr>
          <w:spacing w:val="-6"/>
          <w:sz w:val="18"/>
        </w:rPr>
        <w:t> </w:t>
      </w:r>
      <w:r>
        <w:rPr>
          <w:sz w:val="18"/>
        </w:rPr>
        <w:t>a</w:t>
      </w:r>
      <w:r>
        <w:rPr>
          <w:spacing w:val="-7"/>
          <w:sz w:val="18"/>
        </w:rPr>
        <w:t> </w:t>
      </w:r>
      <w:r>
        <w:rPr>
          <w:sz w:val="18"/>
        </w:rPr>
        <w:t>“reasonable”</w:t>
      </w:r>
      <w:r>
        <w:rPr>
          <w:spacing w:val="-8"/>
          <w:sz w:val="18"/>
        </w:rPr>
        <w:t> </w:t>
      </w:r>
      <w:r>
        <w:rPr>
          <w:sz w:val="18"/>
        </w:rPr>
        <w:t>period</w:t>
      </w:r>
      <w:r>
        <w:rPr>
          <w:spacing w:val="-5"/>
          <w:sz w:val="18"/>
        </w:rPr>
        <w:t> </w:t>
      </w:r>
      <w:r>
        <w:rPr>
          <w:sz w:val="18"/>
        </w:rPr>
        <w:t>of</w:t>
      </w:r>
      <w:r>
        <w:rPr>
          <w:spacing w:val="-9"/>
          <w:sz w:val="18"/>
        </w:rPr>
        <w:t> </w:t>
      </w:r>
      <w:r>
        <w:rPr>
          <w:sz w:val="18"/>
        </w:rPr>
        <w:t>time);</w:t>
      </w:r>
      <w:r>
        <w:rPr>
          <w:spacing w:val="-7"/>
          <w:sz w:val="18"/>
        </w:rPr>
        <w:t> </w:t>
      </w:r>
      <w:r>
        <w:rPr>
          <w:sz w:val="18"/>
          <w:u w:val="single"/>
        </w:rPr>
        <w:t>Hanby</w:t>
      </w:r>
      <w:r>
        <w:rPr>
          <w:spacing w:val="-13"/>
          <w:sz w:val="18"/>
          <w:u w:val="single"/>
        </w:rPr>
        <w:t> </w:t>
      </w:r>
      <w:r>
        <w:rPr>
          <w:sz w:val="18"/>
          <w:u w:val="single"/>
        </w:rPr>
        <w:t>v.</w:t>
      </w:r>
      <w:r>
        <w:rPr>
          <w:spacing w:val="-8"/>
          <w:sz w:val="18"/>
          <w:u w:val="single"/>
        </w:rPr>
        <w:t> </w:t>
      </w:r>
      <w:r>
        <w:rPr>
          <w:sz w:val="18"/>
          <w:u w:val="single"/>
        </w:rPr>
        <w:t>Maryland</w:t>
      </w:r>
      <w:r>
        <w:rPr>
          <w:spacing w:val="-8"/>
          <w:sz w:val="18"/>
          <w:u w:val="single"/>
        </w:rPr>
        <w:t> </w:t>
      </w:r>
      <w:r>
        <w:rPr>
          <w:sz w:val="18"/>
          <w:u w:val="single"/>
        </w:rPr>
        <w:t>Cas.</w:t>
      </w:r>
      <w:r>
        <w:rPr>
          <w:spacing w:val="-10"/>
          <w:sz w:val="18"/>
          <w:u w:val="single"/>
        </w:rPr>
        <w:t> </w:t>
      </w:r>
      <w:r>
        <w:rPr>
          <w:sz w:val="18"/>
          <w:u w:val="single"/>
        </w:rPr>
        <w:t>Co.</w:t>
      </w:r>
      <w:r>
        <w:rPr>
          <w:sz w:val="18"/>
        </w:rPr>
        <w:t>, 265</w:t>
      </w:r>
      <w:r>
        <w:rPr>
          <w:spacing w:val="-2"/>
          <w:sz w:val="18"/>
        </w:rPr>
        <w:t> </w:t>
      </w:r>
      <w:r>
        <w:rPr>
          <w:sz w:val="18"/>
        </w:rPr>
        <w:t>A.2d 28</w:t>
      </w:r>
      <w:r>
        <w:rPr>
          <w:spacing w:val="-3"/>
          <w:sz w:val="18"/>
        </w:rPr>
        <w:t> </w:t>
      </w:r>
      <w:r>
        <w:rPr>
          <w:sz w:val="18"/>
        </w:rPr>
        <w:t>(Del.</w:t>
      </w:r>
      <w:r>
        <w:rPr>
          <w:spacing w:val="-4"/>
          <w:sz w:val="18"/>
        </w:rPr>
        <w:t> </w:t>
      </w:r>
      <w:r>
        <w:rPr>
          <w:sz w:val="18"/>
        </w:rPr>
        <w:t>1970);</w:t>
      </w:r>
      <w:r>
        <w:rPr>
          <w:spacing w:val="-3"/>
          <w:sz w:val="18"/>
        </w:rPr>
        <w:t> </w:t>
      </w:r>
      <w:r>
        <w:rPr>
          <w:sz w:val="18"/>
          <w:u w:val="single"/>
        </w:rPr>
        <w:t>School</w:t>
      </w:r>
      <w:r>
        <w:rPr>
          <w:spacing w:val="-4"/>
          <w:sz w:val="18"/>
          <w:u w:val="single"/>
        </w:rPr>
        <w:t> </w:t>
      </w:r>
      <w:r>
        <w:rPr>
          <w:sz w:val="18"/>
          <w:u w:val="single"/>
        </w:rPr>
        <w:t>District</w:t>
      </w:r>
      <w:r>
        <w:rPr>
          <w:spacing w:val="-4"/>
          <w:sz w:val="18"/>
          <w:u w:val="single"/>
        </w:rPr>
        <w:t> </w:t>
      </w:r>
      <w:r>
        <w:rPr>
          <w:sz w:val="18"/>
          <w:u w:val="single"/>
        </w:rPr>
        <w:t>#</w:t>
      </w:r>
      <w:r>
        <w:rPr>
          <w:spacing w:val="-2"/>
          <w:sz w:val="18"/>
          <w:u w:val="single"/>
        </w:rPr>
        <w:t> </w:t>
      </w:r>
      <w:r>
        <w:rPr>
          <w:sz w:val="18"/>
          <w:u w:val="single"/>
        </w:rPr>
        <w:t>1</w:t>
      </w:r>
      <w:r>
        <w:rPr>
          <w:spacing w:val="-3"/>
          <w:sz w:val="18"/>
          <w:u w:val="single"/>
        </w:rPr>
        <w:t> </w:t>
      </w:r>
      <w:r>
        <w:rPr>
          <w:sz w:val="18"/>
          <w:u w:val="single"/>
        </w:rPr>
        <w:t>of</w:t>
      </w:r>
      <w:r>
        <w:rPr>
          <w:spacing w:val="-6"/>
          <w:sz w:val="18"/>
          <w:u w:val="single"/>
        </w:rPr>
        <w:t> </w:t>
      </w:r>
      <w:r>
        <w:rPr>
          <w:sz w:val="18"/>
          <w:u w:val="single"/>
        </w:rPr>
        <w:t>Silver</w:t>
      </w:r>
      <w:r>
        <w:rPr>
          <w:spacing w:val="-5"/>
          <w:sz w:val="18"/>
          <w:u w:val="single"/>
        </w:rPr>
        <w:t> </w:t>
      </w:r>
      <w:r>
        <w:rPr>
          <w:sz w:val="18"/>
          <w:u w:val="single"/>
        </w:rPr>
        <w:t>Bow</w:t>
      </w:r>
      <w:r>
        <w:rPr>
          <w:spacing w:val="-8"/>
          <w:sz w:val="18"/>
          <w:u w:val="single"/>
        </w:rPr>
        <w:t> </w:t>
      </w:r>
      <w:r>
        <w:rPr>
          <w:sz w:val="18"/>
          <w:u w:val="single"/>
        </w:rPr>
        <w:t>County</w:t>
      </w:r>
      <w:r>
        <w:rPr>
          <w:spacing w:val="-7"/>
          <w:sz w:val="18"/>
          <w:u w:val="single"/>
        </w:rPr>
        <w:t> </w:t>
      </w:r>
      <w:r>
        <w:rPr>
          <w:sz w:val="18"/>
          <w:u w:val="single"/>
        </w:rPr>
        <w:t>v.</w:t>
      </w:r>
      <w:r>
        <w:rPr>
          <w:spacing w:val="-4"/>
          <w:sz w:val="18"/>
          <w:u w:val="single"/>
        </w:rPr>
        <w:t> </w:t>
      </w:r>
      <w:r>
        <w:rPr>
          <w:sz w:val="18"/>
          <w:u w:val="single"/>
        </w:rPr>
        <w:t>Globe</w:t>
      </w:r>
      <w:r>
        <w:rPr>
          <w:spacing w:val="-2"/>
          <w:sz w:val="18"/>
          <w:u w:val="single"/>
        </w:rPr>
        <w:t> </w:t>
      </w:r>
      <w:r>
        <w:rPr>
          <w:sz w:val="18"/>
          <w:u w:val="single"/>
        </w:rPr>
        <w:t>Republic</w:t>
      </w:r>
      <w:r>
        <w:rPr>
          <w:spacing w:val="-2"/>
          <w:sz w:val="18"/>
          <w:u w:val="single"/>
        </w:rPr>
        <w:t> </w:t>
      </w:r>
      <w:r>
        <w:rPr>
          <w:sz w:val="18"/>
          <w:u w:val="single"/>
        </w:rPr>
        <w:t>Ins. of</w:t>
      </w:r>
      <w:r>
        <w:rPr>
          <w:spacing w:val="-17"/>
          <w:sz w:val="18"/>
          <w:u w:val="single"/>
        </w:rPr>
        <w:t> </w:t>
      </w:r>
      <w:r>
        <w:rPr>
          <w:sz w:val="18"/>
          <w:u w:val="single"/>
        </w:rPr>
        <w:t>America</w:t>
      </w:r>
      <w:r>
        <w:rPr>
          <w:sz w:val="18"/>
        </w:rPr>
        <w:t>,</w:t>
      </w:r>
      <w:r>
        <w:rPr>
          <w:spacing w:val="-15"/>
          <w:sz w:val="18"/>
        </w:rPr>
        <w:t> </w:t>
      </w:r>
      <w:r>
        <w:rPr>
          <w:sz w:val="18"/>
        </w:rPr>
        <w:t>146</w:t>
      </w:r>
      <w:r>
        <w:rPr>
          <w:spacing w:val="-12"/>
          <w:sz w:val="18"/>
        </w:rPr>
        <w:t> </w:t>
      </w:r>
      <w:r>
        <w:rPr>
          <w:sz w:val="18"/>
        </w:rPr>
        <w:t>Mont.</w:t>
      </w:r>
      <w:r>
        <w:rPr>
          <w:spacing w:val="-13"/>
          <w:sz w:val="18"/>
        </w:rPr>
        <w:t> </w:t>
      </w:r>
      <w:r>
        <w:rPr>
          <w:sz w:val="18"/>
        </w:rPr>
        <w:t>208,</w:t>
      </w:r>
      <w:r>
        <w:rPr>
          <w:spacing w:val="-13"/>
          <w:sz w:val="18"/>
        </w:rPr>
        <w:t> </w:t>
      </w:r>
      <w:r>
        <w:rPr>
          <w:sz w:val="18"/>
        </w:rPr>
        <w:t>214,</w:t>
      </w:r>
      <w:r>
        <w:rPr>
          <w:spacing w:val="-14"/>
          <w:sz w:val="18"/>
        </w:rPr>
        <w:t> </w:t>
      </w:r>
      <w:r>
        <w:rPr>
          <w:sz w:val="18"/>
        </w:rPr>
        <w:t>404</w:t>
      </w:r>
      <w:r>
        <w:rPr>
          <w:spacing w:val="-10"/>
          <w:sz w:val="18"/>
        </w:rPr>
        <w:t> </w:t>
      </w:r>
      <w:r>
        <w:rPr>
          <w:sz w:val="18"/>
        </w:rPr>
        <w:t>P.2d</w:t>
      </w:r>
      <w:r>
        <w:rPr>
          <w:spacing w:val="-11"/>
          <w:sz w:val="18"/>
        </w:rPr>
        <w:t> </w:t>
      </w:r>
      <w:r>
        <w:rPr>
          <w:sz w:val="18"/>
        </w:rPr>
        <w:t>889,</w:t>
      </w:r>
      <w:r>
        <w:rPr>
          <w:spacing w:val="-11"/>
          <w:sz w:val="18"/>
        </w:rPr>
        <w:t> </w:t>
      </w:r>
      <w:r>
        <w:rPr>
          <w:sz w:val="18"/>
        </w:rPr>
        <w:t>893</w:t>
      </w:r>
      <w:r>
        <w:rPr>
          <w:spacing w:val="22"/>
          <w:sz w:val="18"/>
        </w:rPr>
        <w:t> </w:t>
      </w:r>
      <w:r>
        <w:rPr>
          <w:sz w:val="18"/>
        </w:rPr>
        <w:t>(1965)</w:t>
      </w:r>
      <w:r>
        <w:rPr>
          <w:spacing w:val="-13"/>
          <w:sz w:val="18"/>
        </w:rPr>
        <w:t> </w:t>
      </w:r>
      <w:r>
        <w:rPr>
          <w:sz w:val="18"/>
        </w:rPr>
        <w:t>(carrier’s</w:t>
      </w:r>
      <w:r>
        <w:rPr>
          <w:spacing w:val="-16"/>
          <w:sz w:val="18"/>
        </w:rPr>
        <w:t> </w:t>
      </w:r>
      <w:r>
        <w:rPr>
          <w:sz w:val="18"/>
        </w:rPr>
        <w:t>demand</w:t>
      </w:r>
      <w:r>
        <w:rPr>
          <w:spacing w:val="-12"/>
          <w:sz w:val="18"/>
        </w:rPr>
        <w:t> </w:t>
      </w:r>
      <w:r>
        <w:rPr>
          <w:sz w:val="18"/>
        </w:rPr>
        <w:t>must</w:t>
      </w:r>
      <w:r>
        <w:rPr>
          <w:spacing w:val="-14"/>
          <w:sz w:val="18"/>
        </w:rPr>
        <w:t> </w:t>
      </w:r>
      <w:r>
        <w:rPr>
          <w:sz w:val="18"/>
        </w:rPr>
        <w:t>be</w:t>
      </w:r>
      <w:r>
        <w:rPr>
          <w:spacing w:val="-14"/>
          <w:sz w:val="18"/>
        </w:rPr>
        <w:t> </w:t>
      </w:r>
      <w:r>
        <w:rPr>
          <w:sz w:val="18"/>
        </w:rPr>
        <w:t>made within</w:t>
      </w:r>
      <w:r>
        <w:rPr>
          <w:spacing w:val="-8"/>
          <w:sz w:val="18"/>
        </w:rPr>
        <w:t> </w:t>
      </w:r>
      <w:r>
        <w:rPr>
          <w:sz w:val="18"/>
        </w:rPr>
        <w:t>a</w:t>
      </w:r>
      <w:r>
        <w:rPr>
          <w:spacing w:val="-9"/>
          <w:sz w:val="18"/>
        </w:rPr>
        <w:t> </w:t>
      </w:r>
      <w:r>
        <w:rPr>
          <w:sz w:val="18"/>
        </w:rPr>
        <w:t>reasonable</w:t>
      </w:r>
      <w:r>
        <w:rPr>
          <w:spacing w:val="-11"/>
          <w:sz w:val="18"/>
        </w:rPr>
        <w:t> </w:t>
      </w:r>
      <w:r>
        <w:rPr>
          <w:sz w:val="18"/>
        </w:rPr>
        <w:t>time</w:t>
      </w:r>
      <w:r>
        <w:rPr>
          <w:spacing w:val="-11"/>
          <w:sz w:val="18"/>
        </w:rPr>
        <w:t> </w:t>
      </w:r>
      <w:r>
        <w:rPr>
          <w:sz w:val="18"/>
        </w:rPr>
        <w:t>after</w:t>
      </w:r>
      <w:r>
        <w:rPr>
          <w:spacing w:val="-11"/>
          <w:sz w:val="18"/>
        </w:rPr>
        <w:t> </w:t>
      </w:r>
      <w:r>
        <w:rPr>
          <w:sz w:val="18"/>
        </w:rPr>
        <w:t>disagreement</w:t>
      </w:r>
      <w:r>
        <w:rPr>
          <w:spacing w:val="-10"/>
          <w:sz w:val="18"/>
        </w:rPr>
        <w:t> </w:t>
      </w:r>
      <w:r>
        <w:rPr>
          <w:sz w:val="18"/>
        </w:rPr>
        <w:t>has</w:t>
      </w:r>
      <w:r>
        <w:rPr>
          <w:spacing w:val="-12"/>
          <w:sz w:val="18"/>
        </w:rPr>
        <w:t> </w:t>
      </w:r>
      <w:r>
        <w:rPr>
          <w:sz w:val="18"/>
        </w:rPr>
        <w:t>arisen</w:t>
      </w:r>
      <w:r>
        <w:rPr>
          <w:spacing w:val="-11"/>
          <w:sz w:val="18"/>
        </w:rPr>
        <w:t> </w:t>
      </w:r>
      <w:r>
        <w:rPr>
          <w:sz w:val="18"/>
        </w:rPr>
        <w:t>as</w:t>
      </w:r>
      <w:r>
        <w:rPr>
          <w:spacing w:val="-12"/>
          <w:sz w:val="18"/>
        </w:rPr>
        <w:t> </w:t>
      </w:r>
      <w:r>
        <w:rPr>
          <w:sz w:val="18"/>
        </w:rPr>
        <w:t>to</w:t>
      </w:r>
      <w:r>
        <w:rPr>
          <w:spacing w:val="-9"/>
          <w:sz w:val="18"/>
        </w:rPr>
        <w:t> </w:t>
      </w:r>
      <w:r>
        <w:rPr>
          <w:sz w:val="18"/>
        </w:rPr>
        <w:t>the</w:t>
      </w:r>
      <w:r>
        <w:rPr>
          <w:spacing w:val="-11"/>
          <w:sz w:val="18"/>
        </w:rPr>
        <w:t> </w:t>
      </w:r>
      <w:r>
        <w:rPr>
          <w:sz w:val="18"/>
        </w:rPr>
        <w:t>amount</w:t>
      </w:r>
      <w:r>
        <w:rPr>
          <w:spacing w:val="-8"/>
          <w:sz w:val="18"/>
        </w:rPr>
        <w:t> </w:t>
      </w:r>
      <w:r>
        <w:rPr>
          <w:sz w:val="18"/>
        </w:rPr>
        <w:t>of</w:t>
      </w:r>
      <w:r>
        <w:rPr>
          <w:spacing w:val="-10"/>
          <w:sz w:val="18"/>
        </w:rPr>
        <w:t> </w:t>
      </w:r>
      <w:r>
        <w:rPr>
          <w:sz w:val="18"/>
        </w:rPr>
        <w:t>loss</w:t>
      </w:r>
      <w:r>
        <w:rPr>
          <w:spacing w:val="-9"/>
          <w:sz w:val="18"/>
        </w:rPr>
        <w:t> </w:t>
      </w:r>
      <w:r>
        <w:rPr>
          <w:sz w:val="18"/>
        </w:rPr>
        <w:t>or</w:t>
      </w:r>
      <w:r>
        <w:rPr>
          <w:spacing w:val="-8"/>
          <w:sz w:val="18"/>
        </w:rPr>
        <w:t> </w:t>
      </w:r>
      <w:r>
        <w:rPr>
          <w:sz w:val="18"/>
        </w:rPr>
        <w:t>is</w:t>
      </w:r>
      <w:r>
        <w:rPr>
          <w:spacing w:val="-9"/>
          <w:sz w:val="18"/>
        </w:rPr>
        <w:t> </w:t>
      </w:r>
      <w:r>
        <w:rPr>
          <w:sz w:val="18"/>
        </w:rPr>
        <w:t>deemed waived.);</w:t>
      </w:r>
      <w:r>
        <w:rPr>
          <w:spacing w:val="-12"/>
          <w:sz w:val="18"/>
        </w:rPr>
        <w:t> </w:t>
      </w:r>
      <w:r>
        <w:rPr>
          <w:sz w:val="18"/>
          <w:u w:val="single"/>
        </w:rPr>
        <w:t>Bard’s</w:t>
      </w:r>
      <w:r>
        <w:rPr>
          <w:spacing w:val="-12"/>
          <w:sz w:val="18"/>
          <w:u w:val="single"/>
        </w:rPr>
        <w:t> </w:t>
      </w:r>
      <w:r>
        <w:rPr>
          <w:sz w:val="18"/>
          <w:u w:val="single"/>
        </w:rPr>
        <w:t>Apparel</w:t>
      </w:r>
      <w:r>
        <w:rPr>
          <w:spacing w:val="-14"/>
          <w:sz w:val="18"/>
          <w:u w:val="single"/>
        </w:rPr>
        <w:t> </w:t>
      </w:r>
      <w:r>
        <w:rPr>
          <w:sz w:val="18"/>
          <w:u w:val="single"/>
        </w:rPr>
        <w:t>Mfg.</w:t>
      </w:r>
      <w:r>
        <w:rPr>
          <w:spacing w:val="-11"/>
          <w:sz w:val="18"/>
          <w:u w:val="single"/>
        </w:rPr>
        <w:t> </w:t>
      </w:r>
      <w:r>
        <w:rPr>
          <w:sz w:val="18"/>
          <w:u w:val="single"/>
        </w:rPr>
        <w:t>Inc.</w:t>
      </w:r>
      <w:r>
        <w:rPr>
          <w:spacing w:val="-10"/>
          <w:sz w:val="18"/>
          <w:u w:val="single"/>
        </w:rPr>
        <w:t> </w:t>
      </w:r>
      <w:r>
        <w:rPr>
          <w:sz w:val="18"/>
          <w:u w:val="single"/>
        </w:rPr>
        <w:t>v.</w:t>
      </w:r>
      <w:r>
        <w:rPr>
          <w:spacing w:val="-10"/>
          <w:sz w:val="18"/>
          <w:u w:val="single"/>
        </w:rPr>
        <w:t> </w:t>
      </w:r>
      <w:r>
        <w:rPr>
          <w:sz w:val="18"/>
          <w:u w:val="single"/>
        </w:rPr>
        <w:t>Bituminous</w:t>
      </w:r>
      <w:r>
        <w:rPr>
          <w:spacing w:val="-10"/>
          <w:sz w:val="18"/>
          <w:u w:val="single"/>
        </w:rPr>
        <w:t> </w:t>
      </w:r>
      <w:r>
        <w:rPr>
          <w:sz w:val="18"/>
          <w:u w:val="single"/>
        </w:rPr>
        <w:t>Fire</w:t>
      </w:r>
      <w:r>
        <w:rPr>
          <w:spacing w:val="-10"/>
          <w:sz w:val="18"/>
          <w:u w:val="single"/>
        </w:rPr>
        <w:t> </w:t>
      </w:r>
      <w:r>
        <w:rPr>
          <w:sz w:val="18"/>
          <w:u w:val="single"/>
        </w:rPr>
        <w:t>&amp;</w:t>
      </w:r>
      <w:r>
        <w:rPr>
          <w:spacing w:val="-13"/>
          <w:sz w:val="18"/>
          <w:u w:val="single"/>
        </w:rPr>
        <w:t> </w:t>
      </w:r>
      <w:r>
        <w:rPr>
          <w:sz w:val="18"/>
          <w:u w:val="single"/>
        </w:rPr>
        <w:t>Marine</w:t>
      </w:r>
      <w:r>
        <w:rPr>
          <w:spacing w:val="-13"/>
          <w:sz w:val="18"/>
          <w:u w:val="single"/>
        </w:rPr>
        <w:t> </w:t>
      </w:r>
      <w:r>
        <w:rPr>
          <w:sz w:val="18"/>
          <w:u w:val="single"/>
        </w:rPr>
        <w:t>Ins.</w:t>
      </w:r>
      <w:r>
        <w:rPr>
          <w:spacing w:val="-12"/>
          <w:sz w:val="18"/>
          <w:u w:val="single"/>
        </w:rPr>
        <w:t> </w:t>
      </w:r>
      <w:r>
        <w:rPr>
          <w:sz w:val="18"/>
          <w:u w:val="single"/>
        </w:rPr>
        <w:t>Co.</w:t>
      </w:r>
      <w:r>
        <w:rPr>
          <w:sz w:val="18"/>
        </w:rPr>
        <w:t>,</w:t>
      </w:r>
      <w:r>
        <w:rPr>
          <w:spacing w:val="-11"/>
          <w:sz w:val="18"/>
        </w:rPr>
        <w:t> </w:t>
      </w:r>
      <w:r>
        <w:rPr>
          <w:sz w:val="18"/>
        </w:rPr>
        <w:t>849</w:t>
      </w:r>
      <w:r>
        <w:rPr>
          <w:spacing w:val="-11"/>
          <w:sz w:val="18"/>
        </w:rPr>
        <w:t> </w:t>
      </w:r>
      <w:r>
        <w:rPr>
          <w:sz w:val="18"/>
        </w:rPr>
        <w:t>F.2d</w:t>
      </w:r>
      <w:r>
        <w:rPr>
          <w:spacing w:val="-12"/>
          <w:sz w:val="18"/>
        </w:rPr>
        <w:t> </w:t>
      </w:r>
      <w:r>
        <w:rPr>
          <w:sz w:val="18"/>
        </w:rPr>
        <w:t>245</w:t>
      </w:r>
      <w:r>
        <w:rPr>
          <w:spacing w:val="-11"/>
          <w:sz w:val="18"/>
        </w:rPr>
        <w:t> </w:t>
      </w:r>
      <w:r>
        <w:rPr>
          <w:sz w:val="18"/>
        </w:rPr>
        <w:t>(6</w:t>
      </w:r>
      <w:r>
        <w:rPr>
          <w:position w:val="7"/>
          <w:sz w:val="10"/>
        </w:rPr>
        <w:t>th</w:t>
      </w:r>
      <w:r>
        <w:rPr>
          <w:sz w:val="10"/>
        </w:rPr>
        <w:t> </w:t>
      </w:r>
      <w:r>
        <w:rPr>
          <w:sz w:val="18"/>
        </w:rPr>
        <w:t>Cir.</w:t>
      </w:r>
      <w:r>
        <w:rPr>
          <w:spacing w:val="-6"/>
          <w:sz w:val="18"/>
        </w:rPr>
        <w:t> </w:t>
      </w:r>
      <w:r>
        <w:rPr>
          <w:sz w:val="18"/>
        </w:rPr>
        <w:t>1988)</w:t>
      </w:r>
      <w:r>
        <w:rPr>
          <w:spacing w:val="-7"/>
          <w:sz w:val="18"/>
        </w:rPr>
        <w:t> </w:t>
      </w:r>
      <w:r>
        <w:rPr>
          <w:sz w:val="18"/>
        </w:rPr>
        <w:t>(applying</w:t>
      </w:r>
      <w:r>
        <w:rPr>
          <w:spacing w:val="-7"/>
          <w:sz w:val="18"/>
        </w:rPr>
        <w:t> </w:t>
      </w:r>
      <w:r>
        <w:rPr>
          <w:sz w:val="18"/>
        </w:rPr>
        <w:t>Tennessee</w:t>
      </w:r>
      <w:r>
        <w:rPr>
          <w:spacing w:val="-9"/>
          <w:sz w:val="18"/>
        </w:rPr>
        <w:t> </w:t>
      </w:r>
      <w:r>
        <w:rPr>
          <w:sz w:val="18"/>
        </w:rPr>
        <w:t>law,</w:t>
      </w:r>
      <w:r>
        <w:rPr>
          <w:spacing w:val="-5"/>
          <w:sz w:val="18"/>
        </w:rPr>
        <w:t> </w:t>
      </w:r>
      <w:r>
        <w:rPr>
          <w:sz w:val="18"/>
        </w:rPr>
        <w:t>found</w:t>
      </w:r>
      <w:r>
        <w:rPr>
          <w:spacing w:val="-6"/>
          <w:sz w:val="18"/>
        </w:rPr>
        <w:t> </w:t>
      </w:r>
      <w:r>
        <w:rPr>
          <w:sz w:val="18"/>
        </w:rPr>
        <w:t>that</w:t>
      </w:r>
      <w:r>
        <w:rPr>
          <w:spacing w:val="-6"/>
          <w:sz w:val="18"/>
        </w:rPr>
        <w:t> </w:t>
      </w:r>
      <w:r>
        <w:rPr>
          <w:sz w:val="18"/>
        </w:rPr>
        <w:t>carrier</w:t>
      </w:r>
      <w:r>
        <w:rPr>
          <w:spacing w:val="-7"/>
          <w:sz w:val="18"/>
        </w:rPr>
        <w:t> </w:t>
      </w:r>
      <w:r>
        <w:rPr>
          <w:sz w:val="18"/>
        </w:rPr>
        <w:t>who</w:t>
      </w:r>
      <w:r>
        <w:rPr>
          <w:spacing w:val="-7"/>
          <w:sz w:val="18"/>
        </w:rPr>
        <w:t> </w:t>
      </w:r>
      <w:r>
        <w:rPr>
          <w:sz w:val="18"/>
        </w:rPr>
        <w:t>waited</w:t>
      </w:r>
      <w:r>
        <w:rPr>
          <w:spacing w:val="-9"/>
          <w:sz w:val="18"/>
        </w:rPr>
        <w:t> </w:t>
      </w:r>
      <w:r>
        <w:rPr>
          <w:sz w:val="18"/>
        </w:rPr>
        <w:t>to</w:t>
      </w:r>
      <w:r>
        <w:rPr>
          <w:spacing w:val="-9"/>
          <w:sz w:val="18"/>
        </w:rPr>
        <w:t> </w:t>
      </w:r>
      <w:r>
        <w:rPr>
          <w:sz w:val="18"/>
        </w:rPr>
        <w:t>demand</w:t>
      </w:r>
      <w:r>
        <w:rPr>
          <w:spacing w:val="33"/>
          <w:sz w:val="18"/>
        </w:rPr>
        <w:t> </w:t>
      </w:r>
      <w:r>
        <w:rPr>
          <w:sz w:val="18"/>
        </w:rPr>
        <w:t>an</w:t>
      </w:r>
      <w:r>
        <w:rPr>
          <w:spacing w:val="-4"/>
          <w:sz w:val="18"/>
        </w:rPr>
        <w:t> </w:t>
      </w:r>
      <w:r>
        <w:rPr>
          <w:sz w:val="18"/>
        </w:rPr>
        <w:t>appraisal until after the insured gave notice of intent to file suit had waived its right to</w:t>
      </w:r>
      <w:r>
        <w:rPr>
          <w:spacing w:val="2"/>
          <w:sz w:val="18"/>
        </w:rPr>
        <w:t> </w:t>
      </w:r>
      <w:r>
        <w:rPr>
          <w:sz w:val="18"/>
        </w:rPr>
        <w:t>appraisal).</w:t>
      </w:r>
    </w:p>
    <w:p>
      <w:pPr>
        <w:spacing w:after="0" w:line="244" w:lineRule="auto"/>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r>
        <w:rPr/>
        <w:pict>
          <v:shape style="position:absolute;margin-left:314.921997pt;margin-top:46.786175pt;width:289pt;height:189.55pt;mso-position-horizontal-relative:page;mso-position-vertical-relative:paragraph;z-index:-254166016" coordorigin="6298,936" coordsize="5780,3791" path="m12063,936l7030,936,7018,947,7018,1178,7030,1189,12063,1189,12075,1178,12075,947,12063,936xm12058,1257l6310,1257,6298,1269,6298,1499,6310,1511,12058,1511,12070,1499,12070,1269,12058,1257xm12058,1579l6310,1579,6298,1590,6298,1821,6310,1832,12058,1832,12069,1821,12069,1590,12058,1579xm12065,1901l6310,1901,6298,1912,6298,2142,6310,2154,12065,2154,12076,2142,12076,1912,12065,1901xm12062,2191l6310,2191,6298,2203,6298,2464,6310,2475,12062,2475,12074,2464,12074,2203,12062,2191xm12062,2544l6310,2544,6298,2555,6298,2786,6310,2797,12062,2797,12073,2786,12073,2555,12062,2544xm12056,2834l6310,2834,6298,2846,6298,3107,6310,3119,12056,3119,12068,3107,12068,2846,12056,2834xm12060,3187l6310,3187,6298,3198,6298,3429,6310,3440,12060,3440,12072,3429,12072,3198,12060,3187xm12065,3478l6310,3478,6298,3489,6298,3750,6310,3762,12065,3762,12076,3750,12076,3489,12065,3478xm12067,3830l6310,3830,6298,3842,6298,4072,6310,4083,12067,4083,12078,4072,12078,3842,12067,3830xm12060,4152l6310,4152,6298,4163,6298,4394,6310,4405,12060,4405,12071,4394,12071,4163,12060,4152xm12061,4473l6310,4473,6298,4485,6298,4715,6310,4727,12061,4727,12073,4715,12073,4485,12061,4473xe" filled="true" fillcolor="#a2baf1" stroked="false">
            <v:path arrowok="t"/>
            <v:fill opacity="32112f" type="solid"/>
            <w10:wrap type="none"/>
          </v:shape>
        </w:pict>
      </w:r>
      <w:bookmarkStart w:name="Law and Procedure 226" w:id="40"/>
      <w:bookmarkEnd w:id="40"/>
      <w:r>
        <w:rPr/>
      </w:r>
      <w:r>
        <w:rPr>
          <w:spacing w:val="6"/>
        </w:rPr>
        <w:t>reasonable</w:t>
      </w:r>
      <w:r>
        <w:rPr>
          <w:spacing w:val="83"/>
        </w:rPr>
        <w:t> </w:t>
      </w:r>
      <w:r>
        <w:rPr>
          <w:spacing w:val="3"/>
        </w:rPr>
        <w:t>time depends </w:t>
      </w:r>
      <w:r>
        <w:rPr>
          <w:spacing w:val="2"/>
        </w:rPr>
        <w:t>on </w:t>
      </w:r>
      <w:r>
        <w:rPr>
          <w:spacing w:val="3"/>
        </w:rPr>
        <w:t>all </w:t>
      </w:r>
      <w:r>
        <w:rPr>
          <w:spacing w:val="4"/>
        </w:rPr>
        <w:t>the </w:t>
      </w:r>
      <w:r>
        <w:rPr/>
        <w:t>surrounding</w:t>
      </w:r>
      <w:r>
        <w:rPr>
          <w:spacing w:val="-33"/>
        </w:rPr>
        <w:t> </w:t>
      </w:r>
      <w:r>
        <w:rPr/>
        <w:t>circumstances.</w:t>
      </w:r>
      <w:r>
        <w:rPr>
          <w:spacing w:val="4"/>
        </w:rPr>
        <w:t> </w:t>
      </w:r>
      <w:r>
        <w:rPr/>
        <w:t>Whether</w:t>
      </w:r>
      <w:r>
        <w:rPr>
          <w:spacing w:val="-35"/>
        </w:rPr>
        <w:t> </w:t>
      </w:r>
      <w:r>
        <w:rPr/>
        <w:t>or</w:t>
      </w:r>
      <w:r>
        <w:rPr>
          <w:spacing w:val="-35"/>
        </w:rPr>
        <w:t> </w:t>
      </w:r>
      <w:r>
        <w:rPr/>
        <w:t>not</w:t>
      </w:r>
      <w:r>
        <w:rPr>
          <w:spacing w:val="-31"/>
        </w:rPr>
        <w:t> </w:t>
      </w:r>
      <w:r>
        <w:rPr/>
        <w:t>the parties have demanded appraisal within a reasonable time </w:t>
      </w:r>
      <w:r>
        <w:rPr>
          <w:spacing w:val="2"/>
        </w:rPr>
        <w:t>is </w:t>
      </w:r>
      <w:r>
        <w:rPr/>
        <w:t>ordinarily a question to be determined by a jury which would take into consideration the specific circumstances</w:t>
      </w:r>
      <w:r>
        <w:rPr>
          <w:spacing w:val="53"/>
        </w:rPr>
        <w:t> </w:t>
      </w:r>
      <w:r>
        <w:rPr/>
        <w:t>of each</w:t>
      </w:r>
      <w:r>
        <w:rPr>
          <w:spacing w:val="-2"/>
        </w:rPr>
        <w:t> </w:t>
      </w:r>
      <w:r>
        <w:rPr/>
        <w:t>case.</w:t>
      </w:r>
    </w:p>
    <w:p>
      <w:pPr>
        <w:pStyle w:val="BodyText"/>
      </w:pPr>
    </w:p>
    <w:p>
      <w:pPr>
        <w:pStyle w:val="BodyText"/>
        <w:spacing w:line="242" w:lineRule="auto"/>
        <w:ind w:left="3100" w:right="3197" w:firstLine="720"/>
        <w:jc w:val="both"/>
      </w:pPr>
      <w:r>
        <w:rPr/>
        <w:t>Appraisal becomes ripe and the </w:t>
      </w:r>
      <w:r>
        <w:rPr>
          <w:spacing w:val="-3"/>
        </w:rPr>
        <w:t>time </w:t>
      </w:r>
      <w:r>
        <w:rPr/>
        <w:t>period of interest begins when the desirability or</w:t>
      </w:r>
      <w:r>
        <w:rPr>
          <w:spacing w:val="-35"/>
        </w:rPr>
        <w:t> </w:t>
      </w:r>
      <w:r>
        <w:rPr/>
        <w:t>necessity</w:t>
      </w:r>
      <w:r>
        <w:rPr>
          <w:spacing w:val="-37"/>
        </w:rPr>
        <w:t> </w:t>
      </w:r>
      <w:r>
        <w:rPr/>
        <w:t>of</w:t>
      </w:r>
      <w:r>
        <w:rPr>
          <w:spacing w:val="-35"/>
        </w:rPr>
        <w:t> </w:t>
      </w:r>
      <w:r>
        <w:rPr/>
        <w:t>the</w:t>
      </w:r>
      <w:r>
        <w:rPr>
          <w:spacing w:val="-33"/>
        </w:rPr>
        <w:t> </w:t>
      </w:r>
      <w:r>
        <w:rPr/>
        <w:t>appraisal</w:t>
      </w:r>
      <w:r>
        <w:rPr>
          <w:spacing w:val="-36"/>
        </w:rPr>
        <w:t> </w:t>
      </w:r>
      <w:r>
        <w:rPr>
          <w:spacing w:val="-3"/>
        </w:rPr>
        <w:t>became</w:t>
      </w:r>
      <w:r>
        <w:rPr>
          <w:spacing w:val="-36"/>
        </w:rPr>
        <w:t> </w:t>
      </w:r>
      <w:r>
        <w:rPr/>
        <w:t>apparent to the party demanding it. The measure of</w:t>
      </w:r>
      <w:r>
        <w:rPr>
          <w:spacing w:val="-51"/>
        </w:rPr>
        <w:t> </w:t>
      </w:r>
      <w:r>
        <w:rPr/>
        <w:t>this reasonable</w:t>
      </w:r>
      <w:r>
        <w:rPr>
          <w:spacing w:val="-29"/>
        </w:rPr>
        <w:t> </w:t>
      </w:r>
      <w:r>
        <w:rPr/>
        <w:t>period</w:t>
      </w:r>
      <w:r>
        <w:rPr>
          <w:spacing w:val="-31"/>
        </w:rPr>
        <w:t> </w:t>
      </w:r>
      <w:r>
        <w:rPr/>
        <w:t>of</w:t>
      </w:r>
      <w:r>
        <w:rPr>
          <w:spacing w:val="-30"/>
        </w:rPr>
        <w:t> </w:t>
      </w:r>
      <w:r>
        <w:rPr/>
        <w:t>time</w:t>
      </w:r>
      <w:r>
        <w:rPr>
          <w:spacing w:val="-31"/>
        </w:rPr>
        <w:t> </w:t>
      </w:r>
      <w:r>
        <w:rPr/>
        <w:t>generally</w:t>
      </w:r>
      <w:r>
        <w:rPr>
          <w:spacing w:val="-31"/>
        </w:rPr>
        <w:t> </w:t>
      </w:r>
      <w:r>
        <w:rPr/>
        <w:t>should</w:t>
      </w:r>
      <w:r>
        <w:rPr>
          <w:spacing w:val="13"/>
        </w:rPr>
        <w:t> </w:t>
      </w:r>
      <w:r>
        <w:rPr>
          <w:spacing w:val="-5"/>
        </w:rPr>
        <w:t>not </w:t>
      </w:r>
      <w:r>
        <w:rPr/>
        <w:t>be carried beyond the period of 60 days</w:t>
      </w:r>
      <w:r>
        <w:rPr>
          <w:spacing w:val="-37"/>
        </w:rPr>
        <w:t> </w:t>
      </w:r>
      <w:r>
        <w:rPr/>
        <w:t>after the receipt of the proof of</w:t>
      </w:r>
      <w:r>
        <w:rPr>
          <w:spacing w:val="-7"/>
        </w:rPr>
        <w:t> </w:t>
      </w:r>
      <w:r>
        <w:rPr/>
        <w:t>loss.</w:t>
      </w:r>
      <w:r>
        <w:rPr>
          <w:vertAlign w:val="superscript"/>
        </w:rPr>
        <w:t>506</w:t>
      </w:r>
    </w:p>
    <w:p>
      <w:pPr>
        <w:pStyle w:val="BodyText"/>
      </w:pPr>
    </w:p>
    <w:p>
      <w:pPr>
        <w:pStyle w:val="BodyText"/>
        <w:spacing w:line="242" w:lineRule="auto"/>
        <w:ind w:left="3100" w:right="3197" w:firstLine="720"/>
        <w:jc w:val="both"/>
      </w:pPr>
      <w:r>
        <w:rPr/>
        <w:t>With policies that contain such a 60 day clause,</w:t>
      </w:r>
      <w:r>
        <w:rPr>
          <w:spacing w:val="-11"/>
        </w:rPr>
        <w:t> </w:t>
      </w:r>
      <w:r>
        <w:rPr/>
        <w:t>demands</w:t>
      </w:r>
      <w:r>
        <w:rPr>
          <w:spacing w:val="-8"/>
        </w:rPr>
        <w:t> </w:t>
      </w:r>
      <w:r>
        <w:rPr/>
        <w:t>for</w:t>
      </w:r>
      <w:r>
        <w:rPr>
          <w:spacing w:val="-13"/>
        </w:rPr>
        <w:t> </w:t>
      </w:r>
      <w:r>
        <w:rPr/>
        <w:t>appraisal</w:t>
      </w:r>
      <w:r>
        <w:rPr>
          <w:spacing w:val="-9"/>
        </w:rPr>
        <w:t> </w:t>
      </w:r>
      <w:r>
        <w:rPr/>
        <w:t>made</w:t>
      </w:r>
      <w:r>
        <w:rPr>
          <w:spacing w:val="-11"/>
        </w:rPr>
        <w:t> </w:t>
      </w:r>
      <w:r>
        <w:rPr/>
        <w:t>after</w:t>
      </w:r>
      <w:r>
        <w:rPr>
          <w:spacing w:val="-12"/>
        </w:rPr>
        <w:t> </w:t>
      </w:r>
      <w:r>
        <w:rPr/>
        <w:t>the proofs</w:t>
      </w:r>
      <w:r>
        <w:rPr>
          <w:spacing w:val="-8"/>
        </w:rPr>
        <w:t> </w:t>
      </w:r>
      <w:r>
        <w:rPr/>
        <w:t>of</w:t>
      </w:r>
      <w:r>
        <w:rPr>
          <w:spacing w:val="-9"/>
        </w:rPr>
        <w:t> </w:t>
      </w:r>
      <w:r>
        <w:rPr/>
        <w:t>loss</w:t>
      </w:r>
      <w:r>
        <w:rPr>
          <w:spacing w:val="-6"/>
        </w:rPr>
        <w:t> </w:t>
      </w:r>
      <w:r>
        <w:rPr/>
        <w:t>have</w:t>
      </w:r>
      <w:r>
        <w:rPr>
          <w:spacing w:val="-9"/>
        </w:rPr>
        <w:t> </w:t>
      </w:r>
      <w:r>
        <w:rPr/>
        <w:t>been</w:t>
      </w:r>
      <w:r>
        <w:rPr>
          <w:spacing w:val="-8"/>
        </w:rPr>
        <w:t> </w:t>
      </w:r>
      <w:r>
        <w:rPr/>
        <w:t>retained</w:t>
      </w:r>
      <w:r>
        <w:rPr>
          <w:spacing w:val="-10"/>
        </w:rPr>
        <w:t> </w:t>
      </w:r>
      <w:r>
        <w:rPr/>
        <w:t>more</w:t>
      </w:r>
      <w:r>
        <w:rPr>
          <w:spacing w:val="-9"/>
        </w:rPr>
        <w:t> </w:t>
      </w:r>
      <w:r>
        <w:rPr/>
        <w:t>than</w:t>
      </w:r>
      <w:r>
        <w:rPr>
          <w:spacing w:val="-8"/>
        </w:rPr>
        <w:t> </w:t>
      </w:r>
      <w:r>
        <w:rPr/>
        <w:t>3 weeks without objection, have been</w:t>
      </w:r>
      <w:r>
        <w:rPr>
          <w:spacing w:val="-41"/>
        </w:rPr>
        <w:t> </w:t>
      </w:r>
      <w:r>
        <w:rPr/>
        <w:t>deemed to</w:t>
      </w:r>
      <w:r>
        <w:rPr>
          <w:spacing w:val="-18"/>
        </w:rPr>
        <w:t> </w:t>
      </w:r>
      <w:r>
        <w:rPr/>
        <w:t>be</w:t>
      </w:r>
      <w:r>
        <w:rPr>
          <w:spacing w:val="-17"/>
        </w:rPr>
        <w:t> </w:t>
      </w:r>
      <w:r>
        <w:rPr/>
        <w:t>too</w:t>
      </w:r>
      <w:r>
        <w:rPr>
          <w:spacing w:val="-17"/>
        </w:rPr>
        <w:t> </w:t>
      </w:r>
      <w:r>
        <w:rPr/>
        <w:t>late.</w:t>
      </w:r>
      <w:r>
        <w:rPr>
          <w:vertAlign w:val="superscript"/>
        </w:rPr>
        <w:t>507</w:t>
      </w:r>
      <w:r>
        <w:rPr>
          <w:spacing w:val="36"/>
          <w:vertAlign w:val="baseline"/>
        </w:rPr>
        <w:t> </w:t>
      </w:r>
      <w:r>
        <w:rPr>
          <w:vertAlign w:val="baseline"/>
        </w:rPr>
        <w:t>Similarly,</w:t>
      </w:r>
      <w:r>
        <w:rPr>
          <w:spacing w:val="-22"/>
          <w:vertAlign w:val="baseline"/>
        </w:rPr>
        <w:t> </w:t>
      </w:r>
      <w:r>
        <w:rPr>
          <w:vertAlign w:val="baseline"/>
        </w:rPr>
        <w:t>it</w:t>
      </w:r>
      <w:r>
        <w:rPr>
          <w:spacing w:val="-20"/>
          <w:vertAlign w:val="baseline"/>
        </w:rPr>
        <w:t> </w:t>
      </w:r>
      <w:r>
        <w:rPr>
          <w:vertAlign w:val="baseline"/>
        </w:rPr>
        <w:t>has</w:t>
      </w:r>
      <w:r>
        <w:rPr>
          <w:spacing w:val="-16"/>
          <w:vertAlign w:val="baseline"/>
        </w:rPr>
        <w:t> </w:t>
      </w:r>
      <w:r>
        <w:rPr>
          <w:vertAlign w:val="baseline"/>
        </w:rPr>
        <w:t>been</w:t>
      </w:r>
      <w:r>
        <w:rPr>
          <w:spacing w:val="-18"/>
          <w:vertAlign w:val="baseline"/>
        </w:rPr>
        <w:t> </w:t>
      </w:r>
      <w:r>
        <w:rPr>
          <w:vertAlign w:val="baseline"/>
        </w:rPr>
        <w:t>held</w:t>
      </w:r>
      <w:r>
        <w:rPr>
          <w:spacing w:val="-16"/>
          <w:vertAlign w:val="baseline"/>
        </w:rPr>
        <w:t> </w:t>
      </w:r>
      <w:r>
        <w:rPr>
          <w:spacing w:val="-10"/>
          <w:vertAlign w:val="baseline"/>
        </w:rPr>
        <w:t>that </w:t>
      </w:r>
      <w:r>
        <w:rPr>
          <w:vertAlign w:val="baseline"/>
        </w:rPr>
        <w:t>a demand made 59 days after proofs had been furnished</w:t>
      </w:r>
      <w:r>
        <w:rPr>
          <w:vertAlign w:val="superscript"/>
        </w:rPr>
        <w:t>508</w:t>
      </w:r>
      <w:r>
        <w:rPr>
          <w:vertAlign w:val="baseline"/>
        </w:rPr>
        <w:t> in one matter, and </w:t>
      </w:r>
      <w:r>
        <w:rPr>
          <w:spacing w:val="-9"/>
          <w:vertAlign w:val="baseline"/>
        </w:rPr>
        <w:t>five </w:t>
      </w:r>
      <w:r>
        <w:rPr>
          <w:vertAlign w:val="baseline"/>
        </w:rPr>
        <w:t>months after the proofs had been received in another</w:t>
      </w:r>
      <w:r>
        <w:rPr>
          <w:spacing w:val="-24"/>
          <w:vertAlign w:val="baseline"/>
        </w:rPr>
        <w:t> </w:t>
      </w:r>
      <w:r>
        <w:rPr>
          <w:vertAlign w:val="baseline"/>
        </w:rPr>
        <w:t>matter</w:t>
      </w:r>
      <w:r>
        <w:rPr>
          <w:spacing w:val="-22"/>
          <w:vertAlign w:val="baseline"/>
        </w:rPr>
        <w:t> </w:t>
      </w:r>
      <w:r>
        <w:rPr>
          <w:vertAlign w:val="baseline"/>
        </w:rPr>
        <w:t>had</w:t>
      </w:r>
      <w:r>
        <w:rPr>
          <w:spacing w:val="-21"/>
          <w:vertAlign w:val="baseline"/>
        </w:rPr>
        <w:t> </w:t>
      </w:r>
      <w:r>
        <w:rPr>
          <w:vertAlign w:val="baseline"/>
        </w:rPr>
        <w:t>been</w:t>
      </w:r>
      <w:r>
        <w:rPr>
          <w:spacing w:val="-21"/>
          <w:vertAlign w:val="baseline"/>
        </w:rPr>
        <w:t> </w:t>
      </w:r>
      <w:r>
        <w:rPr>
          <w:vertAlign w:val="baseline"/>
        </w:rPr>
        <w:t>too</w:t>
      </w:r>
      <w:r>
        <w:rPr>
          <w:spacing w:val="-19"/>
          <w:vertAlign w:val="baseline"/>
        </w:rPr>
        <w:t> </w:t>
      </w:r>
      <w:r>
        <w:rPr>
          <w:vertAlign w:val="baseline"/>
        </w:rPr>
        <w:t>late.</w:t>
      </w:r>
      <w:r>
        <w:rPr>
          <w:vertAlign w:val="superscript"/>
        </w:rPr>
        <w:t>509</w:t>
      </w:r>
      <w:r>
        <w:rPr>
          <w:spacing w:val="-24"/>
          <w:vertAlign w:val="baseline"/>
        </w:rPr>
        <w:t> </w:t>
      </w:r>
      <w:r>
        <w:rPr>
          <w:spacing w:val="-7"/>
          <w:vertAlign w:val="baseline"/>
        </w:rPr>
        <w:t>However, </w:t>
      </w:r>
      <w:r>
        <w:rPr>
          <w:vertAlign w:val="baseline"/>
        </w:rPr>
        <w:t>it was held that a delay of 7 days after termination of negotiations to settle the loss was not an unreasonable delay in making</w:t>
      </w:r>
      <w:r>
        <w:rPr>
          <w:spacing w:val="50"/>
          <w:vertAlign w:val="baseline"/>
        </w:rPr>
        <w:t> </w:t>
      </w:r>
      <w:r>
        <w:rPr>
          <w:vertAlign w:val="baseline"/>
        </w:rPr>
        <w:t>an</w:t>
      </w:r>
    </w:p>
    <w:p>
      <w:pPr>
        <w:pStyle w:val="BodyText"/>
        <w:spacing w:before="2"/>
        <w:rPr>
          <w:sz w:val="16"/>
        </w:rPr>
      </w:pPr>
      <w:r>
        <w:rPr/>
        <w:pict>
          <v:shape style="position:absolute;margin-left:162pt;margin-top:12.334003pt;width:143.9pt;height:.1pt;mso-position-horizontal-relative:page;mso-position-vertical-relative:paragraph;z-index:-251540480;mso-wrap-distance-left:0;mso-wrap-distance-right:0" coordorigin="3240,247" coordsize="2878,0" path="m3240,247l6118,247e" filled="false" stroked="true" strokeweight=".84pt" strokecolor="#000000">
            <v:path arrowok="t"/>
            <v:stroke dashstyle="solid"/>
            <w10:wrap type="topAndBottom"/>
          </v:shape>
        </w:pict>
      </w:r>
    </w:p>
    <w:p>
      <w:pPr>
        <w:pStyle w:val="ListParagraph"/>
        <w:numPr>
          <w:ilvl w:val="0"/>
          <w:numId w:val="8"/>
        </w:numPr>
        <w:tabs>
          <w:tab w:pos="2991" w:val="left" w:leader="none"/>
        </w:tabs>
        <w:spacing w:line="240" w:lineRule="auto" w:before="149" w:after="0"/>
        <w:ind w:left="2990" w:right="0" w:hanging="251"/>
        <w:jc w:val="left"/>
        <w:rPr>
          <w:sz w:val="18"/>
        </w:rPr>
      </w:pPr>
      <w:r>
        <w:rPr>
          <w:sz w:val="18"/>
          <w:u w:val="single"/>
        </w:rPr>
        <w:t>Springfield Fire and Marine Ins. Co. v. Hays</w:t>
      </w:r>
      <w:r>
        <w:rPr>
          <w:sz w:val="18"/>
        </w:rPr>
        <w:t>, 57 Okla. 266, 156 P. 673</w:t>
      </w:r>
      <w:r>
        <w:rPr>
          <w:spacing w:val="6"/>
          <w:sz w:val="18"/>
        </w:rPr>
        <w:t> </w:t>
      </w:r>
      <w:r>
        <w:rPr>
          <w:sz w:val="18"/>
        </w:rPr>
        <w:t>(1916).</w:t>
      </w:r>
    </w:p>
    <w:p>
      <w:pPr>
        <w:pStyle w:val="ListParagraph"/>
        <w:numPr>
          <w:ilvl w:val="0"/>
          <w:numId w:val="8"/>
        </w:numPr>
        <w:tabs>
          <w:tab w:pos="3015" w:val="left" w:leader="none"/>
        </w:tabs>
        <w:spacing w:line="240" w:lineRule="auto" w:before="9" w:after="0"/>
        <w:ind w:left="3014" w:right="0" w:hanging="275"/>
        <w:jc w:val="left"/>
        <w:rPr>
          <w:sz w:val="18"/>
        </w:rPr>
      </w:pPr>
      <w:r>
        <w:rPr>
          <w:sz w:val="18"/>
          <w:u w:val="single"/>
        </w:rPr>
        <w:t>Lion Fire Ins. Co. v. Heath</w:t>
      </w:r>
      <w:r>
        <w:rPr>
          <w:sz w:val="18"/>
        </w:rPr>
        <w:t>, 29 Tex. Civ. App. 203, 68 S.W. 305</w:t>
      </w:r>
      <w:r>
        <w:rPr>
          <w:spacing w:val="4"/>
          <w:sz w:val="18"/>
        </w:rPr>
        <w:t> </w:t>
      </w:r>
      <w:r>
        <w:rPr>
          <w:sz w:val="18"/>
        </w:rPr>
        <w:t>(1902).</w:t>
      </w:r>
    </w:p>
    <w:p>
      <w:pPr>
        <w:pStyle w:val="ListParagraph"/>
        <w:numPr>
          <w:ilvl w:val="0"/>
          <w:numId w:val="8"/>
        </w:numPr>
        <w:tabs>
          <w:tab w:pos="3015" w:val="left" w:leader="none"/>
        </w:tabs>
        <w:spacing w:line="240" w:lineRule="auto" w:before="15" w:after="0"/>
        <w:ind w:left="3014" w:right="0" w:hanging="275"/>
        <w:jc w:val="left"/>
        <w:rPr>
          <w:sz w:val="18"/>
        </w:rPr>
      </w:pPr>
      <w:r>
        <w:rPr>
          <w:sz w:val="18"/>
          <w:u w:val="single"/>
        </w:rPr>
        <w:t>Fireman’s Fund Ins. Co. v. Caye</w:t>
      </w:r>
      <w:r>
        <w:rPr>
          <w:sz w:val="18"/>
        </w:rPr>
        <w:t>, 146 Ky. L. Rptr. 810</w:t>
      </w:r>
      <w:r>
        <w:rPr>
          <w:spacing w:val="2"/>
          <w:sz w:val="18"/>
        </w:rPr>
        <w:t> </w:t>
      </w:r>
      <w:r>
        <w:rPr>
          <w:sz w:val="18"/>
        </w:rPr>
        <w:t>(1893).</w:t>
      </w:r>
    </w:p>
    <w:p>
      <w:pPr>
        <w:pStyle w:val="ListParagraph"/>
        <w:numPr>
          <w:ilvl w:val="0"/>
          <w:numId w:val="8"/>
        </w:numPr>
        <w:tabs>
          <w:tab w:pos="3015" w:val="left" w:leader="none"/>
        </w:tabs>
        <w:spacing w:line="240" w:lineRule="auto" w:before="13" w:after="0"/>
        <w:ind w:left="3014" w:right="0" w:hanging="275"/>
        <w:jc w:val="left"/>
        <w:rPr>
          <w:sz w:val="18"/>
        </w:rPr>
      </w:pPr>
      <w:r>
        <w:rPr>
          <w:sz w:val="18"/>
          <w:u w:val="single"/>
        </w:rPr>
        <w:t>American Central Ins. Co. v. Heath</w:t>
      </w:r>
      <w:r>
        <w:rPr>
          <w:sz w:val="18"/>
        </w:rPr>
        <w:t>, 29 Tex. Civ. App. 445, 69 S.W. 235 (1902).</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27" w:id="41"/>
      <w:bookmarkEnd w:id="41"/>
      <w:r>
        <w:rPr/>
      </w:r>
      <w:r>
        <w:rPr/>
        <w:t>appraisal demand.</w:t>
      </w:r>
      <w:r>
        <w:rPr>
          <w:vertAlign w:val="superscript"/>
        </w:rPr>
        <w:t>510</w:t>
      </w:r>
    </w:p>
    <w:p>
      <w:pPr>
        <w:pStyle w:val="BodyText"/>
        <w:spacing w:before="6"/>
      </w:pPr>
    </w:p>
    <w:p>
      <w:pPr>
        <w:pStyle w:val="BodyText"/>
        <w:spacing w:line="242" w:lineRule="auto"/>
        <w:ind w:left="3100" w:right="3198" w:firstLine="720"/>
        <w:jc w:val="both"/>
      </w:pPr>
      <w:r>
        <w:rPr/>
        <w:pict>
          <v:line style="position:absolute;mso-position-horizontal-relative:page;mso-position-vertical-relative:paragraph;z-index:251781120" from="468.954987pt,58.823189pt" to="602.992987pt,58.823189pt" stroked="true" strokeweight="2.95pt" strokecolor="#000000">
            <v:stroke dashstyle="solid"/>
            <w10:wrap type="none"/>
          </v:line>
        </w:pict>
      </w:r>
      <w:r>
        <w:rPr/>
        <w:pict>
          <v:line style="position:absolute;mso-position-horizontal-relative:page;mso-position-vertical-relative:paragraph;z-index:-254160896" from="315.35498pt,74.903191pt" to="603.23798pt,74.903191pt" stroked="true" strokeweight="2.95pt" strokecolor="#000000">
            <v:stroke dashstyle="solid"/>
            <w10:wrap type="none"/>
          </v:line>
        </w:pict>
      </w:r>
      <w:r>
        <w:rPr/>
        <w:pict>
          <v:line style="position:absolute;mso-position-horizontal-relative:page;mso-position-vertical-relative:paragraph;z-index:-254159872" from="315.35498pt,90.983192pt" to="603.18498pt,90.983192pt" stroked="true" strokeweight="2.95pt" strokecolor="#000000">
            <v:stroke dashstyle="solid"/>
            <w10:wrap type="none"/>
          </v:line>
        </w:pict>
      </w:r>
      <w:r>
        <w:rPr/>
        <w:pict>
          <v:line style="position:absolute;mso-position-horizontal-relative:page;mso-position-vertical-relative:paragraph;z-index:-254158848" from="315.35498pt,123.143188pt" to="603.20398pt,123.143188pt" stroked="true" strokeweight="2.95pt" strokecolor="#000000">
            <v:stroke dashstyle="solid"/>
            <w10:wrap type="none"/>
          </v:line>
        </w:pict>
      </w:r>
      <w:r>
        <w:rPr/>
        <w:pict>
          <v:line style="position:absolute;mso-position-horizontal-relative:page;mso-position-vertical-relative:paragraph;z-index:-254157824" from="315.35498pt,139.223190pt" to="499.03898pt,139.223190pt" stroked="true" strokeweight="2.95pt" strokecolor="#000000">
            <v:stroke dashstyle="solid"/>
            <w10:wrap type="none"/>
          </v:line>
        </w:pict>
      </w:r>
      <w:r>
        <w:rPr/>
        <w:t>Reliance upon the policy’s 60 </w:t>
      </w:r>
      <w:r>
        <w:rPr>
          <w:spacing w:val="-5"/>
        </w:rPr>
        <w:t>day </w:t>
      </w:r>
      <w:r>
        <w:rPr/>
        <w:t>deadline</w:t>
      </w:r>
      <w:r>
        <w:rPr>
          <w:spacing w:val="-17"/>
        </w:rPr>
        <w:t> </w:t>
      </w:r>
      <w:r>
        <w:rPr/>
        <w:t>for</w:t>
      </w:r>
      <w:r>
        <w:rPr>
          <w:spacing w:val="-17"/>
        </w:rPr>
        <w:t> </w:t>
      </w:r>
      <w:r>
        <w:rPr/>
        <w:t>payment</w:t>
      </w:r>
      <w:r>
        <w:rPr>
          <w:spacing w:val="-22"/>
        </w:rPr>
        <w:t> </w:t>
      </w:r>
      <w:r>
        <w:rPr/>
        <w:t>in</w:t>
      </w:r>
      <w:r>
        <w:rPr>
          <w:spacing w:val="-19"/>
        </w:rPr>
        <w:t> </w:t>
      </w:r>
      <w:r>
        <w:rPr/>
        <w:t>response</w:t>
      </w:r>
      <w:r>
        <w:rPr>
          <w:spacing w:val="-18"/>
        </w:rPr>
        <w:t> </w:t>
      </w:r>
      <w:r>
        <w:rPr/>
        <w:t>to</w:t>
      </w:r>
      <w:r>
        <w:rPr>
          <w:spacing w:val="-19"/>
        </w:rPr>
        <w:t> </w:t>
      </w:r>
      <w:r>
        <w:rPr/>
        <w:t>a</w:t>
      </w:r>
      <w:r>
        <w:rPr>
          <w:spacing w:val="-18"/>
        </w:rPr>
        <w:t> </w:t>
      </w:r>
      <w:r>
        <w:rPr/>
        <w:t>proof</w:t>
      </w:r>
      <w:r>
        <w:rPr>
          <w:spacing w:val="-15"/>
        </w:rPr>
        <w:t> </w:t>
      </w:r>
      <w:r>
        <w:rPr/>
        <w:t>of loss has been rejected by some courts in establishing a time within which an appraisal must be demanded in favor of a test of reasonableness.</w:t>
      </w:r>
      <w:r>
        <w:rPr>
          <w:vertAlign w:val="superscript"/>
        </w:rPr>
        <w:t>511</w:t>
      </w:r>
    </w:p>
    <w:p>
      <w:pPr>
        <w:pStyle w:val="BodyText"/>
        <w:spacing w:before="5"/>
        <w:rPr>
          <w:sz w:val="11"/>
        </w:rPr>
      </w:pPr>
      <w:r>
        <w:rPr/>
        <w:pict>
          <v:shape style="position:absolute;margin-left:315.35498pt;margin-top:10.472939pt;width:287.75pt;height:.1pt;mso-position-horizontal-relative:page;mso-position-vertical-relative:paragraph;z-index:-251538432;mso-wrap-distance-left:0;mso-wrap-distance-right:0" coordorigin="6307,209" coordsize="5755,0" path="m6307,209l12062,209e" filled="false" stroked="true" strokeweight="2.95pt" strokecolor="#000000">
            <v:path arrowok="t"/>
            <v:stroke dashstyle="solid"/>
            <w10:wrap type="topAndBottom"/>
          </v:shape>
        </w:pict>
      </w:r>
    </w:p>
    <w:p>
      <w:pPr>
        <w:pStyle w:val="BodyText"/>
        <w:spacing w:line="242" w:lineRule="auto" w:before="51"/>
        <w:ind w:left="3100" w:right="3198" w:firstLine="720"/>
        <w:jc w:val="both"/>
      </w:pPr>
      <w:r>
        <w:rPr>
          <w:spacing w:val="4"/>
        </w:rPr>
        <w:t>It </w:t>
      </w:r>
      <w:r>
        <w:rPr>
          <w:spacing w:val="2"/>
        </w:rPr>
        <w:t>is </w:t>
      </w:r>
      <w:r>
        <w:rPr/>
        <w:t>not sufficient that the demand for appraisal</w:t>
      </w:r>
      <w:r>
        <w:rPr>
          <w:spacing w:val="-22"/>
        </w:rPr>
        <w:t> </w:t>
      </w:r>
      <w:r>
        <w:rPr/>
        <w:t>was</w:t>
      </w:r>
      <w:r>
        <w:rPr>
          <w:spacing w:val="-22"/>
        </w:rPr>
        <w:t> </w:t>
      </w:r>
      <w:r>
        <w:rPr/>
        <w:t>mailed</w:t>
      </w:r>
      <w:r>
        <w:rPr>
          <w:spacing w:val="-20"/>
        </w:rPr>
        <w:t> </w:t>
      </w:r>
      <w:r>
        <w:rPr/>
        <w:t>within</w:t>
      </w:r>
      <w:r>
        <w:rPr>
          <w:spacing w:val="-21"/>
        </w:rPr>
        <w:t> </w:t>
      </w:r>
      <w:r>
        <w:rPr/>
        <w:t>the</w:t>
      </w:r>
      <w:r>
        <w:rPr>
          <w:spacing w:val="-21"/>
        </w:rPr>
        <w:t> </w:t>
      </w:r>
      <w:r>
        <w:rPr/>
        <w:t>specified</w:t>
      </w:r>
      <w:r>
        <w:rPr>
          <w:spacing w:val="-21"/>
        </w:rPr>
        <w:t> </w:t>
      </w:r>
      <w:r>
        <w:rPr>
          <w:spacing w:val="-3"/>
        </w:rPr>
        <w:t>time, </w:t>
      </w:r>
      <w:r>
        <w:rPr/>
        <w:t>but it must also be received by the insured within that</w:t>
      </w:r>
      <w:r>
        <w:rPr>
          <w:spacing w:val="-2"/>
        </w:rPr>
        <w:t> </w:t>
      </w:r>
      <w:r>
        <w:rPr/>
        <w:t>period.</w:t>
      </w:r>
      <w:r>
        <w:rPr>
          <w:vertAlign w:val="superscript"/>
        </w:rPr>
        <w:t>512</w:t>
      </w:r>
    </w:p>
    <w:p>
      <w:pPr>
        <w:pStyle w:val="BodyText"/>
        <w:spacing w:before="10"/>
        <w:rPr>
          <w:sz w:val="19"/>
        </w:rPr>
      </w:pPr>
    </w:p>
    <w:p>
      <w:pPr>
        <w:pStyle w:val="BodyText"/>
        <w:spacing w:line="242" w:lineRule="auto" w:before="77"/>
        <w:ind w:left="3100" w:right="3197" w:firstLine="720"/>
        <w:jc w:val="both"/>
      </w:pPr>
      <w:r>
        <w:rPr/>
        <w:pict>
          <v:group style="position:absolute;margin-left:212.399994pt;margin-top:18.786175pt;width:237.6pt;height:.8pt;mso-position-horizontal-relative:page;mso-position-vertical-relative:paragraph;z-index:-254162944" coordorigin="4248,376" coordsize="4752,16">
            <v:line style="position:absolute" from="4248,384" to="8854,384" stroked="true" strokeweight=".78pt" strokecolor="#000000">
              <v:stroke dashstyle="solid"/>
            </v:line>
            <v:line style="position:absolute" from="8854,384" to="9000,384" stroked="true" strokeweight=".78pt" strokecolor="#000000">
              <v:stroke dashstyle="solid"/>
            </v:line>
            <w10:wrap type="none"/>
          </v:group>
        </w:pict>
      </w:r>
      <w:r>
        <w:rPr>
          <w:spacing w:val="3"/>
        </w:rPr>
        <w:t>In</w:t>
      </w:r>
      <w:r>
        <w:rPr>
          <w:spacing w:val="-8"/>
        </w:rPr>
        <w:t> </w:t>
      </w:r>
      <w:r>
        <w:rPr/>
        <w:t>Scottsdale</w:t>
      </w:r>
      <w:r>
        <w:rPr>
          <w:spacing w:val="-6"/>
        </w:rPr>
        <w:t> </w:t>
      </w:r>
      <w:r>
        <w:rPr/>
        <w:t>Ins.</w:t>
      </w:r>
      <w:r>
        <w:rPr>
          <w:spacing w:val="-9"/>
        </w:rPr>
        <w:t> </w:t>
      </w:r>
      <w:r>
        <w:rPr/>
        <w:t>Co.</w:t>
      </w:r>
      <w:r>
        <w:rPr>
          <w:spacing w:val="-9"/>
        </w:rPr>
        <w:t> </w:t>
      </w:r>
      <w:r>
        <w:rPr/>
        <w:t>v.</w:t>
      </w:r>
      <w:r>
        <w:rPr>
          <w:spacing w:val="-10"/>
        </w:rPr>
        <w:t> </w:t>
      </w:r>
      <w:r>
        <w:rPr/>
        <w:t>University</w:t>
      </w:r>
      <w:r>
        <w:rPr>
          <w:spacing w:val="-11"/>
        </w:rPr>
        <w:t> </w:t>
      </w:r>
      <w:r>
        <w:rPr/>
        <w:t>at</w:t>
      </w:r>
      <w:r>
        <w:rPr>
          <w:spacing w:val="-9"/>
        </w:rPr>
        <w:t> </w:t>
      </w:r>
      <w:r>
        <w:rPr>
          <w:spacing w:val="-7"/>
        </w:rPr>
        <w:t>107</w:t>
      </w:r>
      <w:r>
        <w:rPr>
          <w:spacing w:val="-7"/>
          <w:vertAlign w:val="superscript"/>
        </w:rPr>
        <w:t>th</w:t>
      </w:r>
      <w:r>
        <w:rPr>
          <w:spacing w:val="-7"/>
          <w:vertAlign w:val="baseline"/>
        </w:rPr>
        <w:t> </w:t>
      </w:r>
      <w:r>
        <w:rPr>
          <w:spacing w:val="-3"/>
          <w:u w:val="single"/>
          <w:vertAlign w:val="baseline"/>
        </w:rPr>
        <w:t>Avenue,</w:t>
      </w:r>
      <w:r>
        <w:rPr>
          <w:spacing w:val="-31"/>
          <w:u w:val="single"/>
          <w:vertAlign w:val="baseline"/>
        </w:rPr>
        <w:t> </w:t>
      </w:r>
      <w:r>
        <w:rPr>
          <w:u w:val="single"/>
          <w:vertAlign w:val="baseline"/>
        </w:rPr>
        <w:t>Inc.</w:t>
      </w:r>
      <w:r>
        <w:rPr>
          <w:vertAlign w:val="baseline"/>
        </w:rPr>
        <w:t>,</w:t>
      </w:r>
      <w:r>
        <w:rPr>
          <w:vertAlign w:val="superscript"/>
        </w:rPr>
        <w:t>513</w:t>
      </w:r>
      <w:r>
        <w:rPr>
          <w:spacing w:val="-28"/>
          <w:vertAlign w:val="baseline"/>
        </w:rPr>
        <w:t> </w:t>
      </w:r>
      <w:r>
        <w:rPr>
          <w:vertAlign w:val="baseline"/>
        </w:rPr>
        <w:t>the</w:t>
      </w:r>
      <w:r>
        <w:rPr>
          <w:spacing w:val="-26"/>
          <w:vertAlign w:val="baseline"/>
        </w:rPr>
        <w:t> </w:t>
      </w:r>
      <w:r>
        <w:rPr>
          <w:spacing w:val="-3"/>
          <w:vertAlign w:val="baseline"/>
        </w:rPr>
        <w:t>University</w:t>
      </w:r>
      <w:r>
        <w:rPr>
          <w:spacing w:val="-32"/>
          <w:vertAlign w:val="baseline"/>
        </w:rPr>
        <w:t> </w:t>
      </w:r>
      <w:r>
        <w:rPr>
          <w:spacing w:val="-3"/>
          <w:vertAlign w:val="baseline"/>
        </w:rPr>
        <w:t>suffered</w:t>
      </w:r>
      <w:r>
        <w:rPr>
          <w:spacing w:val="-30"/>
          <w:vertAlign w:val="baseline"/>
        </w:rPr>
        <w:t> </w:t>
      </w:r>
      <w:r>
        <w:rPr>
          <w:spacing w:val="-6"/>
          <w:vertAlign w:val="baseline"/>
        </w:rPr>
        <w:t>hurricane </w:t>
      </w:r>
      <w:r>
        <w:rPr>
          <w:vertAlign w:val="baseline"/>
        </w:rPr>
        <w:t>damage and filed a claim. The carrier then inspected and denied the University’s claim because the carrier’s independent adjuster estimated the damages to be well below the </w:t>
      </w:r>
      <w:r>
        <w:rPr>
          <w:spacing w:val="3"/>
          <w:vertAlign w:val="baseline"/>
        </w:rPr>
        <w:t>University’s </w:t>
      </w:r>
      <w:r>
        <w:rPr>
          <w:spacing w:val="5"/>
          <w:vertAlign w:val="baseline"/>
        </w:rPr>
        <w:t>claim. </w:t>
      </w:r>
      <w:r>
        <w:rPr>
          <w:vertAlign w:val="baseline"/>
        </w:rPr>
        <w:t>When </w:t>
      </w:r>
      <w:r>
        <w:rPr>
          <w:spacing w:val="2"/>
          <w:vertAlign w:val="baseline"/>
        </w:rPr>
        <w:t>the </w:t>
      </w:r>
      <w:r>
        <w:rPr>
          <w:spacing w:val="4"/>
          <w:vertAlign w:val="baseline"/>
        </w:rPr>
        <w:t>insured </w:t>
      </w:r>
      <w:r>
        <w:rPr>
          <w:vertAlign w:val="baseline"/>
        </w:rPr>
        <w:t>demanded an appraisal, Scottsdale argued that the University had failed to provide the post-loss</w:t>
      </w:r>
      <w:r>
        <w:rPr>
          <w:spacing w:val="-19"/>
          <w:vertAlign w:val="baseline"/>
        </w:rPr>
        <w:t> </w:t>
      </w:r>
      <w:r>
        <w:rPr>
          <w:vertAlign w:val="baseline"/>
        </w:rPr>
        <w:t>information</w:t>
      </w:r>
      <w:r>
        <w:rPr>
          <w:spacing w:val="-19"/>
          <w:vertAlign w:val="baseline"/>
        </w:rPr>
        <w:t> </w:t>
      </w:r>
      <w:r>
        <w:rPr>
          <w:vertAlign w:val="baseline"/>
        </w:rPr>
        <w:t>required</w:t>
      </w:r>
      <w:r>
        <w:rPr>
          <w:spacing w:val="-21"/>
          <w:vertAlign w:val="baseline"/>
        </w:rPr>
        <w:t> </w:t>
      </w:r>
      <w:r>
        <w:rPr>
          <w:vertAlign w:val="baseline"/>
        </w:rPr>
        <w:t>by</w:t>
      </w:r>
      <w:r>
        <w:rPr>
          <w:spacing w:val="-23"/>
          <w:vertAlign w:val="baseline"/>
        </w:rPr>
        <w:t> </w:t>
      </w:r>
      <w:r>
        <w:rPr>
          <w:vertAlign w:val="baseline"/>
        </w:rPr>
        <w:t>the</w:t>
      </w:r>
      <w:r>
        <w:rPr>
          <w:spacing w:val="-23"/>
          <w:vertAlign w:val="baseline"/>
        </w:rPr>
        <w:t> </w:t>
      </w:r>
      <w:r>
        <w:rPr>
          <w:vertAlign w:val="baseline"/>
        </w:rPr>
        <w:t>insurance policy and that referring the matter to </w:t>
      </w:r>
      <w:r>
        <w:rPr>
          <w:spacing w:val="4"/>
          <w:vertAlign w:val="baseline"/>
        </w:rPr>
        <w:t>appraisal </w:t>
      </w:r>
      <w:r>
        <w:rPr>
          <w:vertAlign w:val="baseline"/>
        </w:rPr>
        <w:t>was </w:t>
      </w:r>
      <w:r>
        <w:rPr>
          <w:spacing w:val="3"/>
          <w:vertAlign w:val="baseline"/>
        </w:rPr>
        <w:t>premature. </w:t>
      </w:r>
      <w:r>
        <w:rPr>
          <w:vertAlign w:val="baseline"/>
        </w:rPr>
        <w:t>The </w:t>
      </w:r>
      <w:r>
        <w:rPr>
          <w:spacing w:val="3"/>
          <w:vertAlign w:val="baseline"/>
        </w:rPr>
        <w:t>court </w:t>
      </w:r>
      <w:r>
        <w:rPr>
          <w:vertAlign w:val="baseline"/>
        </w:rPr>
        <w:t>concluded</w:t>
      </w:r>
      <w:r>
        <w:rPr>
          <w:spacing w:val="47"/>
          <w:vertAlign w:val="baseline"/>
        </w:rPr>
        <w:t> </w:t>
      </w:r>
      <w:r>
        <w:rPr>
          <w:vertAlign w:val="baseline"/>
        </w:rPr>
        <w:t>that</w:t>
      </w:r>
      <w:r>
        <w:rPr>
          <w:spacing w:val="44"/>
          <w:vertAlign w:val="baseline"/>
        </w:rPr>
        <w:t> </w:t>
      </w:r>
      <w:r>
        <w:rPr>
          <w:vertAlign w:val="baseline"/>
        </w:rPr>
        <w:t>the</w:t>
      </w:r>
      <w:r>
        <w:rPr>
          <w:spacing w:val="44"/>
          <w:vertAlign w:val="baseline"/>
        </w:rPr>
        <w:t> </w:t>
      </w:r>
      <w:r>
        <w:rPr>
          <w:vertAlign w:val="baseline"/>
        </w:rPr>
        <w:t>“nature</w:t>
      </w:r>
      <w:r>
        <w:rPr>
          <w:spacing w:val="44"/>
          <w:vertAlign w:val="baseline"/>
        </w:rPr>
        <w:t> </w:t>
      </w:r>
      <w:r>
        <w:rPr>
          <w:vertAlign w:val="baseline"/>
        </w:rPr>
        <w:t>of</w:t>
      </w:r>
      <w:r>
        <w:rPr>
          <w:spacing w:val="46"/>
          <w:vertAlign w:val="baseline"/>
        </w:rPr>
        <w:t> </w:t>
      </w:r>
      <w:r>
        <w:rPr>
          <w:vertAlign w:val="baseline"/>
        </w:rPr>
        <w:t>the</w:t>
      </w:r>
      <w:r>
        <w:rPr>
          <w:spacing w:val="45"/>
          <w:vertAlign w:val="baseline"/>
        </w:rPr>
        <w:t> </w:t>
      </w:r>
      <w:r>
        <w:rPr>
          <w:vertAlign w:val="baseline"/>
        </w:rPr>
        <w:t>insured’s</w:t>
      </w:r>
    </w:p>
    <w:p>
      <w:pPr>
        <w:pStyle w:val="BodyText"/>
        <w:spacing w:before="8"/>
        <w:rPr>
          <w:sz w:val="19"/>
        </w:rPr>
      </w:pPr>
      <w:r>
        <w:rPr/>
        <w:pict>
          <v:shape style="position:absolute;margin-left:162pt;margin-top:14.463276pt;width:143.9pt;height:.1pt;mso-position-horizontal-relative:page;mso-position-vertical-relative:paragraph;z-index:-251537408;mso-wrap-distance-left:0;mso-wrap-distance-right:0" coordorigin="3240,289" coordsize="2878,0" path="m3240,289l6118,289e" filled="false" stroked="true" strokeweight=".84pt" strokecolor="#000000">
            <v:path arrowok="t"/>
            <v:stroke dashstyle="solid"/>
            <w10:wrap type="topAndBottom"/>
          </v:shape>
        </w:pict>
      </w:r>
    </w:p>
    <w:p>
      <w:pPr>
        <w:pStyle w:val="ListParagraph"/>
        <w:numPr>
          <w:ilvl w:val="0"/>
          <w:numId w:val="8"/>
        </w:numPr>
        <w:tabs>
          <w:tab w:pos="2989" w:val="left" w:leader="none"/>
        </w:tabs>
        <w:spacing w:line="240" w:lineRule="auto" w:before="140" w:after="0"/>
        <w:ind w:left="2988" w:right="0" w:hanging="249"/>
        <w:jc w:val="left"/>
        <w:rPr>
          <w:sz w:val="18"/>
        </w:rPr>
      </w:pPr>
      <w:r>
        <w:rPr>
          <w:sz w:val="18"/>
          <w:u w:val="single"/>
        </w:rPr>
        <w:t>Hamilton’s</w:t>
      </w:r>
      <w:r>
        <w:rPr>
          <w:spacing w:val="-13"/>
          <w:sz w:val="18"/>
          <w:u w:val="single"/>
        </w:rPr>
        <w:t> </w:t>
      </w:r>
      <w:r>
        <w:rPr>
          <w:sz w:val="18"/>
          <w:u w:val="single"/>
        </w:rPr>
        <w:t>Executors</w:t>
      </w:r>
      <w:r>
        <w:rPr>
          <w:spacing w:val="-12"/>
          <w:sz w:val="18"/>
          <w:u w:val="single"/>
        </w:rPr>
        <w:t> </w:t>
      </w:r>
      <w:r>
        <w:rPr>
          <w:sz w:val="18"/>
          <w:u w:val="single"/>
        </w:rPr>
        <w:t>v.</w:t>
      </w:r>
      <w:r>
        <w:rPr>
          <w:spacing w:val="-11"/>
          <w:sz w:val="18"/>
          <w:u w:val="single"/>
        </w:rPr>
        <w:t> </w:t>
      </w:r>
      <w:r>
        <w:rPr>
          <w:sz w:val="18"/>
          <w:u w:val="single"/>
        </w:rPr>
        <w:t>Fireman’s</w:t>
      </w:r>
      <w:r>
        <w:rPr>
          <w:spacing w:val="-12"/>
          <w:sz w:val="18"/>
          <w:u w:val="single"/>
        </w:rPr>
        <w:t> </w:t>
      </w:r>
      <w:r>
        <w:rPr>
          <w:sz w:val="18"/>
          <w:u w:val="single"/>
        </w:rPr>
        <w:t>Ins.</w:t>
      </w:r>
      <w:r>
        <w:rPr>
          <w:spacing w:val="-12"/>
          <w:sz w:val="18"/>
          <w:u w:val="single"/>
        </w:rPr>
        <w:t> </w:t>
      </w:r>
      <w:r>
        <w:rPr>
          <w:sz w:val="18"/>
          <w:u w:val="single"/>
        </w:rPr>
        <w:t>Co.</w:t>
      </w:r>
      <w:r>
        <w:rPr>
          <w:sz w:val="18"/>
        </w:rPr>
        <w:t>,</w:t>
      </w:r>
      <w:r>
        <w:rPr>
          <w:spacing w:val="-11"/>
          <w:sz w:val="18"/>
        </w:rPr>
        <w:t> </w:t>
      </w:r>
      <w:r>
        <w:rPr>
          <w:sz w:val="18"/>
        </w:rPr>
        <w:t>4</w:t>
      </w:r>
      <w:r>
        <w:rPr>
          <w:spacing w:val="-11"/>
          <w:sz w:val="18"/>
        </w:rPr>
        <w:t> </w:t>
      </w:r>
      <w:r>
        <w:rPr>
          <w:sz w:val="18"/>
        </w:rPr>
        <w:t>Ohio</w:t>
      </w:r>
      <w:r>
        <w:rPr>
          <w:spacing w:val="-10"/>
          <w:sz w:val="18"/>
        </w:rPr>
        <w:t> </w:t>
      </w:r>
      <w:r>
        <w:rPr>
          <w:sz w:val="18"/>
        </w:rPr>
        <w:t>Dec.</w:t>
      </w:r>
      <w:r>
        <w:rPr>
          <w:spacing w:val="-13"/>
          <w:sz w:val="18"/>
        </w:rPr>
        <w:t> </w:t>
      </w:r>
      <w:r>
        <w:rPr>
          <w:sz w:val="18"/>
        </w:rPr>
        <w:t>407,</w:t>
      </w:r>
      <w:r>
        <w:rPr>
          <w:spacing w:val="-12"/>
          <w:sz w:val="18"/>
        </w:rPr>
        <w:t> </w:t>
      </w:r>
      <w:r>
        <w:rPr>
          <w:sz w:val="18"/>
        </w:rPr>
        <w:t>11</w:t>
      </w:r>
      <w:r>
        <w:rPr>
          <w:spacing w:val="-11"/>
          <w:sz w:val="18"/>
        </w:rPr>
        <w:t> </w:t>
      </w:r>
      <w:r>
        <w:rPr>
          <w:sz w:val="18"/>
        </w:rPr>
        <w:t>Ohio</w:t>
      </w:r>
      <w:r>
        <w:rPr>
          <w:spacing w:val="-11"/>
          <w:sz w:val="18"/>
        </w:rPr>
        <w:t> </w:t>
      </w:r>
      <w:r>
        <w:rPr>
          <w:sz w:val="18"/>
        </w:rPr>
        <w:t>Dec.</w:t>
      </w:r>
      <w:r>
        <w:rPr>
          <w:spacing w:val="-13"/>
          <w:sz w:val="18"/>
        </w:rPr>
        <w:t> </w:t>
      </w:r>
      <w:r>
        <w:rPr>
          <w:sz w:val="18"/>
        </w:rPr>
        <w:t>Reprint</w:t>
      </w:r>
      <w:r>
        <w:rPr>
          <w:spacing w:val="-12"/>
          <w:sz w:val="18"/>
        </w:rPr>
        <w:t> </w:t>
      </w:r>
      <w:r>
        <w:rPr>
          <w:sz w:val="18"/>
        </w:rPr>
        <w:t>784</w:t>
      </w:r>
    </w:p>
    <w:p>
      <w:pPr>
        <w:spacing w:line="178" w:lineRule="exact" w:before="4"/>
        <w:ind w:left="2740" w:right="0" w:firstLine="0"/>
        <w:jc w:val="left"/>
        <w:rPr>
          <w:rFonts w:ascii="Times New Roman"/>
          <w:sz w:val="18"/>
        </w:rPr>
      </w:pPr>
      <w:r>
        <w:rPr>
          <w:rFonts w:ascii="Times New Roman"/>
          <w:sz w:val="18"/>
        </w:rPr>
        <w:t>(Sup. Ct. 1896).</w:t>
      </w:r>
    </w:p>
    <w:p>
      <w:pPr>
        <w:pStyle w:val="ListParagraph"/>
        <w:numPr>
          <w:ilvl w:val="0"/>
          <w:numId w:val="8"/>
        </w:numPr>
        <w:tabs>
          <w:tab w:pos="3013" w:val="left" w:leader="none"/>
        </w:tabs>
        <w:spacing w:line="240" w:lineRule="exact" w:before="0" w:after="0"/>
        <w:ind w:left="3012" w:right="0" w:hanging="273"/>
        <w:jc w:val="left"/>
        <w:rPr>
          <w:sz w:val="18"/>
        </w:rPr>
      </w:pPr>
      <w:r>
        <w:rPr>
          <w:sz w:val="18"/>
          <w:u w:val="single"/>
        </w:rPr>
        <w:t>Terra</w:t>
      </w:r>
      <w:r>
        <w:rPr>
          <w:spacing w:val="10"/>
          <w:sz w:val="18"/>
          <w:u w:val="single"/>
        </w:rPr>
        <w:t> </w:t>
      </w:r>
      <w:r>
        <w:rPr>
          <w:sz w:val="18"/>
          <w:u w:val="single"/>
        </w:rPr>
        <w:t>Ind.</w:t>
      </w:r>
      <w:r>
        <w:rPr>
          <w:spacing w:val="13"/>
          <w:sz w:val="18"/>
          <w:u w:val="single"/>
        </w:rPr>
        <w:t> </w:t>
      </w:r>
      <w:r>
        <w:rPr>
          <w:sz w:val="18"/>
          <w:u w:val="single"/>
        </w:rPr>
        <w:t>Inc.</w:t>
      </w:r>
      <w:r>
        <w:rPr>
          <w:spacing w:val="12"/>
          <w:sz w:val="18"/>
          <w:u w:val="single"/>
        </w:rPr>
        <w:t> </w:t>
      </w:r>
      <w:r>
        <w:rPr>
          <w:sz w:val="18"/>
          <w:u w:val="single"/>
        </w:rPr>
        <w:t>v.</w:t>
      </w:r>
      <w:r>
        <w:rPr>
          <w:spacing w:val="13"/>
          <w:sz w:val="18"/>
          <w:u w:val="single"/>
        </w:rPr>
        <w:t> </w:t>
      </w:r>
      <w:r>
        <w:rPr>
          <w:sz w:val="18"/>
          <w:u w:val="single"/>
        </w:rPr>
        <w:t>Commonwealth</w:t>
      </w:r>
      <w:r>
        <w:rPr>
          <w:spacing w:val="17"/>
          <w:sz w:val="18"/>
          <w:u w:val="single"/>
        </w:rPr>
        <w:t> </w:t>
      </w:r>
      <w:r>
        <w:rPr>
          <w:sz w:val="18"/>
          <w:u w:val="single"/>
        </w:rPr>
        <w:t>Ins.</w:t>
      </w:r>
      <w:r>
        <w:rPr>
          <w:spacing w:val="13"/>
          <w:sz w:val="18"/>
          <w:u w:val="single"/>
        </w:rPr>
        <w:t> </w:t>
      </w:r>
      <w:r>
        <w:rPr>
          <w:sz w:val="18"/>
          <w:u w:val="single"/>
        </w:rPr>
        <w:t>Co.</w:t>
      </w:r>
      <w:r>
        <w:rPr>
          <w:spacing w:val="13"/>
          <w:sz w:val="18"/>
          <w:u w:val="single"/>
        </w:rPr>
        <w:t> </w:t>
      </w:r>
      <w:r>
        <w:rPr>
          <w:sz w:val="18"/>
          <w:u w:val="single"/>
        </w:rPr>
        <w:t>of</w:t>
      </w:r>
      <w:r>
        <w:rPr>
          <w:spacing w:val="10"/>
          <w:sz w:val="18"/>
          <w:u w:val="single"/>
        </w:rPr>
        <w:t> </w:t>
      </w:r>
      <w:r>
        <w:rPr>
          <w:sz w:val="18"/>
          <w:u w:val="single"/>
        </w:rPr>
        <w:t>America</w:t>
      </w:r>
      <w:r>
        <w:rPr>
          <w:sz w:val="18"/>
        </w:rPr>
        <w:t>,</w:t>
      </w:r>
      <w:r>
        <w:rPr>
          <w:spacing w:val="11"/>
          <w:sz w:val="18"/>
        </w:rPr>
        <w:t> </w:t>
      </w:r>
      <w:r>
        <w:rPr>
          <w:sz w:val="18"/>
        </w:rPr>
        <w:t>981</w:t>
      </w:r>
      <w:r>
        <w:rPr>
          <w:spacing w:val="13"/>
          <w:sz w:val="18"/>
        </w:rPr>
        <w:t> </w:t>
      </w:r>
      <w:r>
        <w:rPr>
          <w:sz w:val="18"/>
        </w:rPr>
        <w:t>F.Supp.</w:t>
      </w:r>
      <w:r>
        <w:rPr>
          <w:spacing w:val="12"/>
          <w:sz w:val="18"/>
        </w:rPr>
        <w:t> </w:t>
      </w:r>
      <w:r>
        <w:rPr>
          <w:sz w:val="18"/>
        </w:rPr>
        <w:t>581</w:t>
      </w:r>
      <w:r>
        <w:rPr>
          <w:spacing w:val="13"/>
          <w:sz w:val="18"/>
        </w:rPr>
        <w:t> </w:t>
      </w:r>
      <w:r>
        <w:rPr>
          <w:sz w:val="18"/>
        </w:rPr>
        <w:t>(N.D.</w:t>
      </w:r>
      <w:r>
        <w:rPr>
          <w:spacing w:val="13"/>
          <w:sz w:val="18"/>
        </w:rPr>
        <w:t> </w:t>
      </w:r>
      <w:r>
        <w:rPr>
          <w:sz w:val="18"/>
        </w:rPr>
        <w:t>Iowa</w:t>
      </w:r>
    </w:p>
    <w:p>
      <w:pPr>
        <w:spacing w:line="178" w:lineRule="exact" w:before="5"/>
        <w:ind w:left="2740" w:right="0" w:firstLine="0"/>
        <w:jc w:val="left"/>
        <w:rPr>
          <w:rFonts w:ascii="Times New Roman"/>
          <w:sz w:val="18"/>
        </w:rPr>
      </w:pPr>
      <w:r>
        <w:rPr>
          <w:rFonts w:ascii="Times New Roman"/>
          <w:sz w:val="18"/>
        </w:rPr>
        <w:t>1997).</w:t>
      </w:r>
    </w:p>
    <w:p>
      <w:pPr>
        <w:pStyle w:val="ListParagraph"/>
        <w:numPr>
          <w:ilvl w:val="0"/>
          <w:numId w:val="8"/>
        </w:numPr>
        <w:tabs>
          <w:tab w:pos="3001" w:val="left" w:leader="none"/>
        </w:tabs>
        <w:spacing w:line="240" w:lineRule="exact" w:before="0" w:after="0"/>
        <w:ind w:left="3001" w:right="0" w:hanging="261"/>
        <w:jc w:val="left"/>
        <w:rPr>
          <w:sz w:val="18"/>
        </w:rPr>
      </w:pPr>
      <w:r>
        <w:rPr>
          <w:sz w:val="18"/>
          <w:u w:val="single"/>
        </w:rPr>
        <w:t>Winchester</w:t>
      </w:r>
      <w:r>
        <w:rPr>
          <w:sz w:val="18"/>
        </w:rPr>
        <w:t>, 160 Cal.</w:t>
      </w:r>
      <w:r>
        <w:rPr>
          <w:spacing w:val="1"/>
          <w:sz w:val="18"/>
        </w:rPr>
        <w:t> </w:t>
      </w:r>
      <w:r>
        <w:rPr>
          <w:sz w:val="18"/>
        </w:rPr>
        <w:t>1.</w:t>
      </w:r>
    </w:p>
    <w:p>
      <w:pPr>
        <w:spacing w:line="282" w:lineRule="exact" w:before="0"/>
        <w:ind w:left="2740" w:right="0" w:firstLine="0"/>
        <w:jc w:val="left"/>
        <w:rPr>
          <w:rFonts w:ascii="Times New Roman"/>
          <w:sz w:val="24"/>
        </w:rPr>
      </w:pPr>
      <w:r>
        <w:rPr>
          <w:rFonts w:ascii="Times New Roman"/>
          <w:position w:val="10"/>
          <w:sz w:val="14"/>
        </w:rPr>
        <w:t>513 </w:t>
      </w:r>
      <w:r>
        <w:rPr>
          <w:rFonts w:ascii="Times New Roman"/>
          <w:sz w:val="18"/>
        </w:rPr>
        <w:t>827 So.2d 1016 (Fla. 3d DCA 2002)</w:t>
      </w:r>
      <w:r>
        <w:rPr>
          <w:rFonts w:ascii="Times New Roman"/>
          <w:sz w:val="24"/>
        </w:rPr>
        <w:t>.</w:t>
      </w:r>
    </w:p>
    <w:p>
      <w:pPr>
        <w:spacing w:after="0" w:line="282" w:lineRule="exact"/>
        <w:jc w:val="left"/>
        <w:rPr>
          <w:rFonts w:ascii="Times New Roman"/>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202"/>
        <w:jc w:val="both"/>
      </w:pPr>
      <w:r>
        <w:rPr/>
        <w:pict>
          <v:group style="position:absolute;margin-left:162pt;margin-top:-37.829823pt;width:452.1pt;height:308.4pt;mso-position-horizontal-relative:page;mso-position-vertical-relative:paragraph;z-index:-254154752" coordorigin="3240,-757" coordsize="9042,6168">
            <v:line style="position:absolute" from="3240,4529" to="9000,4529" stroked="true" strokeweight=".78pt" strokecolor="#000000">
              <v:stroke dashstyle="solid"/>
            </v:line>
            <v:line style="position:absolute" from="3240,4851" to="8100,4851" stroked="true" strokeweight=".78pt" strokecolor="#000000">
              <v:stroke dashstyle="solid"/>
            </v:line>
            <v:shape style="position:absolute;left:2717;top:3256;width:6847;height:6086" coordorigin="2717,3257" coordsize="6847,6086" path="m5393,5370l12240,5370m12240,-715l5393,-715,5393,5370e" filled="false" stroked="true" strokeweight="4.12pt" strokecolor="#e44234">
              <v:path arrowok="t"/>
              <v:stroke dashstyle="solid"/>
            </v:shape>
            <w10:wrap type="none"/>
          </v:group>
        </w:pict>
      </w:r>
      <w:bookmarkStart w:name="Law and Procedure 228" w:id="42"/>
      <w:bookmarkEnd w:id="42"/>
      <w:r>
        <w:rPr/>
      </w:r>
      <w:r>
        <w:rPr/>
        <w:t>post-loss obligation is merely to provide the insurer</w:t>
      </w:r>
      <w:r>
        <w:rPr>
          <w:spacing w:val="-34"/>
        </w:rPr>
        <w:t> </w:t>
      </w:r>
      <w:r>
        <w:rPr/>
        <w:t>with</w:t>
      </w:r>
      <w:r>
        <w:rPr>
          <w:spacing w:val="-32"/>
        </w:rPr>
        <w:t> </w:t>
      </w:r>
      <w:r>
        <w:rPr/>
        <w:t>an</w:t>
      </w:r>
      <w:r>
        <w:rPr>
          <w:spacing w:val="-31"/>
        </w:rPr>
        <w:t> </w:t>
      </w:r>
      <w:r>
        <w:rPr/>
        <w:t>independent</w:t>
      </w:r>
      <w:r>
        <w:rPr>
          <w:spacing w:val="-35"/>
        </w:rPr>
        <w:t> </w:t>
      </w:r>
      <w:r>
        <w:rPr/>
        <w:t>means</w:t>
      </w:r>
      <w:r>
        <w:rPr>
          <w:spacing w:val="-32"/>
        </w:rPr>
        <w:t> </w:t>
      </w:r>
      <w:r>
        <w:rPr/>
        <w:t>by</w:t>
      </w:r>
      <w:r>
        <w:rPr>
          <w:spacing w:val="-35"/>
        </w:rPr>
        <w:t> </w:t>
      </w:r>
      <w:r>
        <w:rPr/>
        <w:t>which</w:t>
      </w:r>
      <w:r>
        <w:rPr>
          <w:spacing w:val="-31"/>
        </w:rPr>
        <w:t> </w:t>
      </w:r>
      <w:r>
        <w:rPr>
          <w:spacing w:val="-8"/>
        </w:rPr>
        <w:t>to </w:t>
      </w:r>
      <w:r>
        <w:rPr/>
        <w:t>determine  the amount of loss as opposed </w:t>
      </w:r>
      <w:r>
        <w:rPr>
          <w:spacing w:val="34"/>
        </w:rPr>
        <w:t> </w:t>
      </w:r>
      <w:r>
        <w:rPr>
          <w:spacing w:val="-9"/>
        </w:rPr>
        <w:t>to</w:t>
      </w:r>
    </w:p>
    <w:p>
      <w:pPr>
        <w:pStyle w:val="BodyText"/>
        <w:spacing w:line="318" w:lineRule="exact"/>
        <w:ind w:right="99"/>
        <w:jc w:val="center"/>
      </w:pPr>
      <w:r>
        <w:rPr/>
        <w:t>relying  solely  on  the  representations  of </w:t>
      </w:r>
      <w:r>
        <w:rPr>
          <w:spacing w:val="32"/>
        </w:rPr>
        <w:t> </w:t>
      </w:r>
      <w:r>
        <w:rPr/>
        <w:t>the</w:t>
      </w:r>
    </w:p>
    <w:p>
      <w:pPr>
        <w:pStyle w:val="BodyText"/>
        <w:spacing w:line="242" w:lineRule="auto" w:before="3"/>
        <w:ind w:left="3100" w:right="3199"/>
        <w:jc w:val="both"/>
      </w:pPr>
      <w:r>
        <w:rPr/>
        <w:t>insured.”</w:t>
      </w:r>
      <w:r>
        <w:rPr>
          <w:vertAlign w:val="superscript"/>
        </w:rPr>
        <w:t>514</w:t>
      </w:r>
      <w:r>
        <w:rPr>
          <w:vertAlign w:val="baseline"/>
        </w:rPr>
        <w:t> Under these circumstances </w:t>
      </w:r>
      <w:r>
        <w:rPr>
          <w:spacing w:val="-14"/>
          <w:vertAlign w:val="baseline"/>
        </w:rPr>
        <w:t>the </w:t>
      </w:r>
      <w:r>
        <w:rPr>
          <w:vertAlign w:val="baseline"/>
        </w:rPr>
        <w:t>insurers claim that it did not have sufficient information</w:t>
      </w:r>
      <w:r>
        <w:rPr>
          <w:spacing w:val="-18"/>
          <w:vertAlign w:val="baseline"/>
        </w:rPr>
        <w:t> </w:t>
      </w:r>
      <w:r>
        <w:rPr>
          <w:vertAlign w:val="baseline"/>
        </w:rPr>
        <w:t>from</w:t>
      </w:r>
      <w:r>
        <w:rPr>
          <w:spacing w:val="-17"/>
          <w:vertAlign w:val="baseline"/>
        </w:rPr>
        <w:t> </w:t>
      </w:r>
      <w:r>
        <w:rPr>
          <w:vertAlign w:val="baseline"/>
        </w:rPr>
        <w:t>which</w:t>
      </w:r>
      <w:r>
        <w:rPr>
          <w:spacing w:val="-18"/>
          <w:vertAlign w:val="baseline"/>
        </w:rPr>
        <w:t> </w:t>
      </w:r>
      <w:r>
        <w:rPr>
          <w:vertAlign w:val="baseline"/>
        </w:rPr>
        <w:t>to</w:t>
      </w:r>
      <w:r>
        <w:rPr>
          <w:spacing w:val="-17"/>
          <w:vertAlign w:val="baseline"/>
        </w:rPr>
        <w:t> </w:t>
      </w:r>
      <w:r>
        <w:rPr>
          <w:vertAlign w:val="baseline"/>
        </w:rPr>
        <w:t>assess</w:t>
      </w:r>
      <w:r>
        <w:rPr>
          <w:spacing w:val="-17"/>
          <w:vertAlign w:val="baseline"/>
        </w:rPr>
        <w:t> </w:t>
      </w:r>
      <w:r>
        <w:rPr>
          <w:vertAlign w:val="baseline"/>
        </w:rPr>
        <w:t>the</w:t>
      </w:r>
      <w:r>
        <w:rPr>
          <w:spacing w:val="-19"/>
          <w:vertAlign w:val="baseline"/>
        </w:rPr>
        <w:t> </w:t>
      </w:r>
      <w:r>
        <w:rPr>
          <w:vertAlign w:val="baseline"/>
        </w:rPr>
        <w:t>claim</w:t>
      </w:r>
      <w:r>
        <w:rPr>
          <w:spacing w:val="-19"/>
          <w:vertAlign w:val="baseline"/>
        </w:rPr>
        <w:t> </w:t>
      </w:r>
      <w:r>
        <w:rPr>
          <w:vertAlign w:val="baseline"/>
        </w:rPr>
        <w:t>was rejected and the demand for appraisal was held not to be</w:t>
      </w:r>
      <w:r>
        <w:rPr>
          <w:spacing w:val="-5"/>
          <w:vertAlign w:val="baseline"/>
        </w:rPr>
        <w:t> </w:t>
      </w:r>
      <w:r>
        <w:rPr>
          <w:vertAlign w:val="baseline"/>
        </w:rPr>
        <w:t>premature.</w:t>
      </w:r>
    </w:p>
    <w:p>
      <w:pPr>
        <w:pStyle w:val="BodyText"/>
      </w:pPr>
    </w:p>
    <w:p>
      <w:pPr>
        <w:pStyle w:val="BodyText"/>
        <w:spacing w:line="242" w:lineRule="auto" w:before="1"/>
        <w:ind w:left="3100" w:right="3199" w:firstLine="720"/>
        <w:jc w:val="both"/>
      </w:pPr>
      <w:r>
        <w:rPr/>
        <w:pict>
          <v:shape style="position:absolute;margin-left:273.751678pt;margin-top:99.460045pt;width:176.1pt;height:13pt;mso-position-horizontal-relative:page;mso-position-vertical-relative:paragraph;z-index:-254155776" type="#_x0000_t202" filled="false" stroked="false">
            <v:textbox inset="0,0,0,0">
              <w:txbxContent>
                <w:p>
                  <w:pPr>
                    <w:pStyle w:val="BodyText"/>
                    <w:spacing w:line="259" w:lineRule="exact"/>
                  </w:pPr>
                  <w:r>
                    <w:rPr/>
                    <w:t>ctual obligations under the</w:t>
                  </w:r>
                </w:p>
              </w:txbxContent>
            </v:textbox>
            <w10:wrap type="none"/>
          </v:shape>
        </w:pict>
      </w:r>
      <w:r>
        <w:rPr/>
        <w:t>However, other jurisdictions require the insured to comply with all post loss duties before the insurer must submit to appraisal.</w:t>
      </w:r>
      <w:r>
        <w:rPr>
          <w:spacing w:val="53"/>
        </w:rPr>
        <w:t> </w:t>
      </w:r>
      <w:r>
        <w:rPr>
          <w:spacing w:val="3"/>
        </w:rPr>
        <w:t>In </w:t>
      </w:r>
      <w:r>
        <w:rPr/>
        <w:t>Scottsdale Ins. Co. v. Prayer Tabernacle Early Church of Jesus Christ Number 1,</w:t>
      </w:r>
      <w:r>
        <w:rPr>
          <w:vertAlign w:val="superscript"/>
        </w:rPr>
        <w:t>515</w:t>
      </w:r>
      <w:r>
        <w:rPr>
          <w:vertAlign w:val="baseline"/>
        </w:rPr>
        <w:t> </w:t>
      </w:r>
      <w:r>
        <w:rPr>
          <w:spacing w:val="-21"/>
          <w:vertAlign w:val="baseline"/>
        </w:rPr>
        <w:t>an </w:t>
      </w:r>
      <w:r>
        <w:rPr>
          <w:vertAlign w:val="baseline"/>
        </w:rPr>
        <w:t>Alabama court held that Scottsdale did not breach its contra</w:t>
      </w:r>
    </w:p>
    <w:p>
      <w:pPr>
        <w:pStyle w:val="BodyText"/>
        <w:spacing w:line="242" w:lineRule="auto"/>
        <w:ind w:left="3100" w:right="3197"/>
        <w:jc w:val="both"/>
      </w:pPr>
      <w:r>
        <w:rPr/>
        <w:t>policy when it failed to name its appraiser in response</w:t>
      </w:r>
      <w:r>
        <w:rPr>
          <w:spacing w:val="-28"/>
        </w:rPr>
        <w:t> </w:t>
      </w:r>
      <w:r>
        <w:rPr/>
        <w:t>to</w:t>
      </w:r>
      <w:r>
        <w:rPr>
          <w:spacing w:val="-28"/>
        </w:rPr>
        <w:t> </w:t>
      </w:r>
      <w:r>
        <w:rPr/>
        <w:t>an</w:t>
      </w:r>
      <w:r>
        <w:rPr>
          <w:spacing w:val="-28"/>
        </w:rPr>
        <w:t> </w:t>
      </w:r>
      <w:r>
        <w:rPr/>
        <w:t>insured’s</w:t>
      </w:r>
      <w:r>
        <w:rPr>
          <w:spacing w:val="-28"/>
        </w:rPr>
        <w:t> </w:t>
      </w:r>
      <w:r>
        <w:rPr/>
        <w:t>demand</w:t>
      </w:r>
      <w:r>
        <w:rPr>
          <w:spacing w:val="-31"/>
        </w:rPr>
        <w:t> </w:t>
      </w:r>
      <w:r>
        <w:rPr/>
        <w:t>for</w:t>
      </w:r>
      <w:r>
        <w:rPr>
          <w:spacing w:val="-29"/>
        </w:rPr>
        <w:t> </w:t>
      </w:r>
      <w:r>
        <w:rPr/>
        <w:t>appraisal.</w:t>
      </w:r>
    </w:p>
    <w:p>
      <w:pPr>
        <w:pStyle w:val="BodyText"/>
        <w:spacing w:line="242" w:lineRule="auto"/>
        <w:ind w:left="3100" w:right="3197"/>
        <w:jc w:val="both"/>
      </w:pPr>
      <w:r>
        <w:rPr/>
        <w:t>The court held that nothing in the policy required Scottsdale to name an appraiser before it completed its investigation of the insured’s claim. Under the policy, Scottsdale had the right to require the insured to comply with all of its post loss duties before Scottsdale was required to submit to the appraisal process.</w:t>
      </w:r>
    </w:p>
    <w:p>
      <w:pPr>
        <w:pStyle w:val="BodyText"/>
        <w:rPr>
          <w:sz w:val="20"/>
        </w:rPr>
      </w:pPr>
    </w:p>
    <w:p>
      <w:pPr>
        <w:pStyle w:val="BodyText"/>
        <w:rPr>
          <w:sz w:val="20"/>
        </w:rPr>
      </w:pPr>
    </w:p>
    <w:p>
      <w:pPr>
        <w:pStyle w:val="BodyText"/>
        <w:spacing w:before="4"/>
        <w:rPr>
          <w:sz w:val="25"/>
        </w:rPr>
      </w:pPr>
      <w:r>
        <w:rPr/>
        <w:pict>
          <v:shape style="position:absolute;margin-left:162pt;margin-top:17.932966pt;width:143.9pt;height:.1pt;mso-position-horizontal-relative:page;mso-position-vertical-relative:paragraph;z-index:-251530240;mso-wrap-distance-left:0;mso-wrap-distance-right:0" coordorigin="3240,359" coordsize="2878,0" path="m3240,359l6118,359e" filled="false" stroked="true" strokeweight=".84pt" strokecolor="#000000">
            <v:path arrowok="t"/>
            <v:stroke dashstyle="solid"/>
            <w10:wrap type="topAndBottom"/>
          </v:shape>
        </w:pict>
      </w:r>
    </w:p>
    <w:p>
      <w:pPr>
        <w:pStyle w:val="BodyText"/>
        <w:spacing w:before="4"/>
        <w:rPr>
          <w:sz w:val="10"/>
        </w:rPr>
      </w:pPr>
    </w:p>
    <w:p>
      <w:pPr>
        <w:spacing w:line="261" w:lineRule="auto" w:before="71"/>
        <w:ind w:left="2740" w:right="2826" w:firstLine="0"/>
        <w:jc w:val="left"/>
        <w:rPr>
          <w:rFonts w:ascii="Times New Roman"/>
          <w:sz w:val="18"/>
        </w:rPr>
      </w:pPr>
      <w:r>
        <w:rPr>
          <w:rFonts w:ascii="Times New Roman"/>
          <w:position w:val="10"/>
          <w:sz w:val="14"/>
        </w:rPr>
        <w:t>514</w:t>
      </w:r>
      <w:r>
        <w:rPr>
          <w:rFonts w:ascii="Times New Roman"/>
          <w:sz w:val="14"/>
        </w:rPr>
        <w:t> </w:t>
      </w:r>
      <w:r>
        <w:rPr>
          <w:rFonts w:ascii="Times New Roman"/>
          <w:sz w:val="18"/>
          <w:u w:val="single"/>
        </w:rPr>
        <w:t>Id</w:t>
      </w:r>
      <w:r>
        <w:rPr>
          <w:rFonts w:ascii="Times New Roman"/>
          <w:sz w:val="18"/>
        </w:rPr>
        <w:t>., quoting </w:t>
      </w:r>
      <w:r>
        <w:rPr>
          <w:rFonts w:ascii="Times New Roman"/>
          <w:sz w:val="18"/>
          <w:u w:val="single"/>
        </w:rPr>
        <w:t>United States Fid. and Guar. Co. v. Romay</w:t>
      </w:r>
      <w:r>
        <w:rPr>
          <w:rFonts w:ascii="Times New Roman"/>
          <w:sz w:val="18"/>
        </w:rPr>
        <w:t>, 744 So.2d 467, 471 N. 4 (Fla. 3d DCA 1999).</w:t>
      </w:r>
    </w:p>
    <w:p>
      <w:pPr>
        <w:spacing w:line="250" w:lineRule="exact" w:before="0"/>
        <w:ind w:left="2740" w:right="0" w:firstLine="0"/>
        <w:jc w:val="left"/>
        <w:rPr>
          <w:rFonts w:ascii="Times New Roman"/>
          <w:sz w:val="18"/>
        </w:rPr>
      </w:pPr>
      <w:r>
        <w:rPr>
          <w:rFonts w:ascii="Times New Roman"/>
          <w:position w:val="10"/>
          <w:sz w:val="14"/>
        </w:rPr>
        <w:t>515 </w:t>
      </w:r>
      <w:r>
        <w:rPr>
          <w:rFonts w:ascii="Times New Roman"/>
          <w:sz w:val="18"/>
        </w:rPr>
        <w:t>2011 WL 3320544 (S.D.Ala.2011)</w:t>
      </w:r>
    </w:p>
    <w:p>
      <w:pPr>
        <w:spacing w:after="0" w:line="250" w:lineRule="exact"/>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firstLine="720"/>
        <w:jc w:val="both"/>
      </w:pPr>
      <w:bookmarkStart w:name="Law and Procedure 229" w:id="43"/>
      <w:bookmarkEnd w:id="43"/>
      <w:r>
        <w:rPr/>
      </w:r>
      <w:r>
        <w:rPr>
          <w:spacing w:val="3"/>
        </w:rPr>
        <w:t>In</w:t>
      </w:r>
      <w:r>
        <w:rPr>
          <w:spacing w:val="-15"/>
        </w:rPr>
        <w:t> </w:t>
      </w:r>
      <w:r>
        <w:rPr/>
        <w:t>Florida,</w:t>
      </w:r>
      <w:r>
        <w:rPr>
          <w:spacing w:val="-16"/>
        </w:rPr>
        <w:t> </w:t>
      </w:r>
      <w:r>
        <w:rPr/>
        <w:t>it</w:t>
      </w:r>
      <w:r>
        <w:rPr>
          <w:spacing w:val="-15"/>
        </w:rPr>
        <w:t> </w:t>
      </w:r>
      <w:r>
        <w:rPr/>
        <w:t>was</w:t>
      </w:r>
      <w:r>
        <w:rPr>
          <w:spacing w:val="-11"/>
        </w:rPr>
        <w:t> </w:t>
      </w:r>
      <w:r>
        <w:rPr/>
        <w:t>held</w:t>
      </w:r>
      <w:r>
        <w:rPr>
          <w:spacing w:val="-12"/>
        </w:rPr>
        <w:t> </w:t>
      </w:r>
      <w:r>
        <w:rPr/>
        <w:t>that</w:t>
      </w:r>
      <w:r>
        <w:rPr>
          <w:spacing w:val="-14"/>
        </w:rPr>
        <w:t> </w:t>
      </w:r>
      <w:r>
        <w:rPr/>
        <w:t>an</w:t>
      </w:r>
      <w:r>
        <w:rPr>
          <w:spacing w:val="-11"/>
        </w:rPr>
        <w:t> </w:t>
      </w:r>
      <w:r>
        <w:rPr/>
        <w:t>insured</w:t>
      </w:r>
      <w:r>
        <w:rPr>
          <w:spacing w:val="-14"/>
        </w:rPr>
        <w:t> </w:t>
      </w:r>
      <w:r>
        <w:rPr/>
        <w:t>was not entitled to an appraisal of its </w:t>
      </w:r>
      <w:r>
        <w:rPr>
          <w:spacing w:val="2"/>
        </w:rPr>
        <w:t>claim </w:t>
      </w:r>
      <w:r>
        <w:rPr/>
        <w:t>for hurricane damage until after it satisfied its obligations to provide the insurer with various documents and to provided the insurer’s loss consultant with access to the damaged property.</w:t>
      </w:r>
      <w:r>
        <w:rPr>
          <w:vertAlign w:val="superscript"/>
        </w:rPr>
        <w:t>516</w:t>
      </w:r>
      <w:r>
        <w:rPr>
          <w:vertAlign w:val="baseline"/>
        </w:rPr>
        <w:t> The court determined that </w:t>
      </w:r>
      <w:r>
        <w:rPr>
          <w:spacing w:val="-13"/>
          <w:vertAlign w:val="baseline"/>
        </w:rPr>
        <w:t>the </w:t>
      </w:r>
      <w:r>
        <w:rPr>
          <w:vertAlign w:val="baseline"/>
        </w:rPr>
        <w:t>insurer</w:t>
      </w:r>
      <w:r>
        <w:rPr>
          <w:spacing w:val="-32"/>
          <w:vertAlign w:val="baseline"/>
        </w:rPr>
        <w:t> </w:t>
      </w:r>
      <w:r>
        <w:rPr>
          <w:vertAlign w:val="baseline"/>
        </w:rPr>
        <w:t>must</w:t>
      </w:r>
      <w:r>
        <w:rPr>
          <w:spacing w:val="-30"/>
          <w:vertAlign w:val="baseline"/>
        </w:rPr>
        <w:t> </w:t>
      </w:r>
      <w:r>
        <w:rPr>
          <w:vertAlign w:val="baseline"/>
        </w:rPr>
        <w:t>be</w:t>
      </w:r>
      <w:r>
        <w:rPr>
          <w:spacing w:val="-29"/>
          <w:vertAlign w:val="baseline"/>
        </w:rPr>
        <w:t> </w:t>
      </w:r>
      <w:r>
        <w:rPr>
          <w:vertAlign w:val="baseline"/>
        </w:rPr>
        <w:t>given</w:t>
      </w:r>
      <w:r>
        <w:rPr>
          <w:spacing w:val="-29"/>
          <w:vertAlign w:val="baseline"/>
        </w:rPr>
        <w:t> </w:t>
      </w:r>
      <w:r>
        <w:rPr>
          <w:vertAlign w:val="baseline"/>
        </w:rPr>
        <w:t>a</w:t>
      </w:r>
      <w:r>
        <w:rPr>
          <w:spacing w:val="-28"/>
          <w:vertAlign w:val="baseline"/>
        </w:rPr>
        <w:t> </w:t>
      </w:r>
      <w:r>
        <w:rPr>
          <w:vertAlign w:val="baseline"/>
        </w:rPr>
        <w:t>reasonable</w:t>
      </w:r>
      <w:r>
        <w:rPr>
          <w:spacing w:val="-27"/>
          <w:vertAlign w:val="baseline"/>
        </w:rPr>
        <w:t> </w:t>
      </w:r>
      <w:r>
        <w:rPr>
          <w:vertAlign w:val="baseline"/>
        </w:rPr>
        <w:t>opportunity to</w:t>
      </w:r>
      <w:r>
        <w:rPr>
          <w:spacing w:val="-11"/>
          <w:vertAlign w:val="baseline"/>
        </w:rPr>
        <w:t> </w:t>
      </w:r>
      <w:r>
        <w:rPr>
          <w:vertAlign w:val="baseline"/>
        </w:rPr>
        <w:t>investigate</w:t>
      </w:r>
      <w:r>
        <w:rPr>
          <w:spacing w:val="-13"/>
          <w:vertAlign w:val="baseline"/>
        </w:rPr>
        <w:t> </w:t>
      </w:r>
      <w:r>
        <w:rPr>
          <w:vertAlign w:val="baseline"/>
        </w:rPr>
        <w:t>and</w:t>
      </w:r>
      <w:r>
        <w:rPr>
          <w:spacing w:val="-11"/>
          <w:vertAlign w:val="baseline"/>
        </w:rPr>
        <w:t> </w:t>
      </w:r>
      <w:r>
        <w:rPr>
          <w:vertAlign w:val="baseline"/>
        </w:rPr>
        <w:t>adjust</w:t>
      </w:r>
      <w:r>
        <w:rPr>
          <w:spacing w:val="-12"/>
          <w:vertAlign w:val="baseline"/>
        </w:rPr>
        <w:t> </w:t>
      </w:r>
      <w:r>
        <w:rPr>
          <w:vertAlign w:val="baseline"/>
        </w:rPr>
        <w:t>the</w:t>
      </w:r>
      <w:r>
        <w:rPr>
          <w:spacing w:val="-12"/>
          <w:vertAlign w:val="baseline"/>
        </w:rPr>
        <w:t> </w:t>
      </w:r>
      <w:r>
        <w:rPr>
          <w:vertAlign w:val="baseline"/>
        </w:rPr>
        <w:t>claim</w:t>
      </w:r>
      <w:r>
        <w:rPr>
          <w:spacing w:val="-13"/>
          <w:vertAlign w:val="baseline"/>
        </w:rPr>
        <w:t> </w:t>
      </w:r>
      <w:r>
        <w:rPr>
          <w:vertAlign w:val="baseline"/>
        </w:rPr>
        <w:t>before</w:t>
      </w:r>
      <w:r>
        <w:rPr>
          <w:spacing w:val="-13"/>
          <w:vertAlign w:val="baseline"/>
        </w:rPr>
        <w:t> </w:t>
      </w:r>
      <w:r>
        <w:rPr>
          <w:vertAlign w:val="baseline"/>
        </w:rPr>
        <w:t>any disagreement regarding the value of the property or the amount of loss could arise. Appraisal</w:t>
      </w:r>
      <w:r>
        <w:rPr>
          <w:spacing w:val="-22"/>
          <w:vertAlign w:val="baseline"/>
        </w:rPr>
        <w:t> </w:t>
      </w:r>
      <w:r>
        <w:rPr>
          <w:vertAlign w:val="baseline"/>
        </w:rPr>
        <w:t>is</w:t>
      </w:r>
      <w:r>
        <w:rPr>
          <w:spacing w:val="-22"/>
          <w:vertAlign w:val="baseline"/>
        </w:rPr>
        <w:t> </w:t>
      </w:r>
      <w:r>
        <w:rPr>
          <w:vertAlign w:val="baseline"/>
        </w:rPr>
        <w:t>only</w:t>
      </w:r>
      <w:r>
        <w:rPr>
          <w:spacing w:val="-25"/>
          <w:vertAlign w:val="baseline"/>
        </w:rPr>
        <w:t> </w:t>
      </w:r>
      <w:r>
        <w:rPr>
          <w:vertAlign w:val="baseline"/>
        </w:rPr>
        <w:t>warranted</w:t>
      </w:r>
      <w:r>
        <w:rPr>
          <w:spacing w:val="-23"/>
          <w:vertAlign w:val="baseline"/>
        </w:rPr>
        <w:t> </w:t>
      </w:r>
      <w:r>
        <w:rPr>
          <w:vertAlign w:val="baseline"/>
        </w:rPr>
        <w:t>when</w:t>
      </w:r>
      <w:r>
        <w:rPr>
          <w:spacing w:val="-23"/>
          <w:vertAlign w:val="baseline"/>
        </w:rPr>
        <w:t> </w:t>
      </w:r>
      <w:r>
        <w:rPr>
          <w:vertAlign w:val="baseline"/>
        </w:rPr>
        <w:t>there</w:t>
      </w:r>
      <w:r>
        <w:rPr>
          <w:spacing w:val="-23"/>
          <w:vertAlign w:val="baseline"/>
        </w:rPr>
        <w:t> </w:t>
      </w:r>
      <w:r>
        <w:rPr>
          <w:vertAlign w:val="baseline"/>
        </w:rPr>
        <w:t>is</w:t>
      </w:r>
      <w:r>
        <w:rPr>
          <w:spacing w:val="-22"/>
          <w:vertAlign w:val="baseline"/>
        </w:rPr>
        <w:t> </w:t>
      </w:r>
      <w:r>
        <w:rPr>
          <w:vertAlign w:val="baseline"/>
        </w:rPr>
        <w:t>a</w:t>
      </w:r>
      <w:r>
        <w:rPr>
          <w:spacing w:val="-23"/>
          <w:vertAlign w:val="baseline"/>
        </w:rPr>
        <w:t> </w:t>
      </w:r>
      <w:r>
        <w:rPr>
          <w:vertAlign w:val="baseline"/>
        </w:rPr>
        <w:t>real difference</w:t>
      </w:r>
      <w:r>
        <w:rPr>
          <w:spacing w:val="-10"/>
          <w:vertAlign w:val="baseline"/>
        </w:rPr>
        <w:t> </w:t>
      </w:r>
      <w:r>
        <w:rPr>
          <w:vertAlign w:val="baseline"/>
        </w:rPr>
        <w:t>in</w:t>
      </w:r>
      <w:r>
        <w:rPr>
          <w:spacing w:val="-8"/>
          <w:vertAlign w:val="baseline"/>
        </w:rPr>
        <w:t> </w:t>
      </w:r>
      <w:r>
        <w:rPr>
          <w:vertAlign w:val="baseline"/>
        </w:rPr>
        <w:t>fact,</w:t>
      </w:r>
      <w:r>
        <w:rPr>
          <w:spacing w:val="-12"/>
          <w:vertAlign w:val="baseline"/>
        </w:rPr>
        <w:t> </w:t>
      </w:r>
      <w:r>
        <w:rPr>
          <w:vertAlign w:val="baseline"/>
        </w:rPr>
        <w:t>arising</w:t>
      </w:r>
      <w:r>
        <w:rPr>
          <w:spacing w:val="-8"/>
          <w:vertAlign w:val="baseline"/>
        </w:rPr>
        <w:t> </w:t>
      </w:r>
      <w:r>
        <w:rPr>
          <w:vertAlign w:val="baseline"/>
        </w:rPr>
        <w:t>out</w:t>
      </w:r>
      <w:r>
        <w:rPr>
          <w:spacing w:val="-9"/>
          <w:vertAlign w:val="baseline"/>
        </w:rPr>
        <w:t> </w:t>
      </w:r>
      <w:r>
        <w:rPr>
          <w:vertAlign w:val="baseline"/>
        </w:rPr>
        <w:t>of</w:t>
      </w:r>
      <w:r>
        <w:rPr>
          <w:spacing w:val="-10"/>
          <w:vertAlign w:val="baseline"/>
        </w:rPr>
        <w:t> </w:t>
      </w:r>
      <w:r>
        <w:rPr>
          <w:vertAlign w:val="baseline"/>
        </w:rPr>
        <w:t>an</w:t>
      </w:r>
      <w:r>
        <w:rPr>
          <w:spacing w:val="-5"/>
          <w:vertAlign w:val="baseline"/>
        </w:rPr>
        <w:t> </w:t>
      </w:r>
      <w:r>
        <w:rPr>
          <w:vertAlign w:val="baseline"/>
        </w:rPr>
        <w:t>actual</w:t>
      </w:r>
      <w:r>
        <w:rPr>
          <w:spacing w:val="-4"/>
          <w:vertAlign w:val="baseline"/>
        </w:rPr>
        <w:t> </w:t>
      </w:r>
      <w:r>
        <w:rPr>
          <w:vertAlign w:val="baseline"/>
        </w:rPr>
        <w:t>and honest</w:t>
      </w:r>
      <w:r>
        <w:rPr>
          <w:spacing w:val="-21"/>
          <w:vertAlign w:val="baseline"/>
        </w:rPr>
        <w:t> </w:t>
      </w:r>
      <w:r>
        <w:rPr>
          <w:vertAlign w:val="baseline"/>
        </w:rPr>
        <w:t>effort</w:t>
      </w:r>
      <w:r>
        <w:rPr>
          <w:spacing w:val="-22"/>
          <w:vertAlign w:val="baseline"/>
        </w:rPr>
        <w:t> </w:t>
      </w:r>
      <w:r>
        <w:rPr>
          <w:vertAlign w:val="baseline"/>
        </w:rPr>
        <w:t>to</w:t>
      </w:r>
      <w:r>
        <w:rPr>
          <w:spacing w:val="-19"/>
          <w:vertAlign w:val="baseline"/>
        </w:rPr>
        <w:t> </w:t>
      </w:r>
      <w:r>
        <w:rPr>
          <w:vertAlign w:val="baseline"/>
        </w:rPr>
        <w:t>reach</w:t>
      </w:r>
      <w:r>
        <w:rPr>
          <w:spacing w:val="-18"/>
          <w:vertAlign w:val="baseline"/>
        </w:rPr>
        <w:t> </w:t>
      </w:r>
      <w:r>
        <w:rPr>
          <w:vertAlign w:val="baseline"/>
        </w:rPr>
        <w:t>an</w:t>
      </w:r>
      <w:r>
        <w:rPr>
          <w:spacing w:val="-17"/>
          <w:vertAlign w:val="baseline"/>
        </w:rPr>
        <w:t> </w:t>
      </w:r>
      <w:r>
        <w:rPr>
          <w:vertAlign w:val="baseline"/>
        </w:rPr>
        <w:t>agreement</w:t>
      </w:r>
      <w:r>
        <w:rPr>
          <w:spacing w:val="-20"/>
          <w:vertAlign w:val="baseline"/>
        </w:rPr>
        <w:t> </w:t>
      </w:r>
      <w:r>
        <w:rPr>
          <w:vertAlign w:val="baseline"/>
        </w:rPr>
        <w:t>between the insured and the</w:t>
      </w:r>
      <w:r>
        <w:rPr>
          <w:spacing w:val="-5"/>
          <w:vertAlign w:val="baseline"/>
        </w:rPr>
        <w:t> </w:t>
      </w:r>
      <w:r>
        <w:rPr>
          <w:vertAlign w:val="baseline"/>
        </w:rPr>
        <w:t>insurer.</w:t>
      </w:r>
      <w:r>
        <w:rPr>
          <w:vertAlign w:val="superscript"/>
        </w:rPr>
        <w:t>517</w:t>
      </w:r>
    </w:p>
    <w:p>
      <w:pPr>
        <w:pStyle w:val="BodyText"/>
        <w:spacing w:before="9"/>
        <w:rPr>
          <w:sz w:val="25"/>
        </w:rPr>
      </w:pPr>
    </w:p>
    <w:p>
      <w:pPr>
        <w:pStyle w:val="BodyText"/>
        <w:spacing w:line="242" w:lineRule="auto"/>
        <w:ind w:left="3100" w:right="3198" w:firstLine="720"/>
        <w:jc w:val="both"/>
      </w:pPr>
      <w:r>
        <w:rPr/>
        <w:t>Additionally,</w:t>
      </w:r>
      <w:r>
        <w:rPr>
          <w:spacing w:val="-12"/>
        </w:rPr>
        <w:t> </w:t>
      </w:r>
      <w:r>
        <w:rPr/>
        <w:t>it</w:t>
      </w:r>
      <w:r>
        <w:rPr>
          <w:spacing w:val="-11"/>
        </w:rPr>
        <w:t> </w:t>
      </w:r>
      <w:r>
        <w:rPr/>
        <w:t>has</w:t>
      </w:r>
      <w:r>
        <w:rPr>
          <w:spacing w:val="-9"/>
        </w:rPr>
        <w:t> </w:t>
      </w:r>
      <w:r>
        <w:rPr/>
        <w:t>been</w:t>
      </w:r>
      <w:r>
        <w:rPr>
          <w:spacing w:val="-9"/>
        </w:rPr>
        <w:t> </w:t>
      </w:r>
      <w:r>
        <w:rPr/>
        <w:t>held</w:t>
      </w:r>
      <w:r>
        <w:rPr>
          <w:spacing w:val="-9"/>
        </w:rPr>
        <w:t> </w:t>
      </w:r>
      <w:r>
        <w:rPr/>
        <w:t>that</w:t>
      </w:r>
      <w:r>
        <w:rPr>
          <w:spacing w:val="-10"/>
        </w:rPr>
        <w:t> </w:t>
      </w:r>
      <w:r>
        <w:rPr>
          <w:spacing w:val="-5"/>
        </w:rPr>
        <w:t>where </w:t>
      </w:r>
      <w:r>
        <w:rPr/>
        <w:t>a fire policy required a demand for appraisal to be made by the insurer within 90 days after submission of a proof of loss, a notice mailed within</w:t>
      </w:r>
      <w:r>
        <w:rPr>
          <w:spacing w:val="-21"/>
        </w:rPr>
        <w:t> </w:t>
      </w:r>
      <w:r>
        <w:rPr/>
        <w:t>90</w:t>
      </w:r>
      <w:r>
        <w:rPr>
          <w:spacing w:val="-21"/>
        </w:rPr>
        <w:t> </w:t>
      </w:r>
      <w:r>
        <w:rPr/>
        <w:t>days</w:t>
      </w:r>
      <w:r>
        <w:rPr>
          <w:spacing w:val="-22"/>
        </w:rPr>
        <w:t> </w:t>
      </w:r>
      <w:r>
        <w:rPr/>
        <w:t>but</w:t>
      </w:r>
      <w:r>
        <w:rPr>
          <w:spacing w:val="-19"/>
        </w:rPr>
        <w:t> </w:t>
      </w:r>
      <w:r>
        <w:rPr/>
        <w:t>received</w:t>
      </w:r>
      <w:r>
        <w:rPr>
          <w:spacing w:val="-20"/>
        </w:rPr>
        <w:t> </w:t>
      </w:r>
      <w:r>
        <w:rPr/>
        <w:t>on</w:t>
      </w:r>
      <w:r>
        <w:rPr>
          <w:spacing w:val="-18"/>
        </w:rPr>
        <w:t> </w:t>
      </w:r>
      <w:r>
        <w:rPr/>
        <w:t>the</w:t>
      </w:r>
      <w:r>
        <w:rPr>
          <w:spacing w:val="-18"/>
        </w:rPr>
        <w:t> </w:t>
      </w:r>
      <w:r>
        <w:rPr/>
        <w:t>91</w:t>
      </w:r>
      <w:r>
        <w:rPr>
          <w:vertAlign w:val="superscript"/>
        </w:rPr>
        <w:t>st</w:t>
      </w:r>
      <w:r>
        <w:rPr>
          <w:spacing w:val="-23"/>
          <w:vertAlign w:val="baseline"/>
        </w:rPr>
        <w:t> </w:t>
      </w:r>
      <w:r>
        <w:rPr>
          <w:vertAlign w:val="baseline"/>
        </w:rPr>
        <w:t>day</w:t>
      </w:r>
      <w:r>
        <w:rPr>
          <w:spacing w:val="-23"/>
          <w:vertAlign w:val="baseline"/>
        </w:rPr>
        <w:t> </w:t>
      </w:r>
      <w:r>
        <w:rPr>
          <w:spacing w:val="-9"/>
          <w:vertAlign w:val="baseline"/>
        </w:rPr>
        <w:t>was </w:t>
      </w:r>
      <w:r>
        <w:rPr>
          <w:vertAlign w:val="baseline"/>
        </w:rPr>
        <w:t>too</w:t>
      </w:r>
      <w:r>
        <w:rPr>
          <w:spacing w:val="-1"/>
          <w:vertAlign w:val="baseline"/>
        </w:rPr>
        <w:t> </w:t>
      </w:r>
      <w:r>
        <w:rPr>
          <w:vertAlign w:val="baseline"/>
        </w:rPr>
        <w:t>late.</w:t>
      </w:r>
      <w:r>
        <w:rPr>
          <w:vertAlign w:val="superscript"/>
        </w:rPr>
        <w:t>518</w:t>
      </w:r>
    </w:p>
    <w:p>
      <w:pPr>
        <w:pStyle w:val="BodyText"/>
        <w:spacing w:before="1"/>
      </w:pPr>
    </w:p>
    <w:p>
      <w:pPr>
        <w:pStyle w:val="BodyText"/>
        <w:spacing w:line="242" w:lineRule="auto"/>
        <w:ind w:left="3100" w:right="3200" w:firstLine="720"/>
        <w:jc w:val="both"/>
      </w:pPr>
      <w:r>
        <w:rPr/>
        <w:t>A Florida insurer had substantially complied with an appraisal provision</w:t>
      </w:r>
      <w:r>
        <w:rPr>
          <w:spacing w:val="-49"/>
        </w:rPr>
        <w:t> </w:t>
      </w:r>
      <w:r>
        <w:rPr/>
        <w:t>requiring identification of an appraiser within 20 days</w:t>
      </w:r>
      <w:r>
        <w:rPr>
          <w:spacing w:val="-40"/>
        </w:rPr>
        <w:t> </w:t>
      </w:r>
      <w:r>
        <w:rPr/>
        <w:t>of the date an appraisal demand was</w:t>
      </w:r>
      <w:r>
        <w:rPr>
          <w:spacing w:val="50"/>
        </w:rPr>
        <w:t> </w:t>
      </w:r>
      <w:r>
        <w:rPr/>
        <w:t>received</w:t>
      </w:r>
    </w:p>
    <w:p>
      <w:pPr>
        <w:pStyle w:val="BodyText"/>
        <w:rPr>
          <w:sz w:val="20"/>
        </w:rPr>
      </w:pPr>
    </w:p>
    <w:p>
      <w:pPr>
        <w:pStyle w:val="BodyText"/>
        <w:spacing w:before="3"/>
        <w:rPr>
          <w:sz w:val="11"/>
        </w:rPr>
      </w:pPr>
      <w:r>
        <w:rPr/>
        <w:pict>
          <v:shape style="position:absolute;margin-left:162pt;margin-top:9.324654pt;width:143.9pt;height:.1pt;mso-position-horizontal-relative:page;mso-position-vertical-relative:paragraph;z-index:-251527168;mso-wrap-distance-left:0;mso-wrap-distance-right:0" coordorigin="3240,186" coordsize="2878,0" path="m3240,186l6118,18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3018" w:val="left" w:leader="none"/>
        </w:tabs>
        <w:spacing w:line="261" w:lineRule="auto" w:before="71" w:after="0"/>
        <w:ind w:left="2740" w:right="2845" w:firstLine="0"/>
        <w:jc w:val="left"/>
        <w:rPr>
          <w:sz w:val="18"/>
        </w:rPr>
      </w:pPr>
      <w:r>
        <w:rPr>
          <w:sz w:val="18"/>
          <w:u w:val="single"/>
        </w:rPr>
        <w:t>Citizens Property Ins. Corp. v. Galeria Villas Condominium Ass’n Inc.</w:t>
      </w:r>
      <w:r>
        <w:rPr>
          <w:sz w:val="18"/>
        </w:rPr>
        <w:t>, 48 So.3d 188 (Fla.3d DCA</w:t>
      </w:r>
      <w:r>
        <w:rPr>
          <w:spacing w:val="-2"/>
          <w:sz w:val="18"/>
        </w:rPr>
        <w:t> </w:t>
      </w:r>
      <w:r>
        <w:rPr>
          <w:sz w:val="18"/>
        </w:rPr>
        <w:t>2010).</w:t>
      </w:r>
    </w:p>
    <w:p>
      <w:pPr>
        <w:pStyle w:val="ListParagraph"/>
        <w:numPr>
          <w:ilvl w:val="0"/>
          <w:numId w:val="9"/>
        </w:numPr>
        <w:tabs>
          <w:tab w:pos="3001" w:val="left" w:leader="none"/>
        </w:tabs>
        <w:spacing w:line="81" w:lineRule="auto" w:before="0" w:after="0"/>
        <w:ind w:left="3000" w:right="0" w:hanging="261"/>
        <w:jc w:val="left"/>
        <w:rPr>
          <w:i/>
          <w:sz w:val="18"/>
        </w:rPr>
      </w:pPr>
      <w:r>
        <w:rPr>
          <w:i/>
          <w:position w:val="-9"/>
          <w:sz w:val="18"/>
          <w:u w:val="single"/>
        </w:rPr>
        <w:t>Id.</w:t>
      </w:r>
    </w:p>
    <w:p>
      <w:pPr>
        <w:pStyle w:val="ListParagraph"/>
        <w:numPr>
          <w:ilvl w:val="0"/>
          <w:numId w:val="9"/>
        </w:numPr>
        <w:tabs>
          <w:tab w:pos="3018" w:val="left" w:leader="none"/>
        </w:tabs>
        <w:spacing w:line="261" w:lineRule="auto" w:before="59" w:after="0"/>
        <w:ind w:left="2740" w:right="2845" w:firstLine="0"/>
        <w:jc w:val="left"/>
        <w:rPr>
          <w:sz w:val="18"/>
        </w:rPr>
      </w:pPr>
      <w:r>
        <w:rPr>
          <w:sz w:val="18"/>
          <w:u w:val="single"/>
        </w:rPr>
        <w:t>Covey v. National Union Fire Ins. Co. of Pittsburgh</w:t>
      </w:r>
      <w:r>
        <w:rPr>
          <w:sz w:val="18"/>
        </w:rPr>
        <w:t>, 31 Cal. App. 579, 161 P. 35 (3d Dist. 1915).</w:t>
      </w:r>
    </w:p>
    <w:p>
      <w:pPr>
        <w:spacing w:after="0" w:line="261"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30" w:id="44"/>
      <w:bookmarkEnd w:id="44"/>
      <w:r>
        <w:rPr/>
      </w:r>
      <w:r>
        <w:rPr/>
        <w:t>by</w:t>
      </w:r>
      <w:r>
        <w:rPr>
          <w:spacing w:val="-25"/>
        </w:rPr>
        <w:t> </w:t>
      </w:r>
      <w:r>
        <w:rPr/>
        <w:t>the</w:t>
      </w:r>
      <w:r>
        <w:rPr>
          <w:spacing w:val="-23"/>
        </w:rPr>
        <w:t> </w:t>
      </w:r>
      <w:r>
        <w:rPr/>
        <w:t>other</w:t>
      </w:r>
      <w:r>
        <w:rPr>
          <w:spacing w:val="-22"/>
        </w:rPr>
        <w:t> </w:t>
      </w:r>
      <w:r>
        <w:rPr/>
        <w:t>party.</w:t>
      </w:r>
      <w:r>
        <w:rPr>
          <w:spacing w:val="-23"/>
        </w:rPr>
        <w:t> </w:t>
      </w:r>
      <w:r>
        <w:rPr/>
        <w:t>The</w:t>
      </w:r>
      <w:r>
        <w:rPr>
          <w:spacing w:val="-20"/>
        </w:rPr>
        <w:t> </w:t>
      </w:r>
      <w:r>
        <w:rPr/>
        <w:t>insured</w:t>
      </w:r>
      <w:r>
        <w:rPr>
          <w:spacing w:val="-21"/>
        </w:rPr>
        <w:t> </w:t>
      </w:r>
      <w:r>
        <w:rPr/>
        <w:t>contended</w:t>
      </w:r>
      <w:r>
        <w:rPr>
          <w:spacing w:val="-24"/>
        </w:rPr>
        <w:t> </w:t>
      </w:r>
      <w:r>
        <w:rPr>
          <w:spacing w:val="-4"/>
        </w:rPr>
        <w:t>that </w:t>
      </w:r>
      <w:r>
        <w:rPr/>
        <w:t>the insurer should have notified him within 20 days of filing its initial motion to compel appraisal</w:t>
      </w:r>
      <w:r>
        <w:rPr>
          <w:spacing w:val="-11"/>
        </w:rPr>
        <w:t> </w:t>
      </w:r>
      <w:r>
        <w:rPr/>
        <w:t>or</w:t>
      </w:r>
      <w:r>
        <w:rPr>
          <w:spacing w:val="-14"/>
        </w:rPr>
        <w:t> </w:t>
      </w:r>
      <w:r>
        <w:rPr/>
        <w:t>when</w:t>
      </w:r>
      <w:r>
        <w:rPr>
          <w:spacing w:val="-14"/>
        </w:rPr>
        <w:t> </w:t>
      </w:r>
      <w:r>
        <w:rPr/>
        <w:t>the</w:t>
      </w:r>
      <w:r>
        <w:rPr>
          <w:spacing w:val="-16"/>
        </w:rPr>
        <w:t> </w:t>
      </w:r>
      <w:r>
        <w:rPr/>
        <w:t>hearing</w:t>
      </w:r>
      <w:r>
        <w:rPr>
          <w:spacing w:val="-13"/>
        </w:rPr>
        <w:t> </w:t>
      </w:r>
      <w:r>
        <w:rPr/>
        <w:t>was</w:t>
      </w:r>
      <w:r>
        <w:rPr>
          <w:spacing w:val="-15"/>
        </w:rPr>
        <w:t> </w:t>
      </w:r>
      <w:r>
        <w:rPr/>
        <w:t>held</w:t>
      </w:r>
      <w:r>
        <w:rPr>
          <w:spacing w:val="-15"/>
        </w:rPr>
        <w:t> </w:t>
      </w:r>
      <w:r>
        <w:rPr/>
        <w:t>on</w:t>
      </w:r>
      <w:r>
        <w:rPr>
          <w:spacing w:val="-14"/>
        </w:rPr>
        <w:t> </w:t>
      </w:r>
      <w:r>
        <w:rPr/>
        <w:t>this motion,</w:t>
      </w:r>
      <w:r>
        <w:rPr>
          <w:spacing w:val="-30"/>
        </w:rPr>
        <w:t> </w:t>
      </w:r>
      <w:r>
        <w:rPr/>
        <w:t>and</w:t>
      </w:r>
      <w:r>
        <w:rPr>
          <w:spacing w:val="-28"/>
        </w:rPr>
        <w:t> </w:t>
      </w:r>
      <w:r>
        <w:rPr/>
        <w:t>believed</w:t>
      </w:r>
      <w:r>
        <w:rPr>
          <w:spacing w:val="-28"/>
        </w:rPr>
        <w:t> </w:t>
      </w:r>
      <w:r>
        <w:rPr/>
        <w:t>the</w:t>
      </w:r>
      <w:r>
        <w:rPr>
          <w:spacing w:val="-27"/>
        </w:rPr>
        <w:t> </w:t>
      </w:r>
      <w:r>
        <w:rPr/>
        <w:t>insurer</w:t>
      </w:r>
      <w:r>
        <w:rPr>
          <w:spacing w:val="-27"/>
        </w:rPr>
        <w:t> </w:t>
      </w:r>
      <w:r>
        <w:rPr/>
        <w:t>had</w:t>
      </w:r>
      <w:r>
        <w:rPr>
          <w:spacing w:val="-26"/>
        </w:rPr>
        <w:t> </w:t>
      </w:r>
      <w:r>
        <w:rPr/>
        <w:t>identified its appraiser one day late. However, the court did not find the carrier’s conduct to be “so inconsistent with the time provided for notification</w:t>
      </w:r>
      <w:r>
        <w:rPr>
          <w:spacing w:val="-27"/>
        </w:rPr>
        <w:t> </w:t>
      </w:r>
      <w:r>
        <w:rPr/>
        <w:t>under</w:t>
      </w:r>
      <w:r>
        <w:rPr>
          <w:spacing w:val="-28"/>
        </w:rPr>
        <w:t> </w:t>
      </w:r>
      <w:r>
        <w:rPr/>
        <w:t>the</w:t>
      </w:r>
      <w:r>
        <w:rPr>
          <w:spacing w:val="-28"/>
        </w:rPr>
        <w:t> </w:t>
      </w:r>
      <w:r>
        <w:rPr/>
        <w:t>policy</w:t>
      </w:r>
      <w:r>
        <w:rPr>
          <w:spacing w:val="-29"/>
        </w:rPr>
        <w:t> </w:t>
      </w:r>
      <w:r>
        <w:rPr/>
        <w:t>that</w:t>
      </w:r>
      <w:r>
        <w:rPr>
          <w:spacing w:val="-27"/>
        </w:rPr>
        <w:t> </w:t>
      </w:r>
      <w:r>
        <w:rPr/>
        <w:t>its</w:t>
      </w:r>
      <w:r>
        <w:rPr>
          <w:spacing w:val="-25"/>
        </w:rPr>
        <w:t> </w:t>
      </w:r>
      <w:r>
        <w:rPr/>
        <w:t>failure</w:t>
      </w:r>
      <w:r>
        <w:rPr>
          <w:spacing w:val="-26"/>
        </w:rPr>
        <w:t> </w:t>
      </w:r>
      <w:r>
        <w:rPr/>
        <w:t>to</w:t>
      </w:r>
      <w:r>
        <w:rPr>
          <w:spacing w:val="-25"/>
        </w:rPr>
        <w:t> </w:t>
      </w:r>
      <w:r>
        <w:rPr/>
        <w:t>so act constituted a waiver.” Further, the insurer had the right to wait for a court to issue a written</w:t>
      </w:r>
      <w:r>
        <w:rPr>
          <w:spacing w:val="-2"/>
        </w:rPr>
        <w:t> </w:t>
      </w:r>
      <w:r>
        <w:rPr/>
        <w:t>order.</w:t>
      </w:r>
      <w:r>
        <w:rPr>
          <w:vertAlign w:val="superscript"/>
        </w:rPr>
        <w:t>519</w:t>
      </w:r>
    </w:p>
    <w:p>
      <w:pPr>
        <w:pStyle w:val="BodyText"/>
        <w:spacing w:before="10"/>
        <w:rPr>
          <w:sz w:val="25"/>
        </w:rPr>
      </w:pPr>
    </w:p>
    <w:p>
      <w:pPr>
        <w:pStyle w:val="BodyText"/>
        <w:spacing w:line="242" w:lineRule="auto"/>
        <w:ind w:left="3100" w:right="3198" w:firstLine="720"/>
        <w:jc w:val="both"/>
      </w:pPr>
      <w:r>
        <w:rPr/>
        <w:t>The prevailing New York view states that an appraisal must be demanded within a reasonable</w:t>
      </w:r>
      <w:r>
        <w:rPr>
          <w:spacing w:val="-22"/>
        </w:rPr>
        <w:t> </w:t>
      </w:r>
      <w:r>
        <w:rPr/>
        <w:t>time</w:t>
      </w:r>
      <w:r>
        <w:rPr>
          <w:spacing w:val="-25"/>
        </w:rPr>
        <w:t> </w:t>
      </w:r>
      <w:r>
        <w:rPr/>
        <w:t>and</w:t>
      </w:r>
      <w:r>
        <w:rPr>
          <w:spacing w:val="-23"/>
        </w:rPr>
        <w:t> </w:t>
      </w:r>
      <w:r>
        <w:rPr/>
        <w:t>that</w:t>
      </w:r>
      <w:r>
        <w:rPr>
          <w:spacing w:val="-26"/>
        </w:rPr>
        <w:t> </w:t>
      </w:r>
      <w:r>
        <w:rPr/>
        <w:t>it</w:t>
      </w:r>
      <w:r>
        <w:rPr>
          <w:spacing w:val="-26"/>
        </w:rPr>
        <w:t> </w:t>
      </w:r>
      <w:r>
        <w:rPr/>
        <w:t>is</w:t>
      </w:r>
      <w:r>
        <w:rPr>
          <w:spacing w:val="-24"/>
        </w:rPr>
        <w:t> </w:t>
      </w:r>
      <w:r>
        <w:rPr/>
        <w:t>usually</w:t>
      </w:r>
      <w:r>
        <w:rPr>
          <w:spacing w:val="-22"/>
        </w:rPr>
        <w:t> </w:t>
      </w:r>
      <w:r>
        <w:rPr/>
        <w:t>too</w:t>
      </w:r>
      <w:r>
        <w:rPr>
          <w:spacing w:val="-23"/>
        </w:rPr>
        <w:t> </w:t>
      </w:r>
      <w:r>
        <w:rPr/>
        <w:t>late</w:t>
      </w:r>
      <w:r>
        <w:rPr>
          <w:spacing w:val="-25"/>
        </w:rPr>
        <w:t> </w:t>
      </w:r>
      <w:r>
        <w:rPr/>
        <w:t>to demand an appraisal after the time for the payment of loss following submission of </w:t>
      </w:r>
      <w:r>
        <w:rPr>
          <w:spacing w:val="-3"/>
        </w:rPr>
        <w:t>proofs </w:t>
      </w:r>
      <w:r>
        <w:rPr/>
        <w:t>has</w:t>
      </w:r>
      <w:r>
        <w:rPr>
          <w:spacing w:val="-1"/>
        </w:rPr>
        <w:t> </w:t>
      </w:r>
      <w:r>
        <w:rPr/>
        <w:t>expired.</w:t>
      </w:r>
      <w:r>
        <w:rPr>
          <w:vertAlign w:val="superscript"/>
        </w:rPr>
        <w:t>520</w:t>
      </w:r>
    </w:p>
    <w:p>
      <w:pPr>
        <w:pStyle w:val="BodyText"/>
        <w:spacing w:before="1"/>
      </w:pPr>
    </w:p>
    <w:p>
      <w:pPr>
        <w:pStyle w:val="BodyText"/>
        <w:spacing w:line="242" w:lineRule="auto"/>
        <w:ind w:left="3100" w:right="3197" w:firstLine="720"/>
        <w:jc w:val="both"/>
      </w:pPr>
      <w:r>
        <w:rPr>
          <w:spacing w:val="3"/>
        </w:rPr>
        <w:t>It </w:t>
      </w:r>
      <w:r>
        <w:rPr/>
        <w:t>has been held that “elapsed time” </w:t>
      </w:r>
      <w:r>
        <w:rPr>
          <w:spacing w:val="4"/>
        </w:rPr>
        <w:t>does not </w:t>
      </w:r>
      <w:r>
        <w:rPr>
          <w:spacing w:val="5"/>
        </w:rPr>
        <w:t>in </w:t>
      </w:r>
      <w:r>
        <w:rPr>
          <w:spacing w:val="7"/>
        </w:rPr>
        <w:t>itself </w:t>
      </w:r>
      <w:r>
        <w:rPr>
          <w:spacing w:val="6"/>
        </w:rPr>
        <w:t>make </w:t>
      </w:r>
      <w:r>
        <w:rPr/>
        <w:t>a </w:t>
      </w:r>
      <w:r>
        <w:rPr>
          <w:spacing w:val="5"/>
        </w:rPr>
        <w:t>demand </w:t>
      </w:r>
      <w:r>
        <w:rPr/>
        <w:t>unreasonable under the circumstances, and appraisal may even be demanded </w:t>
      </w:r>
      <w:r>
        <w:rPr>
          <w:spacing w:val="-4"/>
        </w:rPr>
        <w:t>after </w:t>
      </w:r>
      <w:r>
        <w:rPr/>
        <w:t>litigation</w:t>
      </w:r>
      <w:r>
        <w:rPr>
          <w:spacing w:val="-32"/>
        </w:rPr>
        <w:t> </w:t>
      </w:r>
      <w:r>
        <w:rPr/>
        <w:t>has</w:t>
      </w:r>
      <w:r>
        <w:rPr>
          <w:spacing w:val="-35"/>
        </w:rPr>
        <w:t> </w:t>
      </w:r>
      <w:r>
        <w:rPr/>
        <w:t>commenced</w:t>
      </w:r>
      <w:r>
        <w:rPr>
          <w:spacing w:val="-34"/>
        </w:rPr>
        <w:t> </w:t>
      </w:r>
      <w:r>
        <w:rPr/>
        <w:t>if</w:t>
      </w:r>
      <w:r>
        <w:rPr>
          <w:spacing w:val="-32"/>
        </w:rPr>
        <w:t> </w:t>
      </w:r>
      <w:r>
        <w:rPr/>
        <w:t>the</w:t>
      </w:r>
      <w:r>
        <w:rPr>
          <w:spacing w:val="-32"/>
        </w:rPr>
        <w:t> </w:t>
      </w:r>
      <w:r>
        <w:rPr/>
        <w:t>circumstances make it</w:t>
      </w:r>
      <w:r>
        <w:rPr>
          <w:spacing w:val="-4"/>
        </w:rPr>
        <w:t> </w:t>
      </w:r>
      <w:r>
        <w:rPr/>
        <w:t>appropriate.</w:t>
      </w:r>
      <w:r>
        <w:rPr>
          <w:vertAlign w:val="superscript"/>
        </w:rPr>
        <w:t>521</w:t>
      </w:r>
    </w:p>
    <w:p>
      <w:pPr>
        <w:pStyle w:val="BodyText"/>
        <w:rPr>
          <w:sz w:val="20"/>
        </w:rPr>
      </w:pPr>
    </w:p>
    <w:p>
      <w:pPr>
        <w:pStyle w:val="BodyText"/>
        <w:rPr>
          <w:sz w:val="20"/>
        </w:rPr>
      </w:pPr>
    </w:p>
    <w:p>
      <w:pPr>
        <w:pStyle w:val="BodyText"/>
        <w:rPr>
          <w:sz w:val="20"/>
        </w:rPr>
      </w:pPr>
    </w:p>
    <w:p>
      <w:pPr>
        <w:pStyle w:val="BodyText"/>
        <w:spacing w:before="1"/>
        <w:rPr>
          <w:sz w:val="15"/>
        </w:rPr>
      </w:pPr>
    </w:p>
    <w:p>
      <w:pPr>
        <w:pStyle w:val="ListParagraph"/>
        <w:numPr>
          <w:ilvl w:val="0"/>
          <w:numId w:val="9"/>
        </w:numPr>
        <w:tabs>
          <w:tab w:pos="3001" w:val="left" w:leader="none"/>
        </w:tabs>
        <w:spacing w:line="285" w:lineRule="exact" w:before="42" w:after="0"/>
        <w:ind w:left="3001" w:right="0" w:hanging="261"/>
        <w:jc w:val="left"/>
        <w:rPr>
          <w:rFonts w:ascii="Century Gothic"/>
          <w:sz w:val="26"/>
        </w:rPr>
      </w:pPr>
      <w:r>
        <w:rPr>
          <w:sz w:val="18"/>
          <w:u w:val="single"/>
        </w:rPr>
        <w:t>Diaz v. </w:t>
      </w:r>
      <w:r>
        <w:rPr>
          <w:spacing w:val="-2"/>
          <w:sz w:val="18"/>
          <w:u w:val="single"/>
        </w:rPr>
        <w:t>Am. </w:t>
      </w:r>
      <w:r>
        <w:rPr>
          <w:sz w:val="18"/>
          <w:u w:val="single"/>
        </w:rPr>
        <w:t>Bankers Ins. Co. of Florida</w:t>
      </w:r>
      <w:r>
        <w:rPr>
          <w:sz w:val="18"/>
        </w:rPr>
        <w:t>, 662 So.2d 416 (Fla.3d DCA</w:t>
      </w:r>
      <w:r>
        <w:rPr>
          <w:spacing w:val="1"/>
          <w:sz w:val="18"/>
        </w:rPr>
        <w:t> </w:t>
      </w:r>
      <w:r>
        <w:rPr>
          <w:sz w:val="18"/>
        </w:rPr>
        <w:t>1995)</w:t>
      </w:r>
      <w:r>
        <w:rPr>
          <w:rFonts w:ascii="Century Gothic"/>
          <w:sz w:val="26"/>
        </w:rPr>
        <w:t>.</w:t>
      </w:r>
    </w:p>
    <w:p>
      <w:pPr>
        <w:pStyle w:val="ListParagraph"/>
        <w:numPr>
          <w:ilvl w:val="0"/>
          <w:numId w:val="9"/>
        </w:numPr>
        <w:tabs>
          <w:tab w:pos="2991" w:val="left" w:leader="none"/>
        </w:tabs>
        <w:spacing w:line="236" w:lineRule="exact" w:before="0" w:after="0"/>
        <w:ind w:left="2990" w:right="0" w:hanging="251"/>
        <w:jc w:val="left"/>
        <w:rPr>
          <w:sz w:val="18"/>
        </w:rPr>
      </w:pPr>
      <w:r>
        <w:rPr>
          <w:sz w:val="18"/>
        </w:rPr>
        <w:t>Max Gwertzman, </w:t>
      </w:r>
      <w:r>
        <w:rPr>
          <w:i/>
          <w:sz w:val="18"/>
        </w:rPr>
        <w:t>A Legal Analysis of the Appraisal Agreement</w:t>
      </w:r>
      <w:r>
        <w:rPr>
          <w:sz w:val="18"/>
        </w:rPr>
        <w:t>, Roberts</w:t>
      </w:r>
      <w:r>
        <w:rPr>
          <w:spacing w:val="-1"/>
          <w:sz w:val="18"/>
        </w:rPr>
        <w:t> </w:t>
      </w:r>
      <w:r>
        <w:rPr>
          <w:sz w:val="18"/>
        </w:rPr>
        <w:t>Publishing</w:t>
      </w:r>
    </w:p>
    <w:p>
      <w:pPr>
        <w:spacing w:line="207" w:lineRule="exact" w:before="4"/>
        <w:ind w:left="2740" w:right="0" w:firstLine="0"/>
        <w:jc w:val="left"/>
        <w:rPr>
          <w:rFonts w:ascii="Times New Roman"/>
          <w:sz w:val="18"/>
        </w:rPr>
      </w:pPr>
      <w:r>
        <w:rPr>
          <w:rFonts w:ascii="Times New Roman"/>
          <w:sz w:val="18"/>
        </w:rPr>
        <w:t>Corp., 4</w:t>
      </w:r>
      <w:r>
        <w:rPr>
          <w:rFonts w:ascii="Times New Roman"/>
          <w:position w:val="7"/>
          <w:sz w:val="10"/>
        </w:rPr>
        <w:t>th </w:t>
      </w:r>
      <w:r>
        <w:rPr>
          <w:rFonts w:ascii="Times New Roman"/>
          <w:sz w:val="18"/>
        </w:rPr>
        <w:t>ed. 1972.</w:t>
      </w:r>
    </w:p>
    <w:p>
      <w:pPr>
        <w:pStyle w:val="ListParagraph"/>
        <w:numPr>
          <w:ilvl w:val="0"/>
          <w:numId w:val="9"/>
        </w:numPr>
        <w:tabs>
          <w:tab w:pos="3008" w:val="left" w:leader="none"/>
        </w:tabs>
        <w:spacing w:line="269" w:lineRule="exact" w:before="0" w:after="0"/>
        <w:ind w:left="3007" w:right="0" w:hanging="268"/>
        <w:jc w:val="left"/>
        <w:rPr>
          <w:sz w:val="18"/>
        </w:rPr>
      </w:pPr>
      <w:r>
        <w:rPr>
          <w:sz w:val="18"/>
          <w:u w:val="single"/>
        </w:rPr>
        <w:t>Chainless</w:t>
      </w:r>
      <w:r>
        <w:rPr>
          <w:spacing w:val="-8"/>
          <w:sz w:val="18"/>
          <w:u w:val="single"/>
        </w:rPr>
        <w:t> </w:t>
      </w:r>
      <w:r>
        <w:rPr>
          <w:sz w:val="18"/>
          <w:u w:val="single"/>
        </w:rPr>
        <w:t>Cycle</w:t>
      </w:r>
      <w:r>
        <w:rPr>
          <w:spacing w:val="-8"/>
          <w:sz w:val="18"/>
          <w:u w:val="single"/>
        </w:rPr>
        <w:t> </w:t>
      </w:r>
      <w:r>
        <w:rPr>
          <w:sz w:val="18"/>
          <w:u w:val="single"/>
        </w:rPr>
        <w:t>Mfg.</w:t>
      </w:r>
      <w:r>
        <w:rPr>
          <w:spacing w:val="-6"/>
          <w:sz w:val="18"/>
          <w:u w:val="single"/>
        </w:rPr>
        <w:t> </w:t>
      </w:r>
      <w:r>
        <w:rPr>
          <w:sz w:val="18"/>
          <w:u w:val="single"/>
        </w:rPr>
        <w:t>Co.</w:t>
      </w:r>
      <w:r>
        <w:rPr>
          <w:spacing w:val="-6"/>
          <w:sz w:val="18"/>
          <w:u w:val="single"/>
        </w:rPr>
        <w:t> </w:t>
      </w:r>
      <w:r>
        <w:rPr>
          <w:sz w:val="18"/>
          <w:u w:val="single"/>
        </w:rPr>
        <w:t>v.</w:t>
      </w:r>
      <w:r>
        <w:rPr>
          <w:spacing w:val="-6"/>
          <w:sz w:val="18"/>
          <w:u w:val="single"/>
        </w:rPr>
        <w:t> </w:t>
      </w:r>
      <w:r>
        <w:rPr>
          <w:sz w:val="18"/>
          <w:u w:val="single"/>
        </w:rPr>
        <w:t>Security</w:t>
      </w:r>
      <w:r>
        <w:rPr>
          <w:spacing w:val="-11"/>
          <w:sz w:val="18"/>
          <w:u w:val="single"/>
        </w:rPr>
        <w:t> </w:t>
      </w:r>
      <w:r>
        <w:rPr>
          <w:sz w:val="18"/>
          <w:u w:val="single"/>
        </w:rPr>
        <w:t>Ins.</w:t>
      </w:r>
      <w:r>
        <w:rPr>
          <w:spacing w:val="-7"/>
          <w:sz w:val="18"/>
          <w:u w:val="single"/>
        </w:rPr>
        <w:t> </w:t>
      </w:r>
      <w:r>
        <w:rPr>
          <w:sz w:val="18"/>
          <w:u w:val="single"/>
        </w:rPr>
        <w:t>Co.</w:t>
      </w:r>
      <w:r>
        <w:rPr>
          <w:sz w:val="18"/>
        </w:rPr>
        <w:t>,</w:t>
      </w:r>
      <w:r>
        <w:rPr>
          <w:spacing w:val="-6"/>
          <w:sz w:val="18"/>
        </w:rPr>
        <w:t> </w:t>
      </w:r>
      <w:r>
        <w:rPr>
          <w:sz w:val="18"/>
        </w:rPr>
        <w:t>169</w:t>
      </w:r>
      <w:r>
        <w:rPr>
          <w:spacing w:val="-6"/>
          <w:sz w:val="18"/>
        </w:rPr>
        <w:t> </w:t>
      </w:r>
      <w:r>
        <w:rPr>
          <w:sz w:val="18"/>
        </w:rPr>
        <w:t>N.Y.</w:t>
      </w:r>
      <w:r>
        <w:rPr>
          <w:spacing w:val="-7"/>
          <w:sz w:val="18"/>
        </w:rPr>
        <w:t> </w:t>
      </w:r>
      <w:r>
        <w:rPr>
          <w:sz w:val="18"/>
        </w:rPr>
        <w:t>304,</w:t>
      </w:r>
      <w:r>
        <w:rPr>
          <w:spacing w:val="-6"/>
          <w:sz w:val="18"/>
        </w:rPr>
        <w:t> </w:t>
      </w:r>
      <w:r>
        <w:rPr>
          <w:sz w:val="18"/>
        </w:rPr>
        <w:t>62</w:t>
      </w:r>
      <w:r>
        <w:rPr>
          <w:spacing w:val="-8"/>
          <w:sz w:val="18"/>
        </w:rPr>
        <w:t> </w:t>
      </w:r>
      <w:r>
        <w:rPr>
          <w:sz w:val="18"/>
        </w:rPr>
        <w:t>N.E.</w:t>
      </w:r>
      <w:r>
        <w:rPr>
          <w:spacing w:val="-8"/>
          <w:sz w:val="18"/>
        </w:rPr>
        <w:t> </w:t>
      </w:r>
      <w:r>
        <w:rPr>
          <w:sz w:val="18"/>
        </w:rPr>
        <w:t>392</w:t>
      </w:r>
      <w:r>
        <w:rPr>
          <w:spacing w:val="-8"/>
          <w:sz w:val="18"/>
        </w:rPr>
        <w:t> </w:t>
      </w:r>
      <w:r>
        <w:rPr>
          <w:sz w:val="18"/>
        </w:rPr>
        <w:t>(1901);</w:t>
      </w:r>
      <w:r>
        <w:rPr>
          <w:spacing w:val="-6"/>
          <w:sz w:val="18"/>
        </w:rPr>
        <w:t> </w:t>
      </w:r>
      <w:r>
        <w:rPr>
          <w:sz w:val="18"/>
          <w:u w:val="single"/>
        </w:rPr>
        <w:t>Peck</w:t>
      </w:r>
    </w:p>
    <w:p>
      <w:pPr>
        <w:spacing w:before="19"/>
        <w:ind w:left="2740" w:right="0" w:firstLine="0"/>
        <w:jc w:val="left"/>
        <w:rPr>
          <w:rFonts w:ascii="Times New Roman"/>
          <w:sz w:val="18"/>
        </w:rPr>
      </w:pPr>
      <w:r>
        <w:rPr>
          <w:rFonts w:ascii="Times New Roman"/>
          <w:sz w:val="18"/>
          <w:u w:val="single"/>
        </w:rPr>
        <w:t>v. Planet Ins. Co.</w:t>
      </w:r>
      <w:r>
        <w:rPr>
          <w:rFonts w:ascii="Times New Roman"/>
          <w:sz w:val="18"/>
        </w:rPr>
        <w:t>, 1994 WL 381544 (S.D.N.Y. 1994).</w:t>
      </w:r>
    </w:p>
    <w:p>
      <w:pPr>
        <w:spacing w:after="0"/>
        <w:jc w:val="left"/>
        <w:rPr>
          <w:rFonts w:ascii="Times New Roman"/>
          <w:sz w:val="18"/>
        </w:rPr>
        <w:sectPr>
          <w:footerReference w:type="default" r:id="rId26"/>
          <w:pgSz w:w="12240" w:h="15840"/>
          <w:pgMar w:footer="2476" w:header="0" w:top="1500" w:bottom="26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firstLine="720"/>
        <w:jc w:val="both"/>
      </w:pPr>
      <w:bookmarkStart w:name="Law and Procedure 231" w:id="45"/>
      <w:bookmarkEnd w:id="45"/>
      <w:r>
        <w:rPr/>
      </w:r>
      <w:r>
        <w:rPr/>
        <w:t>The carrier would be deemed to </w:t>
      </w:r>
      <w:r>
        <w:rPr>
          <w:spacing w:val="-4"/>
        </w:rPr>
        <w:t>have</w:t>
      </w:r>
      <w:r>
        <w:rPr>
          <w:spacing w:val="63"/>
        </w:rPr>
        <w:t> </w:t>
      </w:r>
      <w:r>
        <w:rPr/>
        <w:t>waived its right to an appraisal where it delayed demanding an appraisal until after</w:t>
      </w:r>
      <w:r>
        <w:rPr>
          <w:spacing w:val="-21"/>
        </w:rPr>
        <w:t> </w:t>
      </w:r>
      <w:r>
        <w:rPr>
          <w:spacing w:val="-11"/>
        </w:rPr>
        <w:t>a </w:t>
      </w:r>
      <w:r>
        <w:rPr/>
        <w:t>portion of the damaged property had been sold, making the appraisal</w:t>
      </w:r>
      <w:r>
        <w:rPr>
          <w:spacing w:val="-2"/>
        </w:rPr>
        <w:t> </w:t>
      </w:r>
      <w:r>
        <w:rPr/>
        <w:t>impossible.</w:t>
      </w:r>
      <w:r>
        <w:rPr>
          <w:vertAlign w:val="superscript"/>
        </w:rPr>
        <w:t>522</w:t>
      </w:r>
    </w:p>
    <w:p>
      <w:pPr>
        <w:pStyle w:val="BodyText"/>
      </w:pPr>
    </w:p>
    <w:p>
      <w:pPr>
        <w:pStyle w:val="BodyText"/>
        <w:spacing w:line="242" w:lineRule="auto" w:before="1"/>
        <w:ind w:left="3100" w:right="3200" w:firstLine="720"/>
        <w:jc w:val="both"/>
      </w:pPr>
      <w:r>
        <w:rPr/>
        <w:t>Little</w:t>
      </w:r>
      <w:r>
        <w:rPr>
          <w:spacing w:val="-30"/>
        </w:rPr>
        <w:t> </w:t>
      </w:r>
      <w:r>
        <w:rPr/>
        <w:t>judicial</w:t>
      </w:r>
      <w:r>
        <w:rPr>
          <w:spacing w:val="-29"/>
        </w:rPr>
        <w:t> </w:t>
      </w:r>
      <w:r>
        <w:rPr>
          <w:spacing w:val="-3"/>
        </w:rPr>
        <w:t>support</w:t>
      </w:r>
      <w:r>
        <w:rPr>
          <w:spacing w:val="-33"/>
        </w:rPr>
        <w:t> </w:t>
      </w:r>
      <w:r>
        <w:rPr/>
        <w:t>can</w:t>
      </w:r>
      <w:r>
        <w:rPr>
          <w:spacing w:val="-29"/>
        </w:rPr>
        <w:t> </w:t>
      </w:r>
      <w:r>
        <w:rPr/>
        <w:t>be</w:t>
      </w:r>
      <w:r>
        <w:rPr>
          <w:spacing w:val="-29"/>
        </w:rPr>
        <w:t> </w:t>
      </w:r>
      <w:r>
        <w:rPr/>
        <w:t>found</w:t>
      </w:r>
      <w:r>
        <w:rPr>
          <w:spacing w:val="-28"/>
        </w:rPr>
        <w:t> </w:t>
      </w:r>
      <w:r>
        <w:rPr/>
        <w:t>for</w:t>
      </w:r>
      <w:r>
        <w:rPr>
          <w:spacing w:val="-31"/>
        </w:rPr>
        <w:t> </w:t>
      </w:r>
      <w:r>
        <w:rPr/>
        <w:t>the proposition that the filing of a lawsuit necessarily cuts off recourse to the appraisal process,</w:t>
      </w:r>
      <w:r>
        <w:rPr>
          <w:vertAlign w:val="superscript"/>
        </w:rPr>
        <w:t>523</w:t>
      </w:r>
      <w:r>
        <w:rPr>
          <w:spacing w:val="-22"/>
          <w:vertAlign w:val="baseline"/>
        </w:rPr>
        <w:t> </w:t>
      </w:r>
      <w:r>
        <w:rPr>
          <w:vertAlign w:val="baseline"/>
        </w:rPr>
        <w:t>though</w:t>
      </w:r>
      <w:r>
        <w:rPr>
          <w:spacing w:val="-15"/>
          <w:vertAlign w:val="baseline"/>
        </w:rPr>
        <w:t> </w:t>
      </w:r>
      <w:r>
        <w:rPr>
          <w:vertAlign w:val="baseline"/>
        </w:rPr>
        <w:t>several</w:t>
      </w:r>
      <w:r>
        <w:rPr>
          <w:spacing w:val="-17"/>
          <w:vertAlign w:val="baseline"/>
        </w:rPr>
        <w:t> </w:t>
      </w:r>
      <w:r>
        <w:rPr>
          <w:vertAlign w:val="baseline"/>
        </w:rPr>
        <w:t>cases</w:t>
      </w:r>
      <w:r>
        <w:rPr>
          <w:spacing w:val="-17"/>
          <w:vertAlign w:val="baseline"/>
        </w:rPr>
        <w:t> </w:t>
      </w:r>
      <w:r>
        <w:rPr>
          <w:vertAlign w:val="baseline"/>
        </w:rPr>
        <w:t>have</w:t>
      </w:r>
      <w:r>
        <w:rPr>
          <w:spacing w:val="-21"/>
          <w:vertAlign w:val="baseline"/>
        </w:rPr>
        <w:t> </w:t>
      </w:r>
      <w:r>
        <w:rPr>
          <w:vertAlign w:val="baseline"/>
        </w:rPr>
        <w:t>stated</w:t>
      </w:r>
      <w:r>
        <w:rPr>
          <w:spacing w:val="-22"/>
          <w:vertAlign w:val="baseline"/>
        </w:rPr>
        <w:t> </w:t>
      </w:r>
      <w:r>
        <w:rPr>
          <w:spacing w:val="-40"/>
          <w:vertAlign w:val="baseline"/>
        </w:rPr>
        <w:t>a </w:t>
      </w:r>
      <w:r>
        <w:rPr>
          <w:vertAlign w:val="baseline"/>
        </w:rPr>
        <w:t>contrary</w:t>
      </w:r>
      <w:r>
        <w:rPr>
          <w:spacing w:val="-3"/>
          <w:vertAlign w:val="baseline"/>
        </w:rPr>
        <w:t> </w:t>
      </w:r>
      <w:r>
        <w:rPr>
          <w:vertAlign w:val="baseline"/>
        </w:rPr>
        <w:t>position.</w:t>
      </w:r>
      <w:r>
        <w:rPr>
          <w:vertAlign w:val="superscript"/>
        </w:rPr>
        <w:t>524</w:t>
      </w:r>
    </w:p>
    <w:p>
      <w:pPr>
        <w:pStyle w:val="BodyText"/>
      </w:pPr>
    </w:p>
    <w:p>
      <w:pPr>
        <w:pStyle w:val="BodyText"/>
        <w:spacing w:line="242" w:lineRule="auto" w:before="1"/>
        <w:ind w:left="3100" w:right="3196" w:firstLine="720"/>
        <w:jc w:val="both"/>
      </w:pPr>
      <w:r>
        <w:rPr>
          <w:spacing w:val="3"/>
        </w:rPr>
        <w:t>It </w:t>
      </w:r>
      <w:r>
        <w:rPr/>
        <w:t>has been held that the insurer had waived the appraisal provision when it first requested appraisal 23 months after</w:t>
      </w:r>
      <w:r>
        <w:rPr>
          <w:spacing w:val="-40"/>
        </w:rPr>
        <w:t> </w:t>
      </w:r>
      <w:r>
        <w:rPr/>
        <w:t>receiving notice of plaintiff’s loss. </w:t>
      </w:r>
      <w:r>
        <w:rPr>
          <w:spacing w:val="2"/>
        </w:rPr>
        <w:t>In </w:t>
      </w:r>
      <w:r>
        <w:rPr>
          <w:u w:val="single"/>
        </w:rPr>
        <w:t>Hodges v.</w:t>
      </w:r>
      <w:r>
        <w:rPr/>
        <w:t> </w:t>
      </w:r>
      <w:r>
        <w:rPr>
          <w:u w:val="single"/>
        </w:rPr>
        <w:t>Pennsylvania Miller’s Mut. Ins. Co.</w:t>
      </w:r>
      <w:r>
        <w:rPr/>
        <w:t>,</w:t>
      </w:r>
      <w:r>
        <w:rPr>
          <w:vertAlign w:val="superscript"/>
        </w:rPr>
        <w:t>525</w:t>
      </w:r>
      <w:r>
        <w:rPr>
          <w:vertAlign w:val="baseline"/>
        </w:rPr>
        <w:t> the </w:t>
      </w:r>
      <w:r>
        <w:rPr>
          <w:spacing w:val="-7"/>
          <w:vertAlign w:val="baseline"/>
        </w:rPr>
        <w:t>court </w:t>
      </w:r>
      <w:r>
        <w:rPr>
          <w:vertAlign w:val="baseline"/>
        </w:rPr>
        <w:t>considered the circumstances of the case including</w:t>
      </w:r>
      <w:r>
        <w:rPr>
          <w:spacing w:val="-24"/>
          <w:vertAlign w:val="baseline"/>
        </w:rPr>
        <w:t> </w:t>
      </w:r>
      <w:r>
        <w:rPr>
          <w:vertAlign w:val="baseline"/>
        </w:rPr>
        <w:t>the</w:t>
      </w:r>
      <w:r>
        <w:rPr>
          <w:spacing w:val="-24"/>
          <w:vertAlign w:val="baseline"/>
        </w:rPr>
        <w:t> </w:t>
      </w:r>
      <w:r>
        <w:rPr>
          <w:vertAlign w:val="baseline"/>
        </w:rPr>
        <w:t>fact</w:t>
      </w:r>
      <w:r>
        <w:rPr>
          <w:spacing w:val="-24"/>
          <w:vertAlign w:val="baseline"/>
        </w:rPr>
        <w:t> </w:t>
      </w:r>
      <w:r>
        <w:rPr>
          <w:vertAlign w:val="baseline"/>
        </w:rPr>
        <w:t>that</w:t>
      </w:r>
      <w:r>
        <w:rPr>
          <w:spacing w:val="-23"/>
          <w:vertAlign w:val="baseline"/>
        </w:rPr>
        <w:t> </w:t>
      </w:r>
      <w:r>
        <w:rPr>
          <w:vertAlign w:val="baseline"/>
        </w:rPr>
        <w:t>a</w:t>
      </w:r>
      <w:r>
        <w:rPr>
          <w:spacing w:val="-24"/>
          <w:vertAlign w:val="baseline"/>
        </w:rPr>
        <w:t> </w:t>
      </w:r>
      <w:r>
        <w:rPr>
          <w:vertAlign w:val="baseline"/>
        </w:rPr>
        <w:t>trial</w:t>
      </w:r>
      <w:r>
        <w:rPr>
          <w:spacing w:val="-24"/>
          <w:vertAlign w:val="baseline"/>
        </w:rPr>
        <w:t> </w:t>
      </w:r>
      <w:r>
        <w:rPr>
          <w:vertAlign w:val="baseline"/>
        </w:rPr>
        <w:t>date</w:t>
      </w:r>
      <w:r>
        <w:rPr>
          <w:spacing w:val="-25"/>
          <w:vertAlign w:val="baseline"/>
        </w:rPr>
        <w:t> </w:t>
      </w:r>
      <w:r>
        <w:rPr>
          <w:vertAlign w:val="baseline"/>
        </w:rPr>
        <w:t>had</w:t>
      </w:r>
      <w:r>
        <w:rPr>
          <w:spacing w:val="-23"/>
          <w:vertAlign w:val="baseline"/>
        </w:rPr>
        <w:t> </w:t>
      </w:r>
      <w:r>
        <w:rPr>
          <w:vertAlign w:val="baseline"/>
        </w:rPr>
        <w:t>actually been set and concluded that the insurer’s request</w:t>
      </w:r>
      <w:r>
        <w:rPr>
          <w:spacing w:val="-21"/>
          <w:vertAlign w:val="baseline"/>
        </w:rPr>
        <w:t> </w:t>
      </w:r>
      <w:r>
        <w:rPr>
          <w:vertAlign w:val="baseline"/>
        </w:rPr>
        <w:t>was</w:t>
      </w:r>
      <w:r>
        <w:rPr>
          <w:spacing w:val="-18"/>
          <w:vertAlign w:val="baseline"/>
        </w:rPr>
        <w:t> </w:t>
      </w:r>
      <w:r>
        <w:rPr>
          <w:vertAlign w:val="baseline"/>
        </w:rPr>
        <w:t>untimely</w:t>
      </w:r>
      <w:r>
        <w:rPr>
          <w:spacing w:val="-22"/>
          <w:vertAlign w:val="baseline"/>
        </w:rPr>
        <w:t> </w:t>
      </w:r>
      <w:r>
        <w:rPr>
          <w:vertAlign w:val="baseline"/>
        </w:rPr>
        <w:t>and</w:t>
      </w:r>
      <w:r>
        <w:rPr>
          <w:spacing w:val="-18"/>
          <w:vertAlign w:val="baseline"/>
        </w:rPr>
        <w:t> </w:t>
      </w:r>
      <w:r>
        <w:rPr>
          <w:vertAlign w:val="baseline"/>
        </w:rPr>
        <w:t>did</w:t>
      </w:r>
      <w:r>
        <w:rPr>
          <w:spacing w:val="-19"/>
          <w:vertAlign w:val="baseline"/>
        </w:rPr>
        <w:t> </w:t>
      </w:r>
      <w:r>
        <w:rPr>
          <w:vertAlign w:val="baseline"/>
        </w:rPr>
        <w:t>not</w:t>
      </w:r>
      <w:r>
        <w:rPr>
          <w:spacing w:val="-20"/>
          <w:vertAlign w:val="baseline"/>
        </w:rPr>
        <w:t> </w:t>
      </w:r>
      <w:r>
        <w:rPr>
          <w:vertAlign w:val="baseline"/>
        </w:rPr>
        <w:t>bar</w:t>
      </w:r>
      <w:r>
        <w:rPr>
          <w:spacing w:val="-20"/>
          <w:vertAlign w:val="baseline"/>
        </w:rPr>
        <w:t> </w:t>
      </w:r>
      <w:r>
        <w:rPr>
          <w:vertAlign w:val="baseline"/>
        </w:rPr>
        <w:t>plaintiff’s claim in</w:t>
      </w:r>
      <w:r>
        <w:rPr>
          <w:spacing w:val="-2"/>
          <w:vertAlign w:val="baseline"/>
        </w:rPr>
        <w:t> </w:t>
      </w:r>
      <w:r>
        <w:rPr>
          <w:vertAlign w:val="baseline"/>
        </w:rPr>
        <w:t>litigation.</w:t>
      </w:r>
    </w:p>
    <w:p>
      <w:pPr>
        <w:pStyle w:val="BodyText"/>
        <w:rPr>
          <w:sz w:val="20"/>
        </w:rPr>
      </w:pPr>
    </w:p>
    <w:p>
      <w:pPr>
        <w:pStyle w:val="BodyText"/>
        <w:rPr>
          <w:sz w:val="20"/>
        </w:rPr>
      </w:pPr>
    </w:p>
    <w:p>
      <w:pPr>
        <w:pStyle w:val="BodyText"/>
        <w:rPr>
          <w:sz w:val="13"/>
        </w:rPr>
      </w:pPr>
      <w:r>
        <w:rPr/>
        <w:pict>
          <v:shape style="position:absolute;margin-left:162pt;margin-top:10.382647pt;width:143.9pt;height:.1pt;mso-position-horizontal-relative:page;mso-position-vertical-relative:paragraph;z-index:-251526144;mso-wrap-distance-left:0;mso-wrap-distance-right:0" coordorigin="3240,208" coordsize="2878,0" path="m3240,208l6118,20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3015" w:val="left" w:leader="none"/>
        </w:tabs>
        <w:spacing w:line="240" w:lineRule="auto" w:before="71" w:after="0"/>
        <w:ind w:left="3014" w:right="0" w:hanging="275"/>
        <w:jc w:val="left"/>
        <w:rPr>
          <w:sz w:val="18"/>
        </w:rPr>
      </w:pPr>
      <w:r>
        <w:rPr>
          <w:sz w:val="18"/>
          <w:u w:val="single"/>
        </w:rPr>
        <w:t>Chainless Cycle</w:t>
      </w:r>
      <w:r>
        <w:rPr>
          <w:sz w:val="18"/>
        </w:rPr>
        <w:t>,</w:t>
      </w:r>
      <w:r>
        <w:rPr>
          <w:spacing w:val="-1"/>
          <w:sz w:val="18"/>
        </w:rPr>
        <w:t> </w:t>
      </w:r>
      <w:r>
        <w:rPr>
          <w:sz w:val="18"/>
          <w:u w:val="single"/>
        </w:rPr>
        <w:t>Id</w:t>
      </w:r>
      <w:r>
        <w:rPr>
          <w:sz w:val="18"/>
        </w:rPr>
        <w:t>.</w:t>
      </w:r>
    </w:p>
    <w:p>
      <w:pPr>
        <w:pStyle w:val="ListParagraph"/>
        <w:numPr>
          <w:ilvl w:val="0"/>
          <w:numId w:val="9"/>
        </w:numPr>
        <w:tabs>
          <w:tab w:pos="3015" w:val="left" w:leader="none"/>
        </w:tabs>
        <w:spacing w:line="240" w:lineRule="auto" w:before="14" w:after="0"/>
        <w:ind w:left="3014" w:right="0" w:hanging="275"/>
        <w:jc w:val="left"/>
        <w:rPr>
          <w:sz w:val="18"/>
        </w:rPr>
      </w:pPr>
      <w:r>
        <w:rPr>
          <w:sz w:val="18"/>
          <w:u w:val="single"/>
        </w:rPr>
        <w:t>Terra Ind. Inc.</w:t>
      </w:r>
      <w:r>
        <w:rPr>
          <w:sz w:val="18"/>
        </w:rPr>
        <w:t>, 981 F.Supp. 581; </w:t>
      </w:r>
      <w:r>
        <w:rPr>
          <w:sz w:val="18"/>
          <w:u w:val="single"/>
        </w:rPr>
        <w:t>Clinton</w:t>
      </w:r>
      <w:r>
        <w:rPr>
          <w:sz w:val="18"/>
        </w:rPr>
        <w:t>, 38 Conn. App. 555; </w:t>
      </w:r>
      <w:r>
        <w:rPr>
          <w:sz w:val="18"/>
          <w:u w:val="single"/>
        </w:rPr>
        <w:t>Meineke</w:t>
      </w:r>
      <w:r>
        <w:rPr>
          <w:sz w:val="18"/>
        </w:rPr>
        <w:t>, 181 Az.</w:t>
      </w:r>
      <w:r>
        <w:rPr>
          <w:spacing w:val="-5"/>
          <w:sz w:val="18"/>
        </w:rPr>
        <w:t> </w:t>
      </w:r>
      <w:r>
        <w:rPr>
          <w:sz w:val="18"/>
        </w:rPr>
        <w:t>576;</w:t>
      </w:r>
    </w:p>
    <w:p>
      <w:pPr>
        <w:spacing w:before="18"/>
        <w:ind w:left="2740" w:right="0" w:firstLine="0"/>
        <w:jc w:val="left"/>
        <w:rPr>
          <w:rFonts w:ascii="Times New Roman"/>
          <w:sz w:val="18"/>
        </w:rPr>
      </w:pPr>
      <w:r>
        <w:rPr>
          <w:rFonts w:ascii="Times New Roman"/>
          <w:sz w:val="18"/>
          <w:u w:val="single"/>
        </w:rPr>
        <w:t>Martinez</w:t>
      </w:r>
      <w:r>
        <w:rPr>
          <w:rFonts w:ascii="Times New Roman"/>
          <w:sz w:val="18"/>
        </w:rPr>
        <w:t>,</w:t>
      </w:r>
      <w:r>
        <w:rPr>
          <w:rFonts w:ascii="Times New Roman"/>
          <w:spacing w:val="6"/>
          <w:sz w:val="18"/>
        </w:rPr>
        <w:t> </w:t>
      </w:r>
      <w:r>
        <w:rPr>
          <w:rFonts w:ascii="Times New Roman"/>
          <w:sz w:val="18"/>
        </w:rPr>
        <w:t>643</w:t>
      </w:r>
      <w:r>
        <w:rPr>
          <w:rFonts w:ascii="Times New Roman"/>
          <w:spacing w:val="9"/>
          <w:sz w:val="18"/>
        </w:rPr>
        <w:t> </w:t>
      </w:r>
      <w:r>
        <w:rPr>
          <w:rFonts w:ascii="Times New Roman"/>
          <w:sz w:val="18"/>
        </w:rPr>
        <w:t>So.2d</w:t>
      </w:r>
      <w:r>
        <w:rPr>
          <w:rFonts w:ascii="Times New Roman"/>
          <w:spacing w:val="8"/>
          <w:sz w:val="18"/>
        </w:rPr>
        <w:t> </w:t>
      </w:r>
      <w:r>
        <w:rPr>
          <w:rFonts w:ascii="Times New Roman"/>
          <w:sz w:val="18"/>
        </w:rPr>
        <w:t>1101,</w:t>
      </w:r>
      <w:r>
        <w:rPr>
          <w:rFonts w:ascii="Times New Roman"/>
          <w:spacing w:val="9"/>
          <w:sz w:val="18"/>
        </w:rPr>
        <w:t> </w:t>
      </w:r>
      <w:r>
        <w:rPr>
          <w:rFonts w:ascii="Times New Roman"/>
          <w:sz w:val="18"/>
        </w:rPr>
        <w:t>1102-03;</w:t>
      </w:r>
      <w:r>
        <w:rPr>
          <w:rFonts w:ascii="Times New Roman"/>
          <w:spacing w:val="7"/>
          <w:sz w:val="18"/>
        </w:rPr>
        <w:t> </w:t>
      </w:r>
      <w:r>
        <w:rPr>
          <w:rFonts w:ascii="Times New Roman"/>
          <w:sz w:val="18"/>
          <w:u w:val="single"/>
        </w:rPr>
        <w:t>Backstage,</w:t>
      </w:r>
      <w:r>
        <w:rPr>
          <w:rFonts w:ascii="Times New Roman"/>
          <w:spacing w:val="8"/>
          <w:sz w:val="18"/>
          <w:u w:val="single"/>
        </w:rPr>
        <w:t> </w:t>
      </w:r>
      <w:r>
        <w:rPr>
          <w:rFonts w:ascii="Times New Roman"/>
          <w:sz w:val="18"/>
          <w:u w:val="single"/>
        </w:rPr>
        <w:t>Inc.</w:t>
      </w:r>
      <w:r>
        <w:rPr>
          <w:rFonts w:ascii="Times New Roman"/>
          <w:sz w:val="18"/>
        </w:rPr>
        <w:t>,</w:t>
      </w:r>
      <w:r>
        <w:rPr>
          <w:rFonts w:ascii="Times New Roman"/>
          <w:spacing w:val="7"/>
          <w:sz w:val="18"/>
        </w:rPr>
        <w:t> </w:t>
      </w:r>
      <w:r>
        <w:rPr>
          <w:rFonts w:ascii="Times New Roman"/>
          <w:sz w:val="18"/>
        </w:rPr>
        <w:t>537</w:t>
      </w:r>
      <w:r>
        <w:rPr>
          <w:rFonts w:ascii="Times New Roman"/>
          <w:spacing w:val="9"/>
          <w:sz w:val="18"/>
        </w:rPr>
        <w:t> </w:t>
      </w:r>
      <w:r>
        <w:rPr>
          <w:rFonts w:ascii="Times New Roman"/>
          <w:sz w:val="18"/>
        </w:rPr>
        <w:t>N.E.2d</w:t>
      </w:r>
      <w:r>
        <w:rPr>
          <w:rFonts w:ascii="Times New Roman"/>
          <w:spacing w:val="8"/>
          <w:sz w:val="18"/>
        </w:rPr>
        <w:t> </w:t>
      </w:r>
      <w:r>
        <w:rPr>
          <w:rFonts w:ascii="Times New Roman"/>
          <w:sz w:val="18"/>
        </w:rPr>
        <w:t>528,</w:t>
      </w:r>
      <w:r>
        <w:rPr>
          <w:rFonts w:ascii="Times New Roman"/>
          <w:spacing w:val="9"/>
          <w:sz w:val="18"/>
        </w:rPr>
        <w:t> </w:t>
      </w:r>
      <w:r>
        <w:rPr>
          <w:rFonts w:ascii="Times New Roman"/>
          <w:sz w:val="18"/>
        </w:rPr>
        <w:t>529;</w:t>
      </w:r>
      <w:r>
        <w:rPr>
          <w:rFonts w:ascii="Times New Roman"/>
          <w:spacing w:val="7"/>
          <w:sz w:val="18"/>
        </w:rPr>
        <w:t> </w:t>
      </w:r>
      <w:r>
        <w:rPr>
          <w:rFonts w:ascii="Times New Roman"/>
          <w:sz w:val="18"/>
          <w:u w:val="single"/>
        </w:rPr>
        <w:t>Keesling</w:t>
      </w:r>
      <w:r>
        <w:rPr>
          <w:rFonts w:ascii="Times New Roman"/>
          <w:sz w:val="18"/>
        </w:rPr>
        <w:t>,</w:t>
      </w:r>
      <w:r>
        <w:rPr>
          <w:rFonts w:ascii="Times New Roman"/>
          <w:spacing w:val="9"/>
          <w:sz w:val="18"/>
        </w:rPr>
        <w:t> </w:t>
      </w:r>
      <w:r>
        <w:rPr>
          <w:rFonts w:ascii="Times New Roman"/>
          <w:sz w:val="18"/>
        </w:rPr>
        <w:t>10</w:t>
      </w:r>
    </w:p>
    <w:p>
      <w:pPr>
        <w:spacing w:before="5"/>
        <w:ind w:left="2740" w:right="0" w:firstLine="0"/>
        <w:jc w:val="left"/>
        <w:rPr>
          <w:rFonts w:ascii="Times New Roman"/>
          <w:sz w:val="18"/>
        </w:rPr>
      </w:pPr>
      <w:r>
        <w:rPr>
          <w:rFonts w:ascii="Times New Roman"/>
          <w:sz w:val="18"/>
        </w:rPr>
        <w:t>Wash.</w:t>
      </w:r>
      <w:r>
        <w:rPr>
          <w:rFonts w:ascii="Times New Roman"/>
          <w:spacing w:val="-6"/>
          <w:sz w:val="18"/>
        </w:rPr>
        <w:t> </w:t>
      </w:r>
      <w:r>
        <w:rPr>
          <w:rFonts w:ascii="Times New Roman"/>
          <w:sz w:val="18"/>
        </w:rPr>
        <w:t>App.</w:t>
      </w:r>
      <w:r>
        <w:rPr>
          <w:rFonts w:ascii="Times New Roman"/>
          <w:spacing w:val="-6"/>
          <w:sz w:val="18"/>
        </w:rPr>
        <w:t> </w:t>
      </w:r>
      <w:r>
        <w:rPr>
          <w:rFonts w:ascii="Times New Roman"/>
          <w:sz w:val="18"/>
        </w:rPr>
        <w:t>841,</w:t>
      </w:r>
      <w:r>
        <w:rPr>
          <w:rFonts w:ascii="Times New Roman"/>
          <w:spacing w:val="-6"/>
          <w:sz w:val="18"/>
        </w:rPr>
        <w:t> </w:t>
      </w:r>
      <w:r>
        <w:rPr>
          <w:rFonts w:ascii="Times New Roman"/>
          <w:sz w:val="18"/>
        </w:rPr>
        <w:t>847-48</w:t>
      </w:r>
      <w:r>
        <w:rPr>
          <w:rFonts w:ascii="Times New Roman"/>
          <w:spacing w:val="-6"/>
          <w:sz w:val="18"/>
        </w:rPr>
        <w:t> </w:t>
      </w:r>
      <w:r>
        <w:rPr>
          <w:rFonts w:ascii="Times New Roman"/>
          <w:sz w:val="18"/>
        </w:rPr>
        <w:t>(Wash.</w:t>
      </w:r>
      <w:r>
        <w:rPr>
          <w:rFonts w:ascii="Times New Roman"/>
          <w:spacing w:val="-6"/>
          <w:sz w:val="18"/>
        </w:rPr>
        <w:t> </w:t>
      </w:r>
      <w:r>
        <w:rPr>
          <w:rFonts w:ascii="Times New Roman"/>
          <w:sz w:val="18"/>
        </w:rPr>
        <w:t>Ct.</w:t>
      </w:r>
      <w:r>
        <w:rPr>
          <w:rFonts w:ascii="Times New Roman"/>
          <w:spacing w:val="-6"/>
          <w:sz w:val="18"/>
        </w:rPr>
        <w:t> </w:t>
      </w:r>
      <w:r>
        <w:rPr>
          <w:rFonts w:ascii="Times New Roman"/>
          <w:sz w:val="18"/>
        </w:rPr>
        <w:t>App.</w:t>
      </w:r>
      <w:r>
        <w:rPr>
          <w:rFonts w:ascii="Times New Roman"/>
          <w:spacing w:val="-5"/>
          <w:sz w:val="18"/>
        </w:rPr>
        <w:t> </w:t>
      </w:r>
      <w:r>
        <w:rPr>
          <w:rFonts w:ascii="Times New Roman"/>
          <w:sz w:val="18"/>
        </w:rPr>
        <w:t>1974);</w:t>
      </w:r>
      <w:r>
        <w:rPr>
          <w:rFonts w:ascii="Times New Roman"/>
          <w:spacing w:val="-7"/>
          <w:sz w:val="18"/>
        </w:rPr>
        <w:t> </w:t>
      </w:r>
      <w:r>
        <w:rPr>
          <w:rFonts w:ascii="Times New Roman"/>
          <w:sz w:val="18"/>
          <w:u w:val="single"/>
        </w:rPr>
        <w:t>Hanby</w:t>
      </w:r>
      <w:r>
        <w:rPr>
          <w:rFonts w:ascii="Times New Roman"/>
          <w:sz w:val="18"/>
        </w:rPr>
        <w:t>,</w:t>
      </w:r>
      <w:r>
        <w:rPr>
          <w:rFonts w:ascii="Times New Roman"/>
          <w:spacing w:val="-6"/>
          <w:sz w:val="18"/>
        </w:rPr>
        <w:t> </w:t>
      </w:r>
      <w:r>
        <w:rPr>
          <w:rFonts w:ascii="Times New Roman"/>
          <w:sz w:val="18"/>
        </w:rPr>
        <w:t>265</w:t>
      </w:r>
      <w:r>
        <w:rPr>
          <w:rFonts w:ascii="Times New Roman"/>
          <w:spacing w:val="-6"/>
          <w:sz w:val="18"/>
        </w:rPr>
        <w:t> </w:t>
      </w:r>
      <w:r>
        <w:rPr>
          <w:rFonts w:ascii="Times New Roman"/>
          <w:sz w:val="18"/>
        </w:rPr>
        <w:t>A.2d</w:t>
      </w:r>
      <w:r>
        <w:rPr>
          <w:rFonts w:ascii="Times New Roman"/>
          <w:spacing w:val="-8"/>
          <w:sz w:val="18"/>
        </w:rPr>
        <w:t> </w:t>
      </w:r>
      <w:r>
        <w:rPr>
          <w:rFonts w:ascii="Times New Roman"/>
          <w:sz w:val="18"/>
        </w:rPr>
        <w:t>28;</w:t>
      </w:r>
      <w:r>
        <w:rPr>
          <w:rFonts w:ascii="Times New Roman"/>
          <w:spacing w:val="-9"/>
          <w:sz w:val="18"/>
        </w:rPr>
        <w:t> </w:t>
      </w:r>
      <w:r>
        <w:rPr>
          <w:rFonts w:ascii="Times New Roman"/>
          <w:sz w:val="18"/>
          <w:u w:val="single"/>
        </w:rPr>
        <w:t>School</w:t>
      </w:r>
      <w:r>
        <w:rPr>
          <w:rFonts w:ascii="Times New Roman"/>
          <w:spacing w:val="-8"/>
          <w:sz w:val="18"/>
          <w:u w:val="single"/>
        </w:rPr>
        <w:t> </w:t>
      </w:r>
      <w:r>
        <w:rPr>
          <w:rFonts w:ascii="Times New Roman"/>
          <w:sz w:val="18"/>
          <w:u w:val="single"/>
        </w:rPr>
        <w:t>District</w:t>
      </w:r>
      <w:r>
        <w:rPr>
          <w:rFonts w:ascii="Times New Roman"/>
          <w:sz w:val="18"/>
        </w:rPr>
        <w:t>,</w:t>
      </w:r>
      <w:r>
        <w:rPr>
          <w:rFonts w:ascii="Times New Roman"/>
          <w:spacing w:val="-9"/>
          <w:sz w:val="18"/>
        </w:rPr>
        <w:t> </w:t>
      </w:r>
      <w:r>
        <w:rPr>
          <w:rFonts w:ascii="Times New Roman"/>
          <w:sz w:val="18"/>
        </w:rPr>
        <w:t>146</w:t>
      </w:r>
    </w:p>
    <w:p>
      <w:pPr>
        <w:spacing w:line="178" w:lineRule="exact" w:before="4"/>
        <w:ind w:left="2740" w:right="0" w:firstLine="0"/>
        <w:jc w:val="left"/>
        <w:rPr>
          <w:rFonts w:ascii="Times New Roman" w:hAnsi="Times New Roman"/>
          <w:sz w:val="18"/>
        </w:rPr>
      </w:pPr>
      <w:r>
        <w:rPr>
          <w:rFonts w:ascii="Times New Roman" w:hAnsi="Times New Roman"/>
          <w:sz w:val="18"/>
        </w:rPr>
        <w:t>Mont. 208, 214; </w:t>
      </w:r>
      <w:r>
        <w:rPr>
          <w:rFonts w:ascii="Times New Roman" w:hAnsi="Times New Roman"/>
          <w:sz w:val="18"/>
          <w:u w:val="single"/>
        </w:rPr>
        <w:t>Bard’s Apparel</w:t>
      </w:r>
      <w:r>
        <w:rPr>
          <w:rFonts w:ascii="Times New Roman" w:hAnsi="Times New Roman"/>
          <w:sz w:val="18"/>
        </w:rPr>
        <w:t>, 849 F.2d 245.</w:t>
      </w:r>
    </w:p>
    <w:p>
      <w:pPr>
        <w:pStyle w:val="ListParagraph"/>
        <w:numPr>
          <w:ilvl w:val="0"/>
          <w:numId w:val="9"/>
        </w:numPr>
        <w:tabs>
          <w:tab w:pos="2996" w:val="left" w:leader="none"/>
        </w:tabs>
        <w:spacing w:line="240" w:lineRule="exact" w:before="0" w:after="0"/>
        <w:ind w:left="2995" w:right="0" w:hanging="256"/>
        <w:jc w:val="left"/>
        <w:rPr>
          <w:sz w:val="18"/>
        </w:rPr>
      </w:pPr>
      <w:r>
        <w:rPr>
          <w:sz w:val="18"/>
          <w:u w:val="single"/>
        </w:rPr>
        <w:t>Littrell</w:t>
      </w:r>
      <w:r>
        <w:rPr>
          <w:spacing w:val="-4"/>
          <w:sz w:val="18"/>
          <w:u w:val="single"/>
        </w:rPr>
        <w:t> </w:t>
      </w:r>
      <w:r>
        <w:rPr>
          <w:sz w:val="18"/>
          <w:u w:val="single"/>
        </w:rPr>
        <w:t>v.</w:t>
      </w:r>
      <w:r>
        <w:rPr>
          <w:spacing w:val="-5"/>
          <w:sz w:val="18"/>
          <w:u w:val="single"/>
        </w:rPr>
        <w:t> </w:t>
      </w:r>
      <w:r>
        <w:rPr>
          <w:sz w:val="18"/>
          <w:u w:val="single"/>
        </w:rPr>
        <w:t>Allemania</w:t>
      </w:r>
      <w:r>
        <w:rPr>
          <w:spacing w:val="-5"/>
          <w:sz w:val="18"/>
          <w:u w:val="single"/>
        </w:rPr>
        <w:t> </w:t>
      </w:r>
      <w:r>
        <w:rPr>
          <w:sz w:val="18"/>
          <w:u w:val="single"/>
        </w:rPr>
        <w:t>Fire</w:t>
      </w:r>
      <w:r>
        <w:rPr>
          <w:spacing w:val="-5"/>
          <w:sz w:val="18"/>
          <w:u w:val="single"/>
        </w:rPr>
        <w:t> </w:t>
      </w:r>
      <w:r>
        <w:rPr>
          <w:sz w:val="18"/>
          <w:u w:val="single"/>
        </w:rPr>
        <w:t>Ins.</w:t>
      </w:r>
      <w:r>
        <w:rPr>
          <w:spacing w:val="-5"/>
          <w:sz w:val="18"/>
          <w:u w:val="single"/>
        </w:rPr>
        <w:t> </w:t>
      </w:r>
      <w:r>
        <w:rPr>
          <w:sz w:val="18"/>
          <w:u w:val="single"/>
        </w:rPr>
        <w:t>Co.</w:t>
      </w:r>
      <w:r>
        <w:rPr>
          <w:spacing w:val="-2"/>
          <w:sz w:val="18"/>
          <w:u w:val="single"/>
        </w:rPr>
        <w:t> </w:t>
      </w:r>
      <w:r>
        <w:rPr>
          <w:sz w:val="18"/>
          <w:u w:val="single"/>
        </w:rPr>
        <w:t>of</w:t>
      </w:r>
      <w:r>
        <w:rPr>
          <w:spacing w:val="-5"/>
          <w:sz w:val="18"/>
          <w:u w:val="single"/>
        </w:rPr>
        <w:t> </w:t>
      </w:r>
      <w:r>
        <w:rPr>
          <w:sz w:val="18"/>
          <w:u w:val="single"/>
        </w:rPr>
        <w:t>Pittsburgh,</w:t>
      </w:r>
      <w:r>
        <w:rPr>
          <w:spacing w:val="-2"/>
          <w:sz w:val="18"/>
          <w:u w:val="single"/>
        </w:rPr>
        <w:t> </w:t>
      </w:r>
      <w:r>
        <w:rPr>
          <w:sz w:val="18"/>
          <w:u w:val="single"/>
        </w:rPr>
        <w:t>Pa.</w:t>
      </w:r>
      <w:r>
        <w:rPr>
          <w:sz w:val="18"/>
        </w:rPr>
        <w:t>,</w:t>
      </w:r>
      <w:r>
        <w:rPr>
          <w:spacing w:val="-2"/>
          <w:sz w:val="18"/>
        </w:rPr>
        <w:t> </w:t>
      </w:r>
      <w:r>
        <w:rPr>
          <w:sz w:val="18"/>
        </w:rPr>
        <w:t>222</w:t>
      </w:r>
      <w:r>
        <w:rPr>
          <w:spacing w:val="-1"/>
          <w:sz w:val="18"/>
        </w:rPr>
        <w:t> </w:t>
      </w:r>
      <w:r>
        <w:rPr>
          <w:sz w:val="18"/>
        </w:rPr>
        <w:t>A.D.</w:t>
      </w:r>
      <w:r>
        <w:rPr>
          <w:spacing w:val="-1"/>
          <w:sz w:val="18"/>
        </w:rPr>
        <w:t> </w:t>
      </w:r>
      <w:r>
        <w:rPr>
          <w:sz w:val="18"/>
        </w:rPr>
        <w:t>302,</w:t>
      </w:r>
      <w:r>
        <w:rPr>
          <w:spacing w:val="-2"/>
          <w:sz w:val="18"/>
        </w:rPr>
        <w:t> </w:t>
      </w:r>
      <w:r>
        <w:rPr>
          <w:sz w:val="18"/>
        </w:rPr>
        <w:t>226</w:t>
      </w:r>
      <w:r>
        <w:rPr>
          <w:spacing w:val="-2"/>
          <w:sz w:val="18"/>
        </w:rPr>
        <w:t> </w:t>
      </w:r>
      <w:r>
        <w:rPr>
          <w:sz w:val="18"/>
        </w:rPr>
        <w:t>N.Y.S.343</w:t>
      </w:r>
      <w:r>
        <w:rPr>
          <w:spacing w:val="-3"/>
          <w:sz w:val="18"/>
        </w:rPr>
        <w:t> </w:t>
      </w:r>
      <w:r>
        <w:rPr>
          <w:sz w:val="18"/>
        </w:rPr>
        <w:t>(3d</w:t>
      </w:r>
    </w:p>
    <w:p>
      <w:pPr>
        <w:spacing w:before="4"/>
        <w:ind w:left="0" w:right="101" w:firstLine="0"/>
        <w:jc w:val="center"/>
        <w:rPr>
          <w:rFonts w:ascii="Times New Roman"/>
          <w:sz w:val="18"/>
        </w:rPr>
      </w:pPr>
      <w:r>
        <w:rPr>
          <w:rFonts w:ascii="Times New Roman"/>
          <w:sz w:val="18"/>
        </w:rPr>
        <w:t>Dept.</w:t>
      </w:r>
      <w:r>
        <w:rPr>
          <w:rFonts w:ascii="Times New Roman"/>
          <w:spacing w:val="8"/>
          <w:sz w:val="18"/>
        </w:rPr>
        <w:t> </w:t>
      </w:r>
      <w:r>
        <w:rPr>
          <w:rFonts w:ascii="Times New Roman"/>
          <w:sz w:val="18"/>
        </w:rPr>
        <w:t>1928),</w:t>
      </w:r>
      <w:r>
        <w:rPr>
          <w:rFonts w:ascii="Times New Roman"/>
          <w:spacing w:val="8"/>
          <w:sz w:val="18"/>
        </w:rPr>
        <w:t> </w:t>
      </w:r>
      <w:r>
        <w:rPr>
          <w:rFonts w:ascii="Times New Roman"/>
          <w:i/>
          <w:sz w:val="18"/>
        </w:rPr>
        <w:t>modified</w:t>
      </w:r>
      <w:r>
        <w:rPr>
          <w:rFonts w:ascii="Times New Roman"/>
          <w:i/>
          <w:spacing w:val="7"/>
          <w:sz w:val="18"/>
        </w:rPr>
        <w:t> </w:t>
      </w:r>
      <w:r>
        <w:rPr>
          <w:rFonts w:ascii="Times New Roman"/>
          <w:i/>
          <w:sz w:val="18"/>
        </w:rPr>
        <w:t>on</w:t>
      </w:r>
      <w:r>
        <w:rPr>
          <w:rFonts w:ascii="Times New Roman"/>
          <w:i/>
          <w:spacing w:val="8"/>
          <w:sz w:val="18"/>
        </w:rPr>
        <w:t> </w:t>
      </w:r>
      <w:r>
        <w:rPr>
          <w:rFonts w:ascii="Times New Roman"/>
          <w:i/>
          <w:sz w:val="18"/>
        </w:rPr>
        <w:t>other</w:t>
      </w:r>
      <w:r>
        <w:rPr>
          <w:rFonts w:ascii="Times New Roman"/>
          <w:i/>
          <w:spacing w:val="6"/>
          <w:sz w:val="18"/>
        </w:rPr>
        <w:t> </w:t>
      </w:r>
      <w:r>
        <w:rPr>
          <w:rFonts w:ascii="Times New Roman"/>
          <w:i/>
          <w:sz w:val="18"/>
        </w:rPr>
        <w:t>grounds,</w:t>
      </w:r>
      <w:r>
        <w:rPr>
          <w:rFonts w:ascii="Times New Roman"/>
          <w:i/>
          <w:spacing w:val="13"/>
          <w:sz w:val="18"/>
        </w:rPr>
        <w:t> </w:t>
      </w:r>
      <w:r>
        <w:rPr>
          <w:rFonts w:ascii="Times New Roman"/>
          <w:sz w:val="18"/>
        </w:rPr>
        <w:t>224</w:t>
      </w:r>
      <w:r>
        <w:rPr>
          <w:rFonts w:ascii="Times New Roman"/>
          <w:spacing w:val="13"/>
          <w:sz w:val="18"/>
        </w:rPr>
        <w:t> </w:t>
      </w:r>
      <w:r>
        <w:rPr>
          <w:rFonts w:ascii="Times New Roman"/>
          <w:sz w:val="18"/>
        </w:rPr>
        <w:t>A.D.</w:t>
      </w:r>
      <w:r>
        <w:rPr>
          <w:rFonts w:ascii="Times New Roman"/>
          <w:spacing w:val="7"/>
          <w:sz w:val="18"/>
        </w:rPr>
        <w:t> </w:t>
      </w:r>
      <w:r>
        <w:rPr>
          <w:rFonts w:ascii="Times New Roman"/>
          <w:sz w:val="18"/>
        </w:rPr>
        <w:t>523,</w:t>
      </w:r>
      <w:r>
        <w:rPr>
          <w:rFonts w:ascii="Times New Roman"/>
          <w:spacing w:val="8"/>
          <w:sz w:val="18"/>
        </w:rPr>
        <w:t> </w:t>
      </w:r>
      <w:r>
        <w:rPr>
          <w:rFonts w:ascii="Times New Roman"/>
          <w:sz w:val="18"/>
        </w:rPr>
        <w:t>231</w:t>
      </w:r>
      <w:r>
        <w:rPr>
          <w:rFonts w:ascii="Times New Roman"/>
          <w:spacing w:val="9"/>
          <w:sz w:val="18"/>
        </w:rPr>
        <w:t> </w:t>
      </w:r>
      <w:r>
        <w:rPr>
          <w:rFonts w:ascii="Times New Roman"/>
          <w:sz w:val="18"/>
        </w:rPr>
        <w:t>N.Y.S.</w:t>
      </w:r>
      <w:r>
        <w:rPr>
          <w:rFonts w:ascii="Times New Roman"/>
          <w:spacing w:val="9"/>
          <w:sz w:val="18"/>
        </w:rPr>
        <w:t> </w:t>
      </w:r>
      <w:r>
        <w:rPr>
          <w:rFonts w:ascii="Times New Roman"/>
          <w:sz w:val="18"/>
        </w:rPr>
        <w:t>520</w:t>
      </w:r>
      <w:r>
        <w:rPr>
          <w:rFonts w:ascii="Times New Roman"/>
          <w:spacing w:val="8"/>
          <w:sz w:val="18"/>
        </w:rPr>
        <w:t> </w:t>
      </w:r>
      <w:r>
        <w:rPr>
          <w:rFonts w:ascii="Times New Roman"/>
          <w:sz w:val="18"/>
        </w:rPr>
        <w:t>(3d</w:t>
      </w:r>
      <w:r>
        <w:rPr>
          <w:rFonts w:ascii="Times New Roman"/>
          <w:spacing w:val="8"/>
          <w:sz w:val="18"/>
        </w:rPr>
        <w:t> </w:t>
      </w:r>
      <w:r>
        <w:rPr>
          <w:rFonts w:ascii="Times New Roman"/>
          <w:sz w:val="18"/>
        </w:rPr>
        <w:t>Dept.</w:t>
      </w:r>
      <w:r>
        <w:rPr>
          <w:rFonts w:ascii="Times New Roman"/>
          <w:spacing w:val="8"/>
          <w:sz w:val="18"/>
        </w:rPr>
        <w:t> </w:t>
      </w:r>
      <w:r>
        <w:rPr>
          <w:rFonts w:ascii="Times New Roman"/>
          <w:sz w:val="18"/>
        </w:rPr>
        <w:t>1928)</w:t>
      </w:r>
    </w:p>
    <w:p>
      <w:pPr>
        <w:spacing w:before="4"/>
        <w:ind w:left="0" w:right="106" w:firstLine="0"/>
        <w:jc w:val="center"/>
        <w:rPr>
          <w:rFonts w:ascii="Times New Roman" w:hAnsi="Times New Roman"/>
          <w:sz w:val="18"/>
        </w:rPr>
      </w:pPr>
      <w:r>
        <w:rPr>
          <w:rFonts w:ascii="Times New Roman" w:hAnsi="Times New Roman"/>
          <w:i/>
          <w:sz w:val="18"/>
        </w:rPr>
        <w:t>rev’d</w:t>
      </w:r>
      <w:r>
        <w:rPr>
          <w:rFonts w:ascii="Times New Roman" w:hAnsi="Times New Roman"/>
          <w:i/>
          <w:spacing w:val="-6"/>
          <w:sz w:val="18"/>
        </w:rPr>
        <w:t> </w:t>
      </w:r>
      <w:r>
        <w:rPr>
          <w:rFonts w:ascii="Times New Roman" w:hAnsi="Times New Roman"/>
          <w:i/>
          <w:sz w:val="18"/>
        </w:rPr>
        <w:t>on</w:t>
      </w:r>
      <w:r>
        <w:rPr>
          <w:rFonts w:ascii="Times New Roman" w:hAnsi="Times New Roman"/>
          <w:i/>
          <w:spacing w:val="-2"/>
          <w:sz w:val="18"/>
        </w:rPr>
        <w:t> </w:t>
      </w:r>
      <w:r>
        <w:rPr>
          <w:rFonts w:ascii="Times New Roman" w:hAnsi="Times New Roman"/>
          <w:i/>
          <w:sz w:val="18"/>
        </w:rPr>
        <w:t>other</w:t>
      </w:r>
      <w:r>
        <w:rPr>
          <w:rFonts w:ascii="Times New Roman" w:hAnsi="Times New Roman"/>
          <w:i/>
          <w:spacing w:val="-6"/>
          <w:sz w:val="18"/>
        </w:rPr>
        <w:t> </w:t>
      </w:r>
      <w:r>
        <w:rPr>
          <w:rFonts w:ascii="Times New Roman" w:hAnsi="Times New Roman"/>
          <w:i/>
          <w:sz w:val="18"/>
        </w:rPr>
        <w:t>grounds,</w:t>
      </w:r>
      <w:r>
        <w:rPr>
          <w:rFonts w:ascii="Times New Roman" w:hAnsi="Times New Roman"/>
          <w:i/>
          <w:spacing w:val="-4"/>
          <w:sz w:val="18"/>
        </w:rPr>
        <w:t> </w:t>
      </w:r>
      <w:r>
        <w:rPr>
          <w:rFonts w:ascii="Times New Roman" w:hAnsi="Times New Roman"/>
          <w:sz w:val="18"/>
        </w:rPr>
        <w:t>250</w:t>
      </w:r>
      <w:r>
        <w:rPr>
          <w:rFonts w:ascii="Times New Roman" w:hAnsi="Times New Roman"/>
          <w:spacing w:val="-6"/>
          <w:sz w:val="18"/>
        </w:rPr>
        <w:t> </w:t>
      </w:r>
      <w:r>
        <w:rPr>
          <w:rFonts w:ascii="Times New Roman" w:hAnsi="Times New Roman"/>
          <w:sz w:val="18"/>
        </w:rPr>
        <w:t>N.Y.</w:t>
      </w:r>
      <w:r>
        <w:rPr>
          <w:rFonts w:ascii="Times New Roman" w:hAnsi="Times New Roman"/>
          <w:spacing w:val="-6"/>
          <w:sz w:val="18"/>
        </w:rPr>
        <w:t> </w:t>
      </w:r>
      <w:r>
        <w:rPr>
          <w:rFonts w:ascii="Times New Roman" w:hAnsi="Times New Roman"/>
          <w:sz w:val="18"/>
        </w:rPr>
        <w:t>628,</w:t>
      </w:r>
      <w:r>
        <w:rPr>
          <w:rFonts w:ascii="Times New Roman" w:hAnsi="Times New Roman"/>
          <w:spacing w:val="-6"/>
          <w:sz w:val="18"/>
        </w:rPr>
        <w:t> </w:t>
      </w:r>
      <w:r>
        <w:rPr>
          <w:rFonts w:ascii="Times New Roman" w:hAnsi="Times New Roman"/>
          <w:sz w:val="18"/>
        </w:rPr>
        <w:t>166</w:t>
      </w:r>
      <w:r>
        <w:rPr>
          <w:rFonts w:ascii="Times New Roman" w:hAnsi="Times New Roman"/>
          <w:spacing w:val="-5"/>
          <w:sz w:val="18"/>
        </w:rPr>
        <w:t> </w:t>
      </w:r>
      <w:r>
        <w:rPr>
          <w:rFonts w:ascii="Times New Roman" w:hAnsi="Times New Roman"/>
          <w:sz w:val="18"/>
        </w:rPr>
        <w:t>N.E.</w:t>
      </w:r>
      <w:r>
        <w:rPr>
          <w:rFonts w:ascii="Times New Roman" w:hAnsi="Times New Roman"/>
          <w:spacing w:val="-6"/>
          <w:sz w:val="18"/>
        </w:rPr>
        <w:t> </w:t>
      </w:r>
      <w:r>
        <w:rPr>
          <w:rFonts w:ascii="Times New Roman" w:hAnsi="Times New Roman"/>
          <w:sz w:val="18"/>
        </w:rPr>
        <w:t>350</w:t>
      </w:r>
      <w:r>
        <w:rPr>
          <w:rFonts w:ascii="Times New Roman" w:hAnsi="Times New Roman"/>
          <w:spacing w:val="-6"/>
          <w:sz w:val="18"/>
        </w:rPr>
        <w:t> </w:t>
      </w:r>
      <w:r>
        <w:rPr>
          <w:rFonts w:ascii="Times New Roman" w:hAnsi="Times New Roman"/>
          <w:sz w:val="18"/>
        </w:rPr>
        <w:t>(1929);</w:t>
      </w:r>
      <w:r>
        <w:rPr>
          <w:rFonts w:ascii="Times New Roman" w:hAnsi="Times New Roman"/>
          <w:spacing w:val="-7"/>
          <w:sz w:val="18"/>
        </w:rPr>
        <w:t> </w:t>
      </w:r>
      <w:r>
        <w:rPr>
          <w:rFonts w:ascii="Times New Roman" w:hAnsi="Times New Roman"/>
          <w:sz w:val="18"/>
          <w:u w:val="single"/>
        </w:rPr>
        <w:t>Davis</w:t>
      </w:r>
      <w:r>
        <w:rPr>
          <w:rFonts w:ascii="Times New Roman" w:hAnsi="Times New Roman"/>
          <w:spacing w:val="-6"/>
          <w:sz w:val="18"/>
          <w:u w:val="single"/>
        </w:rPr>
        <w:t> </w:t>
      </w:r>
      <w:r>
        <w:rPr>
          <w:rFonts w:ascii="Times New Roman" w:hAnsi="Times New Roman"/>
          <w:sz w:val="18"/>
          <w:u w:val="single"/>
        </w:rPr>
        <w:t>v.</w:t>
      </w:r>
      <w:r>
        <w:rPr>
          <w:rFonts w:ascii="Times New Roman" w:hAnsi="Times New Roman"/>
          <w:spacing w:val="-6"/>
          <w:sz w:val="18"/>
          <w:u w:val="single"/>
        </w:rPr>
        <w:t> </w:t>
      </w:r>
      <w:r>
        <w:rPr>
          <w:rFonts w:ascii="Times New Roman" w:hAnsi="Times New Roman"/>
          <w:sz w:val="18"/>
          <w:u w:val="single"/>
        </w:rPr>
        <w:t>Imperial</w:t>
      </w:r>
      <w:r>
        <w:rPr>
          <w:rFonts w:ascii="Times New Roman" w:hAnsi="Times New Roman"/>
          <w:spacing w:val="-6"/>
          <w:sz w:val="18"/>
          <w:u w:val="single"/>
        </w:rPr>
        <w:t> </w:t>
      </w:r>
      <w:r>
        <w:rPr>
          <w:rFonts w:ascii="Times New Roman" w:hAnsi="Times New Roman"/>
          <w:sz w:val="18"/>
          <w:u w:val="single"/>
        </w:rPr>
        <w:t>Ins.</w:t>
      </w:r>
      <w:r>
        <w:rPr>
          <w:rFonts w:ascii="Times New Roman" w:hAnsi="Times New Roman"/>
          <w:spacing w:val="-4"/>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2"/>
          <w:sz w:val="18"/>
        </w:rPr>
        <w:t> </w:t>
      </w:r>
      <w:r>
        <w:rPr>
          <w:rFonts w:ascii="Times New Roman" w:hAnsi="Times New Roman"/>
          <w:sz w:val="18"/>
        </w:rPr>
        <w:t>16</w:t>
      </w:r>
    </w:p>
    <w:p>
      <w:pPr>
        <w:spacing w:before="4"/>
        <w:ind w:left="0" w:right="103" w:firstLine="0"/>
        <w:jc w:val="center"/>
        <w:rPr>
          <w:rFonts w:ascii="Times New Roman"/>
          <w:sz w:val="18"/>
        </w:rPr>
      </w:pPr>
      <w:r>
        <w:rPr>
          <w:rFonts w:ascii="Times New Roman"/>
          <w:sz w:val="18"/>
        </w:rPr>
        <w:t>Wash. 241, 47  P. 439  (1896); </w:t>
      </w:r>
      <w:r>
        <w:rPr>
          <w:rFonts w:ascii="Times New Roman"/>
          <w:sz w:val="18"/>
          <w:u w:val="single"/>
        </w:rPr>
        <w:t>Hayes v. Allstate Ins. Co.</w:t>
      </w:r>
      <w:r>
        <w:rPr>
          <w:rFonts w:ascii="Times New Roman"/>
          <w:sz w:val="18"/>
        </w:rPr>
        <w:t>,  722  F.2d  </w:t>
      </w:r>
      <w:r>
        <w:rPr>
          <w:rFonts w:ascii="Times New Roman"/>
          <w:spacing w:val="2"/>
          <w:sz w:val="18"/>
        </w:rPr>
        <w:t>1332, </w:t>
      </w:r>
      <w:r>
        <w:rPr>
          <w:rFonts w:ascii="Times New Roman"/>
          <w:sz w:val="18"/>
        </w:rPr>
        <w:t>1335  (7</w:t>
      </w:r>
      <w:r>
        <w:rPr>
          <w:rFonts w:ascii="Times New Roman"/>
          <w:position w:val="7"/>
          <w:sz w:val="10"/>
        </w:rPr>
        <w:t>th</w:t>
      </w:r>
      <w:r>
        <w:rPr>
          <w:rFonts w:ascii="Times New Roman"/>
          <w:spacing w:val="9"/>
          <w:position w:val="7"/>
          <w:sz w:val="10"/>
        </w:rPr>
        <w:t> </w:t>
      </w:r>
      <w:r>
        <w:rPr>
          <w:rFonts w:ascii="Times New Roman"/>
          <w:sz w:val="18"/>
        </w:rPr>
        <w:t>Cir.</w:t>
      </w:r>
    </w:p>
    <w:p>
      <w:pPr>
        <w:spacing w:line="207" w:lineRule="exact" w:before="5"/>
        <w:ind w:left="0" w:right="3055" w:firstLine="0"/>
        <w:jc w:val="center"/>
        <w:rPr>
          <w:rFonts w:ascii="Times New Roman"/>
          <w:sz w:val="18"/>
        </w:rPr>
      </w:pPr>
      <w:r>
        <w:rPr>
          <w:rFonts w:ascii="Times New Roman"/>
          <w:sz w:val="18"/>
        </w:rPr>
        <w:t>1983); </w:t>
      </w:r>
      <w:r>
        <w:rPr>
          <w:rFonts w:ascii="Times New Roman"/>
          <w:i/>
          <w:sz w:val="18"/>
        </w:rPr>
        <w:t>But see</w:t>
      </w:r>
      <w:r>
        <w:rPr>
          <w:rFonts w:ascii="Times New Roman"/>
          <w:sz w:val="18"/>
        </w:rPr>
        <w:t>, </w:t>
      </w:r>
      <w:r>
        <w:rPr>
          <w:rFonts w:ascii="Times New Roman"/>
          <w:sz w:val="18"/>
          <w:u w:val="single"/>
        </w:rPr>
        <w:t>Backstage, Inc.</w:t>
      </w:r>
      <w:r>
        <w:rPr>
          <w:rFonts w:ascii="Times New Roman"/>
          <w:sz w:val="18"/>
        </w:rPr>
        <w:t>, 537 N.E.2d 528.</w:t>
      </w:r>
    </w:p>
    <w:p>
      <w:pPr>
        <w:spacing w:line="269" w:lineRule="exact" w:before="0"/>
        <w:ind w:left="2740" w:right="0" w:firstLine="0"/>
        <w:jc w:val="left"/>
        <w:rPr>
          <w:rFonts w:ascii="Times New Roman"/>
          <w:sz w:val="18"/>
        </w:rPr>
      </w:pPr>
      <w:r>
        <w:rPr>
          <w:rFonts w:ascii="Times New Roman"/>
          <w:position w:val="10"/>
          <w:sz w:val="14"/>
        </w:rPr>
        <w:t>525 </w:t>
      </w:r>
      <w:r>
        <w:rPr>
          <w:rFonts w:ascii="Times New Roman"/>
          <w:sz w:val="18"/>
        </w:rPr>
        <w:t>449 Pa. Super. 341, 673 A.2d 973, 975 (1996).</w:t>
      </w:r>
    </w:p>
    <w:p>
      <w:pPr>
        <w:spacing w:after="0" w:line="269" w:lineRule="exact"/>
        <w:jc w:val="left"/>
        <w:rPr>
          <w:rFonts w:ascii="Times New Roman"/>
          <w:sz w:val="18"/>
        </w:rPr>
        <w:sectPr>
          <w:footerReference w:type="default" r:id="rId27"/>
          <w:pgSz w:w="12240" w:h="15840"/>
          <w:pgMar w:footer="2273" w:header="0" w:top="1500" w:bottom="2460" w:left="140" w:right="40"/>
          <w:pgNumType w:start="277"/>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firstLine="720"/>
        <w:jc w:val="both"/>
      </w:pPr>
      <w:bookmarkStart w:name="Law and Procedure 232" w:id="46"/>
      <w:bookmarkEnd w:id="46"/>
      <w:r>
        <w:rPr/>
      </w:r>
      <w:r>
        <w:rPr>
          <w:spacing w:val="3"/>
        </w:rPr>
        <w:t>In </w:t>
      </w:r>
      <w:r>
        <w:rPr/>
        <w:t>Michigan, it has been held that appraisal</w:t>
      </w:r>
      <w:r>
        <w:rPr>
          <w:spacing w:val="-28"/>
        </w:rPr>
        <w:t> </w:t>
      </w:r>
      <w:r>
        <w:rPr/>
        <w:t>was</w:t>
      </w:r>
      <w:r>
        <w:rPr>
          <w:spacing w:val="-29"/>
        </w:rPr>
        <w:t> </w:t>
      </w:r>
      <w:r>
        <w:rPr/>
        <w:t>appropriate</w:t>
      </w:r>
      <w:r>
        <w:rPr>
          <w:spacing w:val="-30"/>
        </w:rPr>
        <w:t> </w:t>
      </w:r>
      <w:r>
        <w:rPr/>
        <w:t>and</w:t>
      </w:r>
      <w:r>
        <w:rPr>
          <w:spacing w:val="-26"/>
        </w:rPr>
        <w:t> </w:t>
      </w:r>
      <w:r>
        <w:rPr/>
        <w:t>no</w:t>
      </w:r>
      <w:r>
        <w:rPr>
          <w:spacing w:val="-27"/>
        </w:rPr>
        <w:t> </w:t>
      </w:r>
      <w:r>
        <w:rPr/>
        <w:t>accord</w:t>
      </w:r>
      <w:r>
        <w:rPr>
          <w:spacing w:val="-29"/>
        </w:rPr>
        <w:t> </w:t>
      </w:r>
      <w:r>
        <w:rPr/>
        <w:t>and satisfaction had occurred where an insurer, in allegedly attempting to settle a business income</w:t>
      </w:r>
      <w:r>
        <w:rPr>
          <w:spacing w:val="-24"/>
        </w:rPr>
        <w:t> </w:t>
      </w:r>
      <w:r>
        <w:rPr/>
        <w:t>claim,</w:t>
      </w:r>
      <w:r>
        <w:rPr>
          <w:spacing w:val="-27"/>
        </w:rPr>
        <w:t> </w:t>
      </w:r>
      <w:r>
        <w:rPr/>
        <w:t>did</w:t>
      </w:r>
      <w:r>
        <w:rPr>
          <w:spacing w:val="-24"/>
        </w:rPr>
        <w:t> </w:t>
      </w:r>
      <w:r>
        <w:rPr/>
        <w:t>not</w:t>
      </w:r>
      <w:r>
        <w:rPr>
          <w:spacing w:val="-26"/>
        </w:rPr>
        <w:t> </w:t>
      </w:r>
      <w:r>
        <w:rPr/>
        <w:t>write</w:t>
      </w:r>
      <w:r>
        <w:rPr>
          <w:spacing w:val="-25"/>
        </w:rPr>
        <w:t> </w:t>
      </w:r>
      <w:r>
        <w:rPr/>
        <w:t>“final</w:t>
      </w:r>
      <w:r>
        <w:rPr>
          <w:spacing w:val="-23"/>
        </w:rPr>
        <w:t> </w:t>
      </w:r>
      <w:r>
        <w:rPr/>
        <w:t>payment”</w:t>
      </w:r>
      <w:r>
        <w:rPr>
          <w:spacing w:val="-24"/>
        </w:rPr>
        <w:t> </w:t>
      </w:r>
      <w:r>
        <w:rPr/>
        <w:t>on the check to the insured or provide an accompanying</w:t>
      </w:r>
      <w:r>
        <w:rPr>
          <w:spacing w:val="-36"/>
        </w:rPr>
        <w:t> </w:t>
      </w:r>
      <w:r>
        <w:rPr/>
        <w:t>letter</w:t>
      </w:r>
      <w:r>
        <w:rPr>
          <w:spacing w:val="-40"/>
        </w:rPr>
        <w:t> </w:t>
      </w:r>
      <w:r>
        <w:rPr/>
        <w:t>indicating</w:t>
      </w:r>
      <w:r>
        <w:rPr>
          <w:spacing w:val="-36"/>
        </w:rPr>
        <w:t> </w:t>
      </w:r>
      <w:r>
        <w:rPr/>
        <w:t>the</w:t>
      </w:r>
      <w:r>
        <w:rPr>
          <w:spacing w:val="-37"/>
        </w:rPr>
        <w:t> </w:t>
      </w:r>
      <w:r>
        <w:rPr/>
        <w:t>check</w:t>
      </w:r>
      <w:r>
        <w:rPr>
          <w:spacing w:val="-36"/>
        </w:rPr>
        <w:t> </w:t>
      </w:r>
      <w:r>
        <w:rPr/>
        <w:t>was a final payment or settlement of the business income claim. Thus, because there was no proof</w:t>
      </w:r>
      <w:r>
        <w:rPr>
          <w:spacing w:val="-13"/>
        </w:rPr>
        <w:t> </w:t>
      </w:r>
      <w:r>
        <w:rPr/>
        <w:t>that</w:t>
      </w:r>
      <w:r>
        <w:rPr>
          <w:spacing w:val="-14"/>
        </w:rPr>
        <w:t> </w:t>
      </w:r>
      <w:r>
        <w:rPr/>
        <w:t>the</w:t>
      </w:r>
      <w:r>
        <w:rPr>
          <w:spacing w:val="-14"/>
        </w:rPr>
        <w:t> </w:t>
      </w:r>
      <w:r>
        <w:rPr/>
        <w:t>matter</w:t>
      </w:r>
      <w:r>
        <w:rPr>
          <w:spacing w:val="-16"/>
        </w:rPr>
        <w:t> </w:t>
      </w:r>
      <w:r>
        <w:rPr/>
        <w:t>had</w:t>
      </w:r>
      <w:r>
        <w:rPr>
          <w:spacing w:val="-13"/>
        </w:rPr>
        <w:t> </w:t>
      </w:r>
      <w:r>
        <w:rPr/>
        <w:t>in</w:t>
      </w:r>
      <w:r>
        <w:rPr>
          <w:spacing w:val="-10"/>
        </w:rPr>
        <w:t> </w:t>
      </w:r>
      <w:r>
        <w:rPr/>
        <w:t>fact</w:t>
      </w:r>
      <w:r>
        <w:rPr>
          <w:spacing w:val="-15"/>
        </w:rPr>
        <w:t> </w:t>
      </w:r>
      <w:r>
        <w:rPr/>
        <w:t>been</w:t>
      </w:r>
      <w:r>
        <w:rPr>
          <w:spacing w:val="-14"/>
        </w:rPr>
        <w:t> </w:t>
      </w:r>
      <w:r>
        <w:rPr/>
        <w:t>settled, the insurer had no defense to the insured’s motion for an order to compel</w:t>
      </w:r>
      <w:r>
        <w:rPr>
          <w:spacing w:val="-7"/>
        </w:rPr>
        <w:t> </w:t>
      </w:r>
      <w:r>
        <w:rPr/>
        <w:t>appraisal.</w:t>
      </w:r>
      <w:r>
        <w:rPr>
          <w:vertAlign w:val="superscript"/>
        </w:rPr>
        <w:t>526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r>
        <w:rPr/>
        <w:pict>
          <v:shape style="position:absolute;margin-left:162pt;margin-top:14.211084pt;width:143.9pt;height:.1pt;mso-position-horizontal-relative:page;mso-position-vertical-relative:paragraph;z-index:-251525120;mso-wrap-distance-left:0;mso-wrap-distance-right:0" coordorigin="3240,284" coordsize="2878,0" path="m3240,284l6118,28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0"/>
        </w:numPr>
        <w:tabs>
          <w:tab w:pos="3015" w:val="left" w:leader="none"/>
        </w:tabs>
        <w:spacing w:line="240" w:lineRule="auto" w:before="71" w:after="0"/>
        <w:ind w:left="3014" w:right="0" w:hanging="275"/>
        <w:jc w:val="left"/>
        <w:rPr>
          <w:sz w:val="18"/>
        </w:rPr>
      </w:pPr>
      <w:r>
        <w:rPr>
          <w:sz w:val="18"/>
          <w:u w:val="single"/>
        </w:rPr>
        <w:t>King v. Hartford Cas. Ins. Co.</w:t>
      </w:r>
      <w:r>
        <w:rPr>
          <w:sz w:val="18"/>
        </w:rPr>
        <w:t>, 2010 WL 5390135 (E.D.Mich.,</w:t>
      </w:r>
      <w:r>
        <w:rPr>
          <w:spacing w:val="-1"/>
          <w:sz w:val="18"/>
        </w:rPr>
        <w:t> </w:t>
      </w:r>
      <w:r>
        <w:rPr>
          <w:sz w:val="18"/>
        </w:rPr>
        <w:t>2010).</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19" w:val="left" w:leader="none"/>
          <w:tab w:pos="3820" w:val="left" w:leader="none"/>
        </w:tabs>
        <w:spacing w:line="242" w:lineRule="auto" w:before="42" w:after="0"/>
        <w:ind w:left="3820" w:right="3866" w:hanging="720"/>
        <w:jc w:val="left"/>
        <w:rPr>
          <w:rFonts w:ascii="Century Gothic"/>
          <w:sz w:val="26"/>
        </w:rPr>
      </w:pPr>
      <w:r>
        <w:rPr/>
        <w:pict>
          <v:line style="position:absolute;mso-position-horizontal-relative:page;mso-position-vertical-relative:paragraph;z-index:-254145536" from="315.350006pt,60.741169pt" to="603.236006pt,60.741169pt" stroked="true" strokeweight="2.95pt" strokecolor="#000000">
            <v:stroke dashstyle="solid"/>
            <w10:wrap type="none"/>
          </v:line>
        </w:pict>
      </w:r>
      <w:r>
        <w:rPr/>
        <w:pict>
          <v:shape style="position:absolute;margin-left:581.450012pt;margin-top:67.103165pt;width:21.8pt;height:1.3pt;mso-position-horizontal-relative:page;mso-position-vertical-relative:paragraph;z-index:251802624" coordorigin="11629,1342" coordsize="436,26" path="m11629,1355l11641,1365,11653,1368,11665,1365,11677,1355,11690,1345,11702,1342,11713,1345,11726,1355,11738,1365,11750,1368,11762,1365,11774,1355,11787,1345,11798,1342,11810,1345,11823,1355,11835,1365,11847,1368,11859,1365,11871,1355,11883,1345,11895,1342,11907,1345,11919,1355,11932,1365,11944,1368,11956,1365,11968,1355,11980,1345,11992,1342,12004,1345,12016,1355,12029,1365,12041,1368,12052,1365,12065,1355e" filled="false" stroked="true" strokeweight="1.5pt" strokecolor="#e44234">
            <v:path arrowok="t"/>
            <v:stroke dashstyle="solid"/>
            <w10:wrap type="none"/>
          </v:shape>
        </w:pict>
      </w:r>
      <w:bookmarkStart w:name="Law and Procedure 233" w:id="47"/>
      <w:bookmarkEnd w:id="47"/>
      <w:r>
        <w:rPr/>
      </w:r>
      <w:bookmarkStart w:name="Law and Procedure 233" w:id="48"/>
      <w:bookmarkEnd w:id="48"/>
      <w:r>
        <w:rPr>
          <w:rFonts w:ascii="Century Gothic"/>
          <w:sz w:val="26"/>
        </w:rPr>
        <w:t>R</w:t>
      </w:r>
      <w:r>
        <w:rPr>
          <w:rFonts w:ascii="Century Gothic"/>
          <w:sz w:val="26"/>
        </w:rPr>
        <w:t>ESPONDING </w:t>
      </w:r>
      <w:r>
        <w:rPr>
          <w:rFonts w:ascii="Century Gothic"/>
          <w:spacing w:val="-3"/>
          <w:sz w:val="26"/>
        </w:rPr>
        <w:t>TO </w:t>
      </w:r>
      <w:r>
        <w:rPr>
          <w:rFonts w:ascii="Century Gothic"/>
          <w:sz w:val="26"/>
        </w:rPr>
        <w:t>THE DEMAND </w:t>
      </w:r>
      <w:r>
        <w:rPr>
          <w:rFonts w:ascii="Century Gothic"/>
          <w:spacing w:val="-4"/>
          <w:sz w:val="26"/>
        </w:rPr>
        <w:t>FOR </w:t>
      </w:r>
      <w:r>
        <w:rPr>
          <w:rFonts w:ascii="Century Gothic"/>
          <w:spacing w:val="2"/>
          <w:sz w:val="26"/>
        </w:rPr>
        <w:t>APPRAISAL</w:t>
      </w:r>
    </w:p>
    <w:p>
      <w:pPr>
        <w:pStyle w:val="BodyText"/>
        <w:spacing w:before="3"/>
        <w:rPr>
          <w:sz w:val="11"/>
        </w:rPr>
      </w:pPr>
      <w:r>
        <w:rPr/>
        <w:pict>
          <v:shape style="position:absolute;margin-left:351.350006pt;margin-top:10.35744pt;width:251.7pt;height:.1pt;mso-position-horizontal-relative:page;mso-position-vertical-relative:paragraph;z-index:-251524096;mso-wrap-distance-left:0;mso-wrap-distance-right:0" coordorigin="7027,207" coordsize="5034,0" path="m7027,207l12060,207e" filled="false" stroked="true" strokeweight="2.95pt" strokecolor="#000000">
            <v:path arrowok="t"/>
            <v:stroke dashstyle="solid"/>
            <w10:wrap type="topAndBottom"/>
          </v:shape>
        </w:pict>
      </w:r>
    </w:p>
    <w:p>
      <w:pPr>
        <w:pStyle w:val="BodyText"/>
        <w:spacing w:line="242" w:lineRule="auto" w:before="54"/>
        <w:ind w:left="3100" w:right="3198" w:firstLine="720"/>
        <w:jc w:val="both"/>
      </w:pPr>
      <w:r>
        <w:rPr/>
        <w:t>Once appraisal is demanded, the party upon whom the appraisal demand has been served generally has 20 days within which to</w:t>
      </w:r>
    </w:p>
    <w:p>
      <w:pPr>
        <w:pStyle w:val="BodyText"/>
        <w:spacing w:line="84" w:lineRule="exact"/>
        <w:ind w:left="6138"/>
        <w:rPr>
          <w:sz w:val="8"/>
        </w:rPr>
      </w:pPr>
      <w:r>
        <w:rPr>
          <w:position w:val="-1"/>
          <w:sz w:val="8"/>
        </w:rPr>
        <w:pict>
          <v:group style="width:289.350pt;height:2.85pt;mso-position-horizontal-relative:char;mso-position-vertical-relative:line" coordorigin="0,0" coordsize="5787,57">
            <v:line style="position:absolute" from="0,28" to="5787,28" stroked="true" strokeweight="2.83875pt" strokecolor="#e44234">
              <v:stroke dashstyle="solid"/>
            </v:line>
          </v:group>
        </w:pict>
      </w:r>
      <w:r>
        <w:rPr>
          <w:position w:val="-1"/>
          <w:sz w:val="8"/>
        </w:rPr>
      </w:r>
    </w:p>
    <w:p>
      <w:pPr>
        <w:pStyle w:val="BodyText"/>
        <w:tabs>
          <w:tab w:pos="11937" w:val="left" w:leader="none"/>
        </w:tabs>
        <w:spacing w:line="392" w:lineRule="exact" w:after="23"/>
        <w:ind w:left="2041"/>
      </w:pPr>
      <w:r>
        <w:rPr/>
        <w:pict>
          <v:line style="position:absolute;mso-position-horizontal-relative:page;mso-position-vertical-relative:paragraph;z-index:-254144512" from="315.350006pt,-21.813885pt" to="603.405006pt,-21.813885pt" stroked="true" strokeweight="2.95pt" strokecolor="#000000">
            <v:stroke dashstyle="solid"/>
            <w10:wrap type="none"/>
          </v:line>
        </w:pict>
      </w:r>
      <w:r>
        <w:rPr/>
        <w:pict>
          <v:line style="position:absolute;mso-position-horizontal-relative:page;mso-position-vertical-relative:paragraph;z-index:-254143488" from="315.350006pt,-5.733885pt" to="603.187006pt,-5.733885pt" stroked="true" strokeweight="2.95pt" strokecolor="#000000">
            <v:stroke dashstyle="solid"/>
            <w10:wrap type="none"/>
          </v:line>
        </w:pict>
      </w:r>
      <w:r>
        <w:rPr/>
        <w:pict>
          <v:line style="position:absolute;mso-position-horizontal-relative:page;mso-position-vertical-relative:paragraph;z-index:-254142464" from="315.350006pt,10.346115pt" to="603.144006pt,10.346115pt" stroked="true" strokeweight="2.95pt" strokecolor="#000000">
            <v:stroke dashstyle="solid"/>
            <w10:wrap type="none"/>
          </v:line>
        </w:pict>
      </w:r>
      <w:r>
        <w:rPr/>
        <w:pict>
          <v:line style="position:absolute;mso-position-horizontal-relative:page;mso-position-vertical-relative:paragraph;z-index:-254139392" from="314.600006pt,-14.810263pt" to="604.155006pt,-14.810263pt" stroked="true" strokeweight="2.84025pt" strokecolor="#e44234">
            <v:stroke dashstyle="solid"/>
            <w10:wrap type="none"/>
          </v:line>
        </w:pict>
      </w:r>
      <w:r>
        <w:rPr/>
        <w:pict>
          <v:group style="position:absolute;margin-left:99.656998pt;margin-top:-12.002891pt;width:91pt;height:43.8pt;mso-position-horizontal-relative:page;mso-position-vertical-relative:paragraph;z-index:-254136320" coordorigin="1993,-240" coordsize="1820,876">
            <v:shape style="position:absolute;left:2003;top:-231;width:1800;height:856" type="#_x0000_t75" stroked="false">
              <v:imagedata r:id="rId28" o:title=""/>
            </v:shape>
            <v:shape style="position:absolute;left:2003;top:-231;width:1800;height:856" coordorigin="2003,-230" coordsize="1800,856" path="m2003,-70l2003,466,2016,528,2050,579,2101,613,2163,626,3643,626,3705,613,3756,579,3790,528,3803,466,3803,-70,3790,-132,3756,-183,3705,-217,3643,-230,2163,-230,2101,-217,2050,-183,2016,-132,2003,-70xe" filled="false" stroked="true" strokeweight="1pt" strokecolor="#6e0004">
              <v:path arrowok="t"/>
              <v:stroke dashstyle="solid"/>
            </v:shape>
            <w10:wrap type="none"/>
          </v:group>
        </w:pict>
      </w:r>
      <w:r>
        <w:rPr>
          <w:rFonts w:ascii="Arial"/>
          <w:b/>
          <w:i/>
          <w:color w:val="2A0E08"/>
          <w:w w:val="101"/>
          <w:position w:val="-11"/>
          <w:sz w:val="45"/>
        </w:rPr>
        <w:t>SAB</w:t>
      </w:r>
      <w:r>
        <w:rPr>
          <w:rFonts w:ascii="Arial"/>
          <w:b/>
          <w:i/>
          <w:color w:val="2A0E08"/>
          <w:spacing w:val="-234"/>
          <w:w w:val="101"/>
          <w:position w:val="-11"/>
          <w:sz w:val="45"/>
        </w:rPr>
        <w:t>A</w:t>
      </w:r>
      <w:r>
        <w:rPr>
          <w:spacing w:val="-2"/>
          <w:w w:val="99"/>
        </w:rPr>
        <w:t>r</w:t>
      </w:r>
      <w:r>
        <w:rPr>
          <w:spacing w:val="-13"/>
          <w:w w:val="99"/>
        </w:rPr>
        <w:t>e</w:t>
      </w:r>
      <w:r>
        <w:rPr>
          <w:rFonts w:ascii="Arial"/>
          <w:b/>
          <w:i/>
          <w:color w:val="2A0E08"/>
          <w:spacing w:val="-140"/>
          <w:w w:val="101"/>
          <w:position w:val="-11"/>
          <w:sz w:val="45"/>
        </w:rPr>
        <w:t>!</w:t>
      </w:r>
      <w:r>
        <w:rPr>
          <w:w w:val="99"/>
        </w:rPr>
        <w:t>spond</w:t>
      </w:r>
      <w:r>
        <w:rPr>
          <w:spacing w:val="-1"/>
        </w:rPr>
        <w:t> </w:t>
      </w:r>
      <w:r>
        <w:rPr>
          <w:w w:val="99"/>
        </w:rPr>
        <w:t>by</w:t>
      </w:r>
      <w:r>
        <w:rPr/>
        <w:t> </w:t>
      </w:r>
      <w:r>
        <w:rPr>
          <w:w w:val="99"/>
        </w:rPr>
        <w:t>appo</w:t>
      </w:r>
      <w:r>
        <w:rPr>
          <w:spacing w:val="6"/>
          <w:w w:val="99"/>
        </w:rPr>
        <w:t>i</w:t>
      </w:r>
      <w:r>
        <w:rPr>
          <w:w w:val="99"/>
        </w:rPr>
        <w:t>n</w:t>
      </w:r>
      <w:r>
        <w:rPr>
          <w:spacing w:val="-2"/>
          <w:w w:val="99"/>
        </w:rPr>
        <w:t>t</w:t>
      </w:r>
      <w:r>
        <w:rPr>
          <w:spacing w:val="3"/>
          <w:w w:val="99"/>
        </w:rPr>
        <w:t>i</w:t>
      </w:r>
      <w:r>
        <w:rPr>
          <w:w w:val="99"/>
        </w:rPr>
        <w:t>ng</w:t>
      </w:r>
      <w:r>
        <w:rPr>
          <w:spacing w:val="-1"/>
        </w:rPr>
        <w:t> </w:t>
      </w:r>
      <w:r>
        <w:rPr>
          <w:w w:val="99"/>
        </w:rPr>
        <w:t>a</w:t>
      </w:r>
      <w:r>
        <w:rPr>
          <w:spacing w:val="-159"/>
          <w:w w:val="99"/>
          <w:u w:val="thick" w:color="E44234"/>
        </w:rPr>
        <w:t>n</w:t>
      </w:r>
      <w:r>
        <w:rPr>
          <w:w w:val="99"/>
          <w:u w:val="thick" w:color="E44234"/>
        </w:rPr>
        <w:t>app</w:t>
      </w:r>
      <w:r>
        <w:rPr>
          <w:spacing w:val="3"/>
          <w:w w:val="99"/>
          <w:u w:val="thick" w:color="E44234"/>
        </w:rPr>
        <w:t>r</w:t>
      </w:r>
      <w:r>
        <w:rPr>
          <w:w w:val="99"/>
          <w:u w:val="thick" w:color="E44234"/>
        </w:rPr>
        <w:t>a</w:t>
      </w:r>
      <w:r>
        <w:rPr>
          <w:spacing w:val="3"/>
          <w:w w:val="99"/>
          <w:u w:val="thick" w:color="E44234"/>
        </w:rPr>
        <w:t>i</w:t>
      </w:r>
      <w:r>
        <w:rPr>
          <w:w w:val="99"/>
          <w:u w:val="thick" w:color="E44234"/>
        </w:rPr>
        <w:t>se</w:t>
      </w:r>
      <w:r>
        <w:rPr>
          <w:spacing w:val="-2"/>
          <w:w w:val="99"/>
          <w:u w:val="thick" w:color="E44234"/>
        </w:rPr>
        <w:t>r</w:t>
      </w:r>
      <w:r>
        <w:rPr>
          <w:w w:val="99"/>
          <w:u w:val="thick" w:color="E44234"/>
        </w:rPr>
        <w:t>.</w:t>
      </w:r>
      <w:r>
        <w:rPr>
          <w:u w:val="thick" w:color="E44234"/>
        </w:rPr>
        <w:tab/>
      </w:r>
    </w:p>
    <w:p>
      <w:pPr>
        <w:pStyle w:val="BodyText"/>
        <w:spacing w:line="60" w:lineRule="exact"/>
        <w:ind w:left="6137"/>
        <w:rPr>
          <w:sz w:val="6"/>
        </w:rPr>
      </w:pPr>
      <w:r>
        <w:rPr>
          <w:position w:val="0"/>
          <w:sz w:val="6"/>
        </w:rPr>
        <w:pict>
          <v:group style="width:287.7pt;height:2.95pt;mso-position-horizontal-relative:char;mso-position-vertical-relative:line" coordorigin="0,0" coordsize="5754,59">
            <v:line style="position:absolute" from="0,30" to="5754,30" stroked="true" strokeweight="2.95pt" strokecolor="#000000">
              <v:stroke dashstyle="solid"/>
            </v:line>
          </v:group>
        </w:pict>
      </w:r>
      <w:r>
        <w:rPr>
          <w:position w:val="0"/>
          <w:sz w:val="6"/>
        </w:rPr>
      </w:r>
    </w:p>
    <w:p>
      <w:pPr>
        <w:pStyle w:val="BodyText"/>
        <w:spacing w:line="242" w:lineRule="auto" w:before="83"/>
        <w:ind w:left="3100" w:right="3196" w:firstLine="720"/>
        <w:jc w:val="both"/>
      </w:pPr>
      <w:r>
        <w:rPr/>
        <w:pict>
          <v:line style="position:absolute;mso-position-horizontal-relative:page;mso-position-vertical-relative:paragraph;z-index:-254141440" from="315.350006pt,14.369154pt" to="480.271006pt,14.369154pt" stroked="true" strokeweight="2.95pt" strokecolor="#000000">
            <v:stroke dashstyle="solid"/>
            <w10:wrap type="none"/>
          </v:line>
        </w:pict>
      </w:r>
      <w:r>
        <w:rPr/>
        <w:pict>
          <v:line style="position:absolute;mso-position-horizontal-relative:page;mso-position-vertical-relative:paragraph;z-index:251804672" from="314.600006pt,5.474777pt" to="603.798006pt,5.474777pt" stroked="true" strokeweight="2.83875pt" strokecolor="#e44234">
            <v:stroke dashstyle="solid"/>
            <w10:wrap type="none"/>
          </v:line>
        </w:pict>
      </w:r>
      <w:r>
        <w:rPr/>
        <w:pict>
          <v:line style="position:absolute;mso-position-horizontal-relative:page;mso-position-vertical-relative:paragraph;z-index:-254137344" from="314.600006pt,21.373151pt" to="476.701006pt,21.373151pt" stroked="true" strokeweight="2.9685pt" strokecolor="#e44234">
            <v:stroke dashstyle="solid"/>
            <w10:wrap type="none"/>
          </v:line>
        </w:pict>
      </w:r>
      <w:r>
        <w:rPr>
          <w:spacing w:val="-3"/>
        </w:rPr>
        <w:t>Where </w:t>
      </w:r>
      <w:r>
        <w:rPr/>
        <w:t>the policy or statute does not set a time limit for a response, a response is required</w:t>
      </w:r>
      <w:r>
        <w:rPr>
          <w:spacing w:val="-35"/>
        </w:rPr>
        <w:t> </w:t>
      </w:r>
      <w:r>
        <w:rPr/>
        <w:t>within</w:t>
      </w:r>
      <w:r>
        <w:rPr>
          <w:spacing w:val="-31"/>
        </w:rPr>
        <w:t> </w:t>
      </w:r>
      <w:r>
        <w:rPr/>
        <w:t>a</w:t>
      </w:r>
      <w:r>
        <w:rPr>
          <w:spacing w:val="-31"/>
        </w:rPr>
        <w:t> </w:t>
      </w:r>
      <w:r>
        <w:rPr/>
        <w:t>reasonable</w:t>
      </w:r>
      <w:r>
        <w:rPr>
          <w:spacing w:val="-28"/>
        </w:rPr>
        <w:t> </w:t>
      </w:r>
      <w:r>
        <w:rPr/>
        <w:t>time.</w:t>
      </w:r>
      <w:r>
        <w:rPr>
          <w:vertAlign w:val="superscript"/>
        </w:rPr>
        <w:t>527</w:t>
      </w:r>
      <w:r>
        <w:rPr>
          <w:spacing w:val="7"/>
          <w:vertAlign w:val="baseline"/>
        </w:rPr>
        <w:t> </w:t>
      </w:r>
      <w:r>
        <w:rPr>
          <w:spacing w:val="-3"/>
          <w:vertAlign w:val="baseline"/>
        </w:rPr>
        <w:t>The</w:t>
      </w:r>
      <w:r>
        <w:rPr>
          <w:spacing w:val="-32"/>
          <w:vertAlign w:val="baseline"/>
        </w:rPr>
        <w:t> </w:t>
      </w:r>
      <w:r>
        <w:rPr>
          <w:spacing w:val="-5"/>
          <w:vertAlign w:val="baseline"/>
        </w:rPr>
        <w:t>failure </w:t>
      </w:r>
      <w:r>
        <w:rPr>
          <w:vertAlign w:val="baseline"/>
        </w:rPr>
        <w:t>to respond within a reasonable period of time is a material breach of the policy.</w:t>
      </w:r>
      <w:r>
        <w:rPr>
          <w:vertAlign w:val="superscript"/>
        </w:rPr>
        <w:t>528</w:t>
      </w:r>
      <w:r>
        <w:rPr>
          <w:vertAlign w:val="baseline"/>
        </w:rPr>
        <w:t> </w:t>
      </w:r>
      <w:r>
        <w:rPr>
          <w:spacing w:val="3"/>
          <w:vertAlign w:val="baseline"/>
        </w:rPr>
        <w:t>In</w:t>
      </w:r>
      <w:r>
        <w:rPr>
          <w:spacing w:val="-34"/>
          <w:vertAlign w:val="baseline"/>
        </w:rPr>
        <w:t> </w:t>
      </w:r>
      <w:r>
        <w:rPr>
          <w:spacing w:val="-6"/>
          <w:u w:val="single"/>
          <w:vertAlign w:val="baseline"/>
        </w:rPr>
        <w:t>Saxena</w:t>
      </w:r>
      <w:r>
        <w:rPr>
          <w:spacing w:val="-6"/>
          <w:vertAlign w:val="baseline"/>
        </w:rPr>
        <w:t> </w:t>
      </w:r>
      <w:r>
        <w:rPr>
          <w:u w:val="single"/>
          <w:vertAlign w:val="baseline"/>
        </w:rPr>
        <w:t>v.</w:t>
      </w:r>
      <w:r>
        <w:rPr>
          <w:spacing w:val="-35"/>
          <w:u w:val="single"/>
          <w:vertAlign w:val="baseline"/>
        </w:rPr>
        <w:t> </w:t>
      </w:r>
      <w:r>
        <w:rPr>
          <w:u w:val="single"/>
          <w:vertAlign w:val="baseline"/>
        </w:rPr>
        <w:t>New</w:t>
      </w:r>
      <w:r>
        <w:rPr>
          <w:spacing w:val="-36"/>
          <w:u w:val="single"/>
          <w:vertAlign w:val="baseline"/>
        </w:rPr>
        <w:t> </w:t>
      </w:r>
      <w:r>
        <w:rPr>
          <w:u w:val="single"/>
          <w:vertAlign w:val="baseline"/>
        </w:rPr>
        <w:t>York</w:t>
      </w:r>
      <w:r>
        <w:rPr>
          <w:spacing w:val="-32"/>
          <w:u w:val="single"/>
          <w:vertAlign w:val="baseline"/>
        </w:rPr>
        <w:t> </w:t>
      </w:r>
      <w:r>
        <w:rPr>
          <w:u w:val="single"/>
          <w:vertAlign w:val="baseline"/>
        </w:rPr>
        <w:t>Property</w:t>
      </w:r>
      <w:r>
        <w:rPr>
          <w:spacing w:val="-33"/>
          <w:u w:val="single"/>
          <w:vertAlign w:val="baseline"/>
        </w:rPr>
        <w:t> </w:t>
      </w:r>
      <w:r>
        <w:rPr>
          <w:u w:val="single"/>
          <w:vertAlign w:val="baseline"/>
        </w:rPr>
        <w:t>Insurance</w:t>
      </w:r>
      <w:r>
        <w:rPr>
          <w:spacing w:val="-30"/>
          <w:u w:val="single"/>
          <w:vertAlign w:val="baseline"/>
        </w:rPr>
        <w:t> </w:t>
      </w:r>
      <w:r>
        <w:rPr>
          <w:u w:val="single"/>
          <w:vertAlign w:val="baseline"/>
        </w:rPr>
        <w:t>Und.</w:t>
      </w:r>
      <w:r>
        <w:rPr>
          <w:spacing w:val="-33"/>
          <w:u w:val="single"/>
          <w:vertAlign w:val="baseline"/>
        </w:rPr>
        <w:t> </w:t>
      </w:r>
      <w:r>
        <w:rPr>
          <w:u w:val="single"/>
          <w:vertAlign w:val="baseline"/>
        </w:rPr>
        <w:t>Ass’n.</w:t>
      </w:r>
      <w:r>
        <w:rPr>
          <w:vertAlign w:val="superscript"/>
        </w:rPr>
        <w:t>529</w:t>
      </w:r>
      <w:r>
        <w:rPr>
          <w:spacing w:val="-36"/>
          <w:vertAlign w:val="baseline"/>
        </w:rPr>
        <w:t> </w:t>
      </w:r>
      <w:r>
        <w:rPr>
          <w:spacing w:val="-13"/>
          <w:vertAlign w:val="baseline"/>
        </w:rPr>
        <w:t>for </w:t>
      </w:r>
      <w:r>
        <w:rPr>
          <w:vertAlign w:val="baseline"/>
        </w:rPr>
        <w:t>example, one year was held to be too long</w:t>
      </w:r>
      <w:r>
        <w:rPr>
          <w:spacing w:val="-47"/>
          <w:vertAlign w:val="baseline"/>
        </w:rPr>
        <w:t> </w:t>
      </w:r>
      <w:r>
        <w:rPr>
          <w:vertAlign w:val="baseline"/>
        </w:rPr>
        <w:t>to wait before responding to a demand for appraisal.</w:t>
      </w:r>
    </w:p>
    <w:p>
      <w:pPr>
        <w:pStyle w:val="BodyText"/>
      </w:pPr>
    </w:p>
    <w:p>
      <w:pPr>
        <w:pStyle w:val="BodyText"/>
        <w:spacing w:line="242" w:lineRule="auto"/>
        <w:ind w:left="3100" w:right="3196" w:firstLine="720"/>
        <w:jc w:val="both"/>
      </w:pPr>
      <w:r>
        <w:rPr/>
        <w:pict>
          <v:shape style="position:absolute;margin-left:278.606018pt;margin-top:87.337166pt;width:302.2pt;height:11.45pt;mso-position-horizontal-relative:page;mso-position-vertical-relative:paragraph;z-index:-254146560" coordorigin="5572,1747" coordsize="6044,229" path="m11606,1747l5581,1747,5572,1756,5572,1966,5581,1975,11606,1975,11615,1966,11615,1756,11606,1747xe" filled="true" fillcolor="#ef9c95" stroked="false">
            <v:path arrowok="t"/>
            <v:fill opacity="32112f" type="solid"/>
            <w10:wrap type="none"/>
          </v:shape>
        </w:pict>
      </w:r>
      <w:r>
        <w:rPr/>
        <w:t>Where a party to the policy fails to respond to a demand within 20 days, it has been held that the demanding party may proceed to court for the appointment of an umpire whereupon an agreement between the umpire and the single appraiser would properly resolve the loss.</w:t>
      </w:r>
      <w:r>
        <w:rPr>
          <w:vertAlign w:val="superscript"/>
        </w:rPr>
        <w:t>530</w:t>
      </w:r>
    </w:p>
    <w:p>
      <w:pPr>
        <w:pStyle w:val="BodyText"/>
        <w:spacing w:before="7"/>
        <w:rPr>
          <w:sz w:val="22"/>
        </w:rPr>
      </w:pPr>
    </w:p>
    <w:p>
      <w:pPr>
        <w:pStyle w:val="BodyText"/>
        <w:spacing w:before="42"/>
        <w:ind w:left="3820"/>
      </w:pPr>
      <w:r>
        <w:rPr/>
        <w:t>In </w:t>
      </w:r>
      <w:r>
        <w:rPr>
          <w:u w:val="single"/>
        </w:rPr>
        <w:t>Smith v. Civil Service Employee’s Ins.</w:t>
      </w:r>
    </w:p>
    <w:p>
      <w:pPr>
        <w:pStyle w:val="BodyText"/>
        <w:spacing w:before="9"/>
        <w:rPr>
          <w:sz w:val="17"/>
        </w:rPr>
      </w:pPr>
      <w:r>
        <w:rPr/>
        <w:pict>
          <v:shape style="position:absolute;margin-left:162pt;margin-top:13.296583pt;width:143.9pt;height:.1pt;mso-position-horizontal-relative:page;mso-position-vertical-relative:paragraph;z-index:-251521024;mso-wrap-distance-left:0;mso-wrap-distance-right:0" coordorigin="3240,266" coordsize="2878,0" path="m3240,266l6118,266e" filled="false" stroked="true" strokeweight=".84pt" strokecolor="#000000">
            <v:path arrowok="t"/>
            <v:stroke dashstyle="solid"/>
            <w10:wrap type="topAndBottom"/>
          </v:shape>
        </w:pict>
      </w:r>
    </w:p>
    <w:p>
      <w:pPr>
        <w:pStyle w:val="BodyText"/>
        <w:spacing w:before="8"/>
        <w:rPr>
          <w:sz w:val="12"/>
        </w:rPr>
      </w:pPr>
    </w:p>
    <w:p>
      <w:pPr>
        <w:pStyle w:val="ListParagraph"/>
        <w:numPr>
          <w:ilvl w:val="0"/>
          <w:numId w:val="10"/>
        </w:numPr>
        <w:tabs>
          <w:tab w:pos="3018" w:val="left" w:leader="none"/>
        </w:tabs>
        <w:spacing w:line="240" w:lineRule="auto" w:before="71" w:after="0"/>
        <w:ind w:left="3017" w:right="0" w:hanging="278"/>
        <w:jc w:val="left"/>
        <w:rPr>
          <w:sz w:val="18"/>
        </w:rPr>
      </w:pPr>
      <w:r>
        <w:rPr>
          <w:sz w:val="18"/>
          <w:u w:val="single"/>
        </w:rPr>
        <w:t>Saxena</w:t>
      </w:r>
      <w:r>
        <w:rPr>
          <w:spacing w:val="-10"/>
          <w:sz w:val="18"/>
          <w:u w:val="single"/>
        </w:rPr>
        <w:t> </w:t>
      </w:r>
      <w:r>
        <w:rPr>
          <w:sz w:val="18"/>
          <w:u w:val="single"/>
        </w:rPr>
        <w:t>v.</w:t>
      </w:r>
      <w:r>
        <w:rPr>
          <w:spacing w:val="-9"/>
          <w:sz w:val="18"/>
          <w:u w:val="single"/>
        </w:rPr>
        <w:t> </w:t>
      </w:r>
      <w:r>
        <w:rPr>
          <w:sz w:val="18"/>
          <w:u w:val="single"/>
        </w:rPr>
        <w:t>New</w:t>
      </w:r>
      <w:r>
        <w:rPr>
          <w:spacing w:val="-13"/>
          <w:sz w:val="18"/>
          <w:u w:val="single"/>
        </w:rPr>
        <w:t> </w:t>
      </w:r>
      <w:r>
        <w:rPr>
          <w:sz w:val="18"/>
          <w:u w:val="single"/>
        </w:rPr>
        <w:t>York</w:t>
      </w:r>
      <w:r>
        <w:rPr>
          <w:spacing w:val="-12"/>
          <w:sz w:val="18"/>
          <w:u w:val="single"/>
        </w:rPr>
        <w:t> </w:t>
      </w:r>
      <w:r>
        <w:rPr>
          <w:sz w:val="18"/>
          <w:u w:val="single"/>
        </w:rPr>
        <w:t>Property</w:t>
      </w:r>
      <w:r>
        <w:rPr>
          <w:spacing w:val="-13"/>
          <w:sz w:val="18"/>
          <w:u w:val="single"/>
        </w:rPr>
        <w:t> </w:t>
      </w:r>
      <w:r>
        <w:rPr>
          <w:sz w:val="18"/>
          <w:u w:val="single"/>
        </w:rPr>
        <w:t>Ins.</w:t>
      </w:r>
      <w:r>
        <w:rPr>
          <w:spacing w:val="-9"/>
          <w:sz w:val="18"/>
          <w:u w:val="single"/>
        </w:rPr>
        <w:t> </w:t>
      </w:r>
      <w:r>
        <w:rPr>
          <w:sz w:val="18"/>
          <w:u w:val="single"/>
        </w:rPr>
        <w:t>Und.</w:t>
      </w:r>
      <w:r>
        <w:rPr>
          <w:spacing w:val="-11"/>
          <w:sz w:val="18"/>
          <w:u w:val="single"/>
        </w:rPr>
        <w:t> </w:t>
      </w:r>
      <w:r>
        <w:rPr>
          <w:sz w:val="18"/>
          <w:u w:val="single"/>
        </w:rPr>
        <w:t>Ass’n.</w:t>
      </w:r>
      <w:r>
        <w:rPr>
          <w:sz w:val="18"/>
        </w:rPr>
        <w:t>,</w:t>
      </w:r>
      <w:r>
        <w:rPr>
          <w:spacing w:val="-11"/>
          <w:sz w:val="18"/>
        </w:rPr>
        <w:t> </w:t>
      </w:r>
      <w:r>
        <w:rPr>
          <w:sz w:val="18"/>
        </w:rPr>
        <w:t>232</w:t>
      </w:r>
      <w:r>
        <w:rPr>
          <w:spacing w:val="-11"/>
          <w:sz w:val="18"/>
        </w:rPr>
        <w:t> </w:t>
      </w:r>
      <w:r>
        <w:rPr>
          <w:sz w:val="18"/>
        </w:rPr>
        <w:t>A.D.2d</w:t>
      </w:r>
      <w:r>
        <w:rPr>
          <w:spacing w:val="-9"/>
          <w:sz w:val="18"/>
        </w:rPr>
        <w:t> </w:t>
      </w:r>
      <w:r>
        <w:rPr>
          <w:sz w:val="18"/>
        </w:rPr>
        <w:t>622,</w:t>
      </w:r>
      <w:r>
        <w:rPr>
          <w:spacing w:val="-9"/>
          <w:sz w:val="18"/>
        </w:rPr>
        <w:t> </w:t>
      </w:r>
      <w:r>
        <w:rPr>
          <w:sz w:val="18"/>
        </w:rPr>
        <w:t>648</w:t>
      </w:r>
      <w:r>
        <w:rPr>
          <w:spacing w:val="-8"/>
          <w:sz w:val="18"/>
        </w:rPr>
        <w:t> </w:t>
      </w:r>
      <w:r>
        <w:rPr>
          <w:sz w:val="18"/>
        </w:rPr>
        <w:t>N.Y.S.2d</w:t>
      </w:r>
      <w:r>
        <w:rPr>
          <w:spacing w:val="-8"/>
          <w:sz w:val="18"/>
        </w:rPr>
        <w:t> </w:t>
      </w:r>
      <w:r>
        <w:rPr>
          <w:sz w:val="18"/>
        </w:rPr>
        <w:t>689</w:t>
      </w:r>
      <w:r>
        <w:rPr>
          <w:spacing w:val="-8"/>
          <w:sz w:val="18"/>
        </w:rPr>
        <w:t> </w:t>
      </w:r>
      <w:r>
        <w:rPr>
          <w:sz w:val="18"/>
        </w:rPr>
        <w:t>(2d</w:t>
      </w:r>
    </w:p>
    <w:p>
      <w:pPr>
        <w:spacing w:before="17"/>
        <w:ind w:left="2740" w:right="0" w:firstLine="0"/>
        <w:jc w:val="left"/>
        <w:rPr>
          <w:rFonts w:ascii="Times New Roman"/>
          <w:sz w:val="18"/>
        </w:rPr>
      </w:pPr>
      <w:r>
        <w:rPr>
          <w:rFonts w:ascii="Times New Roman"/>
          <w:sz w:val="18"/>
        </w:rPr>
        <w:t>Dept. 1996).</w:t>
      </w:r>
    </w:p>
    <w:p>
      <w:pPr>
        <w:pStyle w:val="ListParagraph"/>
        <w:numPr>
          <w:ilvl w:val="0"/>
          <w:numId w:val="10"/>
        </w:numPr>
        <w:tabs>
          <w:tab w:pos="3015" w:val="left" w:leader="none"/>
        </w:tabs>
        <w:spacing w:line="240" w:lineRule="auto" w:before="8" w:after="0"/>
        <w:ind w:left="3014" w:right="0" w:hanging="275"/>
        <w:jc w:val="left"/>
        <w:rPr>
          <w:sz w:val="18"/>
        </w:rPr>
      </w:pPr>
      <w:r>
        <w:rPr>
          <w:sz w:val="18"/>
          <w:u w:val="single"/>
        </w:rPr>
        <w:t>Id.</w:t>
      </w:r>
      <w:r>
        <w:rPr>
          <w:sz w:val="18"/>
        </w:rPr>
        <w:t>; </w:t>
      </w:r>
      <w:r>
        <w:rPr>
          <w:sz w:val="18"/>
          <w:u w:val="single"/>
        </w:rPr>
        <w:t>Chainless Cycle</w:t>
      </w:r>
      <w:r>
        <w:rPr>
          <w:sz w:val="18"/>
        </w:rPr>
        <w:t>, 169 N.Y.</w:t>
      </w:r>
      <w:r>
        <w:rPr>
          <w:spacing w:val="1"/>
          <w:sz w:val="18"/>
        </w:rPr>
        <w:t> </w:t>
      </w:r>
      <w:r>
        <w:rPr>
          <w:sz w:val="18"/>
        </w:rPr>
        <w:t>304.</w:t>
      </w:r>
    </w:p>
    <w:p>
      <w:pPr>
        <w:pStyle w:val="ListParagraph"/>
        <w:numPr>
          <w:ilvl w:val="0"/>
          <w:numId w:val="10"/>
        </w:numPr>
        <w:tabs>
          <w:tab w:pos="3015" w:val="left" w:leader="none"/>
        </w:tabs>
        <w:spacing w:line="240" w:lineRule="auto" w:before="18" w:after="0"/>
        <w:ind w:left="3014" w:right="0" w:hanging="275"/>
        <w:jc w:val="left"/>
        <w:rPr>
          <w:sz w:val="18"/>
        </w:rPr>
      </w:pPr>
      <w:r>
        <w:rPr>
          <w:position w:val="-9"/>
          <w:sz w:val="18"/>
          <w:u w:val="single"/>
        </w:rPr>
        <w:t>Id.</w:t>
      </w:r>
    </w:p>
    <w:p>
      <w:pPr>
        <w:pStyle w:val="ListParagraph"/>
        <w:numPr>
          <w:ilvl w:val="0"/>
          <w:numId w:val="10"/>
        </w:numPr>
        <w:tabs>
          <w:tab w:pos="3015" w:val="left" w:leader="none"/>
        </w:tabs>
        <w:spacing w:line="240" w:lineRule="auto" w:before="10" w:after="0"/>
        <w:ind w:left="3014" w:right="0" w:hanging="275"/>
        <w:jc w:val="left"/>
        <w:rPr>
          <w:sz w:val="18"/>
        </w:rPr>
      </w:pPr>
      <w:r>
        <w:rPr>
          <w:sz w:val="18"/>
          <w:u w:val="single"/>
        </w:rPr>
        <w:t>Saba v. Homeland Ins. Co. of America</w:t>
      </w:r>
      <w:r>
        <w:rPr>
          <w:sz w:val="18"/>
        </w:rPr>
        <w:t>, 159 Ohio St. 237, 112 N.E.2d 1 (1953).</w:t>
      </w:r>
    </w:p>
    <w:p>
      <w:pPr>
        <w:spacing w:after="0" w:line="240" w:lineRule="auto"/>
        <w:jc w:val="left"/>
        <w:rPr>
          <w:sz w:val="18"/>
        </w:rPr>
        <w:sectPr>
          <w:pgSz w:w="12240" w:h="15840"/>
          <w:pgMar w:header="0" w:footer="2273" w:top="1500" w:bottom="2460" w:left="140" w:right="40"/>
        </w:sectPr>
      </w:pPr>
    </w:p>
    <w:p>
      <w:pPr>
        <w:spacing w:line="273" w:lineRule="exact" w:before="45"/>
        <w:ind w:left="0" w:right="95" w:firstLine="0"/>
        <w:jc w:val="center"/>
        <w:rPr>
          <w:rFonts w:ascii="Arial Unicode MS"/>
          <w:sz w:val="17"/>
        </w:rPr>
      </w:pPr>
      <w:bookmarkStart w:name="Law and Procedure 234" w:id="49"/>
      <w:bookmarkEnd w:id="49"/>
      <w:r>
        <w:rPr/>
      </w:r>
      <w:r>
        <w:rPr>
          <w:rFonts w:ascii="Arial Unicode MS"/>
          <w:color w:val="484848"/>
          <w:w w:val="105"/>
          <w:sz w:val="17"/>
        </w:rPr>
        <w:t>No. 33217</w:t>
      </w:r>
    </w:p>
    <w:p>
      <w:pPr>
        <w:spacing w:line="273" w:lineRule="exact" w:before="0"/>
        <w:ind w:left="0" w:right="102" w:firstLine="0"/>
        <w:jc w:val="center"/>
        <w:rPr>
          <w:rFonts w:ascii="Arial Unicode MS"/>
          <w:sz w:val="17"/>
        </w:rPr>
      </w:pPr>
      <w:r>
        <w:rPr>
          <w:rFonts w:ascii="Arial Unicode MS"/>
          <w:color w:val="484848"/>
          <w:w w:val="105"/>
          <w:sz w:val="17"/>
        </w:rPr>
        <w:t>Supreme Court of Ohio</w:t>
      </w:r>
    </w:p>
    <w:p>
      <w:pPr>
        <w:pStyle w:val="BodyText"/>
        <w:spacing w:before="11"/>
        <w:rPr>
          <w:rFonts w:ascii="Arial Unicode MS"/>
          <w:sz w:val="13"/>
        </w:rPr>
      </w:pPr>
    </w:p>
    <w:p>
      <w:pPr>
        <w:spacing w:before="0"/>
        <w:ind w:left="0" w:right="98" w:firstLine="0"/>
        <w:jc w:val="center"/>
        <w:rPr>
          <w:rFonts w:ascii="Times New Roman"/>
          <w:b/>
          <w:sz w:val="32"/>
        </w:rPr>
      </w:pPr>
      <w:r>
        <w:rPr>
          <w:rFonts w:ascii="Times New Roman"/>
          <w:b/>
          <w:color w:val="202529"/>
          <w:sz w:val="32"/>
        </w:rPr>
        <w:t>Saba v. Homeland Ins. Co. of America</w:t>
      </w:r>
    </w:p>
    <w:p>
      <w:pPr>
        <w:pStyle w:val="BodyText"/>
        <w:spacing w:before="9"/>
        <w:rPr>
          <w:rFonts w:ascii="Times New Roman"/>
          <w:b/>
          <w:sz w:val="28"/>
        </w:rPr>
      </w:pPr>
    </w:p>
    <w:p>
      <w:pPr>
        <w:spacing w:before="0"/>
        <w:ind w:left="0" w:right="98" w:firstLine="0"/>
        <w:jc w:val="center"/>
        <w:rPr>
          <w:rFonts w:ascii="Times New Roman" w:hAnsi="Times New Roman"/>
          <w:sz w:val="17"/>
        </w:rPr>
      </w:pPr>
      <w:r>
        <w:rPr>
          <w:rFonts w:ascii="Times New Roman" w:hAnsi="Times New Roman"/>
          <w:color w:val="484848"/>
          <w:sz w:val="17"/>
        </w:rPr>
        <w:t>159 Ohio St. 237 (Ohio 1953)    </w:t>
      </w:r>
      <w:r>
        <w:rPr>
          <w:rFonts w:ascii="Times New Roman" w:hAnsi="Times New Roman"/>
          <w:color w:val="484848"/>
          <w:position w:val="6"/>
          <w:sz w:val="8"/>
        </w:rPr>
        <w:t>•          </w:t>
      </w:r>
      <w:r>
        <w:rPr>
          <w:rFonts w:ascii="Times New Roman" w:hAnsi="Times New Roman"/>
          <w:color w:val="484848"/>
          <w:sz w:val="17"/>
        </w:rPr>
        <w:t>112 N.E.2d 1</w:t>
      </w:r>
    </w:p>
    <w:p>
      <w:pPr>
        <w:spacing w:before="54"/>
        <w:ind w:left="0" w:right="98" w:firstLine="0"/>
        <w:jc w:val="center"/>
        <w:rPr>
          <w:rFonts w:ascii="Times New Roman"/>
          <w:sz w:val="17"/>
        </w:rPr>
      </w:pPr>
      <w:r>
        <w:rPr>
          <w:rFonts w:ascii="Times New Roman"/>
          <w:color w:val="484848"/>
          <w:sz w:val="17"/>
        </w:rPr>
        <w:t>Decided Apr 22, 1953</w:t>
      </w:r>
    </w:p>
    <w:p>
      <w:pPr>
        <w:pStyle w:val="BodyText"/>
        <w:rPr>
          <w:rFonts w:ascii="Times New Roman"/>
          <w:sz w:val="18"/>
        </w:rPr>
      </w:pPr>
    </w:p>
    <w:p>
      <w:pPr>
        <w:pStyle w:val="BodyText"/>
        <w:spacing w:before="6"/>
        <w:rPr>
          <w:rFonts w:ascii="Times New Roman"/>
          <w:sz w:val="22"/>
        </w:rPr>
      </w:pPr>
    </w:p>
    <w:p>
      <w:pPr>
        <w:spacing w:before="0"/>
        <w:ind w:left="1179" w:right="0" w:firstLine="0"/>
        <w:jc w:val="left"/>
        <w:rPr>
          <w:rFonts w:ascii="Times New Roman"/>
          <w:sz w:val="21"/>
        </w:rPr>
      </w:pPr>
      <w:r>
        <w:rPr>
          <w:rFonts w:ascii="Times New Roman"/>
          <w:color w:val="202529"/>
          <w:sz w:val="21"/>
        </w:rPr>
        <w:t>WEYGANDT, C.J.</w:t>
      </w:r>
    </w:p>
    <w:p>
      <w:pPr>
        <w:pStyle w:val="BodyText"/>
        <w:spacing w:before="11"/>
        <w:rPr>
          <w:rFonts w:ascii="Times New Roman"/>
          <w:sz w:val="18"/>
        </w:rPr>
      </w:pPr>
    </w:p>
    <w:p>
      <w:pPr>
        <w:spacing w:before="0"/>
        <w:ind w:left="1179" w:right="0" w:firstLine="0"/>
        <w:jc w:val="left"/>
        <w:rPr>
          <w:rFonts w:ascii="Times New Roman"/>
          <w:sz w:val="21"/>
        </w:rPr>
      </w:pPr>
      <w:r>
        <w:rPr>
          <w:rFonts w:ascii="Times New Roman"/>
          <w:color w:val="202529"/>
          <w:sz w:val="21"/>
        </w:rPr>
        <w:t>Each of the four policies contains the following provisions:</w:t>
      </w:r>
    </w:p>
    <w:p>
      <w:pPr>
        <w:pStyle w:val="BodyText"/>
        <w:spacing w:before="10"/>
        <w:rPr>
          <w:rFonts w:ascii="Times New Roman"/>
          <w:sz w:val="18"/>
        </w:rPr>
      </w:pPr>
    </w:p>
    <w:p>
      <w:pPr>
        <w:spacing w:line="297" w:lineRule="auto" w:before="0"/>
        <w:ind w:left="1179" w:right="1442" w:firstLine="0"/>
        <w:jc w:val="left"/>
        <w:rPr>
          <w:rFonts w:ascii="Times New Roman"/>
          <w:sz w:val="21"/>
        </w:rPr>
      </w:pPr>
      <w:r>
        <w:rPr>
          <w:rFonts w:ascii="Times New Roman"/>
          <w:color w:val="202529"/>
          <w:sz w:val="21"/>
        </w:rPr>
        <w:t>"Appraisal. In case the insured and this company shall fail to agree as to the actual cash value or the amount of loss, then, on the written demand of either, each shall select a competent and disinterested appraiser and notify the other of the appraiser selected within twenty days of such demand. The appraisers shall first select a competent and disinterested umpire; and failing for fifteen days to agree upon such umpire, then, on request of the insured or this company, such umpire shall be selected by a judge of a court of record in the state in which the property covered is located. The appraisers shall then appraise the loss, stating separately actual cash value and loss to each item; and, failing to agree, shall submit their differences, only, to the umpire. An award in</w:t>
      </w:r>
    </w:p>
    <w:p>
      <w:pPr>
        <w:pStyle w:val="ListParagraph"/>
        <w:numPr>
          <w:ilvl w:val="0"/>
          <w:numId w:val="11"/>
        </w:numPr>
        <w:tabs>
          <w:tab w:pos="1180" w:val="left" w:leader="none"/>
        </w:tabs>
        <w:spacing w:line="297" w:lineRule="auto" w:before="0" w:after="0"/>
        <w:ind w:left="1179" w:right="1447" w:hanging="350"/>
        <w:jc w:val="left"/>
        <w:rPr>
          <w:sz w:val="21"/>
        </w:rPr>
      </w:pPr>
      <w:r>
        <w:rPr>
          <w:color w:val="202529"/>
          <w:sz w:val="21"/>
        </w:rPr>
        <w:t>writing, so itemized, of any two when filed with this company shall determine </w:t>
      </w:r>
      <w:r>
        <w:rPr>
          <w:color w:val="747474"/>
          <w:sz w:val="17"/>
        </w:rPr>
        <w:t>*239 </w:t>
      </w:r>
      <w:r>
        <w:rPr>
          <w:color w:val="202529"/>
          <w:sz w:val="21"/>
        </w:rPr>
        <w:t>the amount of actual cash value and loss. Each appraiser shall be paid by the party selecting him and the expenses of appraisal and umpire shall be paid by the parties </w:t>
      </w:r>
      <w:r>
        <w:rPr>
          <w:color w:val="202529"/>
          <w:spacing w:val="-3"/>
          <w:sz w:val="21"/>
        </w:rPr>
        <w:t>equally. </w:t>
      </w:r>
      <w:r>
        <w:rPr>
          <w:color w:val="202529"/>
          <w:sz w:val="21"/>
        </w:rPr>
        <w:t>* *</w:t>
      </w:r>
      <w:r>
        <w:rPr>
          <w:color w:val="202529"/>
          <w:spacing w:val="2"/>
          <w:sz w:val="21"/>
        </w:rPr>
        <w:t> </w:t>
      </w:r>
      <w:r>
        <w:rPr>
          <w:color w:val="202529"/>
          <w:sz w:val="21"/>
        </w:rPr>
        <w:t>*</w:t>
      </w:r>
    </w:p>
    <w:p>
      <w:pPr>
        <w:spacing w:line="297" w:lineRule="auto" w:before="160"/>
        <w:ind w:left="1179" w:right="1616" w:firstLine="0"/>
        <w:jc w:val="both"/>
        <w:rPr>
          <w:rFonts w:ascii="Times New Roman"/>
          <w:sz w:val="21"/>
        </w:rPr>
      </w:pPr>
      <w:r>
        <w:rPr>
          <w:rFonts w:ascii="Times New Roman"/>
          <w:color w:val="202529"/>
          <w:sz w:val="21"/>
        </w:rPr>
        <w:t>"Suit. No suit or action on this policy for the recovery of any claim shall be sustainable in any court of law or equity unless all the requirements of this policy shall have been complied with, and unless commenced within twelve months next after inception of the loss."</w:t>
      </w:r>
    </w:p>
    <w:p>
      <w:pPr>
        <w:spacing w:line="297" w:lineRule="auto" w:before="160"/>
        <w:ind w:left="1179" w:right="1471" w:firstLine="0"/>
        <w:jc w:val="left"/>
        <w:rPr>
          <w:rFonts w:ascii="Times New Roman"/>
          <w:sz w:val="21"/>
        </w:rPr>
      </w:pPr>
      <w:r>
        <w:rPr>
          <w:rFonts w:ascii="Times New Roman"/>
          <w:color w:val="202529"/>
          <w:sz w:val="21"/>
        </w:rPr>
        <w:t>The parties were unable to agree on the amount of the loss. Acting under the appraisal clause, the plaintiff  made a written demand on the defendants for an appraisal, and he notified them of the appraiser he had selected. The defendants ignored the notice. After waiting the stipulated period of twenty days, the plaintiff asked the defendants the name of the appraiser they had chosen. They informed the plaintiff that they had selected none and would take no such action. The plaintiff then waited the further required period of fifteen days before filing his motion for the appointment of an umpire by the Court of Probate. After the umpire was appointed, he and the plaintiff's appraiser duly made an award. Subsequently an action thereon was instituted in the Court of Common Pleas and later removed to the federal trial</w:t>
      </w:r>
      <w:r>
        <w:rPr>
          <w:rFonts w:ascii="Times New Roman"/>
          <w:color w:val="202529"/>
          <w:spacing w:val="-4"/>
          <w:sz w:val="21"/>
        </w:rPr>
        <w:t> </w:t>
      </w:r>
      <w:r>
        <w:rPr>
          <w:rFonts w:ascii="Times New Roman"/>
          <w:color w:val="202529"/>
          <w:sz w:val="21"/>
        </w:rPr>
        <w:t>court.</w:t>
      </w:r>
    </w:p>
    <w:p>
      <w:pPr>
        <w:spacing w:line="297" w:lineRule="auto" w:before="159"/>
        <w:ind w:left="1179" w:right="1442" w:firstLine="0"/>
        <w:jc w:val="left"/>
        <w:rPr>
          <w:rFonts w:ascii="Times New Roman"/>
          <w:sz w:val="21"/>
        </w:rPr>
      </w:pPr>
      <w:r>
        <w:rPr>
          <w:rFonts w:ascii="Times New Roman"/>
          <w:color w:val="202529"/>
          <w:sz w:val="21"/>
        </w:rPr>
        <w:t>The defendants in the instant case contend that the appraisal provisions are </w:t>
      </w:r>
      <w:r>
        <w:rPr>
          <w:rFonts w:ascii="Times New Roman"/>
          <w:i/>
          <w:color w:val="202529"/>
          <w:sz w:val="21"/>
        </w:rPr>
        <w:t>binding </w:t>
      </w:r>
      <w:r>
        <w:rPr>
          <w:rFonts w:ascii="Times New Roman"/>
          <w:color w:val="202529"/>
          <w:sz w:val="21"/>
        </w:rPr>
        <w:t>on the </w:t>
      </w:r>
      <w:r>
        <w:rPr>
          <w:rFonts w:ascii="Times New Roman"/>
          <w:i/>
          <w:color w:val="202529"/>
          <w:sz w:val="21"/>
        </w:rPr>
        <w:t>plaintiff </w:t>
      </w:r>
      <w:r>
        <w:rPr>
          <w:rFonts w:ascii="Times New Roman"/>
          <w:color w:val="202529"/>
          <w:sz w:val="21"/>
        </w:rPr>
        <w:t>insured but </w:t>
      </w:r>
      <w:r>
        <w:rPr>
          <w:rFonts w:ascii="Times New Roman"/>
          <w:i/>
          <w:color w:val="202529"/>
          <w:sz w:val="21"/>
        </w:rPr>
        <w:t>not </w:t>
      </w:r>
      <w:r>
        <w:rPr>
          <w:rFonts w:ascii="Times New Roman"/>
          <w:color w:val="202529"/>
          <w:sz w:val="21"/>
        </w:rPr>
        <w:t>on </w:t>
      </w:r>
      <w:r>
        <w:rPr>
          <w:rFonts w:ascii="Times New Roman"/>
          <w:i/>
          <w:color w:val="202529"/>
          <w:sz w:val="21"/>
        </w:rPr>
        <w:t>themselves </w:t>
      </w:r>
      <w:r>
        <w:rPr>
          <w:rFonts w:ascii="Times New Roman"/>
          <w:color w:val="202529"/>
          <w:sz w:val="21"/>
        </w:rPr>
        <w:t>as insurers. They urge that the provisions are revocable by themselves but not by the plaintiff insured.</w:t>
      </w:r>
    </w:p>
    <w:p>
      <w:pPr>
        <w:spacing w:line="297" w:lineRule="auto" w:before="160"/>
        <w:ind w:left="1179" w:right="1845" w:firstLine="0"/>
        <w:jc w:val="left"/>
        <w:rPr>
          <w:rFonts w:ascii="Times New Roman"/>
          <w:i/>
          <w:sz w:val="21"/>
        </w:rPr>
      </w:pPr>
      <w:r>
        <w:rPr>
          <w:rFonts w:ascii="Times New Roman"/>
          <w:color w:val="202529"/>
          <w:sz w:val="21"/>
        </w:rPr>
        <w:t>The above quoted language of the policies is in part that "in case the insured and this company shall fail to agree as to the actual cash value or the amount of the loss, then, on the written demand of </w:t>
      </w:r>
      <w:r>
        <w:rPr>
          <w:rFonts w:ascii="Times New Roman"/>
          <w:i/>
          <w:color w:val="202529"/>
          <w:sz w:val="21"/>
        </w:rPr>
        <w:t>either, each shall</w:t>
      </w:r>
    </w:p>
    <w:p>
      <w:pPr>
        <w:pStyle w:val="ListParagraph"/>
        <w:numPr>
          <w:ilvl w:val="0"/>
          <w:numId w:val="11"/>
        </w:numPr>
        <w:tabs>
          <w:tab w:pos="1180" w:val="left" w:leader="none"/>
        </w:tabs>
        <w:spacing w:line="297" w:lineRule="auto" w:before="0" w:after="0"/>
        <w:ind w:left="1179" w:right="1584" w:hanging="350"/>
        <w:jc w:val="left"/>
        <w:rPr>
          <w:sz w:val="21"/>
        </w:rPr>
      </w:pPr>
      <w:r>
        <w:rPr>
          <w:color w:val="202529"/>
          <w:sz w:val="21"/>
        </w:rPr>
        <w:t>select a competent and disinterested appraiser and notify the other of the appraiser selected within </w:t>
      </w:r>
      <w:r>
        <w:rPr>
          <w:color w:val="747474"/>
          <w:sz w:val="17"/>
        </w:rPr>
        <w:t>*240 </w:t>
      </w:r>
      <w:r>
        <w:rPr>
          <w:color w:val="202529"/>
          <w:sz w:val="21"/>
        </w:rPr>
        <w:t>twenty days of such demand." (Italics supplied.) This provision is not an involved one, the words are simple, and</w:t>
      </w:r>
      <w:r>
        <w:rPr>
          <w:color w:val="202529"/>
          <w:spacing w:val="-36"/>
          <w:sz w:val="21"/>
        </w:rPr>
        <w:t> </w:t>
      </w:r>
      <w:r>
        <w:rPr>
          <w:color w:val="202529"/>
          <w:sz w:val="21"/>
        </w:rPr>
        <w:t>the</w:t>
      </w:r>
    </w:p>
    <w:p>
      <w:pPr>
        <w:spacing w:after="0" w:line="297" w:lineRule="auto"/>
        <w:jc w:val="left"/>
        <w:rPr>
          <w:sz w:val="21"/>
        </w:rPr>
        <w:sectPr>
          <w:footerReference w:type="default" r:id="rId29"/>
          <w:pgSz w:w="12240" w:h="15840"/>
          <w:pgMar w:footer="746" w:header="0" w:top="1420" w:bottom="940" w:left="140" w:right="40"/>
          <w:pgNumType w:start="1"/>
        </w:sectPr>
      </w:pPr>
    </w:p>
    <w:p>
      <w:pPr>
        <w:tabs>
          <w:tab w:pos="3679" w:val="left" w:leader="none"/>
        </w:tabs>
        <w:spacing w:before="72"/>
        <w:ind w:left="0" w:right="337" w:firstLine="0"/>
        <w:jc w:val="center"/>
        <w:rPr>
          <w:rFonts w:ascii="Arial"/>
          <w:sz w:val="20"/>
        </w:rPr>
      </w:pPr>
      <w:bookmarkStart w:name="Law and Procedure 235" w:id="50"/>
      <w:bookmarkEnd w:id="50"/>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466" w:firstLine="0"/>
        <w:jc w:val="left"/>
        <w:rPr>
          <w:rFonts w:ascii="Times New Roman"/>
          <w:sz w:val="21"/>
        </w:rPr>
      </w:pPr>
      <w:r>
        <w:rPr>
          <w:rFonts w:ascii="Times New Roman"/>
          <w:color w:val="202529"/>
          <w:sz w:val="21"/>
        </w:rPr>
        <w:t>meaning is clear. Appraisers are to be selected on the demand of </w:t>
      </w:r>
      <w:r>
        <w:rPr>
          <w:rFonts w:ascii="Times New Roman"/>
          <w:i/>
          <w:color w:val="202529"/>
          <w:sz w:val="21"/>
        </w:rPr>
        <w:t>either </w:t>
      </w:r>
      <w:r>
        <w:rPr>
          <w:rFonts w:ascii="Times New Roman"/>
          <w:color w:val="202529"/>
          <w:sz w:val="21"/>
        </w:rPr>
        <w:t>party. In none of the policies is there the slightest intimation that the selection is to be made on the demand of the insurer and not on the demand of the insured. If this were the import of the provision, there could be no excuse for the use of the word "either."</w:t>
      </w:r>
    </w:p>
    <w:p>
      <w:pPr>
        <w:spacing w:line="297" w:lineRule="auto" w:before="160"/>
        <w:ind w:left="1179" w:right="1503" w:firstLine="0"/>
        <w:jc w:val="both"/>
        <w:rPr>
          <w:rFonts w:ascii="Times New Roman"/>
          <w:sz w:val="21"/>
        </w:rPr>
      </w:pPr>
      <w:r>
        <w:rPr>
          <w:rFonts w:ascii="Times New Roman"/>
          <w:color w:val="202529"/>
          <w:sz w:val="21"/>
        </w:rPr>
        <w:t>This view is sustained by the succeeding word "each." There is no suggestion that the insured alone shall select an appraiser on demand. As indicated by Ballentine's Law Dictionary, the obvious meaning of the word "each" is "every one of the two or more comprising the whole."</w:t>
      </w:r>
    </w:p>
    <w:p>
      <w:pPr>
        <w:spacing w:line="297" w:lineRule="auto" w:before="160"/>
        <w:ind w:left="1179" w:right="1442" w:firstLine="0"/>
        <w:jc w:val="left"/>
        <w:rPr>
          <w:rFonts w:ascii="Times New Roman"/>
          <w:sz w:val="21"/>
        </w:rPr>
      </w:pPr>
      <w:r>
        <w:rPr>
          <w:rFonts w:ascii="Times New Roman"/>
          <w:color w:val="202529"/>
          <w:sz w:val="21"/>
        </w:rPr>
        <w:t>Nor is there doubt about the use of the next succeeding word "shall." It clearly is employed in its ordinary mandatory sense. Furthermore, there is nothing in the context to warrant an inference that the word is used in a mandatory sense as to the insured alone and not as to the insurer. The provisions are not revocable by either.</w:t>
      </w:r>
    </w:p>
    <w:p>
      <w:pPr>
        <w:spacing w:line="297" w:lineRule="auto" w:before="159"/>
        <w:ind w:left="1179" w:right="1604" w:firstLine="0"/>
        <w:jc w:val="both"/>
        <w:rPr>
          <w:rFonts w:ascii="Times New Roman"/>
          <w:sz w:val="21"/>
        </w:rPr>
      </w:pPr>
      <w:r>
        <w:rPr>
          <w:rFonts w:ascii="Times New Roman"/>
          <w:color w:val="202529"/>
          <w:sz w:val="21"/>
        </w:rPr>
        <w:t>Hence, unless these words are held to signify the exact opposite of their obvious meaning, the appraisers must be selected when demanded by the insured or by the insurer.</w:t>
      </w:r>
    </w:p>
    <w:p>
      <w:pPr>
        <w:spacing w:line="297" w:lineRule="auto" w:before="160"/>
        <w:ind w:left="1179" w:right="1442" w:firstLine="0"/>
        <w:jc w:val="left"/>
        <w:rPr>
          <w:rFonts w:ascii="Times New Roman"/>
          <w:sz w:val="21"/>
        </w:rPr>
      </w:pPr>
      <w:r>
        <w:rPr>
          <w:rFonts w:ascii="Times New Roman"/>
          <w:color w:val="202529"/>
          <w:sz w:val="21"/>
        </w:rPr>
        <w:t>Many decisions are cited in the briefs for the purpose of assisting in the interpretation of these appraisal provisions. However, it is not necessary to interpret language that is simple and unambiguous. The rule with reference to such appraisal provisions is summarized as follows in 45 Corpus Juris Secundum, 1353, Section 1110:</w:t>
      </w:r>
    </w:p>
    <w:p>
      <w:pPr>
        <w:spacing w:before="160"/>
        <w:ind w:left="1179" w:right="0" w:firstLine="0"/>
        <w:jc w:val="left"/>
        <w:rPr>
          <w:rFonts w:ascii="Times New Roman"/>
          <w:sz w:val="21"/>
        </w:rPr>
      </w:pPr>
      <w:r>
        <w:rPr>
          <w:rFonts w:ascii="Times New Roman"/>
          <w:color w:val="202529"/>
          <w:sz w:val="21"/>
        </w:rPr>
        <w:t>"Their purpose is to provide a plain, speedy, inexpensive and just determination of the extent of the loss, and</w:t>
      </w:r>
    </w:p>
    <w:p>
      <w:pPr>
        <w:pStyle w:val="ListParagraph"/>
        <w:numPr>
          <w:ilvl w:val="0"/>
          <w:numId w:val="11"/>
        </w:numPr>
        <w:tabs>
          <w:tab w:pos="1180" w:val="left" w:leader="none"/>
        </w:tabs>
        <w:spacing w:line="297" w:lineRule="auto" w:before="58" w:after="0"/>
        <w:ind w:left="1179" w:right="1969" w:hanging="350"/>
        <w:jc w:val="left"/>
        <w:rPr>
          <w:sz w:val="21"/>
        </w:rPr>
      </w:pPr>
      <w:r>
        <w:rPr>
          <w:color w:val="202529"/>
          <w:sz w:val="21"/>
        </w:rPr>
        <w:t>insured has the right to have the amount of </w:t>
      </w:r>
      <w:r>
        <w:rPr>
          <w:color w:val="747474"/>
          <w:sz w:val="17"/>
        </w:rPr>
        <w:t>*241 </w:t>
      </w:r>
      <w:r>
        <w:rPr>
          <w:color w:val="202529"/>
          <w:sz w:val="21"/>
        </w:rPr>
        <w:t>the loss settled as provided in the arbitration clause of his policy even though insurer denies liability or refuses to participate in the arbitration. The clause does not require the parties to do anything but appoint their appraisers, notify them and hand them the</w:t>
      </w:r>
      <w:r>
        <w:rPr>
          <w:color w:val="202529"/>
          <w:spacing w:val="-20"/>
          <w:sz w:val="21"/>
        </w:rPr>
        <w:t> </w:t>
      </w:r>
      <w:r>
        <w:rPr>
          <w:color w:val="202529"/>
          <w:spacing w:val="-3"/>
          <w:sz w:val="21"/>
        </w:rPr>
        <w:t>policy."</w:t>
      </w:r>
    </w:p>
    <w:p>
      <w:pPr>
        <w:spacing w:line="297" w:lineRule="auto" w:before="159"/>
        <w:ind w:left="1179" w:right="1442" w:firstLine="0"/>
        <w:jc w:val="left"/>
        <w:rPr>
          <w:rFonts w:ascii="Times New Roman"/>
          <w:sz w:val="21"/>
        </w:rPr>
      </w:pPr>
      <w:r>
        <w:rPr>
          <w:rFonts w:ascii="Times New Roman"/>
          <w:color w:val="202529"/>
          <w:sz w:val="21"/>
        </w:rPr>
        <w:t>In the case of </w:t>
      </w:r>
      <w:r>
        <w:rPr>
          <w:rFonts w:ascii="Times New Roman"/>
          <w:i/>
          <w:color w:val="202529"/>
          <w:sz w:val="21"/>
        </w:rPr>
        <w:t>Fire Association of Philadelphia </w:t>
      </w:r>
      <w:r>
        <w:rPr>
          <w:rFonts w:ascii="Times New Roman"/>
          <w:color w:val="202529"/>
          <w:sz w:val="21"/>
        </w:rPr>
        <w:t>v. </w:t>
      </w:r>
      <w:r>
        <w:rPr>
          <w:rFonts w:ascii="Times New Roman"/>
          <w:i/>
          <w:color w:val="202529"/>
          <w:sz w:val="21"/>
        </w:rPr>
        <w:t>Agresta</w:t>
      </w:r>
      <w:r>
        <w:rPr>
          <w:rFonts w:ascii="Times New Roman"/>
          <w:color w:val="202529"/>
          <w:sz w:val="21"/>
        </w:rPr>
        <w:t>, </w:t>
      </w:r>
      <w:hyperlink r:id="rId31">
        <w:r>
          <w:rPr>
            <w:rFonts w:ascii="Times New Roman"/>
            <w:color w:val="0059AA"/>
            <w:sz w:val="21"/>
          </w:rPr>
          <w:t>115 Ohio St. 426</w:t>
        </w:r>
      </w:hyperlink>
      <w:r>
        <w:rPr>
          <w:rFonts w:ascii="Times New Roman"/>
          <w:color w:val="202529"/>
          <w:sz w:val="21"/>
        </w:rPr>
        <w:t>, </w:t>
      </w:r>
      <w:hyperlink r:id="rId31">
        <w:r>
          <w:rPr>
            <w:rFonts w:ascii="Times New Roman"/>
            <w:color w:val="0059AA"/>
            <w:sz w:val="21"/>
          </w:rPr>
          <w:t>154 N.E. 723</w:t>
        </w:r>
      </w:hyperlink>
      <w:r>
        <w:rPr>
          <w:rFonts w:ascii="Times New Roman"/>
          <w:color w:val="202529"/>
          <w:sz w:val="21"/>
        </w:rPr>
        <w:t>, a different question was involved but the policy contained provisions similar to those in the present policies. In the discussion in the opinion, it was observed that the provisions were applicable alike to both the insurer and the insured.</w:t>
      </w:r>
    </w:p>
    <w:p>
      <w:pPr>
        <w:spacing w:line="297" w:lineRule="auto" w:before="160"/>
        <w:ind w:left="1179" w:right="1507" w:firstLine="0"/>
        <w:jc w:val="both"/>
        <w:rPr>
          <w:rFonts w:ascii="Times New Roman"/>
          <w:sz w:val="21"/>
        </w:rPr>
      </w:pPr>
      <w:r>
        <w:rPr>
          <w:rFonts w:ascii="Times New Roman"/>
          <w:color w:val="202529"/>
          <w:sz w:val="21"/>
        </w:rPr>
        <w:t>The defendants insist further that if they refuse to select an appraiser, the plaintiff has no recourse except to file suits on his policies.</w:t>
      </w:r>
    </w:p>
    <w:p>
      <w:pPr>
        <w:spacing w:line="297" w:lineRule="auto" w:before="160"/>
        <w:ind w:left="1179" w:right="1442" w:firstLine="0"/>
        <w:jc w:val="left"/>
        <w:rPr>
          <w:rFonts w:ascii="Times New Roman"/>
          <w:sz w:val="21"/>
        </w:rPr>
      </w:pPr>
      <w:r>
        <w:rPr>
          <w:rFonts w:ascii="Times New Roman"/>
          <w:color w:val="202529"/>
          <w:sz w:val="21"/>
        </w:rPr>
        <w:t>This is equivalent to telling the plaintiff that, although he paid a premium for policies containing the advantage of the appraisal provisions, he in fact received nothing therefor, and that the sole result of the insertion of the appraisal provisions in the policies was that the defendants gave themselves the advantageous right to compel the plaintiff to select an appraiser before he could sue on the policies. Hence, under this theory the appraisal provisions were a detriment instead of a benefit to the plaintiff, inasmuch as even without the appraisal provisions he, of course, had the right to sue. The plaintiff was led to believe that he was purchasing policies giving him the right to an appraisal and a prompt settlement of his loss so he would have the insurance money with which to reconstruct his building without the expense and delay incident to litigation. Obviously this is a valuable right which he should not be denied. The failure and refusal of the defendants to select an appraiser as</w:t>
      </w:r>
    </w:p>
    <w:p>
      <w:pPr>
        <w:pStyle w:val="ListParagraph"/>
        <w:numPr>
          <w:ilvl w:val="0"/>
          <w:numId w:val="11"/>
        </w:numPr>
        <w:tabs>
          <w:tab w:pos="1180" w:val="left" w:leader="none"/>
        </w:tabs>
        <w:spacing w:line="297" w:lineRule="auto" w:before="0" w:after="0"/>
        <w:ind w:left="1179" w:right="1447" w:hanging="350"/>
        <w:jc w:val="left"/>
        <w:rPr>
          <w:sz w:val="21"/>
        </w:rPr>
      </w:pPr>
      <w:r>
        <w:rPr>
          <w:color w:val="202529"/>
          <w:sz w:val="21"/>
        </w:rPr>
        <w:t>required by the provisions of the policies </w:t>
      </w:r>
      <w:r>
        <w:rPr>
          <w:color w:val="747474"/>
          <w:sz w:val="17"/>
        </w:rPr>
        <w:t>*242 </w:t>
      </w:r>
      <w:r>
        <w:rPr>
          <w:color w:val="202529"/>
          <w:sz w:val="21"/>
        </w:rPr>
        <w:t>constituted a failure to agree on an umpire just as effectively as if they had selected an appraiser and instructed him not to agree on an umpire. Under these circumstances the plaintiff was authorized to request the court to select such</w:t>
      </w:r>
      <w:r>
        <w:rPr>
          <w:color w:val="202529"/>
          <w:spacing w:val="-4"/>
          <w:sz w:val="21"/>
        </w:rPr>
        <w:t> </w:t>
      </w:r>
      <w:r>
        <w:rPr>
          <w:color w:val="202529"/>
          <w:sz w:val="21"/>
        </w:rPr>
        <w:t>umpire.</w:t>
      </w:r>
    </w:p>
    <w:p>
      <w:pPr>
        <w:spacing w:line="297" w:lineRule="auto" w:before="159"/>
        <w:ind w:left="1179" w:right="1474" w:firstLine="0"/>
        <w:jc w:val="left"/>
        <w:rPr>
          <w:rFonts w:ascii="Times New Roman"/>
          <w:sz w:val="21"/>
        </w:rPr>
      </w:pPr>
      <w:r>
        <w:rPr>
          <w:rFonts w:ascii="Times New Roman"/>
          <w:color w:val="202529"/>
          <w:sz w:val="21"/>
        </w:rPr>
        <w:t>That this view of the policy provisions is consistent with the legislative policy of this state is demonstrated by the provisions of Section 12148-1 </w:t>
      </w:r>
      <w:r>
        <w:rPr>
          <w:rFonts w:ascii="Times New Roman"/>
          <w:i/>
          <w:color w:val="202529"/>
          <w:sz w:val="21"/>
        </w:rPr>
        <w:t>et seq.</w:t>
      </w:r>
      <w:r>
        <w:rPr>
          <w:rFonts w:ascii="Times New Roman"/>
          <w:color w:val="202529"/>
          <w:sz w:val="21"/>
        </w:rPr>
        <w:t>, General Code, to the effect that such arbitration provisions in a written contract "shall be valid, irrevocable and enforceable." Section 12148-4, General Code, reads as follows:</w:t>
      </w:r>
    </w:p>
    <w:p>
      <w:pPr>
        <w:spacing w:after="0" w:line="297" w:lineRule="auto"/>
        <w:jc w:val="left"/>
        <w:rPr>
          <w:rFonts w:ascii="Times New Roman"/>
          <w:sz w:val="21"/>
        </w:rPr>
        <w:sectPr>
          <w:pgSz w:w="12240" w:h="15840"/>
          <w:pgMar w:header="0" w:footer="746" w:top="380" w:bottom="940" w:left="140" w:right="40"/>
        </w:sectPr>
      </w:pPr>
    </w:p>
    <w:p>
      <w:pPr>
        <w:tabs>
          <w:tab w:pos="3679" w:val="left" w:leader="none"/>
        </w:tabs>
        <w:spacing w:before="72"/>
        <w:ind w:left="0" w:right="337" w:firstLine="0"/>
        <w:jc w:val="center"/>
        <w:rPr>
          <w:rFonts w:ascii="Arial"/>
          <w:sz w:val="20"/>
        </w:rPr>
      </w:pPr>
      <w:bookmarkStart w:name="Law and Procedure 236" w:id="51"/>
      <w:bookmarkEnd w:id="51"/>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475" w:firstLine="0"/>
        <w:jc w:val="left"/>
        <w:rPr>
          <w:rFonts w:ascii="Times New Roman"/>
          <w:sz w:val="21"/>
        </w:rPr>
      </w:pPr>
      <w:r>
        <w:rPr>
          <w:rFonts w:ascii="Times New Roman"/>
          <w:color w:val="202529"/>
          <w:sz w:val="21"/>
        </w:rPr>
        <w:t>"If, in the agreement, provision be made for a method of naming or appointing an arbitrator or arbitrators or an umpire, such method shall be followed; but if no method be provided therein, or if a method be provided and any party thereto shall fail to avail himself of such method, or if for any other reason there shall be a lapse in the naming of an arbitrator or arbitrators or an umpire, or in filling a </w:t>
      </w:r>
      <w:r>
        <w:rPr>
          <w:rFonts w:ascii="Times New Roman"/>
          <w:color w:val="202529"/>
          <w:spacing w:val="-3"/>
          <w:sz w:val="21"/>
        </w:rPr>
        <w:t>vacancy, </w:t>
      </w:r>
      <w:r>
        <w:rPr>
          <w:rFonts w:ascii="Times New Roman"/>
          <w:color w:val="202529"/>
          <w:sz w:val="21"/>
        </w:rPr>
        <w:t>then upon the application of either party to the controversy the Court of Common Pleas in and for the county in which the arbitration is to be held shall, within fifteen (15) days after such application is made, designate and appoint an arbitrator or arbitrators or umpire, as the case may require, who shall act under the said agreement with the same force and effect as if he or they had been specifically named therein; and, unless otherwise provided in the agreement, the arbitration shall be by a single</w:t>
      </w:r>
      <w:r>
        <w:rPr>
          <w:rFonts w:ascii="Times New Roman"/>
          <w:color w:val="202529"/>
          <w:spacing w:val="-2"/>
          <w:sz w:val="21"/>
        </w:rPr>
        <w:t> </w:t>
      </w:r>
      <w:r>
        <w:rPr>
          <w:rFonts w:ascii="Times New Roman"/>
          <w:color w:val="202529"/>
          <w:sz w:val="21"/>
        </w:rPr>
        <w:t>arbitrator."</w:t>
      </w:r>
    </w:p>
    <w:p>
      <w:pPr>
        <w:spacing w:line="297" w:lineRule="auto" w:before="160"/>
        <w:ind w:left="1179" w:right="1442" w:firstLine="0"/>
        <w:jc w:val="left"/>
        <w:rPr>
          <w:rFonts w:ascii="Times New Roman"/>
          <w:sz w:val="21"/>
        </w:rPr>
      </w:pPr>
      <w:r>
        <w:rPr>
          <w:rFonts w:ascii="Times New Roman"/>
          <w:color w:val="202529"/>
          <w:sz w:val="21"/>
        </w:rPr>
        <w:t>It is a further contention of the defendants that the appraisal provisions are separate and not a part of the insurance policies. A study of the policies discloses no basis whatsoever for this view. The appraisal provisions</w:t>
      </w:r>
    </w:p>
    <w:p>
      <w:pPr>
        <w:pStyle w:val="ListParagraph"/>
        <w:numPr>
          <w:ilvl w:val="0"/>
          <w:numId w:val="11"/>
        </w:numPr>
        <w:tabs>
          <w:tab w:pos="1180" w:val="left" w:leader="none"/>
        </w:tabs>
        <w:spacing w:line="297" w:lineRule="auto" w:before="0" w:after="0"/>
        <w:ind w:left="1179" w:right="1458" w:hanging="350"/>
        <w:jc w:val="left"/>
        <w:rPr>
          <w:sz w:val="21"/>
        </w:rPr>
      </w:pPr>
      <w:r>
        <w:rPr>
          <w:color w:val="202529"/>
          <w:sz w:val="21"/>
        </w:rPr>
        <w:t>are an integral part of the body of each policy precisely the same as every other paragraph. </w:t>
      </w:r>
      <w:r>
        <w:rPr>
          <w:color w:val="747474"/>
          <w:sz w:val="17"/>
        </w:rPr>
        <w:t>*243 </w:t>
      </w:r>
      <w:r>
        <w:rPr>
          <w:color w:val="202529"/>
          <w:spacing w:val="-5"/>
          <w:sz w:val="21"/>
        </w:rPr>
        <w:t>Were </w:t>
      </w:r>
      <w:r>
        <w:rPr>
          <w:color w:val="202529"/>
          <w:sz w:val="21"/>
        </w:rPr>
        <w:t>there doubt as to this, the elementary rule of construction would require that the ambiguity be resolved in favor of the plaintiff and against the defendants, since the language is that of the defendant</w:t>
      </w:r>
      <w:r>
        <w:rPr>
          <w:color w:val="202529"/>
          <w:spacing w:val="-11"/>
          <w:sz w:val="21"/>
        </w:rPr>
        <w:t> </w:t>
      </w:r>
      <w:r>
        <w:rPr>
          <w:color w:val="202529"/>
          <w:sz w:val="21"/>
        </w:rPr>
        <w:t>insurers.</w:t>
      </w:r>
    </w:p>
    <w:p>
      <w:pPr>
        <w:spacing w:line="297" w:lineRule="auto" w:before="160"/>
        <w:ind w:left="1179" w:right="1552" w:firstLine="0"/>
        <w:jc w:val="both"/>
        <w:rPr>
          <w:rFonts w:ascii="Times New Roman"/>
          <w:sz w:val="21"/>
        </w:rPr>
      </w:pPr>
      <w:r>
        <w:rPr>
          <w:rFonts w:ascii="Times New Roman"/>
          <w:color w:val="202529"/>
          <w:sz w:val="21"/>
        </w:rPr>
        <w:t>Like the lower courts, this court can discover no reason for holding the plaintiff to the agreement but excusing the defendants from their obligations under the plain, inescapable language they themselves chose to use when they sold the policies to the plaintiff. The Court of Probate was not in error in appointing an umpire to serve in conformity with the provisions of the policies.</w:t>
      </w:r>
    </w:p>
    <w:p>
      <w:pPr>
        <w:spacing w:before="159"/>
        <w:ind w:left="1179" w:right="0" w:firstLine="0"/>
        <w:jc w:val="both"/>
        <w:rPr>
          <w:rFonts w:ascii="Times New Roman"/>
          <w:i/>
          <w:sz w:val="21"/>
        </w:rPr>
      </w:pPr>
      <w:r>
        <w:rPr>
          <w:rFonts w:ascii="Times New Roman"/>
          <w:i/>
          <w:color w:val="202529"/>
          <w:sz w:val="21"/>
        </w:rPr>
        <w:t>Judgment affirmed.</w:t>
      </w:r>
    </w:p>
    <w:p>
      <w:pPr>
        <w:pStyle w:val="BodyText"/>
        <w:spacing w:before="11"/>
        <w:rPr>
          <w:rFonts w:ascii="Times New Roman"/>
          <w:i/>
          <w:sz w:val="18"/>
        </w:rPr>
      </w:pPr>
    </w:p>
    <w:p>
      <w:pPr>
        <w:spacing w:before="0"/>
        <w:ind w:left="1179" w:right="0" w:firstLine="0"/>
        <w:jc w:val="both"/>
        <w:rPr>
          <w:rFonts w:ascii="Times New Roman"/>
          <w:sz w:val="21"/>
        </w:rPr>
      </w:pPr>
      <w:r>
        <w:rPr>
          <w:rFonts w:ascii="Times New Roman"/>
          <w:color w:val="202529"/>
          <w:sz w:val="21"/>
        </w:rPr>
        <w:t>MIDDLETON, TAFT, ZIMMERMAN and STEWART, JJ., concur.</w:t>
      </w:r>
    </w:p>
    <w:p>
      <w:pPr>
        <w:pStyle w:val="BodyText"/>
        <w:spacing w:before="10"/>
        <w:rPr>
          <w:rFonts w:ascii="Times New Roman"/>
          <w:sz w:val="18"/>
        </w:rPr>
      </w:pPr>
    </w:p>
    <w:p>
      <w:pPr>
        <w:spacing w:before="1"/>
        <w:ind w:left="1179" w:right="0" w:firstLine="0"/>
        <w:jc w:val="both"/>
        <w:rPr>
          <w:rFonts w:ascii="Times New Roman"/>
          <w:sz w:val="21"/>
        </w:rPr>
      </w:pPr>
      <w:r>
        <w:rPr>
          <w:rFonts w:ascii="Times New Roman"/>
          <w:color w:val="202529"/>
          <w:sz w:val="21"/>
        </w:rPr>
        <w:t>MATTHIAS and HART, JJ., dissent.</w:t>
      </w:r>
    </w:p>
    <w:p>
      <w:pPr>
        <w:pStyle w:val="BodyText"/>
        <w:spacing w:before="5"/>
        <w:rPr>
          <w:rFonts w:ascii="Times New Roman"/>
          <w:sz w:val="13"/>
        </w:rPr>
      </w:pPr>
      <w:r>
        <w:rPr/>
        <w:pict>
          <v:shape style="position:absolute;margin-left:65.950714pt;margin-top:9.950239pt;width:471.65pt;height:.1pt;mso-position-horizontal-relative:page;mso-position-vertical-relative:paragraph;z-index:-251508736;mso-wrap-distance-left:0;mso-wrap-distance-right:0" coordorigin="1319,199" coordsize="9433,0" path="m1319,199l10751,199e" filled="false" stroked="true" strokeweight=".499052pt" strokecolor="#000000">
            <v:path arrowok="t"/>
            <v:stroke dashstyle="solid"/>
            <w10:wrap type="topAndBottom"/>
          </v:shape>
        </w:pict>
      </w:r>
    </w:p>
    <w:p>
      <w:pPr>
        <w:spacing w:before="154"/>
        <w:ind w:left="1179" w:right="0" w:firstLine="0"/>
        <w:jc w:val="left"/>
        <w:rPr>
          <w:rFonts w:ascii="Times New Roman"/>
          <w:sz w:val="21"/>
        </w:rPr>
      </w:pPr>
      <w:r>
        <w:rPr>
          <w:rFonts w:ascii="Times New Roman"/>
          <w:color w:val="202529"/>
          <w:sz w:val="21"/>
        </w:rPr>
        <w:t>MATTHIAS, J., dissenting.</w:t>
      </w:r>
    </w:p>
    <w:p>
      <w:pPr>
        <w:pStyle w:val="BodyText"/>
        <w:spacing w:before="10"/>
        <w:rPr>
          <w:rFonts w:ascii="Times New Roman"/>
          <w:sz w:val="18"/>
        </w:rPr>
      </w:pPr>
    </w:p>
    <w:p>
      <w:pPr>
        <w:spacing w:line="297" w:lineRule="auto" w:before="1"/>
        <w:ind w:left="1179" w:right="1465" w:firstLine="0"/>
        <w:jc w:val="left"/>
        <w:rPr>
          <w:rFonts w:ascii="Times New Roman"/>
          <w:sz w:val="21"/>
        </w:rPr>
      </w:pPr>
      <w:r>
        <w:rPr>
          <w:rFonts w:ascii="Times New Roman"/>
          <w:color w:val="202529"/>
          <w:sz w:val="21"/>
        </w:rPr>
        <w:t>The insurers, desiring that the amount of the loss in question be determined by a jury in an action on the policies, refused to appoint an appraiser or participate in an appraisal. The only question of law presented is the consequence of such negative action of the insurers.</w:t>
      </w:r>
    </w:p>
    <w:p>
      <w:pPr>
        <w:spacing w:line="297" w:lineRule="auto" w:before="159"/>
        <w:ind w:left="1179" w:right="1652" w:firstLine="0"/>
        <w:jc w:val="both"/>
        <w:rPr>
          <w:rFonts w:ascii="Times New Roman"/>
          <w:sz w:val="21"/>
        </w:rPr>
      </w:pPr>
      <w:r>
        <w:rPr>
          <w:rFonts w:ascii="Times New Roman"/>
          <w:color w:val="202529"/>
          <w:sz w:val="21"/>
        </w:rPr>
        <w:t>In the situation disclosed, was the order of the Probate Court appointing an umpire valid, and are the insurers precluded by the appraisal and award made by the appraiser selected by the insured and the umpire appointed by the Probate Court?</w:t>
      </w:r>
    </w:p>
    <w:p>
      <w:pPr>
        <w:spacing w:line="297" w:lineRule="auto" w:before="160"/>
        <w:ind w:left="1179" w:right="1442" w:firstLine="0"/>
        <w:jc w:val="left"/>
        <w:rPr>
          <w:rFonts w:ascii="Times New Roman"/>
          <w:sz w:val="21"/>
        </w:rPr>
      </w:pPr>
      <w:r>
        <w:rPr>
          <w:rFonts w:ascii="Times New Roman"/>
          <w:color w:val="202529"/>
          <w:sz w:val="21"/>
        </w:rPr>
        <w:t>It is the contention of the insurers that the insured's demand for an appraisal does not make such proceeding mandatory and thus deprive the insurers of the option of having the amount of the fire loss determined by a jury in an action on the policies.</w:t>
      </w:r>
    </w:p>
    <w:p>
      <w:pPr>
        <w:pStyle w:val="ListParagraph"/>
        <w:numPr>
          <w:ilvl w:val="0"/>
          <w:numId w:val="11"/>
        </w:numPr>
        <w:tabs>
          <w:tab w:pos="1180" w:val="left" w:leader="none"/>
        </w:tabs>
        <w:spacing w:line="297" w:lineRule="auto" w:before="160" w:after="0"/>
        <w:ind w:left="1179" w:right="1592" w:hanging="350"/>
        <w:jc w:val="left"/>
        <w:rPr>
          <w:sz w:val="21"/>
        </w:rPr>
      </w:pPr>
      <w:r>
        <w:rPr>
          <w:color w:val="202529"/>
          <w:sz w:val="21"/>
        </w:rPr>
        <w:t>The provision of the policies, giving rise to the controversy, </w:t>
      </w:r>
      <w:r>
        <w:rPr>
          <w:color w:val="747474"/>
          <w:sz w:val="17"/>
        </w:rPr>
        <w:t>*244 </w:t>
      </w:r>
      <w:r>
        <w:rPr>
          <w:color w:val="202529"/>
          <w:sz w:val="21"/>
        </w:rPr>
        <w:t>is contained in the so-called standard form policy long used throughout the United States, but diligence of counsel has failed to disclose a decision of any court of last resort of the question clearly presented in the instant</w:t>
      </w:r>
      <w:r>
        <w:rPr>
          <w:color w:val="202529"/>
          <w:spacing w:val="-5"/>
          <w:sz w:val="21"/>
        </w:rPr>
        <w:t> </w:t>
      </w:r>
      <w:r>
        <w:rPr>
          <w:color w:val="202529"/>
          <w:sz w:val="21"/>
        </w:rPr>
        <w:t>case.</w:t>
      </w:r>
    </w:p>
    <w:p>
      <w:pPr>
        <w:spacing w:line="297" w:lineRule="auto" w:before="159"/>
        <w:ind w:left="1179" w:right="1470" w:firstLine="0"/>
        <w:jc w:val="left"/>
        <w:rPr>
          <w:rFonts w:ascii="Times New Roman"/>
          <w:sz w:val="21"/>
        </w:rPr>
      </w:pPr>
      <w:r>
        <w:rPr>
          <w:rFonts w:ascii="Times New Roman"/>
          <w:color w:val="202529"/>
          <w:sz w:val="21"/>
        </w:rPr>
        <w:t>Notwithstanding the mandatory language employed, which is emphasized in the majority opinion, the fact must be recognized that, although it is expressely provided that no suit on the policies may be sustained unless all requirements thereof shall have been complied with, such condition is applicable only to the insured, and there is no express provision authorizing an action based on the appraisal and award as made herein, such proceeding being predicated upon the refusal of the insurers to participate in such appraisal.</w:t>
      </w:r>
    </w:p>
    <w:p>
      <w:pPr>
        <w:spacing w:after="0" w:line="297" w:lineRule="auto"/>
        <w:jc w:val="left"/>
        <w:rPr>
          <w:rFonts w:ascii="Times New Roman"/>
          <w:sz w:val="21"/>
        </w:rPr>
        <w:sectPr>
          <w:pgSz w:w="12240" w:h="15840"/>
          <w:pgMar w:header="0" w:footer="746" w:top="380" w:bottom="940" w:left="140" w:right="40"/>
        </w:sectPr>
      </w:pPr>
    </w:p>
    <w:p>
      <w:pPr>
        <w:tabs>
          <w:tab w:pos="3679" w:val="left" w:leader="none"/>
        </w:tabs>
        <w:spacing w:before="72"/>
        <w:ind w:left="0" w:right="337" w:firstLine="0"/>
        <w:jc w:val="center"/>
        <w:rPr>
          <w:rFonts w:ascii="Arial"/>
          <w:sz w:val="20"/>
        </w:rPr>
      </w:pPr>
      <w:bookmarkStart w:name="Law and Procedure 237" w:id="52"/>
      <w:bookmarkEnd w:id="52"/>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477" w:firstLine="0"/>
        <w:jc w:val="left"/>
        <w:rPr>
          <w:rFonts w:ascii="Times New Roman"/>
          <w:sz w:val="21"/>
        </w:rPr>
      </w:pPr>
      <w:r>
        <w:rPr>
          <w:rFonts w:ascii="Times New Roman"/>
          <w:color w:val="202529"/>
          <w:spacing w:val="-3"/>
          <w:sz w:val="21"/>
        </w:rPr>
        <w:t>With </w:t>
      </w:r>
      <w:r>
        <w:rPr>
          <w:rFonts w:ascii="Times New Roman"/>
          <w:color w:val="202529"/>
          <w:sz w:val="21"/>
        </w:rPr>
        <w:t>the exception of a Minnesota Supreme Court decision, applying a specific statutory provision of that state which prescribes the procedure to be followed, we find no authority contrary to the principle, generally adopted and applied, that the waiver of the appraisal provision of a policy by the insurer, whether resulting from inaction or by express refusal to participate in such appraisement, should be accorded no effect or consequence other than the authorization of immediate suit on the policy by the</w:t>
      </w:r>
      <w:r>
        <w:rPr>
          <w:rFonts w:ascii="Times New Roman"/>
          <w:color w:val="202529"/>
          <w:spacing w:val="-5"/>
          <w:sz w:val="21"/>
        </w:rPr>
        <w:t> </w:t>
      </w:r>
      <w:r>
        <w:rPr>
          <w:rFonts w:ascii="Times New Roman"/>
          <w:color w:val="202529"/>
          <w:sz w:val="21"/>
        </w:rPr>
        <w:t>insured.</w:t>
      </w:r>
    </w:p>
    <w:p>
      <w:pPr>
        <w:spacing w:before="160"/>
        <w:ind w:left="1179" w:right="0" w:firstLine="0"/>
        <w:jc w:val="left"/>
        <w:rPr>
          <w:rFonts w:ascii="Times New Roman"/>
          <w:sz w:val="21"/>
        </w:rPr>
      </w:pPr>
      <w:r>
        <w:rPr>
          <w:rFonts w:ascii="Times New Roman"/>
          <w:color w:val="202529"/>
          <w:sz w:val="21"/>
        </w:rPr>
        <w:t>The judgment should be reversed.</w:t>
      </w:r>
    </w:p>
    <w:p>
      <w:pPr>
        <w:pStyle w:val="BodyText"/>
        <w:spacing w:before="5"/>
        <w:rPr>
          <w:rFonts w:ascii="Times New Roman"/>
          <w:sz w:val="13"/>
        </w:rPr>
      </w:pPr>
      <w:r>
        <w:rPr/>
        <w:pict>
          <v:shape style="position:absolute;margin-left:65.950714pt;margin-top:9.965761pt;width:471.65pt;height:.1pt;mso-position-horizontal-relative:page;mso-position-vertical-relative:paragraph;z-index:-251507712;mso-wrap-distance-left:0;mso-wrap-distance-right:0" coordorigin="1319,199" coordsize="9433,0" path="m1319,199l10751,199e" filled="false" stroked="true" strokeweight=".499052pt" strokecolor="#000000">
            <v:path arrowok="t"/>
            <v:stroke dashstyle="solid"/>
            <w10:wrap type="topAndBottom"/>
          </v:shape>
        </w:pict>
      </w:r>
    </w:p>
    <w:p>
      <w:pPr>
        <w:spacing w:before="154"/>
        <w:ind w:left="1179" w:right="0" w:firstLine="0"/>
        <w:jc w:val="left"/>
        <w:rPr>
          <w:rFonts w:ascii="Times New Roman"/>
          <w:sz w:val="21"/>
        </w:rPr>
      </w:pPr>
      <w:r>
        <w:rPr>
          <w:rFonts w:ascii="Times New Roman"/>
          <w:color w:val="202529"/>
          <w:sz w:val="21"/>
        </w:rPr>
        <w:t>HART, J., dissenting.</w:t>
      </w:r>
    </w:p>
    <w:p>
      <w:pPr>
        <w:pStyle w:val="BodyText"/>
        <w:spacing w:before="10"/>
        <w:rPr>
          <w:rFonts w:ascii="Times New Roman"/>
          <w:sz w:val="18"/>
        </w:rPr>
      </w:pPr>
    </w:p>
    <w:p>
      <w:pPr>
        <w:spacing w:line="297" w:lineRule="auto" w:before="1"/>
        <w:ind w:left="1179" w:right="1442" w:firstLine="0"/>
        <w:jc w:val="left"/>
        <w:rPr>
          <w:rFonts w:ascii="Times New Roman"/>
          <w:sz w:val="21"/>
        </w:rPr>
      </w:pPr>
      <w:r>
        <w:rPr>
          <w:rFonts w:ascii="Times New Roman"/>
          <w:color w:val="202529"/>
          <w:sz w:val="21"/>
        </w:rPr>
        <w:t>I dissent because, in my opinion, the remedy afforded to the plaintiff by the Probate Court and now finally approved by the majority opinion in this court is not legally available to him.</w:t>
      </w:r>
    </w:p>
    <w:p>
      <w:pPr>
        <w:spacing w:before="159"/>
        <w:ind w:left="1179" w:right="0" w:firstLine="0"/>
        <w:jc w:val="left"/>
        <w:rPr>
          <w:rFonts w:ascii="Times New Roman"/>
          <w:sz w:val="21"/>
        </w:rPr>
      </w:pPr>
      <w:r>
        <w:rPr>
          <w:rFonts w:ascii="Times New Roman"/>
          <w:color w:val="202529"/>
          <w:sz w:val="21"/>
        </w:rPr>
        <w:t>"At common law the authority of an arbitrator is, in its nature, revocable, and the general rule is that a naked</w:t>
      </w:r>
    </w:p>
    <w:p>
      <w:pPr>
        <w:pStyle w:val="ListParagraph"/>
        <w:numPr>
          <w:ilvl w:val="0"/>
          <w:numId w:val="11"/>
        </w:numPr>
        <w:tabs>
          <w:tab w:pos="1180" w:val="left" w:leader="none"/>
        </w:tabs>
        <w:spacing w:line="297" w:lineRule="auto" w:before="58" w:after="0"/>
        <w:ind w:left="1179" w:right="1469" w:hanging="350"/>
        <w:jc w:val="left"/>
        <w:rPr>
          <w:sz w:val="21"/>
        </w:rPr>
      </w:pPr>
      <w:r>
        <w:rPr>
          <w:color w:val="202529"/>
          <w:sz w:val="21"/>
        </w:rPr>
        <w:t>executory agreement, not under authority of </w:t>
      </w:r>
      <w:r>
        <w:rPr>
          <w:color w:val="747474"/>
          <w:sz w:val="17"/>
        </w:rPr>
        <w:t>*245 </w:t>
      </w:r>
      <w:r>
        <w:rPr>
          <w:color w:val="202529"/>
          <w:sz w:val="21"/>
        </w:rPr>
        <w:t>statute or rule of court, to submit </w:t>
      </w:r>
      <w:r>
        <w:rPr>
          <w:i/>
          <w:color w:val="202529"/>
          <w:sz w:val="21"/>
        </w:rPr>
        <w:t>to arbitration </w:t>
      </w:r>
      <w:r>
        <w:rPr>
          <w:color w:val="202529"/>
          <w:sz w:val="21"/>
        </w:rPr>
        <w:t>existing or prospective matters of difference is revocable by express act of either party or by implication of law at any time before the submission is consummated by a valid award." (Italics supplied.) 3 American Jurisprudence, 891, Section 59; 29 American Jurisprudence, 926, Section 1240; 45 Corpus Juris Secundum, 1375, Section </w:t>
      </w:r>
      <w:r>
        <w:rPr>
          <w:color w:val="202529"/>
          <w:spacing w:val="-3"/>
          <w:sz w:val="21"/>
        </w:rPr>
        <w:t>1131; </w:t>
      </w:r>
      <w:r>
        <w:rPr>
          <w:i/>
          <w:color w:val="202529"/>
          <w:sz w:val="21"/>
        </w:rPr>
        <w:t>Lewis, </w:t>
      </w:r>
      <w:r>
        <w:rPr>
          <w:i/>
          <w:color w:val="202529"/>
          <w:spacing w:val="-5"/>
          <w:sz w:val="21"/>
        </w:rPr>
        <w:t>Admr.</w:t>
      </w:r>
      <w:r>
        <w:rPr>
          <w:color w:val="202529"/>
          <w:spacing w:val="-5"/>
          <w:sz w:val="21"/>
        </w:rPr>
        <w:t>, </w:t>
      </w:r>
      <w:r>
        <w:rPr>
          <w:color w:val="202529"/>
          <w:spacing w:val="-7"/>
          <w:sz w:val="21"/>
        </w:rPr>
        <w:t>v. </w:t>
      </w:r>
      <w:r>
        <w:rPr>
          <w:i/>
          <w:color w:val="202529"/>
          <w:sz w:val="21"/>
        </w:rPr>
        <w:t>Brotherhood Accident Co.</w:t>
      </w:r>
      <w:r>
        <w:rPr>
          <w:color w:val="202529"/>
          <w:sz w:val="21"/>
        </w:rPr>
        <w:t>, </w:t>
      </w:r>
      <w:hyperlink r:id="rId32">
        <w:r>
          <w:rPr>
            <w:color w:val="0059AA"/>
            <w:sz w:val="21"/>
          </w:rPr>
          <w:t>194 Mass. 1</w:t>
        </w:r>
      </w:hyperlink>
      <w:r>
        <w:rPr>
          <w:color w:val="202529"/>
          <w:sz w:val="21"/>
        </w:rPr>
        <w:t>, </w:t>
      </w:r>
      <w:hyperlink r:id="rId33">
        <w:r>
          <w:rPr>
            <w:color w:val="0059AA"/>
            <w:sz w:val="21"/>
          </w:rPr>
          <w:t>79 N.E. 802, 17 </w:t>
        </w:r>
      </w:hyperlink>
      <w:r>
        <w:rPr>
          <w:color w:val="202529"/>
          <w:sz w:val="21"/>
        </w:rPr>
        <w:t>L.R.A. (N.S.), 714; </w:t>
      </w:r>
      <w:r>
        <w:rPr>
          <w:i/>
          <w:color w:val="202529"/>
          <w:sz w:val="21"/>
        </w:rPr>
        <w:t>State, Knaus,</w:t>
      </w:r>
      <w:hyperlink r:id="rId34">
        <w:r>
          <w:rPr>
            <w:i/>
            <w:color w:val="202529"/>
            <w:sz w:val="21"/>
          </w:rPr>
          <w:t> </w:t>
        </w:r>
        <w:r>
          <w:rPr>
            <w:i/>
            <w:color w:val="202529"/>
            <w:spacing w:val="-2"/>
            <w:sz w:val="21"/>
          </w:rPr>
          <w:t>Pros.</w:t>
        </w:r>
        <w:r>
          <w:rPr>
            <w:color w:val="202529"/>
            <w:spacing w:val="-2"/>
            <w:sz w:val="21"/>
          </w:rPr>
          <w:t>, </w:t>
        </w:r>
        <w:r>
          <w:rPr>
            <w:color w:val="202529"/>
            <w:spacing w:val="-7"/>
            <w:sz w:val="21"/>
          </w:rPr>
          <w:t>v. </w:t>
        </w:r>
        <w:r>
          <w:rPr>
            <w:i/>
            <w:color w:val="202529"/>
            <w:sz w:val="21"/>
          </w:rPr>
          <w:t>Jenkins</w:t>
        </w:r>
        <w:r>
          <w:rPr>
            <w:color w:val="202529"/>
            <w:sz w:val="21"/>
          </w:rPr>
          <w:t>, 40 N.J. </w:t>
        </w:r>
        <w:r>
          <w:rPr>
            <w:color w:val="202529"/>
            <w:spacing w:val="-4"/>
            <w:sz w:val="21"/>
          </w:rPr>
          <w:t>Law, </w:t>
        </w:r>
        <w:r>
          <w:rPr>
            <w:color w:val="202529"/>
            <w:sz w:val="21"/>
          </w:rPr>
          <w:t>288, 29 Am. Rep., 237; </w:t>
        </w:r>
        <w:r>
          <w:rPr>
            <w:i/>
            <w:color w:val="202529"/>
            <w:spacing w:val="-3"/>
            <w:sz w:val="21"/>
          </w:rPr>
          <w:t>Williams </w:t>
        </w:r>
        <w:r>
          <w:rPr>
            <w:color w:val="202529"/>
            <w:spacing w:val="-7"/>
            <w:sz w:val="21"/>
          </w:rPr>
          <w:t>v. </w:t>
        </w:r>
        <w:r>
          <w:rPr>
            <w:i/>
            <w:color w:val="202529"/>
            <w:sz w:val="21"/>
          </w:rPr>
          <w:t>Branning Mfg. Co.</w:t>
        </w:r>
        <w:r>
          <w:rPr>
            <w:color w:val="202529"/>
            <w:sz w:val="21"/>
          </w:rPr>
          <w:t>, </w:t>
        </w:r>
        <w:r>
          <w:rPr>
            <w:color w:val="0059AA"/>
            <w:sz w:val="21"/>
          </w:rPr>
          <w:t>153 N.C. 7</w:t>
        </w:r>
        <w:r>
          <w:rPr>
            <w:color w:val="202529"/>
            <w:sz w:val="21"/>
          </w:rPr>
          <w:t>, </w:t>
        </w:r>
        <w:r>
          <w:rPr>
            <w:color w:val="0059AA"/>
            <w:sz w:val="21"/>
          </w:rPr>
          <w:t>68 S.E. 902, 31 </w:t>
        </w:r>
        <w:r>
          <w:rPr>
            <w:color w:val="202529"/>
            <w:sz w:val="21"/>
          </w:rPr>
          <w:t>L.R.A. (N.S.), 679, 138 Am. St. Rep., 637; annotations, 42 A.L.R., 732, and 69 A.L.R.,</w:t>
        </w:r>
        <w:r>
          <w:rPr>
            <w:color w:val="202529"/>
            <w:spacing w:val="-13"/>
            <w:sz w:val="21"/>
          </w:rPr>
          <w:t> </w:t>
        </w:r>
        <w:r>
          <w:rPr>
            <w:color w:val="202529"/>
            <w:sz w:val="21"/>
          </w:rPr>
          <w:t>817.</w:t>
        </w:r>
      </w:hyperlink>
    </w:p>
    <w:p>
      <w:pPr>
        <w:spacing w:before="160"/>
        <w:ind w:left="1179" w:right="0" w:firstLine="0"/>
        <w:jc w:val="left"/>
        <w:rPr>
          <w:rFonts w:ascii="Times New Roman"/>
          <w:sz w:val="21"/>
        </w:rPr>
      </w:pPr>
      <w:r>
        <w:rPr>
          <w:rFonts w:ascii="Times New Roman"/>
          <w:color w:val="202529"/>
          <w:sz w:val="21"/>
        </w:rPr>
        <w:t>Again, it is stated as follows in 29 American Jurisprudence, 926, Section 1240:</w:t>
      </w:r>
    </w:p>
    <w:p>
      <w:pPr>
        <w:pStyle w:val="BodyText"/>
        <w:spacing w:before="10"/>
        <w:rPr>
          <w:rFonts w:ascii="Times New Roman"/>
          <w:sz w:val="18"/>
        </w:rPr>
      </w:pPr>
    </w:p>
    <w:p>
      <w:pPr>
        <w:spacing w:line="297" w:lineRule="auto" w:before="1"/>
        <w:ind w:left="1179" w:right="1442" w:firstLine="0"/>
        <w:jc w:val="left"/>
        <w:rPr>
          <w:rFonts w:ascii="Times New Roman"/>
          <w:sz w:val="21"/>
        </w:rPr>
      </w:pPr>
      <w:r>
        <w:rPr>
          <w:rFonts w:ascii="Times New Roman"/>
          <w:color w:val="202529"/>
          <w:sz w:val="21"/>
        </w:rPr>
        <w:t>"In accordance with general principles applicable to all contracts, it is the rule that a provision in an insurance policy </w:t>
      </w:r>
      <w:r>
        <w:rPr>
          <w:rFonts w:ascii="Times New Roman"/>
          <w:i/>
          <w:color w:val="202529"/>
          <w:sz w:val="21"/>
        </w:rPr>
        <w:t>that all disputes arising under the policy shall be submitted to arbitrators</w:t>
      </w:r>
      <w:r>
        <w:rPr>
          <w:rFonts w:ascii="Times New Roman"/>
          <w:color w:val="202529"/>
          <w:sz w:val="21"/>
        </w:rPr>
        <w:t>, or a provision similar in substance and effect, is not binding." (Italics supplied.) </w:t>
      </w:r>
      <w:r>
        <w:rPr>
          <w:rFonts w:ascii="Times New Roman"/>
          <w:i/>
          <w:color w:val="202529"/>
          <w:sz w:val="21"/>
        </w:rPr>
        <w:t>Lewis, Admr.</w:t>
      </w:r>
      <w:r>
        <w:rPr>
          <w:rFonts w:ascii="Times New Roman"/>
          <w:color w:val="202529"/>
          <w:sz w:val="21"/>
        </w:rPr>
        <w:t>, v. </w:t>
      </w:r>
      <w:r>
        <w:rPr>
          <w:rFonts w:ascii="Times New Roman"/>
          <w:i/>
          <w:color w:val="202529"/>
          <w:sz w:val="21"/>
        </w:rPr>
        <w:t>Brotherhood Accident Co., supra; </w:t>
      </w:r>
      <w:r>
        <w:rPr>
          <w:rFonts w:ascii="Times New Roman"/>
          <w:i/>
          <w:color w:val="202529"/>
          <w:sz w:val="21"/>
        </w:rPr>
        <w:t>Niagara Fire Ins. Co. </w:t>
      </w:r>
      <w:r>
        <w:rPr>
          <w:rFonts w:ascii="Times New Roman"/>
          <w:color w:val="202529"/>
          <w:sz w:val="21"/>
        </w:rPr>
        <w:t>v. </w:t>
      </w:r>
      <w:r>
        <w:rPr>
          <w:rFonts w:ascii="Times New Roman"/>
          <w:i/>
          <w:color w:val="202529"/>
          <w:sz w:val="21"/>
        </w:rPr>
        <w:t>Bishop</w:t>
      </w:r>
      <w:r>
        <w:rPr>
          <w:rFonts w:ascii="Times New Roman"/>
          <w:color w:val="202529"/>
          <w:sz w:val="21"/>
        </w:rPr>
        <w:t>, 154 Ill. 9, 39 N.E. 1102, 45 Am. St. Rep., 105; annotation, 47 L.R.A. (N.S.),</w:t>
      </w:r>
    </w:p>
    <w:p>
      <w:pPr>
        <w:spacing w:before="0"/>
        <w:ind w:left="1179" w:right="0" w:firstLine="0"/>
        <w:jc w:val="left"/>
        <w:rPr>
          <w:rFonts w:ascii="Times New Roman"/>
          <w:sz w:val="21"/>
        </w:rPr>
      </w:pPr>
      <w:r>
        <w:rPr>
          <w:rFonts w:ascii="Times New Roman"/>
          <w:color w:val="202529"/>
          <w:sz w:val="21"/>
        </w:rPr>
        <w:t>354.</w:t>
      </w:r>
    </w:p>
    <w:p>
      <w:pPr>
        <w:pStyle w:val="BodyText"/>
        <w:spacing w:before="10"/>
        <w:rPr>
          <w:rFonts w:ascii="Times New Roman"/>
          <w:sz w:val="18"/>
        </w:rPr>
      </w:pPr>
    </w:p>
    <w:p>
      <w:pPr>
        <w:spacing w:line="297" w:lineRule="auto" w:before="0"/>
        <w:ind w:left="1179" w:right="1442" w:firstLine="0"/>
        <w:jc w:val="left"/>
        <w:rPr>
          <w:rFonts w:ascii="Times New Roman"/>
          <w:sz w:val="21"/>
        </w:rPr>
      </w:pPr>
      <w:r>
        <w:rPr>
          <w:rFonts w:ascii="Times New Roman"/>
          <w:color w:val="202529"/>
          <w:sz w:val="21"/>
        </w:rPr>
        <w:t>The position of the courts is that, although a contract to arbitrate is valid, it is not binding and irrevocable so long as it remains executory and has not been carried through to an award or decision. </w:t>
      </w:r>
      <w:r>
        <w:rPr>
          <w:rFonts w:ascii="Times New Roman"/>
          <w:i/>
          <w:color w:val="202529"/>
          <w:sz w:val="21"/>
        </w:rPr>
        <w:t>First Ecclesiastical </w:t>
      </w:r>
      <w:r>
        <w:rPr>
          <w:rFonts w:ascii="Times New Roman"/>
          <w:i/>
          <w:color w:val="202529"/>
          <w:sz w:val="21"/>
        </w:rPr>
        <w:t>Society </w:t>
      </w:r>
      <w:r>
        <w:rPr>
          <w:rFonts w:ascii="Times New Roman"/>
          <w:color w:val="202529"/>
          <w:sz w:val="21"/>
        </w:rPr>
        <w:t>v. </w:t>
      </w:r>
      <w:r>
        <w:rPr>
          <w:rFonts w:ascii="Times New Roman"/>
          <w:i/>
          <w:color w:val="202529"/>
          <w:sz w:val="21"/>
        </w:rPr>
        <w:t>Besse</w:t>
      </w:r>
      <w:r>
        <w:rPr>
          <w:rFonts w:ascii="Times New Roman"/>
          <w:color w:val="202529"/>
          <w:sz w:val="21"/>
        </w:rPr>
        <w:t>, </w:t>
      </w:r>
      <w:hyperlink r:id="rId35">
        <w:r>
          <w:rPr>
            <w:rFonts w:ascii="Times New Roman"/>
            <w:color w:val="0059AA"/>
            <w:sz w:val="21"/>
          </w:rPr>
          <w:t>98 Conn. 616</w:t>
        </w:r>
      </w:hyperlink>
      <w:r>
        <w:rPr>
          <w:rFonts w:ascii="Times New Roman"/>
          <w:color w:val="202529"/>
          <w:sz w:val="21"/>
        </w:rPr>
        <w:t>, </w:t>
      </w:r>
      <w:hyperlink r:id="rId35">
        <w:r>
          <w:rPr>
            <w:rFonts w:ascii="Times New Roman"/>
            <w:color w:val="0059AA"/>
            <w:sz w:val="21"/>
          </w:rPr>
          <w:t>119 A. 903</w:t>
        </w:r>
      </w:hyperlink>
      <w:r>
        <w:rPr>
          <w:rFonts w:ascii="Times New Roman"/>
          <w:color w:val="202529"/>
          <w:sz w:val="21"/>
        </w:rPr>
        <w:t>; </w:t>
      </w:r>
      <w:r>
        <w:rPr>
          <w:rFonts w:ascii="Times New Roman"/>
          <w:i/>
          <w:color w:val="202529"/>
          <w:sz w:val="21"/>
        </w:rPr>
        <w:t>Martin </w:t>
      </w:r>
      <w:r>
        <w:rPr>
          <w:rFonts w:ascii="Times New Roman"/>
          <w:color w:val="202529"/>
          <w:sz w:val="21"/>
        </w:rPr>
        <w:t>v. </w:t>
      </w:r>
      <w:r>
        <w:rPr>
          <w:rFonts w:ascii="Times New Roman"/>
          <w:i/>
          <w:color w:val="202529"/>
          <w:sz w:val="21"/>
        </w:rPr>
        <w:t>Vansant</w:t>
      </w:r>
      <w:r>
        <w:rPr>
          <w:rFonts w:ascii="Times New Roman"/>
          <w:color w:val="202529"/>
          <w:sz w:val="21"/>
        </w:rPr>
        <w:t>, 99 Wn. 106, 168 P. 990, Ann. Cas., 1918D,</w:t>
      </w:r>
    </w:p>
    <w:p>
      <w:pPr>
        <w:spacing w:before="0"/>
        <w:ind w:left="1179" w:right="0" w:firstLine="0"/>
        <w:jc w:val="left"/>
        <w:rPr>
          <w:rFonts w:ascii="Times New Roman"/>
          <w:sz w:val="21"/>
        </w:rPr>
      </w:pPr>
      <w:r>
        <w:rPr>
          <w:rFonts w:ascii="Times New Roman"/>
          <w:color w:val="202529"/>
          <w:sz w:val="21"/>
        </w:rPr>
        <w:t>1147.</w:t>
      </w:r>
    </w:p>
    <w:p>
      <w:pPr>
        <w:pStyle w:val="BodyText"/>
        <w:spacing w:before="11"/>
        <w:rPr>
          <w:rFonts w:ascii="Times New Roman"/>
          <w:sz w:val="18"/>
        </w:rPr>
      </w:pPr>
    </w:p>
    <w:p>
      <w:pPr>
        <w:spacing w:before="0"/>
        <w:ind w:left="1179" w:right="0" w:firstLine="0"/>
        <w:jc w:val="left"/>
        <w:rPr>
          <w:rFonts w:ascii="Times New Roman"/>
          <w:sz w:val="21"/>
        </w:rPr>
      </w:pPr>
      <w:r>
        <w:rPr>
          <w:rFonts w:ascii="Times New Roman"/>
          <w:color w:val="202529"/>
          <w:sz w:val="21"/>
        </w:rPr>
        <w:t>The reason for this rule is that courts of law refuse to enforce any contract which tends to oust the jurisdiction</w:t>
      </w:r>
    </w:p>
    <w:p>
      <w:pPr>
        <w:pStyle w:val="ListParagraph"/>
        <w:numPr>
          <w:ilvl w:val="0"/>
          <w:numId w:val="11"/>
        </w:numPr>
        <w:tabs>
          <w:tab w:pos="1180" w:val="left" w:leader="none"/>
        </w:tabs>
        <w:spacing w:line="297" w:lineRule="auto" w:before="58" w:after="0"/>
        <w:ind w:left="1179" w:right="1505" w:hanging="350"/>
        <w:jc w:val="left"/>
        <w:rPr>
          <w:sz w:val="21"/>
        </w:rPr>
      </w:pPr>
      <w:r>
        <w:rPr>
          <w:color w:val="202529"/>
          <w:sz w:val="21"/>
        </w:rPr>
        <w:t>of the court. "On the other hand, the view prevailing in nearly all jurisdictions is that a </w:t>
      </w:r>
      <w:r>
        <w:rPr>
          <w:color w:val="747474"/>
          <w:sz w:val="17"/>
        </w:rPr>
        <w:t>*246 </w:t>
      </w:r>
      <w:r>
        <w:rPr>
          <w:color w:val="202529"/>
          <w:sz w:val="21"/>
        </w:rPr>
        <w:t>stipulation not ousting the jurisdiction of the courts, but </w:t>
      </w:r>
      <w:r>
        <w:rPr>
          <w:i/>
          <w:color w:val="202529"/>
          <w:sz w:val="21"/>
        </w:rPr>
        <w:t>leaving the general question of liability for a loss to be judicially </w:t>
      </w:r>
      <w:r>
        <w:rPr>
          <w:i/>
          <w:color w:val="202529"/>
          <w:sz w:val="21"/>
        </w:rPr>
        <w:t>determined</w:t>
      </w:r>
      <w:r>
        <w:rPr>
          <w:color w:val="202529"/>
          <w:sz w:val="21"/>
        </w:rPr>
        <w:t>, and simply providing a reasonable method of estimating and ascertaining </w:t>
      </w:r>
      <w:r>
        <w:rPr>
          <w:i/>
          <w:color w:val="202529"/>
          <w:sz w:val="21"/>
        </w:rPr>
        <w:t>the amount of the loss, is</w:t>
      </w:r>
      <w:hyperlink r:id="rId36">
        <w:r>
          <w:rPr>
            <w:i/>
            <w:color w:val="202529"/>
            <w:sz w:val="21"/>
          </w:rPr>
          <w:t> </w:t>
        </w:r>
        <w:r>
          <w:rPr>
            <w:i/>
            <w:color w:val="202529"/>
            <w:sz w:val="21"/>
          </w:rPr>
          <w:t>valid.</w:t>
        </w:r>
        <w:r>
          <w:rPr>
            <w:color w:val="202529"/>
            <w:sz w:val="21"/>
          </w:rPr>
          <w:t>" (Italics supplied.) 29 American Jurisprudence, 926, Section 1240; </w:t>
        </w:r>
        <w:r>
          <w:rPr>
            <w:i/>
            <w:color w:val="202529"/>
            <w:sz w:val="21"/>
          </w:rPr>
          <w:t>Royal Ins. Co. </w:t>
        </w:r>
        <w:r>
          <w:rPr>
            <w:color w:val="202529"/>
            <w:spacing w:val="-7"/>
            <w:sz w:val="21"/>
          </w:rPr>
          <w:t>v. </w:t>
        </w:r>
        <w:r>
          <w:rPr>
            <w:i/>
            <w:color w:val="202529"/>
            <w:sz w:val="21"/>
          </w:rPr>
          <w:t>Ries</w:t>
        </w:r>
        <w:r>
          <w:rPr>
            <w:color w:val="202529"/>
            <w:sz w:val="21"/>
          </w:rPr>
          <w:t>, </w:t>
        </w:r>
        <w:r>
          <w:rPr>
            <w:color w:val="0059AA"/>
            <w:sz w:val="21"/>
          </w:rPr>
          <w:t>80 Ohio St. 272, 283 </w:t>
        </w:r>
        <w:r>
          <w:rPr>
            <w:color w:val="202529"/>
            <w:sz w:val="21"/>
          </w:rPr>
          <w:t>to 289, 88 N.E. 638; </w:t>
        </w:r>
        <w:r>
          <w:rPr>
            <w:i/>
            <w:color w:val="202529"/>
            <w:sz w:val="21"/>
          </w:rPr>
          <w:t>Hamilton </w:t>
        </w:r>
        <w:r>
          <w:rPr>
            <w:color w:val="202529"/>
            <w:spacing w:val="-7"/>
            <w:sz w:val="21"/>
          </w:rPr>
          <w:t>v. </w:t>
        </w:r>
        <w:r>
          <w:rPr>
            <w:i/>
            <w:color w:val="202529"/>
            <w:sz w:val="21"/>
          </w:rPr>
          <w:t>Liverpool, London Globe Ins. Co.</w:t>
        </w:r>
        <w:r>
          <w:rPr>
            <w:color w:val="202529"/>
            <w:sz w:val="21"/>
          </w:rPr>
          <w:t>, </w:t>
        </w:r>
      </w:hyperlink>
      <w:hyperlink r:id="rId37">
        <w:r>
          <w:rPr>
            <w:color w:val="0059AA"/>
            <w:sz w:val="21"/>
          </w:rPr>
          <w:t>136 U.S. 242</w:t>
        </w:r>
      </w:hyperlink>
      <w:hyperlink r:id="rId36">
        <w:r>
          <w:rPr>
            <w:color w:val="202529"/>
            <w:sz w:val="21"/>
          </w:rPr>
          <w:t>, 34 L. Ed., 419,</w:t>
        </w:r>
        <w:r>
          <w:rPr>
            <w:color w:val="202529"/>
            <w:spacing w:val="-24"/>
            <w:sz w:val="21"/>
          </w:rPr>
          <w:t> </w:t>
        </w:r>
      </w:hyperlink>
      <w:r>
        <w:rPr>
          <w:color w:val="202529"/>
          <w:sz w:val="21"/>
        </w:rPr>
        <w:t>10</w:t>
      </w:r>
    </w:p>
    <w:p>
      <w:pPr>
        <w:spacing w:line="297" w:lineRule="auto" w:before="0"/>
        <w:ind w:left="1179" w:right="1528" w:firstLine="0"/>
        <w:jc w:val="left"/>
        <w:rPr>
          <w:rFonts w:ascii="Times New Roman"/>
          <w:sz w:val="21"/>
        </w:rPr>
      </w:pPr>
      <w:r>
        <w:rPr>
          <w:rFonts w:ascii="Times New Roman"/>
          <w:color w:val="202529"/>
          <w:sz w:val="21"/>
        </w:rPr>
        <w:t>S. Ct., 945; </w:t>
      </w:r>
      <w:r>
        <w:rPr>
          <w:rFonts w:ascii="Times New Roman"/>
          <w:i/>
          <w:color w:val="202529"/>
          <w:sz w:val="21"/>
        </w:rPr>
        <w:t>Norwich Union Fire Ins. Soc. </w:t>
      </w:r>
      <w:r>
        <w:rPr>
          <w:rFonts w:ascii="Times New Roman"/>
          <w:color w:val="202529"/>
          <w:sz w:val="21"/>
        </w:rPr>
        <w:t>v. </w:t>
      </w:r>
      <w:r>
        <w:rPr>
          <w:rFonts w:ascii="Times New Roman"/>
          <w:i/>
          <w:color w:val="202529"/>
          <w:sz w:val="21"/>
        </w:rPr>
        <w:t>Cohn</w:t>
      </w:r>
      <w:r>
        <w:rPr>
          <w:rFonts w:ascii="Times New Roman"/>
          <w:color w:val="202529"/>
          <w:sz w:val="21"/>
        </w:rPr>
        <w:t>, </w:t>
      </w:r>
      <w:hyperlink r:id="rId38">
        <w:r>
          <w:rPr>
            <w:rFonts w:ascii="Times New Roman"/>
            <w:color w:val="0059AA"/>
            <w:sz w:val="21"/>
          </w:rPr>
          <w:t>68 F.2d 42</w:t>
        </w:r>
      </w:hyperlink>
      <w:r>
        <w:rPr>
          <w:rFonts w:ascii="Times New Roman"/>
          <w:color w:val="202529"/>
          <w:sz w:val="21"/>
        </w:rPr>
        <w:t>, 94 A.L.R., 494, certiorari denied, 291 U.S. 665, 78 L. Ed., 1056, 54 S. Ct., 440; </w:t>
      </w:r>
      <w:r>
        <w:rPr>
          <w:rFonts w:ascii="Times New Roman"/>
          <w:i/>
          <w:color w:val="202529"/>
          <w:sz w:val="21"/>
        </w:rPr>
        <w:t>Niagara Fire Ins. Co. </w:t>
      </w:r>
      <w:r>
        <w:rPr>
          <w:rFonts w:ascii="Times New Roman"/>
          <w:color w:val="202529"/>
          <w:sz w:val="21"/>
        </w:rPr>
        <w:t>v. </w:t>
      </w:r>
      <w:r>
        <w:rPr>
          <w:rFonts w:ascii="Times New Roman"/>
          <w:i/>
          <w:color w:val="202529"/>
          <w:sz w:val="21"/>
        </w:rPr>
        <w:t>Bishop, supra; Second Society of Universalists </w:t>
      </w:r>
      <w:r>
        <w:rPr>
          <w:rFonts w:ascii="Times New Roman"/>
          <w:color w:val="202529"/>
          <w:sz w:val="21"/>
        </w:rPr>
        <w:t>v. </w:t>
      </w:r>
      <w:r>
        <w:rPr>
          <w:rFonts w:ascii="Times New Roman"/>
          <w:i/>
          <w:color w:val="202529"/>
          <w:sz w:val="21"/>
        </w:rPr>
        <w:t>Royal Ins. Co.</w:t>
      </w:r>
      <w:r>
        <w:rPr>
          <w:rFonts w:ascii="Times New Roman"/>
          <w:color w:val="202529"/>
          <w:sz w:val="21"/>
        </w:rPr>
        <w:t>, </w:t>
      </w:r>
      <w:hyperlink r:id="rId39">
        <w:r>
          <w:rPr>
            <w:rFonts w:ascii="Times New Roman"/>
            <w:color w:val="0059AA"/>
            <w:sz w:val="21"/>
          </w:rPr>
          <w:t>221 Mass. 518</w:t>
        </w:r>
      </w:hyperlink>
      <w:r>
        <w:rPr>
          <w:rFonts w:ascii="Times New Roman"/>
          <w:color w:val="202529"/>
          <w:sz w:val="21"/>
        </w:rPr>
        <w:t>, </w:t>
      </w:r>
      <w:hyperlink r:id="rId39">
        <w:r>
          <w:rPr>
            <w:rFonts w:ascii="Times New Roman"/>
            <w:color w:val="0059AA"/>
            <w:sz w:val="21"/>
          </w:rPr>
          <w:t>109 N.E. 384</w:t>
        </w:r>
      </w:hyperlink>
      <w:r>
        <w:rPr>
          <w:rFonts w:ascii="Times New Roman"/>
          <w:color w:val="202529"/>
          <w:sz w:val="21"/>
        </w:rPr>
        <w:t>, Ann. Cas., 1917E, 491; </w:t>
      </w:r>
      <w:r>
        <w:rPr>
          <w:rFonts w:ascii="Times New Roman"/>
          <w:i/>
          <w:color w:val="202529"/>
          <w:sz w:val="21"/>
        </w:rPr>
        <w:t>Chapman </w:t>
      </w:r>
      <w:r>
        <w:rPr>
          <w:rFonts w:ascii="Times New Roman"/>
          <w:color w:val="202529"/>
          <w:sz w:val="21"/>
        </w:rPr>
        <w:t>v. </w:t>
      </w:r>
      <w:r>
        <w:rPr>
          <w:rFonts w:ascii="Times New Roman"/>
          <w:i/>
          <w:color w:val="202529"/>
          <w:sz w:val="21"/>
        </w:rPr>
        <w:t>Rockford Ins. Co.</w:t>
      </w:r>
      <w:r>
        <w:rPr>
          <w:rFonts w:ascii="Times New Roman"/>
          <w:color w:val="202529"/>
          <w:sz w:val="21"/>
        </w:rPr>
        <w:t>, 89 Wis. 572, 62 N.W. 422, 28 L.R.A., 405.</w:t>
      </w:r>
    </w:p>
    <w:p>
      <w:pPr>
        <w:spacing w:before="159"/>
        <w:ind w:left="1179" w:right="0" w:firstLine="0"/>
        <w:jc w:val="left"/>
        <w:rPr>
          <w:rFonts w:ascii="Times New Roman"/>
          <w:sz w:val="21"/>
        </w:rPr>
      </w:pPr>
      <w:r>
        <w:rPr>
          <w:rFonts w:ascii="Times New Roman"/>
          <w:color w:val="202529"/>
          <w:sz w:val="21"/>
        </w:rPr>
        <w:t>In 45 Corpus Juris Secundum, 1352, Section 1110, it is likewise stated:</w:t>
      </w:r>
    </w:p>
    <w:p>
      <w:pPr>
        <w:spacing w:after="0"/>
        <w:jc w:val="left"/>
        <w:rPr>
          <w:rFonts w:ascii="Times New Roman"/>
          <w:sz w:val="21"/>
        </w:rPr>
        <w:sectPr>
          <w:pgSz w:w="12240" w:h="15840"/>
          <w:pgMar w:header="0" w:footer="746" w:top="380" w:bottom="940" w:left="140" w:right="40"/>
        </w:sectPr>
      </w:pPr>
    </w:p>
    <w:p>
      <w:pPr>
        <w:tabs>
          <w:tab w:pos="3679" w:val="left" w:leader="none"/>
        </w:tabs>
        <w:spacing w:before="72"/>
        <w:ind w:left="0" w:right="337" w:firstLine="0"/>
        <w:jc w:val="center"/>
        <w:rPr>
          <w:rFonts w:ascii="Arial"/>
          <w:sz w:val="20"/>
        </w:rPr>
      </w:pPr>
      <w:bookmarkStart w:name="Law and Procedure 238" w:id="53"/>
      <w:bookmarkEnd w:id="53"/>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528" w:firstLine="0"/>
        <w:jc w:val="left"/>
        <w:rPr>
          <w:rFonts w:ascii="Times New Roman"/>
          <w:sz w:val="21"/>
        </w:rPr>
      </w:pPr>
      <w:r>
        <w:rPr>
          <w:rFonts w:ascii="Times New Roman"/>
          <w:color w:val="202529"/>
          <w:sz w:val="21"/>
        </w:rPr>
        <w:t>"Although a general arbitration clause requiring submission to arbitrators of the liability of the insurer is invalid, a clause requiring submission of disagreement as to amount of loss is valid, such clause being construed as requiring appraisal of the amount of loss, but not determination of other matters, as a condition precedent to recovery."</w:t>
      </w:r>
    </w:p>
    <w:p>
      <w:pPr>
        <w:spacing w:line="297" w:lineRule="auto" w:before="160"/>
        <w:ind w:left="1179" w:right="1442" w:firstLine="0"/>
        <w:jc w:val="left"/>
        <w:rPr>
          <w:rFonts w:ascii="Times New Roman" w:hAnsi="Times New Roman"/>
          <w:sz w:val="21"/>
        </w:rPr>
      </w:pPr>
      <w:r>
        <w:rPr>
          <w:rFonts w:ascii="Times New Roman" w:hAnsi="Times New Roman"/>
          <w:color w:val="202529"/>
          <w:sz w:val="21"/>
        </w:rPr>
        <w:t>The provisions in the policies in the instant case do not call for the determination of the liabilities of the parties to the contracts, but only for the determination of a single question of fact — the amount of the loss sustained. The provisions, therefore, are an appraisal clause and not an arbitration clause, and this difference is significant in the determination of the rights of the parties as to the remedy which they may pursue upon the breach of the agreement by any party to appraise the loss. 29 American Jurisprudence, 935, Section 1252. Where the amount</w:t>
      </w:r>
    </w:p>
    <w:p>
      <w:pPr>
        <w:pStyle w:val="ListParagraph"/>
        <w:numPr>
          <w:ilvl w:val="0"/>
          <w:numId w:val="11"/>
        </w:numPr>
        <w:tabs>
          <w:tab w:pos="1180" w:val="left" w:leader="none"/>
        </w:tabs>
        <w:spacing w:line="297" w:lineRule="auto" w:before="0" w:after="0"/>
        <w:ind w:left="1179" w:right="1953" w:hanging="350"/>
        <w:jc w:val="left"/>
        <w:rPr>
          <w:sz w:val="21"/>
        </w:rPr>
      </w:pPr>
      <w:r>
        <w:rPr>
          <w:color w:val="202529"/>
          <w:sz w:val="21"/>
        </w:rPr>
        <w:t>of loss is involved, </w:t>
      </w:r>
      <w:r>
        <w:rPr>
          <w:color w:val="747474"/>
          <w:sz w:val="17"/>
        </w:rPr>
        <w:t>*247 </w:t>
      </w:r>
      <w:r>
        <w:rPr>
          <w:color w:val="202529"/>
          <w:sz w:val="21"/>
        </w:rPr>
        <w:t>an appraisal is involved. </w:t>
      </w:r>
      <w:r>
        <w:rPr>
          <w:i/>
          <w:color w:val="202529"/>
          <w:sz w:val="21"/>
        </w:rPr>
        <w:t>Second Society of Universalists </w:t>
      </w:r>
      <w:r>
        <w:rPr>
          <w:color w:val="202529"/>
          <w:spacing w:val="-7"/>
          <w:sz w:val="21"/>
        </w:rPr>
        <w:t>v. </w:t>
      </w:r>
      <w:r>
        <w:rPr>
          <w:i/>
          <w:color w:val="202529"/>
          <w:sz w:val="21"/>
        </w:rPr>
        <w:t>Royal Ins. Co., supra; </w:t>
      </w:r>
      <w:r>
        <w:rPr>
          <w:i/>
          <w:color w:val="202529"/>
          <w:sz w:val="21"/>
        </w:rPr>
        <w:t>Omaha </w:t>
      </w:r>
      <w:r>
        <w:rPr>
          <w:i/>
          <w:color w:val="202529"/>
          <w:spacing w:val="-5"/>
          <w:sz w:val="21"/>
        </w:rPr>
        <w:t>Water </w:t>
      </w:r>
      <w:r>
        <w:rPr>
          <w:i/>
          <w:color w:val="202529"/>
          <w:sz w:val="21"/>
        </w:rPr>
        <w:t>Co. </w:t>
      </w:r>
      <w:r>
        <w:rPr>
          <w:color w:val="202529"/>
          <w:spacing w:val="-7"/>
          <w:sz w:val="21"/>
        </w:rPr>
        <w:t>v. </w:t>
      </w:r>
      <w:r>
        <w:rPr>
          <w:i/>
          <w:color w:val="202529"/>
          <w:sz w:val="21"/>
        </w:rPr>
        <w:t>City of Omaha</w:t>
      </w:r>
      <w:r>
        <w:rPr>
          <w:color w:val="202529"/>
          <w:sz w:val="21"/>
        </w:rPr>
        <w:t>, 162 </w:t>
      </w:r>
      <w:r>
        <w:rPr>
          <w:color w:val="202529"/>
          <w:spacing w:val="-6"/>
          <w:sz w:val="21"/>
        </w:rPr>
        <w:t>F., </w:t>
      </w:r>
      <w:r>
        <w:rPr>
          <w:color w:val="202529"/>
          <w:sz w:val="21"/>
        </w:rPr>
        <w:t>225; </w:t>
      </w:r>
      <w:r>
        <w:rPr>
          <w:i/>
          <w:color w:val="202529"/>
          <w:spacing w:val="-2"/>
          <w:sz w:val="21"/>
        </w:rPr>
        <w:t>Sebree </w:t>
      </w:r>
      <w:r>
        <w:rPr>
          <w:color w:val="202529"/>
          <w:spacing w:val="-7"/>
          <w:sz w:val="21"/>
        </w:rPr>
        <w:t>v. </w:t>
      </w:r>
      <w:r>
        <w:rPr>
          <w:i/>
          <w:color w:val="202529"/>
          <w:spacing w:val="-3"/>
          <w:sz w:val="21"/>
        </w:rPr>
        <w:t>Board </w:t>
      </w:r>
      <w:r>
        <w:rPr>
          <w:i/>
          <w:color w:val="202529"/>
          <w:sz w:val="21"/>
        </w:rPr>
        <w:t>of Edn.</w:t>
      </w:r>
      <w:r>
        <w:rPr>
          <w:color w:val="202529"/>
          <w:sz w:val="21"/>
        </w:rPr>
        <w:t>, 254 Ill. 438, 98 N.E.</w:t>
      </w:r>
      <w:r>
        <w:rPr>
          <w:color w:val="202529"/>
          <w:spacing w:val="26"/>
          <w:sz w:val="21"/>
        </w:rPr>
        <w:t> </w:t>
      </w:r>
      <w:r>
        <w:rPr>
          <w:color w:val="202529"/>
          <w:sz w:val="21"/>
        </w:rPr>
        <w:t>931.</w:t>
      </w:r>
    </w:p>
    <w:p>
      <w:pPr>
        <w:spacing w:before="160"/>
        <w:ind w:left="1179" w:right="0" w:firstLine="0"/>
        <w:jc w:val="left"/>
        <w:rPr>
          <w:rFonts w:ascii="Times New Roman"/>
          <w:sz w:val="21"/>
        </w:rPr>
      </w:pPr>
      <w:r>
        <w:rPr>
          <w:rFonts w:ascii="Times New Roman"/>
          <w:color w:val="202529"/>
          <w:sz w:val="21"/>
        </w:rPr>
        <w:t>In 47 L.R.A. (N.S.), 382, the rule supported by many authorities is stated as follows:</w:t>
      </w:r>
    </w:p>
    <w:p>
      <w:pPr>
        <w:pStyle w:val="BodyText"/>
        <w:spacing w:before="10"/>
        <w:rPr>
          <w:rFonts w:ascii="Times New Roman"/>
          <w:sz w:val="18"/>
        </w:rPr>
      </w:pPr>
    </w:p>
    <w:p>
      <w:pPr>
        <w:spacing w:line="297" w:lineRule="auto" w:before="0"/>
        <w:ind w:left="1179" w:right="1531" w:firstLine="0"/>
        <w:jc w:val="left"/>
        <w:rPr>
          <w:rFonts w:ascii="Times New Roman" w:hAnsi="Times New Roman"/>
          <w:sz w:val="21"/>
        </w:rPr>
      </w:pPr>
      <w:r>
        <w:rPr>
          <w:rFonts w:ascii="Times New Roman" w:hAnsi="Times New Roman"/>
          <w:color w:val="202529"/>
          <w:sz w:val="21"/>
        </w:rPr>
        <w:t>"All agreements to submit to the judgment and decision of third persons, as prerequisites to litigations, questions that relate merely to prices, values, sums recoverable, amounts of losses or damages payable, quantities, or quality — all of which come under the category of auxiliary, collateral and incidental issues — are considered not to oust the courts of their jurisdiction, and when not waived or abrogated, are respected and enforced judicially as valid and effectual." See </w:t>
      </w:r>
      <w:r>
        <w:rPr>
          <w:rFonts w:ascii="Times New Roman" w:hAnsi="Times New Roman"/>
          <w:i/>
          <w:color w:val="202529"/>
          <w:sz w:val="21"/>
        </w:rPr>
        <w:t>Royal Ins. Co. </w:t>
      </w:r>
      <w:r>
        <w:rPr>
          <w:rFonts w:ascii="Times New Roman" w:hAnsi="Times New Roman"/>
          <w:color w:val="202529"/>
          <w:sz w:val="21"/>
        </w:rPr>
        <w:t>v. </w:t>
      </w:r>
      <w:r>
        <w:rPr>
          <w:rFonts w:ascii="Times New Roman" w:hAnsi="Times New Roman"/>
          <w:i/>
          <w:color w:val="202529"/>
          <w:sz w:val="21"/>
        </w:rPr>
        <w:t>Ries, supra; Myers </w:t>
      </w:r>
      <w:r>
        <w:rPr>
          <w:rFonts w:ascii="Times New Roman" w:hAnsi="Times New Roman"/>
          <w:color w:val="202529"/>
          <w:sz w:val="21"/>
        </w:rPr>
        <w:t>v. </w:t>
      </w:r>
      <w:r>
        <w:rPr>
          <w:rFonts w:ascii="Times New Roman" w:hAnsi="Times New Roman"/>
          <w:i/>
          <w:color w:val="202529"/>
          <w:sz w:val="21"/>
        </w:rPr>
        <w:t>Jenkins, Admr.</w:t>
      </w:r>
      <w:r>
        <w:rPr>
          <w:rFonts w:ascii="Times New Roman" w:hAnsi="Times New Roman"/>
          <w:color w:val="202529"/>
          <w:sz w:val="21"/>
        </w:rPr>
        <w:t>, 63 Ohio St. 101 to 120, 57 N.E. 1089, 81 Am. St. Rep., 613.</w:t>
      </w:r>
    </w:p>
    <w:p>
      <w:pPr>
        <w:spacing w:line="297" w:lineRule="auto" w:before="160"/>
        <w:ind w:left="1179" w:right="1442" w:firstLine="0"/>
        <w:jc w:val="left"/>
        <w:rPr>
          <w:rFonts w:ascii="Times New Roman"/>
          <w:sz w:val="21"/>
        </w:rPr>
      </w:pPr>
      <w:r>
        <w:rPr>
          <w:rFonts w:ascii="Times New Roman"/>
          <w:color w:val="202529"/>
          <w:sz w:val="21"/>
        </w:rPr>
        <w:t>The issue involved in this proceeding, as I see it, is mainly one of procedure. Assuming that the contracts to appoint appraisers to determine the amount of loss under the insurance contracts, as distinguished from a contract to arbitrate the controversy, are valid and binding, what are the remedies of the insured in case the insurers breach their contracts by refusing to appoint an appraiser? May the insured, in the absence of a controlling statute, have specific performance of the contracts? Does he have an action for damages for the breach, or does he have the remedy sought to be enforced in this action?</w:t>
      </w:r>
    </w:p>
    <w:p>
      <w:pPr>
        <w:spacing w:line="297" w:lineRule="auto" w:before="160"/>
        <w:ind w:left="1179" w:right="1683" w:firstLine="0"/>
        <w:jc w:val="both"/>
        <w:rPr>
          <w:rFonts w:ascii="Times New Roman"/>
          <w:sz w:val="21"/>
        </w:rPr>
      </w:pPr>
      <w:r>
        <w:rPr>
          <w:rFonts w:ascii="Times New Roman"/>
          <w:color w:val="202529"/>
          <w:sz w:val="21"/>
        </w:rPr>
        <w:t>Clearly, a court will not compel specific performance of a contract to submit a matter to arbitration or to an appraisal. In the early case of </w:t>
      </w:r>
      <w:r>
        <w:rPr>
          <w:rFonts w:ascii="Times New Roman"/>
          <w:i/>
          <w:color w:val="202529"/>
          <w:sz w:val="21"/>
        </w:rPr>
        <w:t>Conner </w:t>
      </w:r>
      <w:r>
        <w:rPr>
          <w:rFonts w:ascii="Times New Roman"/>
          <w:color w:val="202529"/>
          <w:sz w:val="21"/>
        </w:rPr>
        <w:t>v. </w:t>
      </w:r>
      <w:r>
        <w:rPr>
          <w:rFonts w:ascii="Times New Roman"/>
          <w:i/>
          <w:color w:val="202529"/>
          <w:sz w:val="21"/>
        </w:rPr>
        <w:t>Drake</w:t>
      </w:r>
      <w:r>
        <w:rPr>
          <w:rFonts w:ascii="Times New Roman"/>
          <w:color w:val="202529"/>
          <w:sz w:val="21"/>
        </w:rPr>
        <w:t>, 1 Ohio St. 166, 168, wherein there was a failure of one of the</w:t>
      </w:r>
    </w:p>
    <w:p>
      <w:pPr>
        <w:pStyle w:val="ListParagraph"/>
        <w:numPr>
          <w:ilvl w:val="0"/>
          <w:numId w:val="11"/>
        </w:numPr>
        <w:tabs>
          <w:tab w:pos="1180" w:val="left" w:leader="none"/>
        </w:tabs>
        <w:spacing w:line="297" w:lineRule="auto" w:before="0" w:after="0"/>
        <w:ind w:left="1179" w:right="1687" w:hanging="350"/>
        <w:jc w:val="both"/>
        <w:rPr>
          <w:sz w:val="21"/>
        </w:rPr>
      </w:pPr>
      <w:r>
        <w:rPr>
          <w:color w:val="202529"/>
          <w:sz w:val="21"/>
        </w:rPr>
        <w:t>parties to a contract for arbitration to appoint an arbitrator, this court held that "a court </w:t>
      </w:r>
      <w:r>
        <w:rPr>
          <w:color w:val="747474"/>
          <w:sz w:val="17"/>
        </w:rPr>
        <w:t>*248 </w:t>
      </w:r>
      <w:r>
        <w:rPr>
          <w:color w:val="202529"/>
          <w:sz w:val="21"/>
        </w:rPr>
        <w:t>of equity will not force the specific performance of an agreement to refer any matter in controversy between adverse parties to arbitrators. Nor will they compel arbitrators to make an</w:t>
      </w:r>
      <w:r>
        <w:rPr>
          <w:color w:val="202529"/>
          <w:spacing w:val="-3"/>
          <w:sz w:val="21"/>
        </w:rPr>
        <w:t> </w:t>
      </w:r>
      <w:r>
        <w:rPr>
          <w:color w:val="202529"/>
          <w:sz w:val="21"/>
        </w:rPr>
        <w:t>award."</w:t>
      </w:r>
    </w:p>
    <w:p>
      <w:pPr>
        <w:spacing w:line="297" w:lineRule="auto" w:before="159"/>
        <w:ind w:left="1179" w:right="1611" w:firstLine="0"/>
        <w:jc w:val="left"/>
        <w:rPr>
          <w:rFonts w:ascii="Times New Roman"/>
          <w:sz w:val="21"/>
        </w:rPr>
      </w:pPr>
      <w:r>
        <w:rPr>
          <w:rFonts w:ascii="Times New Roman"/>
          <w:color w:val="202529"/>
          <w:sz w:val="21"/>
        </w:rPr>
        <w:t>On the other hand, damages for a breach of contract to appraise is an appropriate remedy. The capacity to breach a contract exists whenever the circumstances are such that courts will not decree specific performance, but the right to do so depends upon some justification recognized in the law. 12 American Jurisprudence, 961, Section 385.</w:t>
      </w:r>
    </w:p>
    <w:p>
      <w:pPr>
        <w:spacing w:line="297" w:lineRule="auto" w:before="160"/>
        <w:ind w:left="1179" w:right="1577" w:firstLine="0"/>
        <w:jc w:val="left"/>
        <w:rPr>
          <w:rFonts w:ascii="Times New Roman"/>
          <w:i/>
          <w:sz w:val="21"/>
        </w:rPr>
      </w:pPr>
      <w:r>
        <w:rPr>
          <w:rFonts w:ascii="Times New Roman"/>
          <w:color w:val="202529"/>
          <w:sz w:val="21"/>
        </w:rPr>
        <w:t>At common law, the revocation of, or the failure or refusal to perform, a valid arbitration agreement by a party thereto ordinarily leaves the opposite party the sole remedy of an action for a breach of the agreement to arbitrate, wherein he may recover whatever actual loss he may prove, just as he could do for the breach of any other contract. </w:t>
      </w:r>
      <w:r>
        <w:rPr>
          <w:rFonts w:ascii="Times New Roman"/>
          <w:i/>
          <w:color w:val="202529"/>
          <w:sz w:val="21"/>
        </w:rPr>
        <w:t>Red Cross Line </w:t>
      </w:r>
      <w:r>
        <w:rPr>
          <w:rFonts w:ascii="Times New Roman"/>
          <w:color w:val="202529"/>
          <w:sz w:val="21"/>
        </w:rPr>
        <w:t>v. </w:t>
      </w:r>
      <w:r>
        <w:rPr>
          <w:rFonts w:ascii="Times New Roman"/>
          <w:i/>
          <w:color w:val="202529"/>
          <w:sz w:val="21"/>
        </w:rPr>
        <w:t>Atlantic Fruit Co.</w:t>
      </w:r>
      <w:r>
        <w:rPr>
          <w:rFonts w:ascii="Times New Roman"/>
          <w:color w:val="202529"/>
          <w:sz w:val="21"/>
        </w:rPr>
        <w:t>, </w:t>
      </w:r>
      <w:hyperlink r:id="rId40">
        <w:r>
          <w:rPr>
            <w:rFonts w:ascii="Times New Roman"/>
            <w:color w:val="0059AA"/>
            <w:sz w:val="21"/>
          </w:rPr>
          <w:t>264 U.S. 109</w:t>
        </w:r>
      </w:hyperlink>
      <w:r>
        <w:rPr>
          <w:rFonts w:ascii="Times New Roman"/>
          <w:color w:val="202529"/>
          <w:sz w:val="21"/>
        </w:rPr>
        <w:t>, 68 L. Ed., 582, 44 S. Ct., 274; </w:t>
      </w:r>
      <w:r>
        <w:rPr>
          <w:rFonts w:ascii="Times New Roman"/>
          <w:i/>
          <w:color w:val="202529"/>
          <w:sz w:val="21"/>
        </w:rPr>
        <w:t>Hamilton </w:t>
      </w:r>
      <w:r>
        <w:rPr>
          <w:rFonts w:ascii="Times New Roman"/>
          <w:color w:val="202529"/>
          <w:sz w:val="21"/>
        </w:rPr>
        <w:t>v. </w:t>
      </w:r>
      <w:r>
        <w:rPr>
          <w:rFonts w:ascii="Times New Roman"/>
          <w:i/>
          <w:color w:val="202529"/>
          <w:sz w:val="21"/>
        </w:rPr>
        <w:t>Home Ins. Co.</w:t>
      </w:r>
      <w:r>
        <w:rPr>
          <w:rFonts w:ascii="Times New Roman"/>
          <w:color w:val="202529"/>
          <w:sz w:val="21"/>
        </w:rPr>
        <w:t>, </w:t>
      </w:r>
      <w:hyperlink r:id="rId41">
        <w:r>
          <w:rPr>
            <w:rFonts w:ascii="Times New Roman"/>
            <w:color w:val="0059AA"/>
            <w:sz w:val="21"/>
          </w:rPr>
          <w:t>137 U.S. 370</w:t>
        </w:r>
      </w:hyperlink>
      <w:r>
        <w:rPr>
          <w:rFonts w:ascii="Times New Roman"/>
          <w:color w:val="202529"/>
          <w:sz w:val="21"/>
        </w:rPr>
        <w:t>, 34 L. Ed., 708, 11 S. Ct., 133; </w:t>
      </w:r>
      <w:r>
        <w:rPr>
          <w:rFonts w:ascii="Times New Roman"/>
          <w:i/>
          <w:color w:val="202529"/>
          <w:sz w:val="21"/>
        </w:rPr>
        <w:t>Atkieselskabet Korn-Og </w:t>
      </w:r>
      <w:r>
        <w:rPr>
          <w:rFonts w:ascii="Times New Roman"/>
          <w:color w:val="202529"/>
          <w:sz w:val="21"/>
        </w:rPr>
        <w:t>v. </w:t>
      </w:r>
      <w:r>
        <w:rPr>
          <w:rFonts w:ascii="Times New Roman"/>
          <w:i/>
          <w:color w:val="202529"/>
          <w:sz w:val="21"/>
        </w:rPr>
        <w:t>Rederiaktiebolaget</w:t>
      </w:r>
    </w:p>
    <w:p>
      <w:pPr>
        <w:spacing w:before="0"/>
        <w:ind w:left="1179" w:right="0" w:firstLine="0"/>
        <w:jc w:val="left"/>
        <w:rPr>
          <w:rFonts w:ascii="Times New Roman"/>
          <w:sz w:val="21"/>
        </w:rPr>
      </w:pPr>
      <w:r>
        <w:rPr>
          <w:rFonts w:ascii="Times New Roman"/>
          <w:i/>
          <w:color w:val="202529"/>
          <w:sz w:val="21"/>
        </w:rPr>
        <w:t>Atlanten</w:t>
      </w:r>
      <w:r>
        <w:rPr>
          <w:rFonts w:ascii="Times New Roman"/>
          <w:color w:val="202529"/>
          <w:sz w:val="21"/>
        </w:rPr>
        <w:t>, 250 F., 935, Ann. Cas. 1918E, 491, affirmed, </w:t>
      </w:r>
      <w:r>
        <w:rPr>
          <w:rFonts w:ascii="Times New Roman"/>
          <w:i/>
          <w:color w:val="202529"/>
          <w:sz w:val="21"/>
        </w:rPr>
        <w:t>The Atlanten</w:t>
      </w:r>
      <w:r>
        <w:rPr>
          <w:rFonts w:ascii="Times New Roman"/>
          <w:color w:val="202529"/>
          <w:sz w:val="21"/>
        </w:rPr>
        <w:t>, </w:t>
      </w:r>
      <w:hyperlink r:id="rId42">
        <w:r>
          <w:rPr>
            <w:rFonts w:ascii="Times New Roman"/>
            <w:color w:val="0059AA"/>
            <w:sz w:val="21"/>
          </w:rPr>
          <w:t>252 U.S. 313</w:t>
        </w:r>
      </w:hyperlink>
      <w:r>
        <w:rPr>
          <w:rFonts w:ascii="Times New Roman"/>
          <w:color w:val="202529"/>
          <w:sz w:val="21"/>
        </w:rPr>
        <w:t>, 64 L. Ed., 586, 40 S. Ct.,</w:t>
      </w:r>
    </w:p>
    <w:p>
      <w:pPr>
        <w:spacing w:before="58"/>
        <w:ind w:left="1179" w:right="0" w:firstLine="0"/>
        <w:jc w:val="left"/>
        <w:rPr>
          <w:rFonts w:ascii="Times New Roman"/>
          <w:sz w:val="21"/>
        </w:rPr>
      </w:pPr>
      <w:r>
        <w:rPr>
          <w:rFonts w:ascii="Times New Roman"/>
          <w:color w:val="202529"/>
          <w:sz w:val="21"/>
        </w:rPr>
        <w:t>332; </w:t>
      </w:r>
      <w:r>
        <w:rPr>
          <w:rFonts w:ascii="Times New Roman"/>
          <w:i/>
          <w:color w:val="202529"/>
          <w:sz w:val="21"/>
        </w:rPr>
        <w:t>Read </w:t>
      </w:r>
      <w:r>
        <w:rPr>
          <w:rFonts w:ascii="Times New Roman"/>
          <w:color w:val="202529"/>
          <w:sz w:val="21"/>
        </w:rPr>
        <w:t>v. </w:t>
      </w:r>
      <w:r>
        <w:rPr>
          <w:rFonts w:ascii="Times New Roman"/>
          <w:i/>
          <w:color w:val="202529"/>
          <w:sz w:val="21"/>
        </w:rPr>
        <w:t>State Ins. Co.</w:t>
      </w:r>
      <w:r>
        <w:rPr>
          <w:rFonts w:ascii="Times New Roman"/>
          <w:color w:val="202529"/>
          <w:sz w:val="21"/>
        </w:rPr>
        <w:t>, 103 Iowa 307, 72 N.W. 665, 64 Am. St. Rep., 180; </w:t>
      </w:r>
      <w:r>
        <w:rPr>
          <w:rFonts w:ascii="Times New Roman"/>
          <w:i/>
          <w:color w:val="202529"/>
          <w:sz w:val="21"/>
        </w:rPr>
        <w:t>Hartford Fire Ins. Co. </w:t>
      </w:r>
      <w:r>
        <w:rPr>
          <w:rFonts w:ascii="Times New Roman"/>
          <w:color w:val="202529"/>
          <w:sz w:val="21"/>
        </w:rPr>
        <w:t>v. </w:t>
      </w:r>
      <w:r>
        <w:rPr>
          <w:rFonts w:ascii="Times New Roman"/>
          <w:i/>
          <w:color w:val="202529"/>
          <w:sz w:val="21"/>
        </w:rPr>
        <w:t>Hon</w:t>
      </w:r>
      <w:r>
        <w:rPr>
          <w:rFonts w:ascii="Times New Roman"/>
          <w:color w:val="202529"/>
          <w:sz w:val="21"/>
        </w:rPr>
        <w:t>,</w:t>
      </w:r>
    </w:p>
    <w:p>
      <w:pPr>
        <w:spacing w:before="58"/>
        <w:ind w:left="1179" w:right="0" w:firstLine="0"/>
        <w:jc w:val="left"/>
        <w:rPr>
          <w:rFonts w:ascii="Times New Roman"/>
          <w:i/>
          <w:sz w:val="21"/>
        </w:rPr>
      </w:pPr>
      <w:r>
        <w:rPr>
          <w:rFonts w:ascii="Times New Roman"/>
          <w:color w:val="202529"/>
          <w:sz w:val="21"/>
        </w:rPr>
        <w:t>66 Neb. 555, 92 N.W. 746, 103 Am. St. Rep., 725, 60 L.R.A., 436; </w:t>
      </w:r>
      <w:r>
        <w:rPr>
          <w:rFonts w:ascii="Times New Roman"/>
          <w:i/>
          <w:color w:val="202529"/>
          <w:sz w:val="21"/>
        </w:rPr>
        <w:t>Goerke Kirch Co. </w:t>
      </w:r>
      <w:r>
        <w:rPr>
          <w:rFonts w:ascii="Times New Roman"/>
          <w:color w:val="202529"/>
          <w:sz w:val="21"/>
        </w:rPr>
        <w:t>v. </w:t>
      </w:r>
      <w:r>
        <w:rPr>
          <w:rFonts w:ascii="Times New Roman"/>
          <w:i/>
          <w:color w:val="202529"/>
          <w:sz w:val="21"/>
        </w:rPr>
        <w:t>Goerke Kirch Holding</w:t>
      </w:r>
    </w:p>
    <w:p>
      <w:pPr>
        <w:spacing w:after="0"/>
        <w:jc w:val="left"/>
        <w:rPr>
          <w:rFonts w:ascii="Times New Roman"/>
          <w:sz w:val="21"/>
        </w:rPr>
        <w:sectPr>
          <w:pgSz w:w="12240" w:h="15840"/>
          <w:pgMar w:header="0" w:footer="746" w:top="380" w:bottom="940" w:left="140" w:right="40"/>
        </w:sectPr>
      </w:pPr>
    </w:p>
    <w:p>
      <w:pPr>
        <w:tabs>
          <w:tab w:pos="3679" w:val="left" w:leader="none"/>
        </w:tabs>
        <w:spacing w:before="72"/>
        <w:ind w:left="0" w:right="337" w:firstLine="0"/>
        <w:jc w:val="center"/>
        <w:rPr>
          <w:rFonts w:ascii="Arial"/>
          <w:sz w:val="20"/>
        </w:rPr>
      </w:pPr>
      <w:bookmarkStart w:name="Law and Procedure 239" w:id="54"/>
      <w:bookmarkEnd w:id="54"/>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464" w:firstLine="0"/>
        <w:jc w:val="left"/>
        <w:rPr>
          <w:rFonts w:ascii="Times New Roman"/>
          <w:sz w:val="21"/>
        </w:rPr>
      </w:pPr>
      <w:r>
        <w:rPr>
          <w:rFonts w:ascii="Times New Roman"/>
          <w:i/>
          <w:color w:val="202529"/>
          <w:sz w:val="21"/>
        </w:rPr>
        <w:t>Co.</w:t>
      </w:r>
      <w:r>
        <w:rPr>
          <w:rFonts w:ascii="Times New Roman"/>
          <w:color w:val="202529"/>
          <w:sz w:val="21"/>
        </w:rPr>
        <w:t>, </w:t>
      </w:r>
      <w:hyperlink r:id="rId43">
        <w:r>
          <w:rPr>
            <w:rFonts w:ascii="Times New Roman"/>
            <w:color w:val="0059AA"/>
            <w:sz w:val="21"/>
          </w:rPr>
          <w:t>118 N.J. Eq. 1</w:t>
        </w:r>
      </w:hyperlink>
      <w:r>
        <w:rPr>
          <w:rFonts w:ascii="Times New Roman"/>
          <w:color w:val="202529"/>
          <w:sz w:val="21"/>
        </w:rPr>
        <w:t>, </w:t>
      </w:r>
      <w:hyperlink r:id="rId43">
        <w:r>
          <w:rPr>
            <w:rFonts w:ascii="Times New Roman"/>
            <w:color w:val="0059AA"/>
            <w:sz w:val="21"/>
          </w:rPr>
          <w:t>176 A. 902</w:t>
        </w:r>
      </w:hyperlink>
      <w:r>
        <w:rPr>
          <w:rFonts w:ascii="Times New Roman"/>
          <w:color w:val="202529"/>
          <w:sz w:val="21"/>
        </w:rPr>
        <w:t>; </w:t>
      </w:r>
      <w:r>
        <w:rPr>
          <w:rFonts w:ascii="Times New Roman"/>
          <w:i/>
          <w:color w:val="202529"/>
          <w:sz w:val="21"/>
        </w:rPr>
        <w:t>Haggart </w:t>
      </w:r>
      <w:r>
        <w:rPr>
          <w:rFonts w:ascii="Times New Roman"/>
          <w:color w:val="202529"/>
          <w:sz w:val="21"/>
        </w:rPr>
        <w:t>v. </w:t>
      </w:r>
      <w:r>
        <w:rPr>
          <w:rFonts w:ascii="Times New Roman"/>
          <w:i/>
          <w:color w:val="202529"/>
          <w:sz w:val="21"/>
        </w:rPr>
        <w:t>Morgan</w:t>
      </w:r>
      <w:r>
        <w:rPr>
          <w:rFonts w:ascii="Times New Roman"/>
          <w:color w:val="202529"/>
          <w:sz w:val="21"/>
        </w:rPr>
        <w:t>, 5 N.Y., 422, 55 Am. Dec., 350; </w:t>
      </w:r>
      <w:r>
        <w:rPr>
          <w:rFonts w:ascii="Times New Roman"/>
          <w:i/>
          <w:color w:val="202529"/>
          <w:sz w:val="21"/>
        </w:rPr>
        <w:t>Grady </w:t>
      </w:r>
      <w:r>
        <w:rPr>
          <w:rFonts w:ascii="Times New Roman"/>
          <w:color w:val="202529"/>
          <w:sz w:val="21"/>
        </w:rPr>
        <w:t>v. </w:t>
      </w:r>
      <w:r>
        <w:rPr>
          <w:rFonts w:ascii="Times New Roman"/>
          <w:i/>
          <w:color w:val="202529"/>
          <w:sz w:val="21"/>
        </w:rPr>
        <w:t>Home Fire </w:t>
      </w:r>
      <w:r>
        <w:rPr>
          <w:rFonts w:ascii="Times New Roman"/>
          <w:i/>
          <w:color w:val="202529"/>
          <w:sz w:val="21"/>
        </w:rPr>
        <w:t>Marine Ins. Co.</w:t>
      </w:r>
      <w:r>
        <w:rPr>
          <w:rFonts w:ascii="Times New Roman"/>
          <w:color w:val="202529"/>
          <w:sz w:val="21"/>
        </w:rPr>
        <w:t>, </w:t>
      </w:r>
      <w:hyperlink r:id="rId44">
        <w:r>
          <w:rPr>
            <w:rFonts w:ascii="Times New Roman"/>
            <w:color w:val="0059AA"/>
            <w:sz w:val="21"/>
          </w:rPr>
          <w:t>27 R.I. 435</w:t>
        </w:r>
      </w:hyperlink>
      <w:r>
        <w:rPr>
          <w:rFonts w:ascii="Times New Roman"/>
          <w:color w:val="202529"/>
          <w:sz w:val="21"/>
        </w:rPr>
        <w:t>, </w:t>
      </w:r>
      <w:hyperlink r:id="rId44">
        <w:r>
          <w:rPr>
            <w:rFonts w:ascii="Times New Roman"/>
            <w:color w:val="0059AA"/>
            <w:sz w:val="21"/>
          </w:rPr>
          <w:t>63 A. 173</w:t>
        </w:r>
      </w:hyperlink>
      <w:r>
        <w:rPr>
          <w:rFonts w:ascii="Times New Roman"/>
          <w:color w:val="202529"/>
          <w:sz w:val="21"/>
        </w:rPr>
        <w:t>; </w:t>
      </w:r>
      <w:r>
        <w:rPr>
          <w:rFonts w:ascii="Times New Roman"/>
          <w:i/>
          <w:color w:val="202529"/>
          <w:sz w:val="21"/>
        </w:rPr>
        <w:t>Martin </w:t>
      </w:r>
      <w:r>
        <w:rPr>
          <w:rFonts w:ascii="Times New Roman"/>
          <w:color w:val="202529"/>
          <w:sz w:val="21"/>
        </w:rPr>
        <w:t>v. </w:t>
      </w:r>
      <w:r>
        <w:rPr>
          <w:rFonts w:ascii="Times New Roman"/>
          <w:i/>
          <w:color w:val="202529"/>
          <w:sz w:val="21"/>
        </w:rPr>
        <w:t>Vansant, supra; Kinney </w:t>
      </w:r>
      <w:r>
        <w:rPr>
          <w:rFonts w:ascii="Times New Roman"/>
          <w:color w:val="202529"/>
          <w:sz w:val="21"/>
        </w:rPr>
        <w:t>v. </w:t>
      </w:r>
      <w:r>
        <w:rPr>
          <w:rFonts w:ascii="Times New Roman"/>
          <w:i/>
          <w:color w:val="202529"/>
          <w:sz w:val="21"/>
        </w:rPr>
        <w:t>Balt. Ohio Emp. Rel. Assn.</w:t>
      </w:r>
      <w:r>
        <w:rPr>
          <w:rFonts w:ascii="Times New Roman"/>
          <w:color w:val="202529"/>
          <w:sz w:val="21"/>
        </w:rPr>
        <w:t>, 35 W. Va. 385, 14 S.E. 8, 15 L.R.A., 142; </w:t>
      </w:r>
      <w:r>
        <w:rPr>
          <w:rFonts w:ascii="Times New Roman"/>
          <w:i/>
          <w:color w:val="202529"/>
          <w:sz w:val="21"/>
        </w:rPr>
        <w:t>Kahn </w:t>
      </w:r>
      <w:r>
        <w:rPr>
          <w:rFonts w:ascii="Times New Roman"/>
          <w:color w:val="202529"/>
          <w:sz w:val="21"/>
        </w:rPr>
        <w:t>v. </w:t>
      </w:r>
      <w:r>
        <w:rPr>
          <w:rFonts w:ascii="Times New Roman"/>
          <w:i/>
          <w:color w:val="202529"/>
          <w:sz w:val="21"/>
        </w:rPr>
        <w:t>Traders Ins. Co.</w:t>
      </w:r>
      <w:r>
        <w:rPr>
          <w:rFonts w:ascii="Times New Roman"/>
          <w:color w:val="202529"/>
          <w:sz w:val="21"/>
        </w:rPr>
        <w:t>, 4 Wyo. 419, 34 P. 1059, 62 Am. St. Rep., 47;</w:t>
      </w:r>
    </w:p>
    <w:p>
      <w:pPr>
        <w:pStyle w:val="ListParagraph"/>
        <w:numPr>
          <w:ilvl w:val="0"/>
          <w:numId w:val="11"/>
        </w:numPr>
        <w:tabs>
          <w:tab w:pos="1180" w:val="left" w:leader="none"/>
        </w:tabs>
        <w:spacing w:line="297" w:lineRule="auto" w:before="0" w:after="0"/>
        <w:ind w:left="1179" w:right="1598" w:hanging="350"/>
        <w:jc w:val="left"/>
        <w:rPr>
          <w:sz w:val="21"/>
        </w:rPr>
      </w:pPr>
      <w:r>
        <w:rPr>
          <w:i/>
          <w:color w:val="202529"/>
          <w:spacing w:val="-5"/>
          <w:sz w:val="21"/>
        </w:rPr>
        <w:t>Wynne </w:t>
      </w:r>
      <w:r>
        <w:rPr>
          <w:color w:val="202529"/>
          <w:spacing w:val="-7"/>
          <w:sz w:val="21"/>
        </w:rPr>
        <w:t>v. </w:t>
      </w:r>
      <w:r>
        <w:rPr>
          <w:i/>
          <w:color w:val="202529"/>
          <w:sz w:val="21"/>
        </w:rPr>
        <w:t>Greenleaf-Johnson Lumber Co.</w:t>
      </w:r>
      <w:r>
        <w:rPr>
          <w:color w:val="202529"/>
          <w:sz w:val="21"/>
        </w:rPr>
        <w:t>, </w:t>
      </w:r>
      <w:hyperlink r:id="rId45">
        <w:r>
          <w:rPr>
            <w:color w:val="0059AA"/>
            <w:sz w:val="21"/>
          </w:rPr>
          <w:t>179 N.C. 320</w:t>
        </w:r>
      </w:hyperlink>
      <w:r>
        <w:rPr>
          <w:color w:val="202529"/>
          <w:sz w:val="21"/>
        </w:rPr>
        <w:t>, </w:t>
      </w:r>
      <w:hyperlink r:id="rId45">
        <w:r>
          <w:rPr>
            <w:color w:val="0059AA"/>
            <w:sz w:val="21"/>
          </w:rPr>
          <w:t>102 S.E. 403</w:t>
        </w:r>
      </w:hyperlink>
      <w:r>
        <w:rPr>
          <w:color w:val="202529"/>
          <w:sz w:val="21"/>
        </w:rPr>
        <w:t>, 8 A.L.R., 1081, annotations, </w:t>
      </w:r>
      <w:r>
        <w:rPr>
          <w:color w:val="747474"/>
          <w:sz w:val="17"/>
        </w:rPr>
        <w:t>*249 </w:t>
      </w:r>
      <w:r>
        <w:rPr>
          <w:color w:val="202529"/>
          <w:sz w:val="21"/>
        </w:rPr>
        <w:t>15 L.R.A., 142; 47 L.R.A. (N.S.), 408, 409, 447. Damages may be recovered for such breach. See </w:t>
      </w:r>
      <w:r>
        <w:rPr>
          <w:i/>
          <w:color w:val="202529"/>
          <w:sz w:val="21"/>
        </w:rPr>
        <w:t>Union Ins. Co. </w:t>
      </w:r>
      <w:r>
        <w:rPr>
          <w:color w:val="202529"/>
          <w:spacing w:val="-7"/>
          <w:sz w:val="21"/>
        </w:rPr>
        <w:t>v. </w:t>
      </w:r>
      <w:r>
        <w:rPr>
          <w:i/>
          <w:color w:val="202529"/>
          <w:sz w:val="21"/>
        </w:rPr>
        <w:t>Central </w:t>
      </w:r>
      <w:r>
        <w:rPr>
          <w:i/>
          <w:color w:val="202529"/>
          <w:spacing w:val="-3"/>
          <w:sz w:val="21"/>
        </w:rPr>
        <w:t>Trust </w:t>
      </w:r>
      <w:r>
        <w:rPr>
          <w:i/>
          <w:color w:val="202529"/>
          <w:sz w:val="21"/>
        </w:rPr>
        <w:t>Co.</w:t>
      </w:r>
      <w:r>
        <w:rPr>
          <w:color w:val="202529"/>
          <w:sz w:val="21"/>
        </w:rPr>
        <w:t>, </w:t>
      </w:r>
      <w:hyperlink r:id="rId46">
        <w:r>
          <w:rPr>
            <w:color w:val="0059AA"/>
            <w:sz w:val="21"/>
          </w:rPr>
          <w:t>157 </w:t>
        </w:r>
        <w:r>
          <w:rPr>
            <w:color w:val="0059AA"/>
            <w:spacing w:val="-8"/>
            <w:sz w:val="21"/>
          </w:rPr>
          <w:t>N.Y. </w:t>
        </w:r>
        <w:r>
          <w:rPr>
            <w:color w:val="0059AA"/>
            <w:sz w:val="21"/>
          </w:rPr>
          <w:t>633</w:t>
        </w:r>
      </w:hyperlink>
      <w:r>
        <w:rPr>
          <w:color w:val="202529"/>
          <w:sz w:val="21"/>
        </w:rPr>
        <w:t>, </w:t>
      </w:r>
      <w:hyperlink r:id="rId46">
        <w:r>
          <w:rPr>
            <w:color w:val="0059AA"/>
            <w:sz w:val="21"/>
          </w:rPr>
          <w:t>52 N.E. 671</w:t>
        </w:r>
      </w:hyperlink>
      <w:r>
        <w:rPr>
          <w:color w:val="202529"/>
          <w:sz w:val="21"/>
        </w:rPr>
        <w:t>, 44 L.R.A., 227; annotation, 47 L.R.A. (N.S.), 409, 410.</w:t>
      </w:r>
    </w:p>
    <w:p>
      <w:pPr>
        <w:spacing w:line="297" w:lineRule="auto" w:before="160"/>
        <w:ind w:left="1179" w:right="1474" w:firstLine="0"/>
        <w:jc w:val="left"/>
        <w:rPr>
          <w:rFonts w:ascii="Times New Roman"/>
          <w:i/>
          <w:sz w:val="21"/>
        </w:rPr>
      </w:pPr>
      <w:r>
        <w:rPr>
          <w:rFonts w:ascii="Times New Roman"/>
          <w:color w:val="202529"/>
          <w:sz w:val="21"/>
        </w:rPr>
        <w:t>A party wrongfully revoking an agreement for submission to an appraisal renders himself liable to the other party in an action for damages. </w:t>
      </w:r>
      <w:r>
        <w:rPr>
          <w:rFonts w:ascii="Times New Roman"/>
          <w:i/>
          <w:color w:val="202529"/>
          <w:sz w:val="21"/>
        </w:rPr>
        <w:t>Dolman </w:t>
      </w:r>
      <w:r>
        <w:rPr>
          <w:rFonts w:ascii="Times New Roman"/>
          <w:color w:val="202529"/>
          <w:sz w:val="21"/>
        </w:rPr>
        <w:t>v. </w:t>
      </w:r>
      <w:r>
        <w:rPr>
          <w:rFonts w:ascii="Times New Roman"/>
          <w:i/>
          <w:color w:val="202529"/>
          <w:sz w:val="21"/>
        </w:rPr>
        <w:t>Board of County Commrs.</w:t>
      </w:r>
      <w:r>
        <w:rPr>
          <w:rFonts w:ascii="Times New Roman"/>
          <w:color w:val="202529"/>
          <w:sz w:val="21"/>
        </w:rPr>
        <w:t>, 116 Kan. 201, 206, 226 P. 240; </w:t>
      </w:r>
      <w:r>
        <w:rPr>
          <w:rFonts w:ascii="Times New Roman"/>
          <w:i/>
          <w:color w:val="202529"/>
          <w:sz w:val="21"/>
        </w:rPr>
        <w:t>Goerke </w:t>
      </w:r>
      <w:r>
        <w:rPr>
          <w:rFonts w:ascii="Times New Roman"/>
          <w:i/>
          <w:color w:val="202529"/>
          <w:sz w:val="21"/>
        </w:rPr>
        <w:t>Kirch Co. </w:t>
      </w:r>
      <w:r>
        <w:rPr>
          <w:rFonts w:ascii="Times New Roman"/>
          <w:color w:val="202529"/>
          <w:sz w:val="21"/>
        </w:rPr>
        <w:t>v. </w:t>
      </w:r>
      <w:r>
        <w:rPr>
          <w:rFonts w:ascii="Times New Roman"/>
          <w:i/>
          <w:color w:val="202529"/>
          <w:sz w:val="21"/>
        </w:rPr>
        <w:t>Goerke Kirch Holding Co., supra. </w:t>
      </w:r>
      <w:r>
        <w:rPr>
          <w:rFonts w:ascii="Times New Roman"/>
          <w:color w:val="202529"/>
          <w:sz w:val="21"/>
        </w:rPr>
        <w:t>A party is entitled to such damages as he may directly and proximately suffer as a consequence of such a breach. </w:t>
      </w:r>
      <w:r>
        <w:rPr>
          <w:rFonts w:ascii="Times New Roman"/>
          <w:i/>
          <w:color w:val="202529"/>
          <w:sz w:val="21"/>
        </w:rPr>
        <w:t>Bullock </w:t>
      </w:r>
      <w:r>
        <w:rPr>
          <w:rFonts w:ascii="Times New Roman"/>
          <w:color w:val="202529"/>
          <w:sz w:val="21"/>
        </w:rPr>
        <w:t>v. </w:t>
      </w:r>
      <w:r>
        <w:rPr>
          <w:rFonts w:ascii="Times New Roman"/>
          <w:i/>
          <w:color w:val="202529"/>
          <w:sz w:val="21"/>
        </w:rPr>
        <w:t>Mason</w:t>
      </w:r>
      <w:r>
        <w:rPr>
          <w:rFonts w:ascii="Times New Roman"/>
          <w:color w:val="202529"/>
          <w:sz w:val="21"/>
        </w:rPr>
        <w:t>, </w:t>
      </w:r>
      <w:hyperlink r:id="rId47">
        <w:r>
          <w:rPr>
            <w:rFonts w:ascii="Times New Roman"/>
            <w:color w:val="0059AA"/>
            <w:sz w:val="21"/>
          </w:rPr>
          <w:t>194 Ala. 663</w:t>
        </w:r>
      </w:hyperlink>
      <w:r>
        <w:rPr>
          <w:rFonts w:ascii="Times New Roman"/>
          <w:color w:val="202529"/>
          <w:sz w:val="21"/>
        </w:rPr>
        <w:t>, </w:t>
      </w:r>
      <w:hyperlink r:id="rId47">
        <w:r>
          <w:rPr>
            <w:rFonts w:ascii="Times New Roman"/>
            <w:color w:val="0059AA"/>
            <w:sz w:val="21"/>
          </w:rPr>
          <w:t>69 So. 882</w:t>
        </w:r>
      </w:hyperlink>
      <w:r>
        <w:rPr>
          <w:rFonts w:ascii="Times New Roman"/>
          <w:color w:val="202529"/>
          <w:sz w:val="21"/>
        </w:rPr>
        <w:t>. He is entitled at least to nominal damages. </w:t>
      </w:r>
      <w:r>
        <w:rPr>
          <w:rFonts w:ascii="Times New Roman"/>
          <w:i/>
          <w:color w:val="202529"/>
          <w:sz w:val="21"/>
        </w:rPr>
        <w:t>Atkieselskabet Korn-Og </w:t>
      </w:r>
      <w:r>
        <w:rPr>
          <w:rFonts w:ascii="Times New Roman"/>
          <w:color w:val="202529"/>
          <w:sz w:val="21"/>
        </w:rPr>
        <w:t>v. </w:t>
      </w:r>
      <w:r>
        <w:rPr>
          <w:rFonts w:ascii="Times New Roman"/>
          <w:i/>
          <w:color w:val="202529"/>
          <w:sz w:val="21"/>
        </w:rPr>
        <w:t>Rederiaktiebolaget Atlanten, supra; Electrical </w:t>
      </w:r>
      <w:r>
        <w:rPr>
          <w:rFonts w:ascii="Times New Roman"/>
          <w:i/>
          <w:color w:val="202529"/>
          <w:sz w:val="21"/>
        </w:rPr>
        <w:t>Research Products, Inc.</w:t>
      </w:r>
      <w:r>
        <w:rPr>
          <w:rFonts w:ascii="Times New Roman"/>
          <w:color w:val="202529"/>
          <w:sz w:val="21"/>
        </w:rPr>
        <w:t>, v. </w:t>
      </w:r>
      <w:r>
        <w:rPr>
          <w:rFonts w:ascii="Times New Roman"/>
          <w:i/>
          <w:color w:val="202529"/>
          <w:sz w:val="21"/>
        </w:rPr>
        <w:t>Vitaphone Corp.</w:t>
      </w:r>
      <w:r>
        <w:rPr>
          <w:rFonts w:ascii="Times New Roman"/>
          <w:color w:val="202529"/>
          <w:sz w:val="21"/>
        </w:rPr>
        <w:t>, 20 Del. Ch. 417, 171 A. 738. Doubtless, such damages for breach of contract to appraise, aside from the right to sue on the policy, would be measured by the cost or additional expense, if any, incurred in establishing the issue of loss under the policy in an action at law (See </w:t>
      </w:r>
      <w:r>
        <w:rPr>
          <w:rFonts w:ascii="Times New Roman"/>
          <w:i/>
          <w:color w:val="202529"/>
          <w:sz w:val="21"/>
        </w:rPr>
        <w:t>Union Ins.</w:t>
      </w:r>
    </w:p>
    <w:p>
      <w:pPr>
        <w:spacing w:line="297" w:lineRule="auto" w:before="0"/>
        <w:ind w:left="1179" w:right="1592" w:firstLine="0"/>
        <w:jc w:val="left"/>
        <w:rPr>
          <w:rFonts w:ascii="Times New Roman"/>
          <w:sz w:val="21"/>
        </w:rPr>
      </w:pPr>
      <w:r>
        <w:rPr>
          <w:rFonts w:ascii="Times New Roman"/>
          <w:i/>
          <w:color w:val="202529"/>
          <w:sz w:val="21"/>
        </w:rPr>
        <w:t>Co. </w:t>
      </w:r>
      <w:r>
        <w:rPr>
          <w:rFonts w:ascii="Times New Roman"/>
          <w:color w:val="202529"/>
          <w:sz w:val="21"/>
        </w:rPr>
        <w:t>v. </w:t>
      </w:r>
      <w:r>
        <w:rPr>
          <w:rFonts w:ascii="Times New Roman"/>
          <w:i/>
          <w:color w:val="202529"/>
          <w:sz w:val="21"/>
        </w:rPr>
        <w:t>Central Trust Co., supra; </w:t>
      </w:r>
      <w:r>
        <w:rPr>
          <w:rFonts w:ascii="Times New Roman"/>
          <w:color w:val="202529"/>
          <w:sz w:val="21"/>
        </w:rPr>
        <w:t>annotation, 47 L.R.A. [N.S.], 409, 410) and any expense of appraisal, prior to revocation.</w:t>
      </w:r>
    </w:p>
    <w:p>
      <w:pPr>
        <w:spacing w:line="297" w:lineRule="auto" w:before="160"/>
        <w:ind w:left="1179" w:right="1453" w:firstLine="0"/>
        <w:jc w:val="left"/>
        <w:rPr>
          <w:rFonts w:ascii="Times New Roman"/>
          <w:sz w:val="21"/>
        </w:rPr>
      </w:pPr>
      <w:r>
        <w:rPr>
          <w:rFonts w:ascii="Times New Roman"/>
          <w:color w:val="202529"/>
          <w:sz w:val="21"/>
        </w:rPr>
        <w:t>In the instant case, does the insured have any other </w:t>
      </w:r>
      <w:r>
        <w:rPr>
          <w:rFonts w:ascii="Times New Roman"/>
          <w:color w:val="202529"/>
          <w:spacing w:val="-3"/>
          <w:sz w:val="21"/>
        </w:rPr>
        <w:t>remedy. </w:t>
      </w:r>
      <w:r>
        <w:rPr>
          <w:rFonts w:ascii="Times New Roman"/>
          <w:color w:val="202529"/>
          <w:sz w:val="21"/>
        </w:rPr>
        <w:t>In my opinion, there is no warrant for the  procedure adopted in this case. A court, upon which a private contract bestows authority to appoint an appraiser or umpire for the parties in case of their inability to agree on some question of fact concerning their contractual relationship, acts purely as an agent of the parties. The person designated in the insurance contracts here involved to appoint an umpire might well have been a county </w:t>
      </w:r>
      <w:r>
        <w:rPr>
          <w:rFonts w:ascii="Times New Roman"/>
          <w:color w:val="202529"/>
          <w:spacing w:val="-3"/>
          <w:sz w:val="21"/>
        </w:rPr>
        <w:t>officer, </w:t>
      </w:r>
      <w:r>
        <w:rPr>
          <w:rFonts w:ascii="Times New Roman"/>
          <w:color w:val="202529"/>
          <w:sz w:val="21"/>
        </w:rPr>
        <w:t>a banker, a lawyer, or any other</w:t>
      </w:r>
      <w:r>
        <w:rPr>
          <w:rFonts w:ascii="Times New Roman"/>
          <w:color w:val="202529"/>
          <w:spacing w:val="-29"/>
          <w:sz w:val="21"/>
        </w:rPr>
        <w:t> </w:t>
      </w:r>
      <w:r>
        <w:rPr>
          <w:rFonts w:ascii="Times New Roman"/>
          <w:color w:val="202529"/>
          <w:sz w:val="21"/>
        </w:rPr>
        <w:t>private</w:t>
      </w:r>
    </w:p>
    <w:p>
      <w:pPr>
        <w:pStyle w:val="ListParagraph"/>
        <w:numPr>
          <w:ilvl w:val="0"/>
          <w:numId w:val="11"/>
        </w:numPr>
        <w:tabs>
          <w:tab w:pos="1180" w:val="left" w:leader="none"/>
        </w:tabs>
        <w:spacing w:line="297" w:lineRule="auto" w:before="0" w:after="0"/>
        <w:ind w:left="1179" w:right="1487" w:hanging="350"/>
        <w:jc w:val="left"/>
        <w:rPr>
          <w:sz w:val="21"/>
        </w:rPr>
      </w:pPr>
      <w:r>
        <w:rPr>
          <w:color w:val="202529"/>
          <w:sz w:val="21"/>
        </w:rPr>
        <w:t>individual, who in such instance would have been clothed with exactly the same </w:t>
      </w:r>
      <w:r>
        <w:rPr>
          <w:color w:val="747474"/>
          <w:sz w:val="17"/>
        </w:rPr>
        <w:t>*250 </w:t>
      </w:r>
      <w:r>
        <w:rPr>
          <w:color w:val="202529"/>
          <w:sz w:val="21"/>
        </w:rPr>
        <w:t>power and authority as the court in the instant case. In the absence of statute, the court in the exercise of such function has no jurisdiction to perform any act other than that specifically authorized and set out in the contract. It can not render judgments or decrees affecting the rights of the parties. The utmost that the Probate Court could do in the instant case was to "select" an umpire </w:t>
      </w:r>
      <w:r>
        <w:rPr>
          <w:i/>
          <w:color w:val="202529"/>
          <w:sz w:val="21"/>
        </w:rPr>
        <w:t>under and in accordance with the terms of the contract</w:t>
      </w:r>
      <w:r>
        <w:rPr>
          <w:color w:val="202529"/>
          <w:sz w:val="21"/>
        </w:rPr>
        <w:t>, whereupon the authority of appointment ceased. </w:t>
      </w:r>
      <w:r>
        <w:rPr>
          <w:color w:val="202529"/>
          <w:spacing w:val="-3"/>
          <w:sz w:val="21"/>
        </w:rPr>
        <w:t>Apparently, </w:t>
      </w:r>
      <w:r>
        <w:rPr>
          <w:color w:val="202529"/>
          <w:sz w:val="21"/>
        </w:rPr>
        <w:t>the Probate Court in the instant case, appreciating that its contractual authority to represent the parties to the insurance policies in appointing an umpire had been curtailed and thwarted by the failure of the insurers to name an appraiser, conceived the idea that since it was a court it could judicially expand the scope of its authority to make the appointment. Otherwise, there was no occasion, as a substitute for its authority to "select" an umpire at "the request" of the parties, for the court to take judicial jurisdiction of a motion to appoint, issue summons on the motion directed to the parties defendant, hear the motion and make the appointment of the umpire by a court order duly journalized. There was no </w:t>
      </w:r>
      <w:r>
        <w:rPr>
          <w:color w:val="202529"/>
          <w:spacing w:val="-3"/>
          <w:sz w:val="21"/>
        </w:rPr>
        <w:t>necessity, </w:t>
      </w:r>
      <w:r>
        <w:rPr>
          <w:color w:val="202529"/>
          <w:sz w:val="21"/>
        </w:rPr>
        <w:t>occasion or authority for the court to issue a summons upon the motion for such appointment and to undertake to exercise judicial jurisdiction in naming an umpire outside the terms of the contracts. The rights of the parties beyond the mere appointment of an umpire, when authorized, were wholly within the authority of a court of general</w:t>
      </w:r>
      <w:r>
        <w:rPr>
          <w:color w:val="202529"/>
          <w:spacing w:val="-1"/>
          <w:sz w:val="21"/>
        </w:rPr>
        <w:t> </w:t>
      </w:r>
      <w:r>
        <w:rPr>
          <w:color w:val="202529"/>
          <w:sz w:val="21"/>
        </w:rPr>
        <w:t>jurisdiction.</w:t>
      </w:r>
    </w:p>
    <w:p>
      <w:pPr>
        <w:spacing w:line="297" w:lineRule="auto" w:before="159"/>
        <w:ind w:left="1179" w:right="1506" w:firstLine="0"/>
        <w:jc w:val="left"/>
        <w:rPr>
          <w:rFonts w:ascii="Times New Roman"/>
          <w:sz w:val="21"/>
        </w:rPr>
      </w:pPr>
      <w:r>
        <w:rPr>
          <w:rFonts w:ascii="Times New Roman"/>
          <w:color w:val="202529"/>
          <w:sz w:val="21"/>
        </w:rPr>
        <w:t>Under the terms of the contracts there was no authority whatever for the appointment of an umpire until each party had appointed his or its appraiser. These two were first charged with the appointment of the umpire. Only</w:t>
      </w:r>
    </w:p>
    <w:p>
      <w:pPr>
        <w:pStyle w:val="ListParagraph"/>
        <w:numPr>
          <w:ilvl w:val="0"/>
          <w:numId w:val="11"/>
        </w:numPr>
        <w:tabs>
          <w:tab w:pos="1180" w:val="left" w:leader="none"/>
        </w:tabs>
        <w:spacing w:line="297" w:lineRule="auto" w:before="0" w:after="0"/>
        <w:ind w:left="1179" w:right="1496" w:hanging="350"/>
        <w:jc w:val="left"/>
        <w:rPr>
          <w:sz w:val="21"/>
        </w:rPr>
      </w:pPr>
      <w:r>
        <w:rPr>
          <w:color w:val="202529"/>
          <w:sz w:val="21"/>
        </w:rPr>
        <w:t>after they had failed to make an </w:t>
      </w:r>
      <w:r>
        <w:rPr>
          <w:color w:val="747474"/>
          <w:sz w:val="17"/>
        </w:rPr>
        <w:t>*251 </w:t>
      </w:r>
      <w:r>
        <w:rPr>
          <w:color w:val="202529"/>
          <w:sz w:val="21"/>
        </w:rPr>
        <w:t>appointment did the designated agent have the power to do so. The failure of the insurers to appoint their appraiser resulted in the breach of the contracts, but the designated agent was without authority to appoint an umpire until such appraiser was first appointed. Where failure of appraisers appointed by the parties to agree is the occasion for the appointment of an umpire, the court or other</w:t>
      </w:r>
      <w:r>
        <w:rPr>
          <w:color w:val="202529"/>
          <w:spacing w:val="-26"/>
          <w:sz w:val="21"/>
        </w:rPr>
        <w:t> </w:t>
      </w:r>
      <w:r>
        <w:rPr>
          <w:color w:val="202529"/>
          <w:sz w:val="21"/>
        </w:rPr>
        <w:t>party</w:t>
      </w:r>
    </w:p>
    <w:p>
      <w:pPr>
        <w:spacing w:after="0" w:line="297" w:lineRule="auto"/>
        <w:jc w:val="left"/>
        <w:rPr>
          <w:sz w:val="21"/>
        </w:rPr>
        <w:sectPr>
          <w:pgSz w:w="12240" w:h="15840"/>
          <w:pgMar w:header="0" w:footer="746" w:top="380" w:bottom="940" w:left="140" w:right="40"/>
        </w:sectPr>
      </w:pPr>
    </w:p>
    <w:p>
      <w:pPr>
        <w:tabs>
          <w:tab w:pos="3679" w:val="left" w:leader="none"/>
        </w:tabs>
        <w:spacing w:before="72"/>
        <w:ind w:left="0" w:right="337" w:firstLine="0"/>
        <w:jc w:val="center"/>
        <w:rPr>
          <w:rFonts w:ascii="Arial"/>
          <w:sz w:val="20"/>
        </w:rPr>
      </w:pPr>
      <w:bookmarkStart w:name="Law and Procedure 240" w:id="55"/>
      <w:bookmarkEnd w:id="55"/>
      <w:r>
        <w:rPr/>
      </w:r>
      <w:hyperlink r:id="rId30">
        <w:r>
          <w:rPr>
            <w:rFonts w:ascii="Arial"/>
            <w:color w:val="7F7F7F"/>
            <w:sz w:val="20"/>
          </w:rPr>
          <w:t>Saba v. Homeland Ins. Co. of America</w:t>
          <w:tab/>
          <w:t>112 N.E.2d 1 (Ohio 1953)</w:t>
        </w:r>
      </w:hyperlink>
    </w:p>
    <w:p>
      <w:pPr>
        <w:pStyle w:val="BodyText"/>
        <w:spacing w:before="2"/>
        <w:rPr>
          <w:rFonts w:ascii="Arial"/>
          <w:sz w:val="18"/>
        </w:rPr>
      </w:pPr>
    </w:p>
    <w:p>
      <w:pPr>
        <w:spacing w:line="297" w:lineRule="auto" w:before="92"/>
        <w:ind w:left="1179" w:right="1496" w:firstLine="0"/>
        <w:jc w:val="left"/>
        <w:rPr>
          <w:rFonts w:ascii="Times New Roman"/>
          <w:sz w:val="21"/>
        </w:rPr>
      </w:pPr>
      <w:r>
        <w:rPr>
          <w:rFonts w:ascii="Times New Roman"/>
          <w:color w:val="202529"/>
          <w:sz w:val="21"/>
        </w:rPr>
        <w:t>designated to appoint such umpire is not authorized to do so because of the insurer's failure to appoint. In other words, the insurer's failure to appoint an appraiser will not warrant a court in appointing an umpire to act solely with the appraiser appointed by the insured. ( </w:t>
      </w:r>
      <w:r>
        <w:rPr>
          <w:rFonts w:ascii="Times New Roman"/>
          <w:i/>
          <w:color w:val="202529"/>
          <w:sz w:val="21"/>
        </w:rPr>
        <w:t>National </w:t>
      </w:r>
      <w:r>
        <w:rPr>
          <w:rFonts w:ascii="Times New Roman"/>
          <w:i/>
          <w:color w:val="202529"/>
          <w:spacing w:val="-3"/>
          <w:sz w:val="21"/>
        </w:rPr>
        <w:t>Fire </w:t>
      </w:r>
      <w:r>
        <w:rPr>
          <w:rFonts w:ascii="Times New Roman"/>
          <w:i/>
          <w:color w:val="202529"/>
          <w:sz w:val="21"/>
        </w:rPr>
        <w:t>Ins. Co. </w:t>
      </w:r>
      <w:r>
        <w:rPr>
          <w:rFonts w:ascii="Times New Roman"/>
          <w:color w:val="202529"/>
          <w:spacing w:val="-7"/>
          <w:sz w:val="21"/>
        </w:rPr>
        <w:t>v. </w:t>
      </w:r>
      <w:r>
        <w:rPr>
          <w:rFonts w:ascii="Times New Roman"/>
          <w:i/>
          <w:color w:val="202529"/>
          <w:sz w:val="21"/>
        </w:rPr>
        <w:t>Shuman</w:t>
      </w:r>
      <w:r>
        <w:rPr>
          <w:rFonts w:ascii="Times New Roman"/>
          <w:color w:val="202529"/>
          <w:sz w:val="21"/>
        </w:rPr>
        <w:t>, 44 Ga. App. 819, 163 S.E. 306, and 50 Ga. App. 846, 178 S.E. 758.) This situation or possibility was apparently overlooked in the preparation of the contracts but because of the omission the appraisal clause became ineffective and inoperative. Neither the insured nor the designated agent could rewrite the</w:t>
      </w:r>
      <w:r>
        <w:rPr>
          <w:rFonts w:ascii="Times New Roman"/>
          <w:color w:val="202529"/>
          <w:spacing w:val="-3"/>
          <w:sz w:val="21"/>
        </w:rPr>
        <w:t> </w:t>
      </w:r>
      <w:r>
        <w:rPr>
          <w:rFonts w:ascii="Times New Roman"/>
          <w:color w:val="202529"/>
          <w:sz w:val="21"/>
        </w:rPr>
        <w:t>contracts.</w:t>
      </w:r>
    </w:p>
    <w:p>
      <w:pPr>
        <w:spacing w:line="297" w:lineRule="auto" w:before="160"/>
        <w:ind w:left="1179" w:right="1496" w:firstLine="0"/>
        <w:jc w:val="left"/>
        <w:rPr>
          <w:rFonts w:ascii="Times New Roman"/>
          <w:sz w:val="21"/>
        </w:rPr>
      </w:pPr>
      <w:r>
        <w:rPr>
          <w:rFonts w:ascii="Times New Roman"/>
          <w:color w:val="202529"/>
          <w:sz w:val="21"/>
        </w:rPr>
        <w:t>In Ohio, as well as in many other states, there exists an arbitration act or arbitration code which gives some court of general jurisdiction authority to require compulsory performance of a </w:t>
      </w:r>
      <w:r>
        <w:rPr>
          <w:rFonts w:ascii="Times New Roman"/>
          <w:i/>
          <w:color w:val="202529"/>
          <w:sz w:val="21"/>
        </w:rPr>
        <w:t>pure arbitration agreement as </w:t>
      </w:r>
      <w:r>
        <w:rPr>
          <w:rFonts w:ascii="Times New Roman"/>
          <w:i/>
          <w:color w:val="202529"/>
          <w:sz w:val="21"/>
        </w:rPr>
        <w:t>distinguished from an appraisal. </w:t>
      </w:r>
      <w:r>
        <w:rPr>
          <w:rFonts w:ascii="Times New Roman"/>
          <w:color w:val="202529"/>
          <w:sz w:val="21"/>
        </w:rPr>
        <w:t>In this state, a written contract </w:t>
      </w:r>
      <w:r>
        <w:rPr>
          <w:rFonts w:ascii="Times New Roman"/>
          <w:i/>
          <w:color w:val="202529"/>
          <w:sz w:val="21"/>
        </w:rPr>
        <w:t>to arbitrate</w:t>
      </w:r>
      <w:r>
        <w:rPr>
          <w:rFonts w:ascii="Times New Roman"/>
          <w:color w:val="202529"/>
          <w:sz w:val="21"/>
        </w:rPr>
        <w:t>, with certain exceptions, may be enforced by compulsory orders of </w:t>
      </w:r>
      <w:r>
        <w:rPr>
          <w:rFonts w:ascii="Times New Roman"/>
          <w:i/>
          <w:color w:val="202529"/>
          <w:sz w:val="21"/>
        </w:rPr>
        <w:t>the Common Pleas Court </w:t>
      </w:r>
      <w:r>
        <w:rPr>
          <w:rFonts w:ascii="Times New Roman"/>
          <w:color w:val="202529"/>
          <w:sz w:val="21"/>
        </w:rPr>
        <w:t>having jurisdiction over a party failing to perform the agreement, and such court </w:t>
      </w:r>
      <w:r>
        <w:rPr>
          <w:rFonts w:ascii="Times New Roman"/>
          <w:i/>
          <w:color w:val="202529"/>
          <w:sz w:val="21"/>
        </w:rPr>
        <w:t>may require him </w:t>
      </w:r>
      <w:r>
        <w:rPr>
          <w:rFonts w:ascii="Times New Roman"/>
          <w:color w:val="202529"/>
          <w:sz w:val="21"/>
        </w:rPr>
        <w:t>to appoint his appraiser in accordance with the procedure provided in the contract, if so provided, or otherwise if not so provided, and the court may then confirm, modify, or vacate the award of the arbitrators when made, and enter judgment thereon. See Sections 12148-1 to 12148-16, inclusive, General Code. Although there is a similar statute in at least one state relating to</w:t>
      </w:r>
    </w:p>
    <w:p>
      <w:pPr>
        <w:pStyle w:val="ListParagraph"/>
        <w:numPr>
          <w:ilvl w:val="0"/>
          <w:numId w:val="11"/>
        </w:numPr>
        <w:tabs>
          <w:tab w:pos="1180" w:val="left" w:leader="none"/>
        </w:tabs>
        <w:spacing w:line="297" w:lineRule="auto" w:before="0" w:after="0"/>
        <w:ind w:left="1179" w:right="1630" w:hanging="350"/>
        <w:jc w:val="left"/>
        <w:rPr>
          <w:sz w:val="21"/>
        </w:rPr>
      </w:pPr>
      <w:r>
        <w:rPr>
          <w:color w:val="202529"/>
          <w:sz w:val="21"/>
        </w:rPr>
        <w:t>"appraisals" (see </w:t>
      </w:r>
      <w:r>
        <w:rPr>
          <w:i/>
          <w:color w:val="202529"/>
          <w:sz w:val="21"/>
        </w:rPr>
        <w:t>Glidden Co. </w:t>
      </w:r>
      <w:r>
        <w:rPr>
          <w:color w:val="202529"/>
          <w:spacing w:val="-7"/>
          <w:sz w:val="21"/>
        </w:rPr>
        <w:t>v. </w:t>
      </w:r>
      <w:r>
        <w:rPr>
          <w:i/>
          <w:color w:val="202529"/>
          <w:sz w:val="21"/>
        </w:rPr>
        <w:t>Retail </w:t>
      </w:r>
      <w:r>
        <w:rPr>
          <w:i/>
          <w:color w:val="202529"/>
          <w:spacing w:val="-3"/>
          <w:sz w:val="21"/>
        </w:rPr>
        <w:t>Hardware </w:t>
      </w:r>
      <w:r>
        <w:rPr>
          <w:color w:val="747474"/>
          <w:sz w:val="17"/>
        </w:rPr>
        <w:t>*252 </w:t>
      </w:r>
      <w:r>
        <w:rPr>
          <w:i/>
          <w:color w:val="202529"/>
          <w:sz w:val="21"/>
        </w:rPr>
        <w:t>Mut. </w:t>
      </w:r>
      <w:r>
        <w:rPr>
          <w:i/>
          <w:color w:val="202529"/>
          <w:spacing w:val="-3"/>
          <w:sz w:val="21"/>
        </w:rPr>
        <w:t>Fire </w:t>
      </w:r>
      <w:r>
        <w:rPr>
          <w:i/>
          <w:color w:val="202529"/>
          <w:sz w:val="21"/>
        </w:rPr>
        <w:t>Ins. Co.</w:t>
      </w:r>
      <w:r>
        <w:rPr>
          <w:color w:val="202529"/>
          <w:sz w:val="21"/>
        </w:rPr>
        <w:t>, </w:t>
      </w:r>
      <w:hyperlink r:id="rId49">
        <w:r>
          <w:rPr>
            <w:color w:val="0059AA"/>
            <w:sz w:val="21"/>
          </w:rPr>
          <w:t>181 Minn. 518</w:t>
        </w:r>
      </w:hyperlink>
      <w:r>
        <w:rPr>
          <w:color w:val="202529"/>
          <w:sz w:val="21"/>
        </w:rPr>
        <w:t>, </w:t>
      </w:r>
      <w:hyperlink r:id="rId49">
        <w:r>
          <w:rPr>
            <w:color w:val="0059AA"/>
            <w:sz w:val="21"/>
          </w:rPr>
          <w:t>233 </w:t>
        </w:r>
        <w:r>
          <w:rPr>
            <w:color w:val="0059AA"/>
            <w:spacing w:val="-6"/>
            <w:sz w:val="21"/>
          </w:rPr>
          <w:t>N.W. </w:t>
        </w:r>
        <w:r>
          <w:rPr>
            <w:color w:val="0059AA"/>
            <w:sz w:val="21"/>
          </w:rPr>
          <w:t>310</w:t>
        </w:r>
      </w:hyperlink>
      <w:r>
        <w:rPr>
          <w:color w:val="202529"/>
          <w:sz w:val="21"/>
        </w:rPr>
        <w:t>, 77 A.L.R., 616, affirmed, </w:t>
      </w:r>
      <w:hyperlink r:id="rId50">
        <w:r>
          <w:rPr>
            <w:color w:val="0059AA"/>
            <w:sz w:val="21"/>
          </w:rPr>
          <w:t>284 U.S. 151</w:t>
        </w:r>
      </w:hyperlink>
      <w:r>
        <w:rPr>
          <w:color w:val="202529"/>
          <w:sz w:val="21"/>
        </w:rPr>
        <w:t>, 76 L. Ed., 214, 52 S. Ct., 68), there is no such statute in Ohio, and in my opinion this arbitration act can have no application here. The writer of this dissent has made search of the authorities on this subject and is unable to find any case in which the procedure adopted in this case, </w:t>
      </w:r>
      <w:r>
        <w:rPr>
          <w:color w:val="202529"/>
          <w:spacing w:val="-3"/>
          <w:sz w:val="21"/>
        </w:rPr>
        <w:t>namely, </w:t>
      </w:r>
      <w:r>
        <w:rPr>
          <w:color w:val="202529"/>
          <w:sz w:val="21"/>
        </w:rPr>
        <w:t>the appointment of an umpire before the two appraisers were appointed, has been attempted or remotely followed.</w:t>
      </w:r>
    </w:p>
    <w:p>
      <w:pPr>
        <w:spacing w:line="297" w:lineRule="auto" w:before="160"/>
        <w:ind w:left="1179" w:right="1534" w:firstLine="0"/>
        <w:jc w:val="left"/>
        <w:rPr>
          <w:rFonts w:ascii="Times New Roman"/>
          <w:sz w:val="21"/>
        </w:rPr>
      </w:pPr>
      <w:r>
        <w:rPr>
          <w:rFonts w:ascii="Times New Roman"/>
          <w:color w:val="202529"/>
          <w:sz w:val="21"/>
        </w:rPr>
        <w:t>Even if the arbitration statute is invoked as to the basis for action, the court in this case failed to proceed in accordance therewith. Section 12148-4, General Code, provides that, if for any reason there is a lapse in the naming of an </w:t>
      </w:r>
      <w:r>
        <w:rPr>
          <w:rFonts w:ascii="Times New Roman"/>
          <w:i/>
          <w:color w:val="202529"/>
          <w:sz w:val="21"/>
        </w:rPr>
        <w:t>arbitrator or an umpire</w:t>
      </w:r>
      <w:r>
        <w:rPr>
          <w:rFonts w:ascii="Times New Roman"/>
          <w:color w:val="202529"/>
          <w:sz w:val="21"/>
        </w:rPr>
        <w:t>, or in filling a vacancy, then upon the application of either party to the controversy, the </w:t>
      </w:r>
      <w:r>
        <w:rPr>
          <w:rFonts w:ascii="Times New Roman"/>
          <w:i/>
          <w:color w:val="202529"/>
          <w:sz w:val="21"/>
        </w:rPr>
        <w:t>Court of Common Pleas </w:t>
      </w:r>
      <w:r>
        <w:rPr>
          <w:rFonts w:ascii="Times New Roman"/>
          <w:color w:val="202529"/>
          <w:sz w:val="21"/>
        </w:rPr>
        <w:t>of the county in which the arbitration is to be held shall, within 15 days after such application, appoint an arbitrator or umpire. Although I am of the opinion that this statute has no application to the instant case, nevertheless no attempt was made in appointing the umpire to proceed under it.</w:t>
      </w:r>
    </w:p>
    <w:p>
      <w:pPr>
        <w:spacing w:before="159"/>
        <w:ind w:left="1179" w:right="0" w:firstLine="0"/>
        <w:jc w:val="left"/>
        <w:rPr>
          <w:rFonts w:ascii="Times New Roman"/>
          <w:sz w:val="21"/>
        </w:rPr>
      </w:pPr>
      <w:r>
        <w:rPr>
          <w:rFonts w:ascii="Times New Roman"/>
          <w:color w:val="202529"/>
          <w:sz w:val="21"/>
        </w:rPr>
        <w:t>The judgment of the Court of Appeals should be reversed and the action dismissed.</w:t>
      </w:r>
    </w:p>
    <w:p>
      <w:pPr>
        <w:pStyle w:val="BodyText"/>
        <w:spacing w:before="6"/>
        <w:rPr>
          <w:rFonts w:ascii="Times New Roman"/>
          <w:sz w:val="13"/>
        </w:rPr>
      </w:pPr>
      <w:r>
        <w:rPr/>
        <w:pict>
          <v:group style="position:absolute;margin-left:65.950714pt;margin-top:9.732398pt;width:471.65pt;height:47.65pt;mso-position-horizontal-relative:page;mso-position-vertical-relative:paragraph;z-index:-251505664;mso-wrap-distance-left:0;mso-wrap-distance-right:0" coordorigin="1319,195" coordsize="9433,953">
            <v:line style="position:absolute" from="1319,200" to="10751,200" stroked="true" strokeweight=".499052pt" strokecolor="#000000">
              <v:stroke dashstyle="solid"/>
            </v:line>
            <v:shape style="position:absolute;left:6724;top:281;width:1294;height:856" type="#_x0000_t75" stroked="false">
              <v:imagedata r:id="rId51" o:title=""/>
            </v:shape>
            <v:shape style="position:absolute;left:6724;top:281;width:1294;height:856" coordorigin="6725,282" coordsize="1294,856" path="m6725,442l6725,978,6738,1040,6772,1091,6823,1125,6885,1138,7858,1138,7921,1125,7972,1091,8006,1040,8018,978,8018,442,8006,379,7972,328,7921,294,7858,282,6885,282,6823,294,6772,328,6738,379,6725,442xe" filled="false" stroked="true" strokeweight="1pt" strokecolor="#6e0004">
              <v:path arrowok="t"/>
              <v:stroke dashstyle="solid"/>
            </v:shape>
            <v:shape style="position:absolute;left:6890;top:538;width:983;height:456" type="#_x0000_t202" filled="false" stroked="false">
              <v:textbox inset="0,0,0,0">
                <w:txbxContent>
                  <w:p>
                    <w:pPr>
                      <w:spacing w:line="449" w:lineRule="exact" w:before="0"/>
                      <w:ind w:left="0" w:right="0" w:firstLine="0"/>
                      <w:jc w:val="left"/>
                      <w:rPr>
                        <w:rFonts w:ascii="Arial"/>
                        <w:b/>
                        <w:i/>
                        <w:sz w:val="45"/>
                      </w:rPr>
                    </w:pPr>
                    <w:r>
                      <w:rPr>
                        <w:rFonts w:ascii="Arial"/>
                        <w:b/>
                        <w:i/>
                        <w:color w:val="2A0E08"/>
                        <w:sz w:val="45"/>
                      </w:rPr>
                      <w:t>END</w:t>
                    </w:r>
                  </w:p>
                </w:txbxContent>
              </v:textbox>
              <w10:wrap type="none"/>
            </v:shape>
            <w10:wrap type="topAndBottom"/>
          </v:group>
        </w:pict>
      </w:r>
      <w:r>
        <w:rPr/>
        <w:drawing>
          <wp:anchor distT="0" distB="0" distL="0" distR="0" allowOverlap="1" layoutInCell="1" locked="0" behindDoc="0" simplePos="0" relativeHeight="150">
            <wp:simplePos x="0" y="0"/>
            <wp:positionH relativeFrom="page">
              <wp:posOffset>615745</wp:posOffset>
            </wp:positionH>
            <wp:positionV relativeFrom="paragraph">
              <wp:posOffset>839794</wp:posOffset>
            </wp:positionV>
            <wp:extent cx="796289" cy="180975"/>
            <wp:effectExtent l="0" t="0" r="0" b="0"/>
            <wp:wrapTopAndBottom/>
            <wp:docPr id="3" name="image10.png"/>
            <wp:cNvGraphicFramePr>
              <a:graphicFrameLocks noChangeAspect="1"/>
            </wp:cNvGraphicFramePr>
            <a:graphic>
              <a:graphicData uri="http://schemas.openxmlformats.org/drawingml/2006/picture">
                <pic:pic>
                  <pic:nvPicPr>
                    <pic:cNvPr id="4" name="image10.png"/>
                    <pic:cNvPicPr/>
                  </pic:nvPicPr>
                  <pic:blipFill>
                    <a:blip r:embed="rId52" cstate="print"/>
                    <a:stretch>
                      <a:fillRect/>
                    </a:stretch>
                  </pic:blipFill>
                  <pic:spPr>
                    <a:xfrm>
                      <a:off x="0" y="0"/>
                      <a:ext cx="796289" cy="180975"/>
                    </a:xfrm>
                    <a:prstGeom prst="rect">
                      <a:avLst/>
                    </a:prstGeom>
                  </pic:spPr>
                </pic:pic>
              </a:graphicData>
            </a:graphic>
          </wp:anchor>
        </w:drawing>
      </w:r>
    </w:p>
    <w:p>
      <w:pPr>
        <w:pStyle w:val="BodyText"/>
        <w:spacing w:before="3"/>
        <w:rPr>
          <w:rFonts w:ascii="Times New Roman"/>
          <w:sz w:val="9"/>
        </w:rPr>
      </w:pPr>
    </w:p>
    <w:p>
      <w:pPr>
        <w:spacing w:after="0"/>
        <w:rPr>
          <w:rFonts w:ascii="Times New Roman"/>
          <w:sz w:val="9"/>
        </w:rPr>
        <w:sectPr>
          <w:footerReference w:type="default" r:id="rId48"/>
          <w:pgSz w:w="12240" w:h="15840"/>
          <w:pgMar w:footer="681" w:header="0" w:top="380" w:bottom="880" w:left="140" w:right="40"/>
        </w:sectPr>
      </w:pPr>
    </w:p>
    <w:p>
      <w:pPr>
        <w:pStyle w:val="BodyText"/>
        <w:spacing w:line="60" w:lineRule="exact"/>
        <w:ind w:left="6137"/>
        <w:rPr>
          <w:rFonts w:ascii="Times New Roman"/>
          <w:sz w:val="6"/>
        </w:rPr>
      </w:pPr>
      <w:r>
        <w:rPr>
          <w:rFonts w:ascii="Times New Roman"/>
          <w:position w:val="0"/>
          <w:sz w:val="6"/>
        </w:rPr>
        <w:pict>
          <v:group style="width:287.9pt;height:2.95pt;mso-position-horizontal-relative:char;mso-position-vertical-relative:line" coordorigin="0,0" coordsize="5758,59">
            <v:line style="position:absolute" from="0,30" to="5758,30" stroked="true" strokeweight="2.95pt" strokecolor="#000000">
              <v:stroke dashstyle="solid"/>
            </v:line>
          </v:group>
        </w:pict>
      </w:r>
      <w:r>
        <w:rPr>
          <w:rFonts w:ascii="Times New Roman"/>
          <w:position w:val="0"/>
          <w:sz w:val="6"/>
        </w:rPr>
      </w:r>
    </w:p>
    <w:p>
      <w:pPr>
        <w:pStyle w:val="BodyText"/>
        <w:rPr>
          <w:rFonts w:ascii="Times New Roman"/>
          <w:sz w:val="19"/>
        </w:rPr>
      </w:pPr>
      <w:r>
        <w:rPr/>
        <w:pict>
          <v:shape style="position:absolute;margin-left:315.354004pt;margin-top:14.387012pt;width:287.9pt;height:.1pt;mso-position-horizontal-relative:page;mso-position-vertical-relative:paragraph;z-index:-251502592;mso-wrap-distance-left:0;mso-wrap-distance-right:0" coordorigin="6307,288" coordsize="5758,0" path="m6307,288l12065,288e" filled="false" stroked="true" strokeweight="2.95pt" strokecolor="#000000">
            <v:path arrowok="t"/>
            <v:stroke dashstyle="solid"/>
            <w10:wrap type="topAndBottom"/>
          </v:shape>
        </w:pict>
      </w:r>
      <w:r>
        <w:rPr/>
        <w:pict>
          <v:shape style="position:absolute;margin-left:315.354004pt;margin-top:30.467012pt;width:287.8pt;height:.1pt;mso-position-horizontal-relative:page;mso-position-vertical-relative:paragraph;z-index:-251501568;mso-wrap-distance-left:0;mso-wrap-distance-right:0" coordorigin="6307,609" coordsize="5756,0" path="m6307,609l12063,609e" filled="false" stroked="true" strokeweight="2.95pt" strokecolor="#000000">
            <v:path arrowok="t"/>
            <v:stroke dashstyle="solid"/>
            <w10:wrap type="topAndBottom"/>
          </v:shape>
        </w:pict>
      </w:r>
      <w:r>
        <w:rPr/>
        <w:pict>
          <v:shape style="position:absolute;margin-left:315.354004pt;margin-top:46.547012pt;width:287.95pt;height:.1pt;mso-position-horizontal-relative:page;mso-position-vertical-relative:paragraph;z-index:-251500544;mso-wrap-distance-left:0;mso-wrap-distance-right:0" coordorigin="6307,931" coordsize="5759,0" path="m6307,931l12066,931e" filled="false" stroked="true" strokeweight="2.95pt" strokecolor="#000000">
            <v:path arrowok="t"/>
            <v:stroke dashstyle="solid"/>
            <w10:wrap type="topAndBottom"/>
          </v:shape>
        </w:pict>
      </w:r>
      <w:r>
        <w:rPr/>
        <w:pict>
          <v:shape style="position:absolute;margin-left:315.354004pt;margin-top:62.62701pt;width:287.850pt;height:.1pt;mso-position-horizontal-relative:page;mso-position-vertical-relative:paragraph;z-index:-251499520;mso-wrap-distance-left:0;mso-wrap-distance-right:0" coordorigin="6307,1253" coordsize="5757,0" path="m6307,1253l12063,1253e" filled="false" stroked="true" strokeweight="2.95pt" strokecolor="#000000">
            <v:path arrowok="t"/>
            <v:stroke dashstyle="solid"/>
            <w10:wrap type="topAndBottom"/>
          </v:shape>
        </w:pict>
      </w:r>
      <w:r>
        <w:rPr/>
        <w:pict>
          <v:shape style="position:absolute;margin-left:315.354004pt;margin-top:78.707008pt;width:287.9pt;height:.1pt;mso-position-horizontal-relative:page;mso-position-vertical-relative:paragraph;z-index:-251498496;mso-wrap-distance-left:0;mso-wrap-distance-right:0" coordorigin="6307,1574" coordsize="5758,0" path="m6307,1574l12064,1574e" filled="false" stroked="true" strokeweight="2.95pt" strokecolor="#000000">
            <v:path arrowok="t"/>
            <v:stroke dashstyle="solid"/>
            <w10:wrap type="topAndBottom"/>
          </v:shape>
        </w:pict>
      </w:r>
      <w:r>
        <w:rPr/>
        <w:pict>
          <v:shape style="position:absolute;margin-left:315.354004pt;margin-top:94.78701pt;width:287.8pt;height:.1pt;mso-position-horizontal-relative:page;mso-position-vertical-relative:paragraph;z-index:-251497472;mso-wrap-distance-left:0;mso-wrap-distance-right:0" coordorigin="6307,1896" coordsize="5756,0" path="m6307,1896l12063,1896e" filled="false" stroked="true" strokeweight="2.95pt" strokecolor="#000000">
            <v:path arrowok="t"/>
            <v:stroke dashstyle="solid"/>
            <w10:wrap type="topAndBottom"/>
          </v:shape>
        </w:pict>
      </w:r>
    </w:p>
    <w:p>
      <w:pPr>
        <w:pStyle w:val="BodyText"/>
        <w:spacing w:before="9"/>
        <w:rPr>
          <w:rFonts w:ascii="Times New Roman"/>
          <w:sz w:val="16"/>
        </w:rPr>
      </w:pPr>
    </w:p>
    <w:p>
      <w:pPr>
        <w:pStyle w:val="BodyText"/>
        <w:spacing w:before="9"/>
        <w:rPr>
          <w:rFonts w:ascii="Times New Roman"/>
          <w:sz w:val="16"/>
        </w:rPr>
      </w:pPr>
    </w:p>
    <w:p>
      <w:pPr>
        <w:pStyle w:val="BodyText"/>
        <w:spacing w:before="9"/>
        <w:rPr>
          <w:rFonts w:ascii="Times New Roman"/>
          <w:sz w:val="16"/>
        </w:rPr>
      </w:pPr>
    </w:p>
    <w:p>
      <w:pPr>
        <w:pStyle w:val="BodyText"/>
        <w:spacing w:before="9"/>
        <w:rPr>
          <w:rFonts w:ascii="Times New Roman"/>
          <w:sz w:val="16"/>
        </w:rPr>
      </w:pPr>
    </w:p>
    <w:p>
      <w:pPr>
        <w:pStyle w:val="BodyText"/>
        <w:spacing w:before="9"/>
        <w:rPr>
          <w:rFonts w:ascii="Times New Roman"/>
          <w:sz w:val="16"/>
        </w:rPr>
      </w:pPr>
    </w:p>
    <w:p>
      <w:pPr>
        <w:pStyle w:val="BodyText"/>
        <w:spacing w:before="8"/>
        <w:rPr>
          <w:rFonts w:ascii="Times New Roman"/>
          <w:sz w:val="25"/>
        </w:rPr>
      </w:pPr>
    </w:p>
    <w:p>
      <w:pPr>
        <w:pStyle w:val="BodyText"/>
        <w:spacing w:line="242" w:lineRule="auto" w:before="77"/>
        <w:ind w:left="3100" w:right="3198"/>
        <w:jc w:val="both"/>
      </w:pPr>
      <w:bookmarkStart w:name="Law and Procedure 241" w:id="56"/>
      <w:bookmarkEnd w:id="56"/>
      <w:r>
        <w:rPr/>
      </w:r>
      <w:r>
        <w:rPr>
          <w:u w:val="single"/>
        </w:rPr>
        <w:t>Co.</w:t>
      </w:r>
      <w:r>
        <w:rPr/>
        <w:t>,</w:t>
      </w:r>
      <w:r>
        <w:rPr>
          <w:vertAlign w:val="superscript"/>
        </w:rPr>
        <w:t>531</w:t>
      </w:r>
      <w:r>
        <w:rPr>
          <w:vertAlign w:val="baseline"/>
        </w:rPr>
        <w:t> when faced with the carrier’s refusal </w:t>
      </w:r>
      <w:r>
        <w:rPr>
          <w:spacing w:val="-17"/>
          <w:vertAlign w:val="baseline"/>
        </w:rPr>
        <w:t>to </w:t>
      </w:r>
      <w:r>
        <w:rPr>
          <w:vertAlign w:val="baseline"/>
        </w:rPr>
        <w:t>appoint</w:t>
      </w:r>
      <w:r>
        <w:rPr>
          <w:spacing w:val="-26"/>
          <w:vertAlign w:val="baseline"/>
        </w:rPr>
        <w:t> </w:t>
      </w:r>
      <w:r>
        <w:rPr>
          <w:vertAlign w:val="baseline"/>
        </w:rPr>
        <w:t>an</w:t>
      </w:r>
      <w:r>
        <w:rPr>
          <w:spacing w:val="-25"/>
          <w:vertAlign w:val="baseline"/>
        </w:rPr>
        <w:t> </w:t>
      </w:r>
      <w:r>
        <w:rPr>
          <w:vertAlign w:val="baseline"/>
        </w:rPr>
        <w:t>appraiser</w:t>
      </w:r>
      <w:r>
        <w:rPr>
          <w:spacing w:val="-26"/>
          <w:vertAlign w:val="baseline"/>
        </w:rPr>
        <w:t> </w:t>
      </w:r>
      <w:r>
        <w:rPr>
          <w:vertAlign w:val="baseline"/>
        </w:rPr>
        <w:t>in</w:t>
      </w:r>
      <w:r>
        <w:rPr>
          <w:spacing w:val="-22"/>
          <w:vertAlign w:val="baseline"/>
        </w:rPr>
        <w:t> </w:t>
      </w:r>
      <w:r>
        <w:rPr>
          <w:vertAlign w:val="baseline"/>
        </w:rPr>
        <w:t>response</w:t>
      </w:r>
      <w:r>
        <w:rPr>
          <w:spacing w:val="-21"/>
          <w:vertAlign w:val="baseline"/>
        </w:rPr>
        <w:t> </w:t>
      </w:r>
      <w:r>
        <w:rPr>
          <w:vertAlign w:val="baseline"/>
        </w:rPr>
        <w:t>to</w:t>
      </w:r>
      <w:r>
        <w:rPr>
          <w:spacing w:val="-21"/>
          <w:vertAlign w:val="baseline"/>
        </w:rPr>
        <w:t> </w:t>
      </w:r>
      <w:r>
        <w:rPr>
          <w:vertAlign w:val="baseline"/>
        </w:rPr>
        <w:t>a</w:t>
      </w:r>
      <w:r>
        <w:rPr>
          <w:spacing w:val="-22"/>
          <w:vertAlign w:val="baseline"/>
        </w:rPr>
        <w:t> </w:t>
      </w:r>
      <w:r>
        <w:rPr>
          <w:vertAlign w:val="baseline"/>
        </w:rPr>
        <w:t>demand for appraisal, the Court issued an order giving the carrier 10 days to select and employ an appraiser and to notify the court and </w:t>
      </w:r>
      <w:r>
        <w:rPr>
          <w:spacing w:val="-5"/>
          <w:vertAlign w:val="baseline"/>
        </w:rPr>
        <w:t>the </w:t>
      </w:r>
      <w:r>
        <w:rPr>
          <w:vertAlign w:val="baseline"/>
        </w:rPr>
        <w:t>insured of the name and contact information and upon a failure to abide by the directive, the court indicated a willingness to consider</w:t>
      </w:r>
      <w:r>
        <w:rPr>
          <w:spacing w:val="-31"/>
          <w:vertAlign w:val="baseline"/>
        </w:rPr>
        <w:t> </w:t>
      </w:r>
      <w:r>
        <w:rPr>
          <w:vertAlign w:val="baseline"/>
        </w:rPr>
        <w:t>a request for the court to appoint an appraiser and for an imposition of sanctions upon the insurer.</w:t>
      </w:r>
    </w:p>
    <w:p>
      <w:pPr>
        <w:pStyle w:val="BodyText"/>
        <w:spacing w:before="11"/>
        <w:rPr>
          <w:sz w:val="25"/>
        </w:rPr>
      </w:pPr>
    </w:p>
    <w:p>
      <w:pPr>
        <w:pStyle w:val="BodyText"/>
        <w:spacing w:line="242" w:lineRule="auto"/>
        <w:ind w:left="3100" w:right="3199" w:firstLine="720"/>
        <w:jc w:val="both"/>
      </w:pPr>
      <w:r>
        <w:rPr>
          <w:spacing w:val="3"/>
        </w:rPr>
        <w:t>If </w:t>
      </w:r>
      <w:r>
        <w:rPr/>
        <w:t>the responding party is of a mind to either contest coverage and argue that the loss</w:t>
      </w:r>
      <w:r>
        <w:rPr>
          <w:spacing w:val="-9"/>
        </w:rPr>
        <w:t> </w:t>
      </w:r>
      <w:r>
        <w:rPr/>
        <w:t>is</w:t>
      </w:r>
      <w:r>
        <w:rPr>
          <w:spacing w:val="-7"/>
        </w:rPr>
        <w:t> </w:t>
      </w:r>
      <w:r>
        <w:rPr/>
        <w:t>not</w:t>
      </w:r>
      <w:r>
        <w:rPr>
          <w:spacing w:val="-9"/>
        </w:rPr>
        <w:t> </w:t>
      </w:r>
      <w:r>
        <w:rPr/>
        <w:t>covered</w:t>
      </w:r>
      <w:r>
        <w:rPr>
          <w:spacing w:val="-8"/>
        </w:rPr>
        <w:t> </w:t>
      </w:r>
      <w:r>
        <w:rPr/>
        <w:t>under</w:t>
      </w:r>
      <w:r>
        <w:rPr>
          <w:spacing w:val="-12"/>
        </w:rPr>
        <w:t> </w:t>
      </w:r>
      <w:r>
        <w:rPr/>
        <w:t>the</w:t>
      </w:r>
      <w:r>
        <w:rPr>
          <w:spacing w:val="-10"/>
        </w:rPr>
        <w:t> </w:t>
      </w:r>
      <w:r>
        <w:rPr/>
        <w:t>policy,</w:t>
      </w:r>
      <w:r>
        <w:rPr>
          <w:spacing w:val="-12"/>
        </w:rPr>
        <w:t> </w:t>
      </w:r>
      <w:r>
        <w:rPr/>
        <w:t>or</w:t>
      </w:r>
      <w:r>
        <w:rPr>
          <w:spacing w:val="-11"/>
        </w:rPr>
        <w:t> </w:t>
      </w:r>
      <w:r>
        <w:rPr/>
        <w:t>contest whether the dispute is subject to the</w:t>
      </w:r>
      <w:r>
        <w:rPr>
          <w:spacing w:val="-45"/>
        </w:rPr>
        <w:t> </w:t>
      </w:r>
      <w:r>
        <w:rPr/>
        <w:t>appraisal process, these issues should be </w:t>
      </w:r>
      <w:r>
        <w:rPr>
          <w:spacing w:val="-3"/>
        </w:rPr>
        <w:t>asserted </w:t>
      </w:r>
      <w:r>
        <w:rPr/>
        <w:t>forthwith. Some states require those special defenses to be asserted in a timely manner, such as when the party answers a motion to compel the</w:t>
      </w:r>
      <w:r>
        <w:rPr>
          <w:spacing w:val="-3"/>
        </w:rPr>
        <w:t> </w:t>
      </w:r>
      <w:r>
        <w:rPr/>
        <w:t>appraisal.</w:t>
      </w:r>
    </w:p>
    <w:p>
      <w:pPr>
        <w:pStyle w:val="BodyText"/>
        <w:spacing w:before="11"/>
        <w:rPr>
          <w:sz w:val="25"/>
        </w:rPr>
      </w:pPr>
    </w:p>
    <w:p>
      <w:pPr>
        <w:pStyle w:val="BodyText"/>
        <w:spacing w:line="242" w:lineRule="auto" w:before="1"/>
        <w:ind w:left="3100" w:right="3200" w:firstLine="720"/>
        <w:jc w:val="both"/>
      </w:pPr>
      <w:r>
        <w:rPr/>
        <w:t>For</w:t>
      </w:r>
      <w:r>
        <w:rPr>
          <w:spacing w:val="-36"/>
        </w:rPr>
        <w:t> </w:t>
      </w:r>
      <w:r>
        <w:rPr/>
        <w:t>example,</w:t>
      </w:r>
      <w:r>
        <w:rPr>
          <w:spacing w:val="-39"/>
        </w:rPr>
        <w:t> </w:t>
      </w:r>
      <w:r>
        <w:rPr>
          <w:spacing w:val="-3"/>
        </w:rPr>
        <w:t>Connecticut</w:t>
      </w:r>
      <w:r>
        <w:rPr>
          <w:spacing w:val="-37"/>
        </w:rPr>
        <w:t> </w:t>
      </w:r>
      <w:r>
        <w:rPr/>
        <w:t>requires</w:t>
      </w:r>
      <w:r>
        <w:rPr>
          <w:spacing w:val="-35"/>
        </w:rPr>
        <w:t> </w:t>
      </w:r>
      <w:r>
        <w:rPr/>
        <w:t>this</w:t>
      </w:r>
      <w:r>
        <w:rPr>
          <w:spacing w:val="-34"/>
        </w:rPr>
        <w:t> </w:t>
      </w:r>
      <w:r>
        <w:rPr/>
        <w:t>be done within 5 days of the receipt of a complaint seeking to compel the</w:t>
      </w:r>
      <w:r>
        <w:rPr>
          <w:spacing w:val="10"/>
        </w:rPr>
        <w:t> </w:t>
      </w:r>
      <w:r>
        <w:rPr>
          <w:spacing w:val="-4"/>
        </w:rPr>
        <w:t>appraisal.</w:t>
      </w:r>
      <w:r>
        <w:rPr>
          <w:spacing w:val="-4"/>
          <w:vertAlign w:val="superscript"/>
        </w:rPr>
        <w:t>532</w:t>
      </w:r>
    </w:p>
    <w:p>
      <w:pPr>
        <w:pStyle w:val="BodyText"/>
        <w:spacing w:before="1"/>
      </w:pPr>
    </w:p>
    <w:p>
      <w:pPr>
        <w:pStyle w:val="BodyText"/>
        <w:spacing w:line="242" w:lineRule="auto"/>
        <w:ind w:left="3100" w:right="3200" w:firstLine="720"/>
        <w:jc w:val="both"/>
      </w:pPr>
      <w:r>
        <w:rPr/>
        <w:t>Under</w:t>
      </w:r>
      <w:r>
        <w:rPr>
          <w:spacing w:val="-35"/>
        </w:rPr>
        <w:t> </w:t>
      </w:r>
      <w:r>
        <w:rPr/>
        <w:t>the</w:t>
      </w:r>
      <w:r>
        <w:rPr>
          <w:spacing w:val="-32"/>
        </w:rPr>
        <w:t> </w:t>
      </w:r>
      <w:r>
        <w:rPr/>
        <w:t>laws</w:t>
      </w:r>
      <w:r>
        <w:rPr>
          <w:spacing w:val="-32"/>
        </w:rPr>
        <w:t> </w:t>
      </w:r>
      <w:r>
        <w:rPr/>
        <w:t>of</w:t>
      </w:r>
      <w:r>
        <w:rPr>
          <w:spacing w:val="-30"/>
        </w:rPr>
        <w:t> </w:t>
      </w:r>
      <w:r>
        <w:rPr/>
        <w:t>the</w:t>
      </w:r>
      <w:r>
        <w:rPr>
          <w:spacing w:val="-33"/>
        </w:rPr>
        <w:t> </w:t>
      </w:r>
      <w:r>
        <w:rPr/>
        <w:t>Province</w:t>
      </w:r>
      <w:r>
        <w:rPr>
          <w:spacing w:val="-33"/>
        </w:rPr>
        <w:t> </w:t>
      </w:r>
      <w:r>
        <w:rPr/>
        <w:t>of</w:t>
      </w:r>
      <w:r>
        <w:rPr>
          <w:spacing w:val="-32"/>
        </w:rPr>
        <w:t> </w:t>
      </w:r>
      <w:r>
        <w:rPr/>
        <w:t>Ontario, the</w:t>
      </w:r>
      <w:r>
        <w:rPr>
          <w:spacing w:val="-11"/>
        </w:rPr>
        <w:t> </w:t>
      </w:r>
      <w:r>
        <w:rPr/>
        <w:t>responding</w:t>
      </w:r>
      <w:r>
        <w:rPr>
          <w:spacing w:val="-9"/>
        </w:rPr>
        <w:t> </w:t>
      </w:r>
      <w:r>
        <w:rPr/>
        <w:t>party</w:t>
      </w:r>
      <w:r>
        <w:rPr>
          <w:spacing w:val="-14"/>
        </w:rPr>
        <w:t> </w:t>
      </w:r>
      <w:r>
        <w:rPr/>
        <w:t>has</w:t>
      </w:r>
      <w:r>
        <w:rPr>
          <w:spacing w:val="-11"/>
        </w:rPr>
        <w:t> </w:t>
      </w:r>
      <w:r>
        <w:rPr/>
        <w:t>7</w:t>
      </w:r>
      <w:r>
        <w:rPr>
          <w:spacing w:val="-12"/>
        </w:rPr>
        <w:t> </w:t>
      </w:r>
      <w:r>
        <w:rPr/>
        <w:t>days</w:t>
      </w:r>
      <w:r>
        <w:rPr>
          <w:spacing w:val="-12"/>
        </w:rPr>
        <w:t> </w:t>
      </w:r>
      <w:r>
        <w:rPr/>
        <w:t>to</w:t>
      </w:r>
      <w:r>
        <w:rPr>
          <w:spacing w:val="-11"/>
        </w:rPr>
        <w:t> </w:t>
      </w:r>
      <w:r>
        <w:rPr/>
        <w:t>appoint</w:t>
      </w:r>
      <w:r>
        <w:rPr>
          <w:spacing w:val="-13"/>
        </w:rPr>
        <w:t> </w:t>
      </w:r>
      <w:r>
        <w:rPr>
          <w:spacing w:val="-5"/>
        </w:rPr>
        <w:t>an </w:t>
      </w:r>
      <w:r>
        <w:rPr/>
        <w:t>appraiser  after  being  served  with  a</w:t>
      </w:r>
      <w:r>
        <w:rPr>
          <w:spacing w:val="56"/>
        </w:rPr>
        <w:t> </w:t>
      </w:r>
      <w:r>
        <w:rPr/>
        <w:t>written</w:t>
      </w:r>
    </w:p>
    <w:p>
      <w:pPr>
        <w:pStyle w:val="BodyText"/>
        <w:rPr>
          <w:sz w:val="20"/>
        </w:rPr>
      </w:pPr>
    </w:p>
    <w:p>
      <w:pPr>
        <w:pStyle w:val="BodyText"/>
        <w:spacing w:before="5"/>
        <w:rPr>
          <w:sz w:val="16"/>
        </w:rPr>
      </w:pPr>
      <w:r>
        <w:rPr/>
        <w:pict>
          <v:shape style="position:absolute;margin-left:162pt;margin-top:12.49043pt;width:143.9pt;height:.1pt;mso-position-horizontal-relative:page;mso-position-vertical-relative:paragraph;z-index:-251496448;mso-wrap-distance-left:0;mso-wrap-distance-right:0" coordorigin="3240,250" coordsize="2878,0" path="m3240,250l6118,250e" filled="false" stroked="true" strokeweight=".84pt" strokecolor="#000000">
            <v:path arrowok="t"/>
            <v:stroke dashstyle="solid"/>
            <w10:wrap type="topAndBottom"/>
          </v:shape>
        </w:pict>
      </w:r>
    </w:p>
    <w:p>
      <w:pPr>
        <w:pStyle w:val="BodyText"/>
        <w:spacing w:before="4"/>
        <w:rPr>
          <w:sz w:val="10"/>
        </w:rPr>
      </w:pPr>
    </w:p>
    <w:p>
      <w:pPr>
        <w:spacing w:line="252" w:lineRule="exact" w:before="71"/>
        <w:ind w:left="2740" w:right="0" w:firstLine="0"/>
        <w:jc w:val="left"/>
        <w:rPr>
          <w:rFonts w:ascii="Times New Roman"/>
          <w:sz w:val="18"/>
        </w:rPr>
      </w:pPr>
      <w:r>
        <w:rPr>
          <w:rFonts w:ascii="Times New Roman"/>
          <w:position w:val="10"/>
          <w:sz w:val="14"/>
        </w:rPr>
        <w:t>531 </w:t>
      </w:r>
      <w:r>
        <w:rPr>
          <w:rFonts w:ascii="Times New Roman"/>
          <w:sz w:val="18"/>
        </w:rPr>
        <w:t>2005 WL 2620537 (D. Ariz. 2005).</w:t>
      </w:r>
    </w:p>
    <w:p>
      <w:pPr>
        <w:spacing w:line="242" w:lineRule="exact" w:before="0"/>
        <w:ind w:left="2740" w:right="0" w:firstLine="0"/>
        <w:jc w:val="left"/>
        <w:rPr>
          <w:rFonts w:ascii="Times New Roman"/>
          <w:sz w:val="18"/>
        </w:rPr>
      </w:pPr>
      <w:r>
        <w:rPr>
          <w:rFonts w:ascii="Times New Roman"/>
          <w:position w:val="9"/>
          <w:sz w:val="14"/>
        </w:rPr>
        <w:t>532</w:t>
      </w:r>
      <w:r>
        <w:rPr>
          <w:rFonts w:ascii="Times New Roman"/>
          <w:sz w:val="14"/>
        </w:rPr>
        <w:t> </w:t>
      </w:r>
      <w:r>
        <w:rPr>
          <w:rFonts w:ascii="Times New Roman"/>
          <w:sz w:val="18"/>
          <w:u w:val="single"/>
        </w:rPr>
        <w:t>Fishman v. Middlesex Mut. Assur. Co.</w:t>
      </w:r>
      <w:r>
        <w:rPr>
          <w:rFonts w:ascii="Times New Roman"/>
          <w:sz w:val="18"/>
        </w:rPr>
        <w:t>, 4 Conn. App. 339, 494 A.2d 606 (1985).</w:t>
      </w:r>
    </w:p>
    <w:p>
      <w:pPr>
        <w:spacing w:after="0" w:line="242" w:lineRule="exact"/>
        <w:jc w:val="left"/>
        <w:rPr>
          <w:rFonts w:ascii="Times New Roman"/>
          <w:sz w:val="18"/>
        </w:rPr>
        <w:sectPr>
          <w:footerReference w:type="default" r:id="rId53"/>
          <w:pgSz w:w="12240" w:h="15840"/>
          <w:pgMar w:footer="2273" w:header="0" w:top="140" w:bottom="2460" w:left="140" w:right="40"/>
          <w:pgNumType w:start="280"/>
        </w:sectPr>
      </w:pPr>
    </w:p>
    <w:p>
      <w:pPr>
        <w:pStyle w:val="BodyText"/>
        <w:ind w:left="6159"/>
        <w:rPr>
          <w:rFonts w:ascii="Times New Roman"/>
          <w:sz w:val="20"/>
        </w:rPr>
      </w:pPr>
      <w:r>
        <w:rPr>
          <w:rFonts w:ascii="Times New Roman"/>
          <w:sz w:val="20"/>
        </w:rPr>
        <w:pict>
          <v:group style="width:288.7pt;height:60.95pt;mso-position-horizontal-relative:char;mso-position-vertical-relative:line" coordorigin="0,0" coordsize="5774,1219">
            <v:shape style="position:absolute;left:0;top:0;width:5774;height:1219" coordorigin="0,0" coordsize="5774,1219" path="m5762,0l1579,0,1569,10,1569,243,1579,253,5762,253,5772,243,5772,10,5762,0xm5762,322l10,322,0,332,0,565,10,575,5762,575,5772,565,5772,332,5762,322xm5764,643l10,643,0,653,0,886,10,896,5764,896,5774,886,5774,653,5764,643xm4423,965l10,965,0,975,0,1208,10,1218,4423,1218,4433,1208,4433,975,4423,965xe" filled="true" fillcolor="#ef9c95" stroked="false">
              <v:path arrowok="t"/>
              <v:fill opacity="32112f" type="solid"/>
            </v:shape>
          </v:group>
        </w:pict>
      </w:r>
      <w:r>
        <w:rPr>
          <w:rFonts w:ascii="Times New Roman"/>
          <w:sz w:val="20"/>
        </w:rPr>
      </w:r>
    </w:p>
    <w:p>
      <w:pPr>
        <w:pStyle w:val="BodyText"/>
        <w:rPr>
          <w:rFonts w:ascii="Times New Roman"/>
          <w:sz w:val="20"/>
        </w:rPr>
      </w:pPr>
    </w:p>
    <w:p>
      <w:pPr>
        <w:pStyle w:val="BodyText"/>
        <w:spacing w:line="242" w:lineRule="auto" w:before="202"/>
        <w:ind w:left="3100" w:right="3198"/>
        <w:jc w:val="both"/>
      </w:pPr>
      <w:r>
        <w:rPr/>
        <w:pict>
          <v:line style="position:absolute;mso-position-horizontal-relative:page;mso-position-vertical-relative:paragraph;z-index:-254118912" from="315.356995pt,165.403168pt" to="603.186995pt,165.403168pt" stroked="true" strokeweight="2.95pt" strokecolor="#e44234">
            <v:stroke dashstyle="solid"/>
            <w10:wrap type="none"/>
          </v:line>
        </w:pict>
      </w:r>
      <w:r>
        <w:rPr/>
        <w:pict>
          <v:line style="position:absolute;mso-position-horizontal-relative:page;mso-position-vertical-relative:paragraph;z-index:-254117888" from="315.356995pt,181.483154pt" to="453.421995pt,181.483154pt" stroked="true" strokeweight="2.95pt" strokecolor="#e44234">
            <v:stroke dashstyle="solid"/>
            <w10:wrap type="none"/>
          </v:line>
        </w:pict>
      </w:r>
      <w:bookmarkStart w:name="Law and Procedure 242" w:id="57"/>
      <w:bookmarkEnd w:id="57"/>
      <w:r>
        <w:rPr/>
      </w:r>
      <w:r>
        <w:rPr/>
        <w:t>notice to do so.</w:t>
      </w:r>
      <w:r>
        <w:rPr>
          <w:vertAlign w:val="superscript"/>
        </w:rPr>
        <w:t>533</w:t>
      </w:r>
      <w:r>
        <w:rPr>
          <w:vertAlign w:val="baseline"/>
        </w:rPr>
        <w:t> The focus of the </w:t>
      </w:r>
      <w:r>
        <w:rPr>
          <w:spacing w:val="-5"/>
          <w:vertAlign w:val="baseline"/>
        </w:rPr>
        <w:t>appraisal </w:t>
      </w:r>
      <w:r>
        <w:rPr>
          <w:vertAlign w:val="baseline"/>
        </w:rPr>
        <w:t>statute in the Province of Ontario is on speed, as each provision of the Insurance </w:t>
      </w:r>
      <w:r>
        <w:rPr>
          <w:spacing w:val="-4"/>
          <w:vertAlign w:val="baseline"/>
        </w:rPr>
        <w:t>Act </w:t>
      </w:r>
      <w:r>
        <w:rPr>
          <w:spacing w:val="-3"/>
          <w:vertAlign w:val="baseline"/>
        </w:rPr>
        <w:t>enhances</w:t>
      </w:r>
      <w:r>
        <w:rPr>
          <w:spacing w:val="-35"/>
          <w:vertAlign w:val="baseline"/>
        </w:rPr>
        <w:t> </w:t>
      </w:r>
      <w:r>
        <w:rPr>
          <w:vertAlign w:val="baseline"/>
        </w:rPr>
        <w:t>expediency</w:t>
      </w:r>
      <w:r>
        <w:rPr>
          <w:spacing w:val="-34"/>
          <w:vertAlign w:val="baseline"/>
        </w:rPr>
        <w:t> </w:t>
      </w:r>
      <w:r>
        <w:rPr>
          <w:vertAlign w:val="baseline"/>
        </w:rPr>
        <w:t>in</w:t>
      </w:r>
      <w:r>
        <w:rPr>
          <w:spacing w:val="-32"/>
          <w:vertAlign w:val="baseline"/>
        </w:rPr>
        <w:t> </w:t>
      </w:r>
      <w:r>
        <w:rPr>
          <w:vertAlign w:val="baseline"/>
        </w:rPr>
        <w:t>the</w:t>
      </w:r>
      <w:r>
        <w:rPr>
          <w:spacing w:val="-34"/>
          <w:vertAlign w:val="baseline"/>
        </w:rPr>
        <w:t> </w:t>
      </w:r>
      <w:r>
        <w:rPr>
          <w:vertAlign w:val="baseline"/>
        </w:rPr>
        <w:t>appraisal</w:t>
      </w:r>
      <w:r>
        <w:rPr>
          <w:spacing w:val="-35"/>
          <w:vertAlign w:val="baseline"/>
        </w:rPr>
        <w:t> </w:t>
      </w:r>
      <w:r>
        <w:rPr>
          <w:spacing w:val="-3"/>
          <w:vertAlign w:val="baseline"/>
        </w:rPr>
        <w:t>process. </w:t>
      </w:r>
      <w:r>
        <w:rPr>
          <w:vertAlign w:val="baseline"/>
        </w:rPr>
        <w:t>Within 30 days of the appraisal option being exercised, the claim should either be</w:t>
      </w:r>
      <w:r>
        <w:rPr>
          <w:spacing w:val="-14"/>
          <w:vertAlign w:val="baseline"/>
        </w:rPr>
        <w:t> </w:t>
      </w:r>
      <w:r>
        <w:rPr>
          <w:vertAlign w:val="baseline"/>
        </w:rPr>
        <w:t>resolved or be in the hands of the umpire</w:t>
      </w:r>
      <w:r>
        <w:rPr>
          <w:spacing w:val="59"/>
          <w:vertAlign w:val="baseline"/>
        </w:rPr>
        <w:t> </w:t>
      </w:r>
      <w:r>
        <w:rPr>
          <w:vertAlign w:val="baseline"/>
        </w:rPr>
        <w:t>pending resolution.</w:t>
      </w:r>
    </w:p>
    <w:p>
      <w:pPr>
        <w:pStyle w:val="BodyText"/>
        <w:spacing w:before="5"/>
        <w:rPr>
          <w:sz w:val="11"/>
        </w:rPr>
      </w:pPr>
      <w:r>
        <w:rPr/>
        <w:pict>
          <v:shape style="position:absolute;margin-left:447.237pt;margin-top:10.451133pt;width:155.8pt;height:.1pt;mso-position-horizontal-relative:page;mso-position-vertical-relative:paragraph;z-index:-251494400;mso-wrap-distance-left:0;mso-wrap-distance-right:0" coordorigin="8945,209" coordsize="3116,0" path="m8945,209l12060,209e" filled="false" stroked="true" strokeweight="2.95pt" strokecolor="#e44234">
            <v:path arrowok="t"/>
            <v:stroke dashstyle="solid"/>
            <w10:wrap type="topAndBottom"/>
          </v:shape>
        </w:pict>
      </w:r>
    </w:p>
    <w:p>
      <w:pPr>
        <w:pStyle w:val="BodyText"/>
        <w:spacing w:line="242" w:lineRule="auto" w:before="51"/>
        <w:ind w:left="3100" w:right="3197" w:firstLine="720"/>
        <w:jc w:val="both"/>
      </w:pPr>
      <w:r>
        <w:rPr/>
        <w:t>The overriding considerations should be speed and good communication. </w:t>
      </w:r>
      <w:r>
        <w:rPr>
          <w:spacing w:val="3"/>
        </w:rPr>
        <w:t>If </w:t>
      </w:r>
      <w:r>
        <w:rPr/>
        <w:t>for example,</w:t>
      </w:r>
      <w:r>
        <w:rPr>
          <w:spacing w:val="-32"/>
        </w:rPr>
        <w:t> </w:t>
      </w:r>
      <w:r>
        <w:rPr/>
        <w:t>additional</w:t>
      </w:r>
      <w:r>
        <w:rPr>
          <w:spacing w:val="-28"/>
        </w:rPr>
        <w:t> </w:t>
      </w:r>
      <w:r>
        <w:rPr/>
        <w:t>time</w:t>
      </w:r>
      <w:r>
        <w:rPr>
          <w:spacing w:val="-31"/>
        </w:rPr>
        <w:t> </w:t>
      </w:r>
      <w:r>
        <w:rPr/>
        <w:t>is</w:t>
      </w:r>
      <w:r>
        <w:rPr>
          <w:spacing w:val="-31"/>
        </w:rPr>
        <w:t> </w:t>
      </w:r>
      <w:r>
        <w:rPr/>
        <w:t>necessary</w:t>
      </w:r>
      <w:r>
        <w:rPr>
          <w:spacing w:val="-32"/>
        </w:rPr>
        <w:t> </w:t>
      </w:r>
      <w:r>
        <w:rPr/>
        <w:t>to</w:t>
      </w:r>
      <w:r>
        <w:rPr>
          <w:spacing w:val="-32"/>
        </w:rPr>
        <w:t> </w:t>
      </w:r>
      <w:r>
        <w:rPr>
          <w:spacing w:val="-4"/>
        </w:rPr>
        <w:t>locate </w:t>
      </w:r>
      <w:r>
        <w:rPr/>
        <w:t>an appropriate appraiser, an effort should be </w:t>
      </w:r>
      <w:r>
        <w:rPr>
          <w:spacing w:val="-3"/>
        </w:rPr>
        <w:t>made</w:t>
      </w:r>
      <w:r>
        <w:rPr>
          <w:spacing w:val="-36"/>
        </w:rPr>
        <w:t> </w:t>
      </w:r>
      <w:r>
        <w:rPr/>
        <w:t>to</w:t>
      </w:r>
      <w:r>
        <w:rPr>
          <w:spacing w:val="-34"/>
        </w:rPr>
        <w:t> </w:t>
      </w:r>
      <w:r>
        <w:rPr/>
        <w:t>communicate</w:t>
      </w:r>
      <w:r>
        <w:rPr>
          <w:spacing w:val="-32"/>
        </w:rPr>
        <w:t> </w:t>
      </w:r>
      <w:r>
        <w:rPr/>
        <w:t>the</w:t>
      </w:r>
      <w:r>
        <w:rPr>
          <w:spacing w:val="-32"/>
        </w:rPr>
        <w:t> </w:t>
      </w:r>
      <w:r>
        <w:rPr/>
        <w:t>need</w:t>
      </w:r>
      <w:r>
        <w:rPr>
          <w:spacing w:val="-33"/>
        </w:rPr>
        <w:t> </w:t>
      </w:r>
      <w:r>
        <w:rPr/>
        <w:t>for</w:t>
      </w:r>
      <w:r>
        <w:rPr>
          <w:spacing w:val="-32"/>
        </w:rPr>
        <w:t> </w:t>
      </w:r>
      <w:r>
        <w:rPr/>
        <w:t>additional time</w:t>
      </w:r>
      <w:r>
        <w:rPr>
          <w:spacing w:val="-22"/>
        </w:rPr>
        <w:t> </w:t>
      </w:r>
      <w:r>
        <w:rPr/>
        <w:t>to</w:t>
      </w:r>
      <w:r>
        <w:rPr>
          <w:spacing w:val="-21"/>
        </w:rPr>
        <w:t> </w:t>
      </w:r>
      <w:r>
        <w:rPr/>
        <w:t>the</w:t>
      </w:r>
      <w:r>
        <w:rPr>
          <w:spacing w:val="-21"/>
        </w:rPr>
        <w:t> </w:t>
      </w:r>
      <w:r>
        <w:rPr/>
        <w:t>demanding</w:t>
      </w:r>
      <w:r>
        <w:rPr>
          <w:spacing w:val="-20"/>
        </w:rPr>
        <w:t> </w:t>
      </w:r>
      <w:r>
        <w:rPr/>
        <w:t>party</w:t>
      </w:r>
      <w:r>
        <w:rPr>
          <w:spacing w:val="-25"/>
        </w:rPr>
        <w:t> </w:t>
      </w:r>
      <w:r>
        <w:rPr/>
        <w:t>with</w:t>
      </w:r>
      <w:r>
        <w:rPr>
          <w:spacing w:val="-20"/>
        </w:rPr>
        <w:t> </w:t>
      </w:r>
      <w:r>
        <w:rPr/>
        <w:t>a</w:t>
      </w:r>
      <w:r>
        <w:rPr>
          <w:spacing w:val="-21"/>
        </w:rPr>
        <w:t> </w:t>
      </w:r>
      <w:r>
        <w:rPr/>
        <w:t>request</w:t>
      </w:r>
      <w:r>
        <w:rPr>
          <w:spacing w:val="-21"/>
        </w:rPr>
        <w:t> </w:t>
      </w:r>
      <w:r>
        <w:rPr/>
        <w:t>for an extension of time to respond. On the other hand, reasonable requests for extensions of time should be reasonably reviewed and granted when appropriate as the process is intended to be a cooperative</w:t>
      </w:r>
      <w:r>
        <w:rPr>
          <w:spacing w:val="-8"/>
        </w:rPr>
        <w:t> </w:t>
      </w:r>
      <w:r>
        <w:rPr/>
        <w:t>one.</w:t>
      </w:r>
    </w:p>
    <w:p>
      <w:pPr>
        <w:pStyle w:val="BodyText"/>
        <w:spacing w:before="10"/>
        <w:rPr>
          <w:sz w:val="25"/>
        </w:rPr>
      </w:pPr>
    </w:p>
    <w:p>
      <w:pPr>
        <w:pStyle w:val="BodyText"/>
        <w:spacing w:line="242" w:lineRule="auto" w:before="1"/>
        <w:ind w:left="3100" w:right="3200" w:firstLine="720"/>
        <w:jc w:val="both"/>
      </w:pPr>
      <w:r>
        <w:rPr/>
        <w:pict>
          <v:line style="position:absolute;mso-position-horizontal-relative:page;mso-position-vertical-relative:paragraph;z-index:251826176" from="580.026001pt,-37.606823pt" to="612.000005pt,-37.606823pt" stroked="true" strokeweight="2.95pt" strokecolor="#e44234">
            <v:stroke dashstyle="solid"/>
            <w10:wrap type="none"/>
          </v:line>
        </w:pict>
      </w:r>
      <w:r>
        <w:rPr/>
        <w:t>Once</w:t>
      </w:r>
      <w:r>
        <w:rPr>
          <w:spacing w:val="-17"/>
        </w:rPr>
        <w:t> </w:t>
      </w:r>
      <w:r>
        <w:rPr/>
        <w:t>acknowledging</w:t>
      </w:r>
      <w:r>
        <w:rPr>
          <w:spacing w:val="-15"/>
        </w:rPr>
        <w:t> </w:t>
      </w:r>
      <w:r>
        <w:rPr/>
        <w:t>that</w:t>
      </w:r>
      <w:r>
        <w:rPr>
          <w:spacing w:val="-19"/>
        </w:rPr>
        <w:t> </w:t>
      </w:r>
      <w:r>
        <w:rPr/>
        <w:t>the</w:t>
      </w:r>
      <w:r>
        <w:rPr>
          <w:spacing w:val="-17"/>
        </w:rPr>
        <w:t> </w:t>
      </w:r>
      <w:r>
        <w:rPr/>
        <w:t>appraisal process</w:t>
      </w:r>
      <w:r>
        <w:rPr>
          <w:spacing w:val="-31"/>
        </w:rPr>
        <w:t> </w:t>
      </w:r>
      <w:r>
        <w:rPr/>
        <w:t>is</w:t>
      </w:r>
      <w:r>
        <w:rPr>
          <w:spacing w:val="-32"/>
        </w:rPr>
        <w:t> </w:t>
      </w:r>
      <w:r>
        <w:rPr/>
        <w:t>appropriate</w:t>
      </w:r>
      <w:r>
        <w:rPr>
          <w:spacing w:val="-35"/>
        </w:rPr>
        <w:t> </w:t>
      </w:r>
      <w:r>
        <w:rPr/>
        <w:t>in</w:t>
      </w:r>
      <w:r>
        <w:rPr>
          <w:spacing w:val="-33"/>
        </w:rPr>
        <w:t> </w:t>
      </w:r>
      <w:r>
        <w:rPr/>
        <w:t>a</w:t>
      </w:r>
      <w:r>
        <w:rPr>
          <w:spacing w:val="-34"/>
        </w:rPr>
        <w:t> </w:t>
      </w:r>
      <w:r>
        <w:rPr/>
        <w:t>particular</w:t>
      </w:r>
      <w:r>
        <w:rPr>
          <w:spacing w:val="-30"/>
        </w:rPr>
        <w:t> </w:t>
      </w:r>
      <w:r>
        <w:rPr/>
        <w:t>claim,</w:t>
      </w:r>
      <w:r>
        <w:rPr>
          <w:spacing w:val="-34"/>
        </w:rPr>
        <w:t> </w:t>
      </w:r>
      <w:r>
        <w:rPr>
          <w:spacing w:val="-4"/>
        </w:rPr>
        <w:t>any </w:t>
      </w:r>
      <w:r>
        <w:rPr/>
        <w:t>unnecessary delay thwarts the intent of the provision and does a disservice to both of the parties to the</w:t>
      </w:r>
      <w:r>
        <w:rPr>
          <w:spacing w:val="-4"/>
        </w:rPr>
        <w:t> </w:t>
      </w:r>
      <w:r>
        <w:rPr/>
        <w:t>process.</w:t>
      </w:r>
    </w:p>
    <w:p>
      <w:pPr>
        <w:pStyle w:val="BodyText"/>
      </w:pPr>
    </w:p>
    <w:p>
      <w:pPr>
        <w:pStyle w:val="BodyText"/>
        <w:spacing w:line="242" w:lineRule="auto" w:before="1"/>
        <w:ind w:left="3100" w:right="3196" w:firstLine="720"/>
        <w:jc w:val="both"/>
      </w:pPr>
      <w:r>
        <w:rPr/>
        <w:t>Timing has also been addressed with respect</w:t>
      </w:r>
      <w:r>
        <w:rPr>
          <w:spacing w:val="-29"/>
        </w:rPr>
        <w:t> </w:t>
      </w:r>
      <w:r>
        <w:rPr/>
        <w:t>to</w:t>
      </w:r>
      <w:r>
        <w:rPr>
          <w:spacing w:val="-27"/>
        </w:rPr>
        <w:t> </w:t>
      </w:r>
      <w:r>
        <w:rPr/>
        <w:t>challenging</w:t>
      </w:r>
      <w:r>
        <w:rPr>
          <w:spacing w:val="-25"/>
        </w:rPr>
        <w:t> </w:t>
      </w:r>
      <w:r>
        <w:rPr/>
        <w:t>an</w:t>
      </w:r>
      <w:r>
        <w:rPr>
          <w:spacing w:val="-27"/>
        </w:rPr>
        <w:t> </w:t>
      </w:r>
      <w:r>
        <w:rPr/>
        <w:t>appraiser.</w:t>
      </w:r>
      <w:r>
        <w:rPr>
          <w:spacing w:val="16"/>
        </w:rPr>
        <w:t> </w:t>
      </w:r>
      <w:r>
        <w:rPr>
          <w:spacing w:val="3"/>
        </w:rPr>
        <w:t>In</w:t>
      </w:r>
      <w:r>
        <w:rPr>
          <w:spacing w:val="-27"/>
        </w:rPr>
        <w:t> </w:t>
      </w:r>
      <w:r>
        <w:rPr/>
        <w:t>Florida, it has been held that the matter of</w:t>
      </w:r>
      <w:r>
        <w:rPr>
          <w:spacing w:val="-6"/>
        </w:rPr>
        <w:t> </w:t>
      </w:r>
      <w:r>
        <w:rPr/>
        <w:t>an</w:t>
      </w:r>
    </w:p>
    <w:p>
      <w:pPr>
        <w:pStyle w:val="BodyText"/>
        <w:spacing w:before="4"/>
        <w:rPr>
          <w:sz w:val="27"/>
        </w:rPr>
      </w:pPr>
      <w:r>
        <w:rPr/>
        <w:pict>
          <v:shape style="position:absolute;margin-left:162pt;margin-top:19.199379pt;width:143.9pt;height:.1pt;mso-position-horizontal-relative:page;mso-position-vertical-relative:paragraph;z-index:-251493376;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4"/>
        <w:rPr>
          <w:sz w:val="10"/>
        </w:rPr>
      </w:pPr>
    </w:p>
    <w:p>
      <w:pPr>
        <w:spacing w:before="71"/>
        <w:ind w:left="2740" w:right="0" w:firstLine="0"/>
        <w:jc w:val="left"/>
        <w:rPr>
          <w:rFonts w:ascii="Times New Roman" w:hAnsi="Times New Roman"/>
          <w:sz w:val="18"/>
        </w:rPr>
      </w:pPr>
      <w:r>
        <w:rPr>
          <w:rFonts w:ascii="Times New Roman" w:hAnsi="Times New Roman"/>
          <w:position w:val="10"/>
          <w:sz w:val="14"/>
        </w:rPr>
        <w:t>533 </w:t>
      </w:r>
      <w:r>
        <w:rPr>
          <w:rFonts w:ascii="Times New Roman" w:hAnsi="Times New Roman"/>
          <w:sz w:val="18"/>
        </w:rPr>
        <w:t>Ins. Act R.S.O. 1990 Ch. I-8 §128 (1990) (Ontario, Can.).</w:t>
      </w:r>
    </w:p>
    <w:p>
      <w:pPr>
        <w:spacing w:after="0"/>
        <w:jc w:val="left"/>
        <w:rPr>
          <w:rFonts w:ascii="Times New Roman" w:hAnsi="Times New Roman"/>
          <w:sz w:val="18"/>
        </w:rPr>
        <w:sectPr>
          <w:pgSz w:w="12240" w:h="15840"/>
          <w:pgMar w:header="0" w:footer="2273" w:top="84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200"/>
        <w:jc w:val="both"/>
      </w:pPr>
      <w:r>
        <w:rPr/>
        <w:pict>
          <v:group style="position:absolute;margin-left:200.811996pt;margin-top:62.866177pt;width:403pt;height:268.4pt;mso-position-horizontal-relative:page;mso-position-vertical-relative:paragraph;z-index:-254114816" coordorigin="4016,1257" coordsize="8060,5368">
            <v:shape style="position:absolute;left:6299;top:1257;width:5777;height:4113" coordorigin="6299,1257" coordsize="5777,4113" path="m12061,1257l11390,1257,11380,1268,11380,1500,11390,1511,12061,1511,12071,1500,12071,1268,12061,1257xm12062,1579l6310,1579,6299,1589,6299,1822,6310,1832,12062,1832,12073,1822,12073,1589,12062,1579xm12066,1901l6310,1901,6299,1911,6299,2144,6310,2154,12066,2154,12076,2144,12076,1911,12066,1901xm12057,2222l6310,2222,6299,2232,6299,2465,6310,2475,12057,2475,12067,2465,12067,2232,12057,2222xm12064,2544l6310,2544,6299,2554,6299,2787,6310,2797,12064,2797,12075,2787,12075,2554,12064,2544xm12061,2865l6310,2865,6299,2876,6299,3108,6310,3119,12061,3119,12071,3108,12071,2876,12061,2865xm12062,3187l6310,3187,6299,3197,6299,3430,6310,3440,12062,3440,12072,3430,12072,3197,12062,3187xm12064,3509l6310,3509,6299,3519,6299,3752,6310,3762,12064,3762,12075,3752,12075,3519,12064,3509xm12060,3830l6310,3830,6299,3840,6299,4073,6310,4083,12060,4083,12070,4073,12070,3840,12060,3830xm12062,4152l6310,4152,6299,4162,6299,4395,6310,4405,12062,4405,12072,4395,12072,4162,12062,4152xm12066,4473l6310,4473,6299,4484,6299,4716,6310,4727,12066,4727,12076,4716,12076,4484,12066,4473xm12061,4795l6310,4795,6299,4805,6299,5038,6310,5048,12061,5048,12071,5038,12071,4805,12061,4795xm9697,5117l6310,5117,6299,5127,6299,5360,6310,5370,9697,5370,9707,5360,9707,5127,9697,5117xe" filled="true" fillcolor="#ef9c95" stroked="false">
              <v:path arrowok="t"/>
              <v:fill opacity="32112f" type="solid"/>
            </v:shape>
            <v:rect style="position:absolute;left:4057;top:1424;width:7455;height:5159" filled="false" stroked="true" strokeweight="4.12pt" strokecolor="#e44234">
              <v:stroke dashstyle="solid"/>
            </v:rect>
            <w10:wrap type="none"/>
          </v:group>
        </w:pict>
      </w:r>
      <w:bookmarkStart w:name="Law and Procedure 243" w:id="58"/>
      <w:bookmarkEnd w:id="58"/>
      <w:r>
        <w:rPr/>
      </w:r>
      <w:r>
        <w:rPr/>
        <w:t>appraiser’s incompetence must be raised promptly</w:t>
      </w:r>
      <w:r>
        <w:rPr>
          <w:spacing w:val="-14"/>
        </w:rPr>
        <w:t> </w:t>
      </w:r>
      <w:r>
        <w:rPr/>
        <w:t>once</w:t>
      </w:r>
      <w:r>
        <w:rPr>
          <w:spacing w:val="-14"/>
        </w:rPr>
        <w:t> </w:t>
      </w:r>
      <w:r>
        <w:rPr/>
        <w:t>the</w:t>
      </w:r>
      <w:r>
        <w:rPr>
          <w:spacing w:val="-16"/>
        </w:rPr>
        <w:t> </w:t>
      </w:r>
      <w:r>
        <w:rPr/>
        <w:t>grounds</w:t>
      </w:r>
      <w:r>
        <w:rPr>
          <w:spacing w:val="-10"/>
        </w:rPr>
        <w:t> </w:t>
      </w:r>
      <w:r>
        <w:rPr/>
        <w:t>for</w:t>
      </w:r>
      <w:r>
        <w:rPr>
          <w:spacing w:val="-13"/>
        </w:rPr>
        <w:t> </w:t>
      </w:r>
      <w:r>
        <w:rPr/>
        <w:t>disqualification are discovered. </w:t>
      </w:r>
      <w:r>
        <w:rPr>
          <w:spacing w:val="2"/>
        </w:rPr>
        <w:t>In </w:t>
      </w:r>
      <w:r>
        <w:rPr/>
        <w:t>a case where an insured learned</w:t>
      </w:r>
      <w:r>
        <w:rPr>
          <w:spacing w:val="-34"/>
        </w:rPr>
        <w:t> </w:t>
      </w:r>
      <w:r>
        <w:rPr/>
        <w:t>early</w:t>
      </w:r>
      <w:r>
        <w:rPr>
          <w:spacing w:val="-37"/>
        </w:rPr>
        <w:t> </w:t>
      </w:r>
      <w:r>
        <w:rPr/>
        <w:t>on</w:t>
      </w:r>
      <w:r>
        <w:rPr>
          <w:spacing w:val="-32"/>
        </w:rPr>
        <w:t> </w:t>
      </w:r>
      <w:r>
        <w:rPr/>
        <w:t>of</w:t>
      </w:r>
      <w:r>
        <w:rPr>
          <w:spacing w:val="-33"/>
        </w:rPr>
        <w:t> </w:t>
      </w:r>
      <w:r>
        <w:rPr/>
        <w:t>such</w:t>
      </w:r>
      <w:r>
        <w:rPr>
          <w:spacing w:val="-33"/>
        </w:rPr>
        <w:t> </w:t>
      </w:r>
      <w:r>
        <w:rPr/>
        <w:t>incompetence</w:t>
      </w:r>
      <w:r>
        <w:rPr>
          <w:spacing w:val="-37"/>
        </w:rPr>
        <w:t> </w:t>
      </w:r>
      <w:r>
        <w:rPr/>
        <w:t>but</w:t>
      </w:r>
      <w:r>
        <w:rPr>
          <w:spacing w:val="-37"/>
        </w:rPr>
        <w:t> </w:t>
      </w:r>
      <w:r>
        <w:rPr/>
        <w:t>did not seek the appraiser’s disqualification in its complaint</w:t>
      </w:r>
      <w:r>
        <w:rPr>
          <w:spacing w:val="-22"/>
        </w:rPr>
        <w:t> </w:t>
      </w:r>
      <w:r>
        <w:rPr/>
        <w:t>nor</w:t>
      </w:r>
      <w:r>
        <w:rPr>
          <w:spacing w:val="-21"/>
        </w:rPr>
        <w:t> </w:t>
      </w:r>
      <w:r>
        <w:rPr/>
        <w:t>did</w:t>
      </w:r>
      <w:r>
        <w:rPr>
          <w:spacing w:val="-20"/>
        </w:rPr>
        <w:t> </w:t>
      </w:r>
      <w:r>
        <w:rPr/>
        <w:t>the</w:t>
      </w:r>
      <w:r>
        <w:rPr>
          <w:spacing w:val="-18"/>
        </w:rPr>
        <w:t> </w:t>
      </w:r>
      <w:r>
        <w:rPr/>
        <w:t>insured</w:t>
      </w:r>
      <w:r>
        <w:rPr>
          <w:spacing w:val="-20"/>
        </w:rPr>
        <w:t> </w:t>
      </w:r>
      <w:r>
        <w:rPr/>
        <w:t>address</w:t>
      </w:r>
      <w:r>
        <w:rPr>
          <w:spacing w:val="-21"/>
        </w:rPr>
        <w:t> </w:t>
      </w:r>
      <w:r>
        <w:rPr/>
        <w:t>the</w:t>
      </w:r>
      <w:r>
        <w:rPr>
          <w:spacing w:val="-20"/>
        </w:rPr>
        <w:t> </w:t>
      </w:r>
      <w:r>
        <w:rPr>
          <w:spacing w:val="-3"/>
        </w:rPr>
        <w:t>issue </w:t>
      </w:r>
      <w:r>
        <w:rPr/>
        <w:t>by motion approximately </w:t>
      </w:r>
      <w:r>
        <w:rPr>
          <w:spacing w:val="-3"/>
        </w:rPr>
        <w:t>two </w:t>
      </w:r>
      <w:r>
        <w:rPr/>
        <w:t>years later, the Court</w:t>
      </w:r>
      <w:r>
        <w:rPr>
          <w:spacing w:val="-20"/>
        </w:rPr>
        <w:t> </w:t>
      </w:r>
      <w:r>
        <w:rPr/>
        <w:t>declined</w:t>
      </w:r>
      <w:r>
        <w:rPr>
          <w:spacing w:val="-19"/>
        </w:rPr>
        <w:t> </w:t>
      </w:r>
      <w:r>
        <w:rPr/>
        <w:t>to</w:t>
      </w:r>
      <w:r>
        <w:rPr>
          <w:spacing w:val="-16"/>
        </w:rPr>
        <w:t> </w:t>
      </w:r>
      <w:r>
        <w:rPr/>
        <w:t>award</w:t>
      </w:r>
      <w:r>
        <w:rPr>
          <w:spacing w:val="-16"/>
        </w:rPr>
        <w:t> </w:t>
      </w:r>
      <w:r>
        <w:rPr/>
        <w:t>attorney’s</w:t>
      </w:r>
      <w:r>
        <w:rPr>
          <w:spacing w:val="-15"/>
        </w:rPr>
        <w:t> </w:t>
      </w:r>
      <w:r>
        <w:rPr/>
        <w:t>fees</w:t>
      </w:r>
      <w:r>
        <w:rPr>
          <w:spacing w:val="-17"/>
        </w:rPr>
        <w:t> </w:t>
      </w:r>
      <w:r>
        <w:rPr/>
        <w:t>to</w:t>
      </w:r>
      <w:r>
        <w:rPr>
          <w:spacing w:val="-18"/>
        </w:rPr>
        <w:t> </w:t>
      </w:r>
      <w:r>
        <w:rPr>
          <w:spacing w:val="-5"/>
        </w:rPr>
        <w:t>the </w:t>
      </w:r>
      <w:r>
        <w:rPr/>
        <w:t>insured on this issue. The Court also discussed the procedure for raising an appraiser’s </w:t>
      </w:r>
      <w:r>
        <w:rPr>
          <w:spacing w:val="4"/>
        </w:rPr>
        <w:t>incompetence: </w:t>
      </w:r>
      <w:r>
        <w:rPr/>
        <w:t>a </w:t>
      </w:r>
      <w:r>
        <w:rPr>
          <w:spacing w:val="4"/>
        </w:rPr>
        <w:t>written demand </w:t>
      </w:r>
      <w:r>
        <w:rPr>
          <w:spacing w:val="3"/>
        </w:rPr>
        <w:t>for </w:t>
      </w:r>
      <w:r>
        <w:rPr/>
        <w:t>replacement</w:t>
      </w:r>
      <w:r>
        <w:rPr>
          <w:spacing w:val="-23"/>
        </w:rPr>
        <w:t> </w:t>
      </w:r>
      <w:r>
        <w:rPr/>
        <w:t>of</w:t>
      </w:r>
      <w:r>
        <w:rPr>
          <w:spacing w:val="-18"/>
        </w:rPr>
        <w:t> </w:t>
      </w:r>
      <w:r>
        <w:rPr/>
        <w:t>the</w:t>
      </w:r>
      <w:r>
        <w:rPr>
          <w:spacing w:val="-20"/>
        </w:rPr>
        <w:t> </w:t>
      </w:r>
      <w:r>
        <w:rPr/>
        <w:t>insurer</w:t>
      </w:r>
      <w:r>
        <w:rPr>
          <w:spacing w:val="-23"/>
        </w:rPr>
        <w:t> </w:t>
      </w:r>
      <w:r>
        <w:rPr/>
        <w:t>must</w:t>
      </w:r>
      <w:r>
        <w:rPr>
          <w:spacing w:val="-24"/>
        </w:rPr>
        <w:t> </w:t>
      </w:r>
      <w:r>
        <w:rPr/>
        <w:t>be</w:t>
      </w:r>
      <w:r>
        <w:rPr>
          <w:spacing w:val="-22"/>
        </w:rPr>
        <w:t> </w:t>
      </w:r>
      <w:r>
        <w:rPr/>
        <w:t>made,</w:t>
      </w:r>
      <w:r>
        <w:rPr>
          <w:spacing w:val="-24"/>
        </w:rPr>
        <w:t> </w:t>
      </w:r>
      <w:r>
        <w:rPr>
          <w:spacing w:val="-5"/>
        </w:rPr>
        <w:t>and </w:t>
      </w:r>
      <w:r>
        <w:rPr/>
        <w:t>if</w:t>
      </w:r>
      <w:r>
        <w:rPr>
          <w:spacing w:val="-10"/>
        </w:rPr>
        <w:t> </w:t>
      </w:r>
      <w:r>
        <w:rPr/>
        <w:t>declined,</w:t>
      </w:r>
      <w:r>
        <w:rPr>
          <w:spacing w:val="-12"/>
        </w:rPr>
        <w:t> </w:t>
      </w:r>
      <w:r>
        <w:rPr/>
        <w:t>a</w:t>
      </w:r>
      <w:r>
        <w:rPr>
          <w:spacing w:val="-9"/>
        </w:rPr>
        <w:t> </w:t>
      </w:r>
      <w:r>
        <w:rPr/>
        <w:t>complaint</w:t>
      </w:r>
      <w:r>
        <w:rPr>
          <w:spacing w:val="-9"/>
        </w:rPr>
        <w:t> </w:t>
      </w:r>
      <w:r>
        <w:rPr/>
        <w:t>must</w:t>
      </w:r>
      <w:r>
        <w:rPr>
          <w:spacing w:val="-9"/>
        </w:rPr>
        <w:t> </w:t>
      </w:r>
      <w:r>
        <w:rPr/>
        <w:t>be</w:t>
      </w:r>
      <w:r>
        <w:rPr>
          <w:spacing w:val="-9"/>
        </w:rPr>
        <w:t> </w:t>
      </w:r>
      <w:r>
        <w:rPr/>
        <w:t>filed</w:t>
      </w:r>
      <w:r>
        <w:rPr>
          <w:spacing w:val="-6"/>
        </w:rPr>
        <w:t> </w:t>
      </w:r>
      <w:r>
        <w:rPr/>
        <w:t>in</w:t>
      </w:r>
      <w:r>
        <w:rPr>
          <w:spacing w:val="-7"/>
        </w:rPr>
        <w:t> </w:t>
      </w:r>
      <w:r>
        <w:rPr/>
        <w:t>circuit court seeking the appraiser’s</w:t>
      </w:r>
      <w:r>
        <w:rPr>
          <w:spacing w:val="-8"/>
        </w:rPr>
        <w:t> </w:t>
      </w:r>
      <w:r>
        <w:rPr/>
        <w:t>removal.</w:t>
      </w:r>
      <w:r>
        <w:rPr>
          <w:vertAlign w:val="superscript"/>
        </w:rPr>
        <w:t>534</w:t>
      </w:r>
    </w:p>
    <w:p>
      <w:pPr>
        <w:pStyle w:val="BodyText"/>
        <w:spacing w:before="9"/>
        <w:rPr>
          <w:sz w:val="25"/>
        </w:rPr>
      </w:pPr>
    </w:p>
    <w:p>
      <w:pPr>
        <w:pStyle w:val="BodyText"/>
        <w:spacing w:line="242" w:lineRule="auto" w:before="1"/>
        <w:ind w:left="3100" w:right="3196" w:firstLine="720"/>
        <w:jc w:val="both"/>
      </w:pPr>
      <w:r>
        <w:rPr/>
        <w:t>However, over-aggressiveness can also lead to pretty unfortunate results. </w:t>
      </w:r>
      <w:r>
        <w:rPr>
          <w:spacing w:val="2"/>
        </w:rPr>
        <w:t>In </w:t>
      </w:r>
      <w:r>
        <w:rPr/>
        <w:t>a Texas case, the insured waited only 8 days before commencing</w:t>
      </w:r>
      <w:r>
        <w:rPr>
          <w:spacing w:val="-14"/>
        </w:rPr>
        <w:t> </w:t>
      </w:r>
      <w:r>
        <w:rPr/>
        <w:t>an</w:t>
      </w:r>
      <w:r>
        <w:rPr>
          <w:spacing w:val="-15"/>
        </w:rPr>
        <w:t> </w:t>
      </w:r>
      <w:r>
        <w:rPr/>
        <w:t>action</w:t>
      </w:r>
      <w:r>
        <w:rPr>
          <w:spacing w:val="-15"/>
        </w:rPr>
        <w:t> </w:t>
      </w:r>
      <w:r>
        <w:rPr/>
        <w:t>to</w:t>
      </w:r>
      <w:r>
        <w:rPr>
          <w:spacing w:val="-15"/>
        </w:rPr>
        <w:t> </w:t>
      </w:r>
      <w:r>
        <w:rPr/>
        <w:t>appoint</w:t>
      </w:r>
      <w:r>
        <w:rPr>
          <w:spacing w:val="-19"/>
        </w:rPr>
        <w:t> </w:t>
      </w:r>
      <w:r>
        <w:rPr/>
        <w:t>an</w:t>
      </w:r>
      <w:r>
        <w:rPr>
          <w:spacing w:val="-15"/>
        </w:rPr>
        <w:t> </w:t>
      </w:r>
      <w:r>
        <w:rPr/>
        <w:t>umpire.</w:t>
      </w:r>
    </w:p>
    <w:p>
      <w:pPr>
        <w:pStyle w:val="BodyText"/>
        <w:spacing w:line="242" w:lineRule="auto"/>
        <w:ind w:left="3100" w:right="3197"/>
        <w:jc w:val="both"/>
      </w:pPr>
      <w:r>
        <w:rPr/>
        <w:t>The court, accepting the representations made, appointed the umpire and an award was subsequently rendered. The matter was then removed to federal court and a motion was made to set aside the appraisal </w:t>
      </w:r>
      <w:r>
        <w:rPr>
          <w:spacing w:val="-4"/>
        </w:rPr>
        <w:t>award</w:t>
      </w:r>
      <w:r>
        <w:rPr>
          <w:spacing w:val="63"/>
        </w:rPr>
        <w:t> </w:t>
      </w:r>
      <w:r>
        <w:rPr/>
        <w:t>and</w:t>
      </w:r>
      <w:r>
        <w:rPr>
          <w:spacing w:val="-12"/>
        </w:rPr>
        <w:t> </w:t>
      </w:r>
      <w:r>
        <w:rPr/>
        <w:t>discharge</w:t>
      </w:r>
      <w:r>
        <w:rPr>
          <w:spacing w:val="-13"/>
        </w:rPr>
        <w:t> </w:t>
      </w:r>
      <w:r>
        <w:rPr/>
        <w:t>the</w:t>
      </w:r>
      <w:r>
        <w:rPr>
          <w:spacing w:val="-13"/>
        </w:rPr>
        <w:t> </w:t>
      </w:r>
      <w:r>
        <w:rPr/>
        <w:t>umpire</w:t>
      </w:r>
      <w:r>
        <w:rPr>
          <w:spacing w:val="-14"/>
        </w:rPr>
        <w:t> </w:t>
      </w:r>
      <w:r>
        <w:rPr/>
        <w:t>due</w:t>
      </w:r>
      <w:r>
        <w:rPr>
          <w:spacing w:val="-13"/>
        </w:rPr>
        <w:t> </w:t>
      </w:r>
      <w:r>
        <w:rPr/>
        <w:t>to</w:t>
      </w:r>
      <w:r>
        <w:rPr>
          <w:spacing w:val="-14"/>
        </w:rPr>
        <w:t> </w:t>
      </w:r>
      <w:r>
        <w:rPr/>
        <w:t>the</w:t>
      </w:r>
      <w:r>
        <w:rPr>
          <w:spacing w:val="-13"/>
        </w:rPr>
        <w:t> </w:t>
      </w:r>
      <w:r>
        <w:rPr/>
        <w:t>fact</w:t>
      </w:r>
      <w:r>
        <w:rPr>
          <w:spacing w:val="-11"/>
        </w:rPr>
        <w:t> </w:t>
      </w:r>
      <w:r>
        <w:rPr/>
        <w:t>that the</w:t>
      </w:r>
      <w:r>
        <w:rPr>
          <w:spacing w:val="-34"/>
        </w:rPr>
        <w:t> </w:t>
      </w:r>
      <w:r>
        <w:rPr/>
        <w:t>state</w:t>
      </w:r>
      <w:r>
        <w:rPr>
          <w:spacing w:val="-36"/>
        </w:rPr>
        <w:t> </w:t>
      </w:r>
      <w:r>
        <w:rPr>
          <w:spacing w:val="-3"/>
        </w:rPr>
        <w:t>court</w:t>
      </w:r>
      <w:r>
        <w:rPr>
          <w:spacing w:val="-35"/>
        </w:rPr>
        <w:t> </w:t>
      </w:r>
      <w:r>
        <w:rPr/>
        <w:t>was</w:t>
      </w:r>
      <w:r>
        <w:rPr>
          <w:spacing w:val="-32"/>
        </w:rPr>
        <w:t> </w:t>
      </w:r>
      <w:r>
        <w:rPr/>
        <w:t>without</w:t>
      </w:r>
      <w:r>
        <w:rPr>
          <w:spacing w:val="-33"/>
        </w:rPr>
        <w:t> </w:t>
      </w:r>
      <w:r>
        <w:rPr/>
        <w:t>authority</w:t>
      </w:r>
      <w:r>
        <w:rPr>
          <w:spacing w:val="-37"/>
        </w:rPr>
        <w:t> </w:t>
      </w:r>
      <w:r>
        <w:rPr/>
        <w:t>to</w:t>
      </w:r>
      <w:r>
        <w:rPr>
          <w:spacing w:val="-33"/>
        </w:rPr>
        <w:t> </w:t>
      </w:r>
      <w:r>
        <w:rPr/>
        <w:t>appoint an umpire inasmuch as the 15 day period for consultation and umpire appointment by the appraisers had  not  yet run.   By failing to</w:t>
      </w:r>
      <w:r>
        <w:rPr>
          <w:spacing w:val="-29"/>
        </w:rPr>
        <w:t> </w:t>
      </w:r>
      <w:r>
        <w:rPr/>
        <w:t>wait</w:t>
      </w:r>
    </w:p>
    <w:p>
      <w:pPr>
        <w:pStyle w:val="BodyText"/>
        <w:rPr>
          <w:sz w:val="20"/>
        </w:rPr>
      </w:pPr>
    </w:p>
    <w:p>
      <w:pPr>
        <w:pStyle w:val="BodyText"/>
        <w:rPr>
          <w:sz w:val="16"/>
        </w:rPr>
      </w:pPr>
      <w:r>
        <w:rPr/>
        <w:pict>
          <v:shape style="position:absolute;margin-left:162pt;margin-top:12.248554pt;width:143.9pt;height:.1pt;mso-position-horizontal-relative:page;mso-position-vertical-relative:paragraph;z-index:-251489280;mso-wrap-distance-left:0;mso-wrap-distance-right:0" coordorigin="3240,245" coordsize="2878,0" path="m3240,245l6118,245e" filled="false" stroked="true" strokeweight=".84pt" strokecolor="#000000">
            <v:path arrowok="t"/>
            <v:stroke dashstyle="solid"/>
            <w10:wrap type="topAndBottom"/>
          </v:shape>
        </w:pict>
      </w:r>
    </w:p>
    <w:p>
      <w:pPr>
        <w:spacing w:before="140"/>
        <w:ind w:left="2740" w:right="0" w:firstLine="0"/>
        <w:jc w:val="left"/>
        <w:rPr>
          <w:rFonts w:ascii="Times New Roman"/>
          <w:sz w:val="18"/>
        </w:rPr>
      </w:pPr>
      <w:r>
        <w:rPr>
          <w:rFonts w:ascii="Times New Roman"/>
          <w:position w:val="10"/>
          <w:sz w:val="14"/>
        </w:rPr>
        <w:t>534</w:t>
      </w:r>
      <w:r>
        <w:rPr>
          <w:rFonts w:ascii="Times New Roman"/>
          <w:sz w:val="14"/>
        </w:rPr>
        <w:t> </w:t>
      </w:r>
      <w:r>
        <w:rPr>
          <w:rFonts w:ascii="Times New Roman"/>
          <w:sz w:val="18"/>
          <w:u w:val="single"/>
        </w:rPr>
        <w:t>Travelers of Florida v. Stormont</w:t>
      </w:r>
      <w:r>
        <w:rPr>
          <w:rFonts w:ascii="Times New Roman"/>
          <w:sz w:val="18"/>
        </w:rPr>
        <w:t>, 43 So.3d 941 (Fla. 3d DCA 2010).</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195"/>
        <w:jc w:val="both"/>
        <w:rPr>
          <w:sz w:val="14"/>
        </w:rPr>
      </w:pPr>
      <w:r>
        <w:rPr/>
        <w:pict>
          <v:shape style="position:absolute;margin-left:126.223pt;margin-top:253.493179pt;width:361.65pt;height:34.35pt;mso-position-horizontal-relative:page;mso-position-vertical-relative:paragraph;z-index:251830272" coordorigin="2524,5070" coordsize="7233,687" path="m5008,-1800l12240,-1800m5008,-2486l5008,-1800e" filled="false" stroked="true" strokeweight="4.12pt" strokecolor="#e44234">
            <v:path arrowok="t"/>
            <v:stroke dashstyle="solid"/>
            <w10:wrap type="none"/>
          </v:shape>
        </w:pict>
      </w:r>
      <w:bookmarkStart w:name="Law and Procedure 244" w:id="59"/>
      <w:bookmarkEnd w:id="59"/>
      <w:r>
        <w:rPr/>
      </w:r>
      <w:r>
        <w:rPr/>
        <w:t>the 15 days referenced in the policy (“if they cannot agree upon an umpire within 15 days, you or </w:t>
      </w:r>
      <w:r>
        <w:rPr>
          <w:spacing w:val="-3"/>
        </w:rPr>
        <w:t>we </w:t>
      </w:r>
      <w:r>
        <w:rPr/>
        <w:t>may request that the choice be made</w:t>
      </w:r>
      <w:r>
        <w:rPr>
          <w:spacing w:val="-27"/>
        </w:rPr>
        <w:t> </w:t>
      </w:r>
      <w:r>
        <w:rPr/>
        <w:t>by</w:t>
      </w:r>
      <w:r>
        <w:rPr>
          <w:spacing w:val="-25"/>
        </w:rPr>
        <w:t> </w:t>
      </w:r>
      <w:r>
        <w:rPr/>
        <w:t>a</w:t>
      </w:r>
      <w:r>
        <w:rPr>
          <w:spacing w:val="-25"/>
        </w:rPr>
        <w:t> </w:t>
      </w:r>
      <w:r>
        <w:rPr/>
        <w:t>judge...”)</w:t>
      </w:r>
      <w:r>
        <w:rPr>
          <w:spacing w:val="-30"/>
        </w:rPr>
        <w:t> </w:t>
      </w:r>
      <w:r>
        <w:rPr/>
        <w:t>the</w:t>
      </w:r>
      <w:r>
        <w:rPr>
          <w:spacing w:val="-25"/>
        </w:rPr>
        <w:t> </w:t>
      </w:r>
      <w:r>
        <w:rPr/>
        <w:t>claim’s</w:t>
      </w:r>
      <w:r>
        <w:rPr>
          <w:spacing w:val="-26"/>
        </w:rPr>
        <w:t> </w:t>
      </w:r>
      <w:r>
        <w:rPr/>
        <w:t>resolution</w:t>
      </w:r>
      <w:r>
        <w:rPr>
          <w:spacing w:val="-24"/>
        </w:rPr>
        <w:t> </w:t>
      </w:r>
      <w:r>
        <w:rPr/>
        <w:t>was delayed</w:t>
      </w:r>
      <w:r>
        <w:rPr>
          <w:spacing w:val="-18"/>
        </w:rPr>
        <w:t> </w:t>
      </w:r>
      <w:r>
        <w:rPr/>
        <w:t>at</w:t>
      </w:r>
      <w:r>
        <w:rPr>
          <w:spacing w:val="-20"/>
        </w:rPr>
        <w:t> </w:t>
      </w:r>
      <w:r>
        <w:rPr/>
        <w:t>least</w:t>
      </w:r>
      <w:r>
        <w:rPr>
          <w:spacing w:val="-16"/>
        </w:rPr>
        <w:t> </w:t>
      </w:r>
      <w:r>
        <w:rPr/>
        <w:t>6</w:t>
      </w:r>
      <w:r>
        <w:rPr>
          <w:spacing w:val="-19"/>
        </w:rPr>
        <w:t> </w:t>
      </w:r>
      <w:r>
        <w:rPr/>
        <w:t>months</w:t>
      </w:r>
      <w:r>
        <w:rPr>
          <w:spacing w:val="-17"/>
        </w:rPr>
        <w:t> </w:t>
      </w:r>
      <w:r>
        <w:rPr/>
        <w:t>pending</w:t>
      </w:r>
      <w:r>
        <w:rPr>
          <w:spacing w:val="-16"/>
        </w:rPr>
        <w:t> </w:t>
      </w:r>
      <w:r>
        <w:rPr/>
        <w:t>the</w:t>
      </w:r>
      <w:r>
        <w:rPr>
          <w:spacing w:val="-18"/>
        </w:rPr>
        <w:t> </w:t>
      </w:r>
      <w:r>
        <w:rPr/>
        <w:t>federal court’s decision after which the parties presumably would have to start from scratch. This court saw the 15 day policy language as jurisdictional and concluded that in the absence of jurisdiction to appoint the umpire, the subsequent award had to be vacated. While</w:t>
      </w:r>
      <w:r>
        <w:rPr>
          <w:spacing w:val="-39"/>
        </w:rPr>
        <w:t> </w:t>
      </w:r>
      <w:r>
        <w:rPr>
          <w:spacing w:val="-3"/>
        </w:rPr>
        <w:t>this</w:t>
      </w:r>
      <w:r>
        <w:rPr>
          <w:spacing w:val="-36"/>
        </w:rPr>
        <w:t> </w:t>
      </w:r>
      <w:r>
        <w:rPr/>
        <w:t>decision</w:t>
      </w:r>
      <w:r>
        <w:rPr>
          <w:spacing w:val="-35"/>
        </w:rPr>
        <w:t> </w:t>
      </w:r>
      <w:r>
        <w:rPr/>
        <w:t>seems</w:t>
      </w:r>
      <w:r>
        <w:rPr>
          <w:spacing w:val="-37"/>
        </w:rPr>
        <w:t> </w:t>
      </w:r>
      <w:r>
        <w:rPr/>
        <w:t>extreme,</w:t>
      </w:r>
      <w:r>
        <w:rPr>
          <w:spacing w:val="-39"/>
        </w:rPr>
        <w:t> </w:t>
      </w:r>
      <w:r>
        <w:rPr/>
        <w:t>practitioners need to wait the 15 days prior to seeking judicial assistance with respect to umpire appointment.</w:t>
      </w:r>
      <w:r>
        <w:rPr>
          <w:position w:val="10"/>
          <w:sz w:val="14"/>
        </w:rPr>
        <w:t>535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r>
        <w:rPr/>
        <w:pict>
          <v:shape style="position:absolute;margin-left:162pt;margin-top:12.611128pt;width:143.9pt;height:.1pt;mso-position-horizontal-relative:page;mso-position-vertical-relative:paragraph;z-index:-251487232;mso-wrap-distance-left:0;mso-wrap-distance-right:0" coordorigin="3240,252" coordsize="2878,0" path="m3240,252l6118,252e" filled="false" stroked="true" strokeweight=".84pt" strokecolor="#000000">
            <v:path arrowok="t"/>
            <v:stroke dashstyle="solid"/>
            <w10:wrap type="topAndBottom"/>
          </v:shape>
        </w:pict>
      </w:r>
    </w:p>
    <w:p>
      <w:pPr>
        <w:pStyle w:val="BodyText"/>
        <w:spacing w:before="11"/>
        <w:rPr>
          <w:sz w:val="11"/>
        </w:rPr>
      </w:pPr>
    </w:p>
    <w:p>
      <w:pPr>
        <w:spacing w:before="71"/>
        <w:ind w:left="2740" w:right="0" w:firstLine="0"/>
        <w:jc w:val="left"/>
        <w:rPr>
          <w:rFonts w:ascii="Times New Roman"/>
          <w:sz w:val="18"/>
        </w:rPr>
      </w:pPr>
      <w:r>
        <w:rPr>
          <w:rFonts w:ascii="Times New Roman"/>
          <w:position w:val="10"/>
          <w:sz w:val="14"/>
        </w:rPr>
        <w:t>535</w:t>
      </w:r>
      <w:r>
        <w:rPr>
          <w:rFonts w:ascii="Times New Roman"/>
          <w:sz w:val="14"/>
          <w:u w:val="single"/>
        </w:rPr>
        <w:t> </w:t>
      </w:r>
      <w:r>
        <w:rPr>
          <w:rFonts w:ascii="Times New Roman"/>
          <w:sz w:val="18"/>
          <w:u w:val="single"/>
        </w:rPr>
        <w:t>Friedrichs v. Geovera Specialty Ins. Co.</w:t>
      </w:r>
      <w:r>
        <w:rPr>
          <w:rFonts w:ascii="Times New Roman"/>
          <w:sz w:val="18"/>
        </w:rPr>
        <w:t>, 2013 WL 674021 (S.D. Tex. 2013)</w:t>
      </w:r>
    </w:p>
    <w:p>
      <w:pPr>
        <w:spacing w:after="0"/>
        <w:jc w:val="left"/>
        <w:rPr>
          <w:rFonts w:ascii="Times New Roman"/>
          <w:sz w:val="18"/>
        </w:rPr>
        <w:sectPr>
          <w:footerReference w:type="default" r:id="rId54"/>
          <w:pgSz w:w="12240" w:h="15840"/>
          <w:pgMar w:footer="2273" w:header="0" w:top="0" w:bottom="2460" w:left="140" w:right="40"/>
          <w:pgNumType w:start="28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06" w:val="left" w:leader="none"/>
          <w:tab w:pos="3807" w:val="left" w:leader="none"/>
          <w:tab w:pos="4430" w:val="left" w:leader="none"/>
          <w:tab w:pos="5505" w:val="left" w:leader="none"/>
          <w:tab w:pos="6057" w:val="left" w:leader="none"/>
          <w:tab w:pos="7345" w:val="left" w:leader="none"/>
        </w:tabs>
        <w:spacing w:line="242" w:lineRule="auto" w:before="42" w:after="0"/>
        <w:ind w:left="3820" w:right="3605" w:hanging="720"/>
        <w:jc w:val="left"/>
        <w:rPr>
          <w:rFonts w:ascii="Century Gothic"/>
          <w:sz w:val="26"/>
        </w:rPr>
      </w:pPr>
      <w:bookmarkStart w:name="Law and Procedure 245" w:id="60"/>
      <w:bookmarkEnd w:id="60"/>
      <w:r>
        <w:rPr/>
      </w:r>
      <w:bookmarkStart w:name="Law and Procedure 245" w:id="61"/>
      <w:bookmarkEnd w:id="61"/>
      <w:r>
        <w:rPr>
          <w:rFonts w:ascii="Century Gothic"/>
          <w:sz w:val="26"/>
        </w:rPr>
        <w:t>T</w:t>
      </w:r>
      <w:r>
        <w:rPr>
          <w:rFonts w:ascii="Century Gothic"/>
          <w:sz w:val="26"/>
        </w:rPr>
        <w:t>HE</w:t>
        <w:tab/>
        <w:t>ORDER</w:t>
        <w:tab/>
        <w:t>OF</w:t>
        <w:tab/>
        <w:t>PRIORITY</w:t>
        <w:tab/>
      </w:r>
      <w:r>
        <w:rPr>
          <w:rFonts w:ascii="Century Gothic"/>
          <w:spacing w:val="-5"/>
          <w:sz w:val="26"/>
        </w:rPr>
        <w:t>BETWEEN </w:t>
      </w:r>
      <w:r>
        <w:rPr>
          <w:rFonts w:ascii="Century Gothic"/>
          <w:spacing w:val="2"/>
          <w:sz w:val="26"/>
        </w:rPr>
        <w:t>APPRAISAL </w:t>
      </w:r>
      <w:r>
        <w:rPr>
          <w:rFonts w:ascii="Century Gothic"/>
          <w:sz w:val="26"/>
        </w:rPr>
        <w:t>AND</w:t>
      </w:r>
      <w:r>
        <w:rPr>
          <w:rFonts w:ascii="Century Gothic"/>
          <w:spacing w:val="-3"/>
          <w:sz w:val="26"/>
        </w:rPr>
        <w:t> </w:t>
      </w:r>
      <w:r>
        <w:rPr>
          <w:rFonts w:ascii="Century Gothic"/>
          <w:sz w:val="26"/>
        </w:rPr>
        <w:t>LITIGATION</w:t>
      </w:r>
    </w:p>
    <w:p>
      <w:pPr>
        <w:pStyle w:val="BodyText"/>
        <w:spacing w:before="1"/>
      </w:pPr>
    </w:p>
    <w:p>
      <w:pPr>
        <w:pStyle w:val="BodyText"/>
        <w:spacing w:line="242" w:lineRule="auto" w:before="1"/>
        <w:ind w:left="3100" w:right="3195" w:firstLine="720"/>
        <w:jc w:val="both"/>
      </w:pPr>
      <w:r>
        <w:rPr>
          <w:spacing w:val="-3"/>
        </w:rPr>
        <w:t>Where </w:t>
      </w:r>
      <w:r>
        <w:rPr/>
        <w:t>the amount of loss to items for which coverage has been admitted is substantial</w:t>
      </w:r>
      <w:r>
        <w:rPr>
          <w:spacing w:val="-28"/>
        </w:rPr>
        <w:t> </w:t>
      </w:r>
      <w:r>
        <w:rPr/>
        <w:t>in</w:t>
      </w:r>
      <w:r>
        <w:rPr>
          <w:spacing w:val="-30"/>
        </w:rPr>
        <w:t> </w:t>
      </w:r>
      <w:r>
        <w:rPr/>
        <w:t>relation</w:t>
      </w:r>
      <w:r>
        <w:rPr>
          <w:spacing w:val="-28"/>
        </w:rPr>
        <w:t> </w:t>
      </w:r>
      <w:r>
        <w:rPr/>
        <w:t>to</w:t>
      </w:r>
      <w:r>
        <w:rPr>
          <w:spacing w:val="-30"/>
        </w:rPr>
        <w:t> </w:t>
      </w:r>
      <w:r>
        <w:rPr/>
        <w:t>the</w:t>
      </w:r>
      <w:r>
        <w:rPr>
          <w:spacing w:val="-29"/>
        </w:rPr>
        <w:t> </w:t>
      </w:r>
      <w:r>
        <w:rPr/>
        <w:t>total</w:t>
      </w:r>
      <w:r>
        <w:rPr>
          <w:spacing w:val="-26"/>
        </w:rPr>
        <w:t> </w:t>
      </w:r>
      <w:r>
        <w:rPr/>
        <w:t>amount</w:t>
      </w:r>
      <w:r>
        <w:rPr>
          <w:spacing w:val="-29"/>
        </w:rPr>
        <w:t> </w:t>
      </w:r>
      <w:r>
        <w:rPr/>
        <w:t>of</w:t>
      </w:r>
      <w:r>
        <w:rPr>
          <w:spacing w:val="-29"/>
        </w:rPr>
        <w:t> </w:t>
      </w:r>
      <w:r>
        <w:rPr/>
        <w:t>the claim, the parties should be compelled to proceed to appraisal prior to the onset of litigation in order that the parties may recognize the scope of their disagreement prior to litigation. Furthermore, once an</w:t>
      </w:r>
      <w:r>
        <w:rPr>
          <w:spacing w:val="-53"/>
        </w:rPr>
        <w:t> </w:t>
      </w:r>
      <w:r>
        <w:rPr/>
        <w:t>award is rendered on those matters not subject to a coverage</w:t>
      </w:r>
      <w:r>
        <w:rPr>
          <w:spacing w:val="-10"/>
        </w:rPr>
        <w:t> </w:t>
      </w:r>
      <w:r>
        <w:rPr/>
        <w:t>dispute,</w:t>
      </w:r>
      <w:r>
        <w:rPr>
          <w:spacing w:val="-12"/>
        </w:rPr>
        <w:t> </w:t>
      </w:r>
      <w:r>
        <w:rPr/>
        <w:t>the</w:t>
      </w:r>
      <w:r>
        <w:rPr>
          <w:spacing w:val="-11"/>
        </w:rPr>
        <w:t> </w:t>
      </w:r>
      <w:r>
        <w:rPr/>
        <w:t>insured</w:t>
      </w:r>
      <w:r>
        <w:rPr>
          <w:spacing w:val="-10"/>
        </w:rPr>
        <w:t> </w:t>
      </w:r>
      <w:r>
        <w:rPr/>
        <w:t>may</w:t>
      </w:r>
      <w:r>
        <w:rPr>
          <w:spacing w:val="-13"/>
        </w:rPr>
        <w:t> </w:t>
      </w:r>
      <w:r>
        <w:rPr/>
        <w:t>collect</w:t>
      </w:r>
      <w:r>
        <w:rPr>
          <w:spacing w:val="-8"/>
        </w:rPr>
        <w:t> </w:t>
      </w:r>
      <w:r>
        <w:rPr/>
        <w:t>this undisputed</w:t>
      </w:r>
      <w:r>
        <w:rPr>
          <w:spacing w:val="-34"/>
        </w:rPr>
        <w:t> </w:t>
      </w:r>
      <w:r>
        <w:rPr/>
        <w:t>amount</w:t>
      </w:r>
      <w:r>
        <w:rPr>
          <w:spacing w:val="-33"/>
        </w:rPr>
        <w:t> </w:t>
      </w:r>
      <w:r>
        <w:rPr/>
        <w:t>without</w:t>
      </w:r>
      <w:r>
        <w:rPr>
          <w:spacing w:val="-38"/>
        </w:rPr>
        <w:t> </w:t>
      </w:r>
      <w:r>
        <w:rPr>
          <w:spacing w:val="-3"/>
        </w:rPr>
        <w:t>the</w:t>
      </w:r>
      <w:r>
        <w:rPr>
          <w:spacing w:val="-35"/>
        </w:rPr>
        <w:t> </w:t>
      </w:r>
      <w:r>
        <w:rPr>
          <w:spacing w:val="-3"/>
        </w:rPr>
        <w:t>need</w:t>
      </w:r>
      <w:r>
        <w:rPr>
          <w:spacing w:val="-37"/>
        </w:rPr>
        <w:t> </w:t>
      </w:r>
      <w:r>
        <w:rPr/>
        <w:t>to</w:t>
      </w:r>
      <w:r>
        <w:rPr>
          <w:spacing w:val="-34"/>
        </w:rPr>
        <w:t> </w:t>
      </w:r>
      <w:r>
        <w:rPr/>
        <w:t>litigate for it. However, logic dictates that this not</w:t>
      </w:r>
      <w:r>
        <w:rPr>
          <w:spacing w:val="46"/>
        </w:rPr>
        <w:t> </w:t>
      </w:r>
      <w:r>
        <w:rPr/>
        <w:t>be</w:t>
      </w:r>
    </w:p>
    <w:p>
      <w:pPr>
        <w:pStyle w:val="BodyText"/>
        <w:tabs>
          <w:tab w:pos="11921" w:val="left" w:leader="none"/>
        </w:tabs>
        <w:spacing w:line="242" w:lineRule="auto"/>
        <w:ind w:left="3100" w:right="130"/>
        <w:jc w:val="both"/>
      </w:pPr>
      <w:r>
        <w:rPr/>
        <w:t>the case where the amount of</w:t>
      </w:r>
      <w:r>
        <w:rPr>
          <w:spacing w:val="-27"/>
        </w:rPr>
        <w:t> </w:t>
      </w:r>
      <w:r>
        <w:rPr/>
        <w:t>loss</w:t>
      </w:r>
      <w:r>
        <w:rPr>
          <w:spacing w:val="-5"/>
        </w:rPr>
        <w:t> </w:t>
      </w:r>
      <w:r>
        <w:rPr/>
        <w:t>admit</w:t>
      </w:r>
      <w:r>
        <w:rPr>
          <w:strike/>
        </w:rPr>
        <w:t>tedly</w:t>
        <w:tab/>
      </w:r>
      <w:r>
        <w:rPr>
          <w:strike/>
          <w:w w:val="2"/>
        </w:rPr>
        <w:t> </w:t>
      </w:r>
      <w:r>
        <w:rPr>
          <w:strike w:val="0"/>
        </w:rPr>
        <w:t>                                subject to appraisal is </w:t>
      </w:r>
      <w:r>
        <w:rPr>
          <w:i/>
          <w:strike w:val="0"/>
        </w:rPr>
        <w:t>d</w:t>
      </w:r>
      <w:r>
        <w:rPr>
          <w:i/>
          <w:strike/>
        </w:rPr>
        <w:t>e minimis </w:t>
      </w:r>
      <w:r>
        <w:rPr>
          <w:strike/>
        </w:rPr>
        <w:t>in</w:t>
      </w:r>
      <w:r>
        <w:rPr>
          <w:strike/>
          <w:spacing w:val="10"/>
        </w:rPr>
        <w:t> </w:t>
      </w:r>
      <w:r>
        <w:rPr>
          <w:strike/>
        </w:rPr>
        <w:t>relation</w:t>
      </w:r>
      <w:r>
        <w:rPr>
          <w:strike/>
          <w:spacing w:val="-1"/>
        </w:rPr>
        <w:t> </w:t>
      </w:r>
      <w:r>
        <w:rPr>
          <w:strike/>
        </w:rPr>
        <w:t>to</w:t>
        <w:tab/>
      </w:r>
      <w:r>
        <w:rPr>
          <w:strike/>
          <w:w w:val="2"/>
        </w:rPr>
        <w:t> </w:t>
      </w:r>
      <w:r>
        <w:rPr>
          <w:strike w:val="0"/>
        </w:rPr>
        <w:t> the  balance  of  the  cla</w:t>
      </w:r>
      <w:r>
        <w:rPr>
          <w:strike/>
        </w:rPr>
        <w:t>im  as </w:t>
      </w:r>
      <w:r>
        <w:rPr>
          <w:strike/>
          <w:spacing w:val="62"/>
        </w:rPr>
        <w:t> </w:t>
      </w:r>
      <w:r>
        <w:rPr>
          <w:strike/>
        </w:rPr>
        <w:t>neither </w:t>
      </w:r>
      <w:r>
        <w:rPr>
          <w:strike/>
          <w:spacing w:val="13"/>
        </w:rPr>
        <w:t> </w:t>
      </w:r>
      <w:r>
        <w:rPr>
          <w:strike/>
        </w:rPr>
        <w:t>party</w:t>
        <w:tab/>
      </w:r>
      <w:r>
        <w:rPr>
          <w:strike w:val="0"/>
        </w:rPr>
        <w:t> should be compelled </w:t>
      </w:r>
      <w:r>
        <w:rPr>
          <w:strike w:val="0"/>
          <w:spacing w:val="4"/>
        </w:rPr>
        <w:t>to</w:t>
      </w:r>
      <w:r>
        <w:rPr>
          <w:strike/>
          <w:spacing w:val="4"/>
        </w:rPr>
        <w:t> </w:t>
      </w:r>
      <w:r>
        <w:rPr>
          <w:strike/>
        </w:rPr>
        <w:t>incur the</w:t>
      </w:r>
      <w:r>
        <w:rPr>
          <w:strike/>
          <w:spacing w:val="70"/>
        </w:rPr>
        <w:t> </w:t>
      </w:r>
      <w:r>
        <w:rPr>
          <w:strike/>
        </w:rPr>
        <w:t>expense</w:t>
      </w:r>
      <w:r>
        <w:rPr>
          <w:strike/>
          <w:spacing w:val="13"/>
        </w:rPr>
        <w:t> </w:t>
      </w:r>
      <w:r>
        <w:rPr>
          <w:strike/>
        </w:rPr>
        <w:t>of</w:t>
        <w:tab/>
      </w:r>
      <w:r>
        <w:rPr>
          <w:strike/>
          <w:w w:val="5"/>
        </w:rPr>
        <w:t> </w:t>
      </w:r>
      <w:r>
        <w:rPr>
          <w:strike w:val="0"/>
        </w:rPr>
        <w:t> appraisal where the ma</w:t>
      </w:r>
      <w:r>
        <w:rPr>
          <w:strike/>
        </w:rPr>
        <w:t>jority of </w:t>
      </w:r>
      <w:r>
        <w:rPr>
          <w:strike/>
          <w:spacing w:val="37"/>
        </w:rPr>
        <w:t> </w:t>
      </w:r>
      <w:r>
        <w:rPr>
          <w:strike/>
        </w:rPr>
        <w:t>the claim</w:t>
      </w:r>
      <w:r>
        <w:rPr>
          <w:strike/>
          <w:spacing w:val="18"/>
        </w:rPr>
        <w:t> </w:t>
      </w:r>
      <w:r>
        <w:rPr>
          <w:strike/>
        </w:rPr>
        <w:t>will</w:t>
        <w:tab/>
      </w:r>
      <w:r>
        <w:rPr>
          <w:strike w:val="0"/>
        </w:rPr>
        <w:t> nevertheless be subject </w:t>
      </w:r>
      <w:r>
        <w:rPr>
          <w:strike/>
        </w:rPr>
        <w:t>to litigation as</w:t>
      </w:r>
      <w:r>
        <w:rPr>
          <w:strike/>
          <w:spacing w:val="-2"/>
        </w:rPr>
        <w:t> </w:t>
      </w:r>
      <w:r>
        <w:rPr>
          <w:strike/>
        </w:rPr>
        <w:t>a</w:t>
      </w:r>
      <w:r>
        <w:rPr>
          <w:strike/>
          <w:spacing w:val="-1"/>
        </w:rPr>
        <w:t> </w:t>
      </w:r>
      <w:r>
        <w:rPr>
          <w:strike/>
        </w:rPr>
        <w:t>result</w:t>
        <w:tab/>
      </w:r>
      <w:r>
        <w:rPr>
          <w:strike/>
          <w:w w:val="4"/>
        </w:rPr>
        <w:t> </w:t>
      </w:r>
      <w:r>
        <w:rPr>
          <w:strike w:val="0"/>
        </w:rPr>
        <w:t> of a coverage</w:t>
      </w:r>
      <w:r>
        <w:rPr>
          <w:strike w:val="0"/>
          <w:spacing w:val="-4"/>
        </w:rPr>
        <w:t> </w:t>
      </w:r>
      <w:r>
        <w:rPr>
          <w:strike w:val="0"/>
        </w:rPr>
        <w:t>issue.</w:t>
      </w:r>
    </w:p>
    <w:p>
      <w:pPr>
        <w:pStyle w:val="BodyText"/>
        <w:spacing w:before="8"/>
        <w:rPr>
          <w:sz w:val="25"/>
        </w:rPr>
      </w:pPr>
    </w:p>
    <w:p>
      <w:pPr>
        <w:pStyle w:val="BodyText"/>
        <w:spacing w:line="242" w:lineRule="auto"/>
        <w:ind w:left="3100" w:right="3197" w:firstLine="720"/>
        <w:jc w:val="both"/>
      </w:pPr>
      <w:r>
        <w:rPr>
          <w:spacing w:val="2"/>
        </w:rPr>
        <w:t>An </w:t>
      </w:r>
      <w:r>
        <w:rPr/>
        <w:t>additional rational for compelling </w:t>
      </w:r>
      <w:r>
        <w:rPr>
          <w:spacing w:val="12"/>
        </w:rPr>
        <w:t>appraisal </w:t>
      </w:r>
      <w:r>
        <w:rPr>
          <w:spacing w:val="10"/>
        </w:rPr>
        <w:t>under the </w:t>
      </w:r>
      <w:r>
        <w:rPr>
          <w:spacing w:val="14"/>
        </w:rPr>
        <w:t>aforementioned </w:t>
      </w:r>
      <w:r>
        <w:rPr/>
        <w:t>circumstances</w:t>
      </w:r>
      <w:r>
        <w:rPr>
          <w:spacing w:val="-27"/>
        </w:rPr>
        <w:t> </w:t>
      </w:r>
      <w:r>
        <w:rPr/>
        <w:t>is</w:t>
      </w:r>
      <w:r>
        <w:rPr>
          <w:spacing w:val="-27"/>
        </w:rPr>
        <w:t> </w:t>
      </w:r>
      <w:r>
        <w:rPr/>
        <w:t>the</w:t>
      </w:r>
      <w:r>
        <w:rPr>
          <w:spacing w:val="-27"/>
        </w:rPr>
        <w:t> </w:t>
      </w:r>
      <w:r>
        <w:rPr/>
        <w:t>practical</w:t>
      </w:r>
      <w:r>
        <w:rPr>
          <w:spacing w:val="-23"/>
        </w:rPr>
        <w:t> </w:t>
      </w:r>
      <w:r>
        <w:rPr/>
        <w:t>reality</w:t>
      </w:r>
      <w:r>
        <w:rPr>
          <w:spacing w:val="-27"/>
        </w:rPr>
        <w:t> </w:t>
      </w:r>
      <w:r>
        <w:rPr/>
        <w:t>that</w:t>
      </w:r>
      <w:r>
        <w:rPr>
          <w:spacing w:val="-26"/>
        </w:rPr>
        <w:t> </w:t>
      </w:r>
      <w:r>
        <w:rPr/>
        <w:t>upon conclusion of litigation, often years after the loss,</w:t>
      </w:r>
      <w:r>
        <w:rPr>
          <w:spacing w:val="-12"/>
        </w:rPr>
        <w:t> </w:t>
      </w:r>
      <w:r>
        <w:rPr/>
        <w:t>the</w:t>
      </w:r>
      <w:r>
        <w:rPr>
          <w:spacing w:val="-12"/>
        </w:rPr>
        <w:t> </w:t>
      </w:r>
      <w:r>
        <w:rPr/>
        <w:t>damaged</w:t>
      </w:r>
      <w:r>
        <w:rPr>
          <w:spacing w:val="-10"/>
        </w:rPr>
        <w:t> </w:t>
      </w:r>
      <w:r>
        <w:rPr/>
        <w:t>property</w:t>
      </w:r>
      <w:r>
        <w:rPr>
          <w:spacing w:val="-14"/>
        </w:rPr>
        <w:t> </w:t>
      </w:r>
      <w:r>
        <w:rPr/>
        <w:t>may</w:t>
      </w:r>
      <w:r>
        <w:rPr>
          <w:spacing w:val="-13"/>
        </w:rPr>
        <w:t> </w:t>
      </w:r>
      <w:r>
        <w:rPr/>
        <w:t>no</w:t>
      </w:r>
      <w:r>
        <w:rPr>
          <w:spacing w:val="-12"/>
        </w:rPr>
        <w:t> </w:t>
      </w:r>
      <w:r>
        <w:rPr/>
        <w:t>longer</w:t>
      </w:r>
      <w:r>
        <w:rPr>
          <w:spacing w:val="-11"/>
        </w:rPr>
        <w:t> </w:t>
      </w:r>
      <w:r>
        <w:rPr/>
        <w:t>be available</w:t>
      </w:r>
      <w:r>
        <w:rPr>
          <w:spacing w:val="-9"/>
        </w:rPr>
        <w:t> </w:t>
      </w:r>
      <w:r>
        <w:rPr/>
        <w:t>for</w:t>
      </w:r>
      <w:r>
        <w:rPr>
          <w:spacing w:val="-12"/>
        </w:rPr>
        <w:t> </w:t>
      </w:r>
      <w:r>
        <w:rPr/>
        <w:t>inspection</w:t>
      </w:r>
      <w:r>
        <w:rPr>
          <w:spacing w:val="-11"/>
        </w:rPr>
        <w:t> </w:t>
      </w:r>
      <w:r>
        <w:rPr/>
        <w:t>by</w:t>
      </w:r>
      <w:r>
        <w:rPr>
          <w:spacing w:val="-14"/>
        </w:rPr>
        <w:t> </w:t>
      </w:r>
      <w:r>
        <w:rPr/>
        <w:t>the</w:t>
      </w:r>
      <w:r>
        <w:rPr>
          <w:spacing w:val="-13"/>
        </w:rPr>
        <w:t> </w:t>
      </w:r>
      <w:r>
        <w:rPr/>
        <w:t>appraisal</w:t>
      </w:r>
      <w:r>
        <w:rPr>
          <w:spacing w:val="-8"/>
        </w:rPr>
        <w:t> </w:t>
      </w:r>
      <w:r>
        <w:rPr/>
        <w:t>team or the condition of such damaged </w:t>
      </w:r>
      <w:r>
        <w:rPr>
          <w:spacing w:val="-3"/>
        </w:rPr>
        <w:t>property </w:t>
      </w:r>
      <w:r>
        <w:rPr/>
        <w:t>may</w:t>
      </w:r>
      <w:r>
        <w:rPr>
          <w:spacing w:val="-13"/>
        </w:rPr>
        <w:t> </w:t>
      </w:r>
      <w:r>
        <w:rPr/>
        <w:t>have</w:t>
      </w:r>
      <w:r>
        <w:rPr>
          <w:spacing w:val="-13"/>
        </w:rPr>
        <w:t> </w:t>
      </w:r>
      <w:r>
        <w:rPr/>
        <w:t>substantially</w:t>
      </w:r>
      <w:r>
        <w:rPr>
          <w:spacing w:val="-9"/>
        </w:rPr>
        <w:t> </w:t>
      </w:r>
      <w:r>
        <w:rPr/>
        <w:t>changed</w:t>
      </w:r>
      <w:r>
        <w:rPr>
          <w:spacing w:val="-9"/>
        </w:rPr>
        <w:t> </w:t>
      </w:r>
      <w:r>
        <w:rPr/>
        <w:t>in</w:t>
      </w:r>
      <w:r>
        <w:rPr>
          <w:spacing w:val="-13"/>
        </w:rPr>
        <w:t> </w:t>
      </w:r>
      <w:r>
        <w:rPr/>
        <w:t>the</w:t>
      </w:r>
      <w:r>
        <w:rPr>
          <w:spacing w:val="-12"/>
        </w:rPr>
        <w:t> </w:t>
      </w:r>
      <w:r>
        <w:rPr/>
        <w:t>interim prejudicing</w:t>
      </w:r>
      <w:r>
        <w:rPr>
          <w:spacing w:val="16"/>
        </w:rPr>
        <w:t> </w:t>
      </w:r>
      <w:r>
        <w:rPr/>
        <w:t>one</w:t>
      </w:r>
      <w:r>
        <w:rPr>
          <w:spacing w:val="16"/>
        </w:rPr>
        <w:t> </w:t>
      </w:r>
      <w:r>
        <w:rPr/>
        <w:t>or</w:t>
      </w:r>
      <w:r>
        <w:rPr>
          <w:spacing w:val="15"/>
        </w:rPr>
        <w:t> </w:t>
      </w:r>
      <w:r>
        <w:rPr/>
        <w:t>both</w:t>
      </w:r>
      <w:r>
        <w:rPr>
          <w:spacing w:val="16"/>
        </w:rPr>
        <w:t> </w:t>
      </w:r>
      <w:r>
        <w:rPr/>
        <w:t>parties</w:t>
      </w:r>
      <w:r>
        <w:rPr>
          <w:spacing w:val="16"/>
        </w:rPr>
        <w:t> </w:t>
      </w:r>
      <w:r>
        <w:rPr/>
        <w:t>in</w:t>
      </w:r>
      <w:r>
        <w:rPr>
          <w:spacing w:val="16"/>
        </w:rPr>
        <w:t> </w:t>
      </w:r>
      <w:r>
        <w:rPr/>
        <w:t>their</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191"/>
      </w:pPr>
      <w:bookmarkStart w:name="Law and Procedure 246" w:id="62"/>
      <w:bookmarkEnd w:id="62"/>
      <w:r>
        <w:rPr/>
      </w:r>
      <w:r>
        <w:rPr/>
        <w:t>presentation of proof during the eventual appraisal.</w:t>
      </w:r>
      <w:r>
        <w:rPr>
          <w:vertAlign w:val="superscript"/>
        </w:rPr>
        <w:t>536</w:t>
      </w:r>
    </w:p>
    <w:p>
      <w:pPr>
        <w:pStyle w:val="BodyText"/>
        <w:spacing w:before="2"/>
      </w:pPr>
    </w:p>
    <w:p>
      <w:pPr>
        <w:pStyle w:val="BodyText"/>
        <w:spacing w:line="242" w:lineRule="auto"/>
        <w:ind w:left="3100" w:right="3195" w:firstLine="720"/>
        <w:jc w:val="both"/>
      </w:pPr>
      <w:r>
        <w:rPr/>
        <w:pict>
          <v:shape style="position:absolute;margin-left:278.282013pt;margin-top:161.294174pt;width:311.8pt;height:129.3pt;mso-position-horizontal-relative:page;mso-position-vertical-relative:paragraph;z-index:-254110720" coordorigin="5566,3226" coordsize="6236,2586" path="m11687,3226l6704,3226,6694,3236,6694,3469,6704,3479,11687,3479,11697,3469,11697,3236,11687,3226xm11688,3547l5936,3547,5926,3558,5926,3791,5936,3801,11688,3801,11698,3791,11698,3558,11688,3547xm11689,3869l5936,3869,5926,3879,5926,4112,5936,4122,11689,4122,11699,4112,11699,3879,11689,3869xm11687,4191l5936,4191,5926,4201,5926,4434,5936,4444,11687,4444,11697,4434,11697,4201,11687,4191xm11686,4512l5936,4512,5926,4522,5926,4755,5936,4766,11686,4766,11696,4755,11696,4522,11686,4512xm11791,5582l5576,5582,5566,5593,5566,5801,5576,5811,11791,5811,11802,5801,11802,5593,11791,5582xe" filled="true" fillcolor="#7efdfd" stroked="false">
            <v:path arrowok="t"/>
            <v:fill type="solid"/>
            <w10:wrap type="none"/>
          </v:shape>
        </w:pict>
      </w:r>
      <w:r>
        <w:rPr>
          <w:spacing w:val="-3"/>
        </w:rPr>
        <w:t>Where</w:t>
      </w:r>
      <w:r>
        <w:rPr>
          <w:spacing w:val="-32"/>
        </w:rPr>
        <w:t> </w:t>
      </w:r>
      <w:r>
        <w:rPr/>
        <w:t>the</w:t>
      </w:r>
      <w:r>
        <w:rPr>
          <w:spacing w:val="-31"/>
        </w:rPr>
        <w:t> </w:t>
      </w:r>
      <w:r>
        <w:rPr/>
        <w:t>outcome</w:t>
      </w:r>
      <w:r>
        <w:rPr>
          <w:spacing w:val="-32"/>
        </w:rPr>
        <w:t> </w:t>
      </w:r>
      <w:r>
        <w:rPr/>
        <w:t>of</w:t>
      </w:r>
      <w:r>
        <w:rPr>
          <w:spacing w:val="-30"/>
        </w:rPr>
        <w:t> </w:t>
      </w:r>
      <w:r>
        <w:rPr/>
        <w:t>the</w:t>
      </w:r>
      <w:r>
        <w:rPr>
          <w:spacing w:val="-31"/>
        </w:rPr>
        <w:t> </w:t>
      </w:r>
      <w:r>
        <w:rPr/>
        <w:t>appraisal</w:t>
      </w:r>
      <w:r>
        <w:rPr>
          <w:spacing w:val="-30"/>
        </w:rPr>
        <w:t> </w:t>
      </w:r>
      <w:r>
        <w:rPr>
          <w:spacing w:val="-4"/>
        </w:rPr>
        <w:t>may </w:t>
      </w:r>
      <w:r>
        <w:rPr/>
        <w:t>have a significant bearing on the outcome of a coverage issue, it has been held that the coverage issue is thus not yet ripe for adjudication. </w:t>
      </w:r>
      <w:r>
        <w:rPr>
          <w:spacing w:val="3"/>
        </w:rPr>
        <w:t>In </w:t>
      </w:r>
      <w:r>
        <w:rPr/>
        <w:t>this situation, the appraisal should proceed to a conclusion as the coverage issue has not “matured enough to warrant</w:t>
      </w:r>
      <w:r>
        <w:rPr>
          <w:spacing w:val="-35"/>
        </w:rPr>
        <w:t> </w:t>
      </w:r>
      <w:r>
        <w:rPr/>
        <w:t>judicial</w:t>
      </w:r>
      <w:r>
        <w:rPr>
          <w:spacing w:val="-31"/>
        </w:rPr>
        <w:t> </w:t>
      </w:r>
      <w:r>
        <w:rPr/>
        <w:t>intervention.”</w:t>
      </w:r>
      <w:r>
        <w:rPr>
          <w:spacing w:val="-34"/>
        </w:rPr>
        <w:t> </w:t>
      </w:r>
      <w:r>
        <w:rPr>
          <w:spacing w:val="2"/>
        </w:rPr>
        <w:t>In</w:t>
      </w:r>
      <w:r>
        <w:rPr>
          <w:spacing w:val="-32"/>
        </w:rPr>
        <w:t> </w:t>
      </w:r>
      <w:r>
        <w:rPr>
          <w:u w:val="single"/>
        </w:rPr>
        <w:t>Vine</w:t>
      </w:r>
      <w:r>
        <w:rPr>
          <w:spacing w:val="-31"/>
          <w:u w:val="single"/>
        </w:rPr>
        <w:t> </w:t>
      </w:r>
      <w:r>
        <w:rPr>
          <w:u w:val="single"/>
        </w:rPr>
        <w:t>Street</w:t>
      </w:r>
      <w:r>
        <w:rPr>
          <w:spacing w:val="-33"/>
          <w:u w:val="single"/>
        </w:rPr>
        <w:t> </w:t>
      </w:r>
      <w:r>
        <w:rPr>
          <w:u w:val="single"/>
        </w:rPr>
        <w:t>Ltd.</w:t>
      </w:r>
      <w:r>
        <w:rPr/>
        <w:t> </w:t>
      </w:r>
      <w:r>
        <w:rPr>
          <w:u w:val="single"/>
        </w:rPr>
        <w:t>Partnership v. QBE International Ins. </w:t>
      </w:r>
      <w:r>
        <w:rPr>
          <w:spacing w:val="-3"/>
          <w:u w:val="single"/>
        </w:rPr>
        <w:t>Ltd.</w:t>
      </w:r>
      <w:r>
        <w:rPr>
          <w:spacing w:val="-3"/>
        </w:rPr>
        <w:t>,</w:t>
      </w:r>
      <w:r>
        <w:rPr>
          <w:spacing w:val="-3"/>
          <w:vertAlign w:val="superscript"/>
        </w:rPr>
        <w:t>537</w:t>
      </w:r>
      <w:r>
        <w:rPr>
          <w:spacing w:val="-3"/>
          <w:vertAlign w:val="baseline"/>
        </w:rPr>
        <w:t> </w:t>
      </w:r>
      <w:r>
        <w:rPr>
          <w:spacing w:val="-10"/>
          <w:vertAlign w:val="baseline"/>
        </w:rPr>
        <w:t>the </w:t>
      </w:r>
      <w:r>
        <w:rPr>
          <w:vertAlign w:val="baseline"/>
        </w:rPr>
        <w:t>parties disagreed as to the sub-limit of coverage for soft costs. The court determined that</w:t>
      </w:r>
      <w:r>
        <w:rPr>
          <w:spacing w:val="-33"/>
          <w:vertAlign w:val="baseline"/>
        </w:rPr>
        <w:t> </w:t>
      </w:r>
      <w:r>
        <w:rPr>
          <w:vertAlign w:val="baseline"/>
        </w:rPr>
        <w:t>the</w:t>
      </w:r>
      <w:r>
        <w:rPr>
          <w:spacing w:val="-33"/>
          <w:vertAlign w:val="baseline"/>
        </w:rPr>
        <w:t> </w:t>
      </w:r>
      <w:r>
        <w:rPr>
          <w:vertAlign w:val="baseline"/>
        </w:rPr>
        <w:t>appraisal</w:t>
      </w:r>
      <w:r>
        <w:rPr>
          <w:spacing w:val="-31"/>
          <w:vertAlign w:val="baseline"/>
        </w:rPr>
        <w:t> </w:t>
      </w:r>
      <w:r>
        <w:rPr>
          <w:vertAlign w:val="baseline"/>
        </w:rPr>
        <w:t>should</w:t>
      </w:r>
      <w:r>
        <w:rPr>
          <w:spacing w:val="-29"/>
          <w:vertAlign w:val="baseline"/>
        </w:rPr>
        <w:t> </w:t>
      </w:r>
      <w:r>
        <w:rPr>
          <w:vertAlign w:val="baseline"/>
        </w:rPr>
        <w:t>proceed</w:t>
      </w:r>
      <w:r>
        <w:rPr>
          <w:spacing w:val="-32"/>
          <w:vertAlign w:val="baseline"/>
        </w:rPr>
        <w:t> </w:t>
      </w:r>
      <w:r>
        <w:rPr>
          <w:vertAlign w:val="baseline"/>
        </w:rPr>
        <w:t>and</w:t>
      </w:r>
      <w:r>
        <w:rPr>
          <w:spacing w:val="-29"/>
          <w:vertAlign w:val="baseline"/>
        </w:rPr>
        <w:t> </w:t>
      </w:r>
      <w:r>
        <w:rPr>
          <w:vertAlign w:val="baseline"/>
        </w:rPr>
        <w:t>that</w:t>
      </w:r>
      <w:r>
        <w:rPr>
          <w:spacing w:val="-33"/>
          <w:vertAlign w:val="baseline"/>
        </w:rPr>
        <w:t> </w:t>
      </w:r>
      <w:r>
        <w:rPr>
          <w:vertAlign w:val="baseline"/>
        </w:rPr>
        <w:t>the legal issue was not ripe until the value of the loss is known and the court need not make a determination</w:t>
      </w:r>
      <w:r>
        <w:rPr>
          <w:spacing w:val="-30"/>
          <w:vertAlign w:val="baseline"/>
        </w:rPr>
        <w:t> </w:t>
      </w:r>
      <w:r>
        <w:rPr>
          <w:vertAlign w:val="baseline"/>
        </w:rPr>
        <w:t>as</w:t>
      </w:r>
      <w:r>
        <w:rPr>
          <w:spacing w:val="-30"/>
          <w:vertAlign w:val="baseline"/>
        </w:rPr>
        <w:t> </w:t>
      </w:r>
      <w:r>
        <w:rPr>
          <w:vertAlign w:val="baseline"/>
        </w:rPr>
        <w:t>to</w:t>
      </w:r>
      <w:r>
        <w:rPr>
          <w:spacing w:val="-30"/>
          <w:vertAlign w:val="baseline"/>
        </w:rPr>
        <w:t> </w:t>
      </w:r>
      <w:r>
        <w:rPr>
          <w:vertAlign w:val="baseline"/>
        </w:rPr>
        <w:t>the</w:t>
      </w:r>
      <w:r>
        <w:rPr>
          <w:spacing w:val="-33"/>
          <w:vertAlign w:val="baseline"/>
        </w:rPr>
        <w:t> </w:t>
      </w:r>
      <w:r>
        <w:rPr>
          <w:vertAlign w:val="baseline"/>
        </w:rPr>
        <w:t>applicability</w:t>
      </w:r>
      <w:r>
        <w:rPr>
          <w:spacing w:val="-32"/>
          <w:vertAlign w:val="baseline"/>
        </w:rPr>
        <w:t> </w:t>
      </w:r>
      <w:r>
        <w:rPr>
          <w:vertAlign w:val="baseline"/>
        </w:rPr>
        <w:t>of</w:t>
      </w:r>
      <w:r>
        <w:rPr>
          <w:spacing w:val="-33"/>
          <w:vertAlign w:val="baseline"/>
        </w:rPr>
        <w:t> </w:t>
      </w:r>
      <w:r>
        <w:rPr>
          <w:spacing w:val="-3"/>
          <w:vertAlign w:val="baseline"/>
        </w:rPr>
        <w:t>the</w:t>
      </w:r>
      <w:r>
        <w:rPr>
          <w:spacing w:val="-32"/>
          <w:vertAlign w:val="baseline"/>
        </w:rPr>
        <w:t> </w:t>
      </w:r>
      <w:r>
        <w:rPr>
          <w:vertAlign w:val="baseline"/>
        </w:rPr>
        <w:t>sub- limit until such</w:t>
      </w:r>
      <w:r>
        <w:rPr>
          <w:spacing w:val="-4"/>
          <w:vertAlign w:val="baseline"/>
        </w:rPr>
        <w:t> </w:t>
      </w:r>
      <w:r>
        <w:rPr>
          <w:vertAlign w:val="baseline"/>
        </w:rPr>
        <w:t>time.</w:t>
      </w:r>
    </w:p>
    <w:p>
      <w:pPr>
        <w:pStyle w:val="BodyText"/>
        <w:spacing w:before="5"/>
        <w:rPr>
          <w:sz w:val="22"/>
        </w:rPr>
      </w:pPr>
    </w:p>
    <w:p>
      <w:pPr>
        <w:pStyle w:val="BodyText"/>
        <w:spacing w:before="41"/>
        <w:ind w:left="3820"/>
      </w:pPr>
      <w:r>
        <w:rPr/>
        <w:t>Consistently,  where  a  factual  </w:t>
      </w:r>
      <w:r>
        <w:rPr>
          <w:spacing w:val="28"/>
        </w:rPr>
        <w:t> </w:t>
      </w:r>
      <w:r>
        <w:rPr/>
        <w:t>dispute</w:t>
      </w:r>
    </w:p>
    <w:p>
      <w:pPr>
        <w:pStyle w:val="BodyText"/>
        <w:spacing w:line="242" w:lineRule="auto" w:before="3"/>
        <w:ind w:left="3100" w:right="3199"/>
        <w:jc w:val="both"/>
      </w:pPr>
      <w:r>
        <w:rPr/>
        <w:t>existed</w:t>
      </w:r>
      <w:r>
        <w:rPr>
          <w:spacing w:val="-26"/>
        </w:rPr>
        <w:t> </w:t>
      </w:r>
      <w:r>
        <w:rPr/>
        <w:t>as</w:t>
      </w:r>
      <w:r>
        <w:rPr>
          <w:spacing w:val="-24"/>
        </w:rPr>
        <w:t> </w:t>
      </w:r>
      <w:r>
        <w:rPr/>
        <w:t>to</w:t>
      </w:r>
      <w:r>
        <w:rPr>
          <w:spacing w:val="-23"/>
        </w:rPr>
        <w:t> </w:t>
      </w:r>
      <w:r>
        <w:rPr/>
        <w:t>whether</w:t>
      </w:r>
      <w:r>
        <w:rPr>
          <w:spacing w:val="-24"/>
        </w:rPr>
        <w:t> </w:t>
      </w:r>
      <w:r>
        <w:rPr/>
        <w:t>an</w:t>
      </w:r>
      <w:r>
        <w:rPr>
          <w:spacing w:val="-22"/>
        </w:rPr>
        <w:t> </w:t>
      </w:r>
      <w:r>
        <w:rPr/>
        <w:t>insured</w:t>
      </w:r>
      <w:r>
        <w:rPr>
          <w:spacing w:val="-23"/>
        </w:rPr>
        <w:t> </w:t>
      </w:r>
      <w:r>
        <w:rPr/>
        <w:t>had</w:t>
      </w:r>
      <w:r>
        <w:rPr>
          <w:spacing w:val="-24"/>
        </w:rPr>
        <w:t> </w:t>
      </w:r>
      <w:r>
        <w:rPr/>
        <w:t>complied with</w:t>
      </w:r>
      <w:r>
        <w:rPr>
          <w:spacing w:val="-33"/>
        </w:rPr>
        <w:t> </w:t>
      </w:r>
      <w:r>
        <w:rPr>
          <w:spacing w:val="-3"/>
        </w:rPr>
        <w:t>post-loss</w:t>
      </w:r>
      <w:r>
        <w:rPr>
          <w:spacing w:val="-31"/>
        </w:rPr>
        <w:t> </w:t>
      </w:r>
      <w:r>
        <w:rPr/>
        <w:t>obligations,</w:t>
      </w:r>
      <w:r>
        <w:rPr>
          <w:spacing w:val="-33"/>
        </w:rPr>
        <w:t> </w:t>
      </w:r>
      <w:r>
        <w:rPr/>
        <w:t>a</w:t>
      </w:r>
      <w:r>
        <w:rPr>
          <w:spacing w:val="-31"/>
        </w:rPr>
        <w:t> </w:t>
      </w:r>
      <w:r>
        <w:rPr/>
        <w:t>Florida</w:t>
      </w:r>
      <w:r>
        <w:rPr>
          <w:spacing w:val="-30"/>
        </w:rPr>
        <w:t> </w:t>
      </w:r>
      <w:r>
        <w:rPr/>
        <w:t>court</w:t>
      </w:r>
      <w:r>
        <w:rPr>
          <w:spacing w:val="8"/>
        </w:rPr>
        <w:t> </w:t>
      </w:r>
      <w:r>
        <w:rPr/>
        <w:t>stated that, “Before a circuit court can compel appraisal under an insurance policy, it must make a preliminary determination as to whether</w:t>
      </w:r>
      <w:r>
        <w:rPr>
          <w:spacing w:val="-19"/>
        </w:rPr>
        <w:t> </w:t>
      </w:r>
      <w:r>
        <w:rPr/>
        <w:t>the</w:t>
      </w:r>
      <w:r>
        <w:rPr>
          <w:spacing w:val="-18"/>
        </w:rPr>
        <w:t> </w:t>
      </w:r>
      <w:r>
        <w:rPr/>
        <w:t>demand</w:t>
      </w:r>
      <w:r>
        <w:rPr>
          <w:spacing w:val="-18"/>
        </w:rPr>
        <w:t> </w:t>
      </w:r>
      <w:r>
        <w:rPr/>
        <w:t>for</w:t>
      </w:r>
      <w:r>
        <w:rPr>
          <w:spacing w:val="-18"/>
        </w:rPr>
        <w:t> </w:t>
      </w:r>
      <w:r>
        <w:rPr/>
        <w:t>appraisal</w:t>
      </w:r>
      <w:r>
        <w:rPr>
          <w:spacing w:val="-19"/>
        </w:rPr>
        <w:t> </w:t>
      </w:r>
      <w:r>
        <w:rPr/>
        <w:t>is</w:t>
      </w:r>
      <w:r>
        <w:rPr>
          <w:spacing w:val="-18"/>
        </w:rPr>
        <w:t> </w:t>
      </w:r>
      <w:r>
        <w:rPr/>
        <w:t>ripe.</w:t>
      </w:r>
      <w:r>
        <w:rPr>
          <w:spacing w:val="-19"/>
        </w:rPr>
        <w:t> </w:t>
      </w:r>
      <w:r>
        <w:rPr/>
        <w:t>‘Until these [post-loss]  conditions  are met and </w:t>
      </w:r>
      <w:r>
        <w:rPr>
          <w:spacing w:val="30"/>
        </w:rPr>
        <w:t> </w:t>
      </w:r>
      <w:r>
        <w:rPr/>
        <w:t>the</w:t>
      </w:r>
    </w:p>
    <w:p>
      <w:pPr>
        <w:pStyle w:val="BodyText"/>
        <w:rPr>
          <w:sz w:val="20"/>
        </w:rPr>
      </w:pPr>
    </w:p>
    <w:p>
      <w:pPr>
        <w:pStyle w:val="BodyText"/>
        <w:spacing w:before="5"/>
        <w:rPr>
          <w:sz w:val="19"/>
        </w:rPr>
      </w:pPr>
      <w:r>
        <w:rPr/>
        <w:pict>
          <v:shape style="position:absolute;margin-left:162pt;margin-top:14.32268pt;width:143.9pt;height:.1pt;mso-position-horizontal-relative:page;mso-position-vertical-relative:paragraph;z-index:-251485184;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spacing w:line="261" w:lineRule="auto" w:before="71"/>
        <w:ind w:left="2740" w:right="2755" w:firstLine="0"/>
        <w:jc w:val="left"/>
        <w:rPr>
          <w:rFonts w:ascii="Times New Roman" w:hAnsi="Times New Roman"/>
          <w:sz w:val="18"/>
        </w:rPr>
      </w:pPr>
      <w:r>
        <w:rPr>
          <w:rFonts w:ascii="Times New Roman" w:hAnsi="Times New Roman"/>
          <w:position w:val="10"/>
          <w:sz w:val="14"/>
        </w:rPr>
        <w:t>536 </w:t>
      </w:r>
      <w:r>
        <w:rPr>
          <w:rFonts w:ascii="Times New Roman" w:hAnsi="Times New Roman"/>
          <w:i/>
          <w:sz w:val="18"/>
        </w:rPr>
        <w:t>“Before or After: The Interplay of Litigation and Appraisal</w:t>
      </w:r>
      <w:r>
        <w:rPr>
          <w:rFonts w:ascii="Times New Roman" w:hAnsi="Times New Roman"/>
          <w:sz w:val="18"/>
        </w:rPr>
        <w:t>, </w:t>
      </w:r>
      <w:r>
        <w:rPr>
          <w:rFonts w:ascii="Times New Roman" w:hAnsi="Times New Roman"/>
          <w:i/>
          <w:sz w:val="18"/>
        </w:rPr>
        <w:t>The Brief</w:t>
      </w:r>
      <w:r>
        <w:rPr>
          <w:rFonts w:ascii="Times New Roman" w:hAnsi="Times New Roman"/>
          <w:sz w:val="18"/>
        </w:rPr>
        <w:t>, Winter 2004 ed. by Lon A. Berk, Christopher Poverman and Erik M. Figlio.</w:t>
      </w:r>
    </w:p>
    <w:p>
      <w:pPr>
        <w:spacing w:line="263" w:lineRule="exact" w:before="0"/>
        <w:ind w:left="2740" w:right="0" w:firstLine="0"/>
        <w:jc w:val="left"/>
        <w:rPr>
          <w:rFonts w:ascii="Times New Roman"/>
          <w:sz w:val="24"/>
        </w:rPr>
      </w:pPr>
      <w:r>
        <w:rPr>
          <w:rFonts w:ascii="Times New Roman"/>
          <w:position w:val="10"/>
          <w:sz w:val="14"/>
        </w:rPr>
        <w:t>537 </w:t>
      </w:r>
      <w:r>
        <w:rPr>
          <w:rFonts w:ascii="Times New Roman"/>
          <w:sz w:val="18"/>
        </w:rPr>
        <w:t>2004 WL 2526420 (Minn. 2004)</w:t>
      </w:r>
      <w:r>
        <w:rPr>
          <w:rFonts w:ascii="Times New Roman"/>
          <w:sz w:val="24"/>
        </w:rPr>
        <w:t>.</w:t>
      </w:r>
    </w:p>
    <w:p>
      <w:pPr>
        <w:spacing w:after="0" w:line="263" w:lineRule="exact"/>
        <w:jc w:val="left"/>
        <w:rPr>
          <w:rFonts w:ascii="Times New Roman"/>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r>
        <w:rPr/>
        <w:pict>
          <v:shape style="position:absolute;margin-left:314.927002pt;margin-top:14.626175pt;width:288.9pt;height:221.75pt;mso-position-horizontal-relative:page;mso-position-vertical-relative:paragraph;z-index:-254108672" coordorigin="6299,293" coordsize="5778,4435" path="m12064,293l10940,293,10928,304,10928,534,10940,546,12064,546,12076,534,12076,304,12064,293xm12061,614l6310,614,6299,626,6299,856,6310,867,12061,867,12072,856,12072,626,12061,614xm12058,936l6310,936,6299,947,6299,1178,6310,1189,12058,1189,12070,1178,12070,947,12058,936xm12061,1257l6310,1257,6299,1269,6299,1499,6310,1511,12061,1511,12073,1499,12073,1269,12061,1257xm12061,1579l6310,1579,6299,1590,6299,1821,6310,1832,12061,1832,12072,1821,12072,1590,12061,1579xm12060,1901l6310,1901,6299,1912,6299,2142,6310,2154,12060,2154,12071,2142,12071,1912,12060,1901xm12057,2222l6310,2222,6299,2234,6299,2464,6310,2475,12057,2475,12069,2464,12069,2234,12057,2222xm12061,2544l6310,2544,6299,2555,6299,2786,6310,2797,12061,2797,12072,2786,12072,2555,12061,2544xm12058,2865l6310,2865,6299,2877,6299,3107,6310,3119,12058,3119,12069,3107,12069,2877,12058,2865xm12063,3187l6310,3187,6299,3198,6299,3429,6310,3440,12063,3440,12075,3429,12075,3198,12063,3187xm12063,3509l6310,3509,6299,3520,6299,3750,6310,3762,12063,3762,12075,3750,12075,3520,12063,3509xm12061,3830l6310,3830,6299,3842,6299,4072,6310,4083,12061,4083,12072,4072,12072,3842,12061,3830xm12061,4152l6310,4152,6299,4163,6299,4394,6310,4405,12061,4405,12073,4394,12073,4163,12061,4152xm8613,4442l6310,4442,6299,4454,6299,4715,6310,4727,8613,4727,8624,4715,8624,4454,8613,4442xe" filled="true" fillcolor="#7efdfd" stroked="false">
            <v:path arrowok="t"/>
            <v:fill type="solid"/>
            <w10:wrap type="none"/>
          </v:shape>
        </w:pict>
      </w:r>
      <w:bookmarkStart w:name="Law and Procedure 247" w:id="63"/>
      <w:bookmarkEnd w:id="63"/>
      <w:r>
        <w:rPr/>
      </w:r>
      <w:r>
        <w:rPr/>
        <w:t>insurer has a reasonable opportunity to investigate and adjust the claim, there is no ‘disagreement’...regarding the value of the property or the amount of loss’ to be appraised”. </w:t>
      </w:r>
      <w:r>
        <w:rPr>
          <w:spacing w:val="3"/>
        </w:rPr>
        <w:t>It </w:t>
      </w:r>
      <w:r>
        <w:rPr/>
        <w:t>held that, “[o]nce the trial</w:t>
      </w:r>
      <w:r>
        <w:rPr>
          <w:spacing w:val="-42"/>
        </w:rPr>
        <w:t> </w:t>
      </w:r>
      <w:r>
        <w:rPr/>
        <w:t>court determines</w:t>
      </w:r>
      <w:r>
        <w:rPr>
          <w:spacing w:val="-23"/>
        </w:rPr>
        <w:t> </w:t>
      </w:r>
      <w:r>
        <w:rPr/>
        <w:t>that</w:t>
      </w:r>
      <w:r>
        <w:rPr>
          <w:spacing w:val="-23"/>
        </w:rPr>
        <w:t> </w:t>
      </w:r>
      <w:r>
        <w:rPr/>
        <w:t>a</w:t>
      </w:r>
      <w:r>
        <w:rPr>
          <w:spacing w:val="-21"/>
        </w:rPr>
        <w:t> </w:t>
      </w:r>
      <w:r>
        <w:rPr/>
        <w:t>demand</w:t>
      </w:r>
      <w:r>
        <w:rPr>
          <w:spacing w:val="-23"/>
        </w:rPr>
        <w:t> </w:t>
      </w:r>
      <w:r>
        <w:rPr/>
        <w:t>for</w:t>
      </w:r>
      <w:r>
        <w:rPr>
          <w:spacing w:val="-26"/>
        </w:rPr>
        <w:t> </w:t>
      </w:r>
      <w:r>
        <w:rPr/>
        <w:t>appraisal</w:t>
      </w:r>
      <w:r>
        <w:rPr>
          <w:spacing w:val="-22"/>
        </w:rPr>
        <w:t> </w:t>
      </w:r>
      <w:r>
        <w:rPr/>
        <w:t>is</w:t>
      </w:r>
      <w:r>
        <w:rPr>
          <w:spacing w:val="-22"/>
        </w:rPr>
        <w:t> </w:t>
      </w:r>
      <w:r>
        <w:rPr/>
        <w:t>ripe, the</w:t>
      </w:r>
      <w:r>
        <w:rPr>
          <w:spacing w:val="-26"/>
        </w:rPr>
        <w:t> </w:t>
      </w:r>
      <w:r>
        <w:rPr/>
        <w:t>court</w:t>
      </w:r>
      <w:r>
        <w:rPr>
          <w:spacing w:val="-28"/>
        </w:rPr>
        <w:t> </w:t>
      </w:r>
      <w:r>
        <w:rPr/>
        <w:t>has</w:t>
      </w:r>
      <w:r>
        <w:rPr>
          <w:spacing w:val="-24"/>
        </w:rPr>
        <w:t> </w:t>
      </w:r>
      <w:r>
        <w:rPr/>
        <w:t>the</w:t>
      </w:r>
      <w:r>
        <w:rPr>
          <w:spacing w:val="-25"/>
        </w:rPr>
        <w:t> </w:t>
      </w:r>
      <w:r>
        <w:rPr/>
        <w:t>discretion</w:t>
      </w:r>
      <w:r>
        <w:rPr>
          <w:spacing w:val="-27"/>
        </w:rPr>
        <w:t> </w:t>
      </w:r>
      <w:r>
        <w:rPr/>
        <w:t>to</w:t>
      </w:r>
      <w:r>
        <w:rPr>
          <w:spacing w:val="-28"/>
        </w:rPr>
        <w:t> </w:t>
      </w:r>
      <w:r>
        <w:rPr/>
        <w:t>control</w:t>
      </w:r>
      <w:r>
        <w:rPr>
          <w:spacing w:val="-23"/>
        </w:rPr>
        <w:t> </w:t>
      </w:r>
      <w:r>
        <w:rPr/>
        <w:t>the</w:t>
      </w:r>
      <w:r>
        <w:rPr>
          <w:spacing w:val="-25"/>
        </w:rPr>
        <w:t> </w:t>
      </w:r>
      <w:r>
        <w:rPr/>
        <w:t>order </w:t>
      </w:r>
      <w:r>
        <w:rPr>
          <w:spacing w:val="2"/>
        </w:rPr>
        <w:t>in </w:t>
      </w:r>
      <w:r>
        <w:rPr/>
        <w:t>which an </w:t>
      </w:r>
      <w:r>
        <w:rPr>
          <w:spacing w:val="3"/>
        </w:rPr>
        <w:t>appraisal </w:t>
      </w:r>
      <w:r>
        <w:rPr/>
        <w:t>and coverage determinations</w:t>
      </w:r>
      <w:r>
        <w:rPr>
          <w:spacing w:val="-2"/>
        </w:rPr>
        <w:t> </w:t>
      </w:r>
      <w:r>
        <w:rPr/>
        <w:t>proceed.”</w:t>
      </w:r>
      <w:r>
        <w:rPr>
          <w:vertAlign w:val="superscript"/>
        </w:rPr>
        <w:t>538</w:t>
      </w:r>
    </w:p>
    <w:p>
      <w:pPr>
        <w:pStyle w:val="BodyText"/>
        <w:spacing w:before="11"/>
        <w:rPr>
          <w:sz w:val="25"/>
        </w:rPr>
      </w:pPr>
    </w:p>
    <w:p>
      <w:pPr>
        <w:pStyle w:val="BodyText"/>
        <w:spacing w:line="242" w:lineRule="auto"/>
        <w:ind w:left="3100" w:right="3197" w:firstLine="720"/>
        <w:jc w:val="both"/>
      </w:pPr>
      <w:r>
        <w:rPr>
          <w:spacing w:val="-3"/>
        </w:rPr>
        <w:t>Mandamus</w:t>
      </w:r>
      <w:r>
        <w:rPr>
          <w:spacing w:val="-39"/>
        </w:rPr>
        <w:t> </w:t>
      </w:r>
      <w:r>
        <w:rPr/>
        <w:t>relief</w:t>
      </w:r>
      <w:r>
        <w:rPr>
          <w:spacing w:val="-38"/>
        </w:rPr>
        <w:t> </w:t>
      </w:r>
      <w:r>
        <w:rPr>
          <w:spacing w:val="-2"/>
        </w:rPr>
        <w:t>may</w:t>
      </w:r>
      <w:r>
        <w:rPr>
          <w:spacing w:val="-41"/>
        </w:rPr>
        <w:t> </w:t>
      </w:r>
      <w:r>
        <w:rPr/>
        <w:t>be</w:t>
      </w:r>
      <w:r>
        <w:rPr>
          <w:spacing w:val="-39"/>
        </w:rPr>
        <w:t> </w:t>
      </w:r>
      <w:r>
        <w:rPr/>
        <w:t>available</w:t>
      </w:r>
      <w:r>
        <w:rPr>
          <w:spacing w:val="-39"/>
        </w:rPr>
        <w:t> </w:t>
      </w:r>
      <w:r>
        <w:rPr>
          <w:spacing w:val="-4"/>
        </w:rPr>
        <w:t>where </w:t>
      </w:r>
      <w:r>
        <w:rPr/>
        <w:t>there</w:t>
      </w:r>
      <w:r>
        <w:rPr>
          <w:spacing w:val="-18"/>
        </w:rPr>
        <w:t> </w:t>
      </w:r>
      <w:r>
        <w:rPr/>
        <w:t>is</w:t>
      </w:r>
      <w:r>
        <w:rPr>
          <w:spacing w:val="-17"/>
        </w:rPr>
        <w:t> </w:t>
      </w:r>
      <w:r>
        <w:rPr/>
        <w:t>an</w:t>
      </w:r>
      <w:r>
        <w:rPr>
          <w:spacing w:val="-16"/>
        </w:rPr>
        <w:t> </w:t>
      </w:r>
      <w:r>
        <w:rPr/>
        <w:t>abuse</w:t>
      </w:r>
      <w:r>
        <w:rPr>
          <w:spacing w:val="-15"/>
        </w:rPr>
        <w:t> </w:t>
      </w:r>
      <w:r>
        <w:rPr/>
        <w:t>of</w:t>
      </w:r>
      <w:r>
        <w:rPr>
          <w:spacing w:val="-16"/>
        </w:rPr>
        <w:t> </w:t>
      </w:r>
      <w:r>
        <w:rPr/>
        <w:t>discretion</w:t>
      </w:r>
      <w:r>
        <w:rPr>
          <w:spacing w:val="-16"/>
        </w:rPr>
        <w:t> </w:t>
      </w:r>
      <w:r>
        <w:rPr/>
        <w:t>by</w:t>
      </w:r>
      <w:r>
        <w:rPr>
          <w:spacing w:val="-16"/>
        </w:rPr>
        <w:t> </w:t>
      </w:r>
      <w:r>
        <w:rPr/>
        <w:t>the</w:t>
      </w:r>
      <w:r>
        <w:rPr>
          <w:spacing w:val="-16"/>
        </w:rPr>
        <w:t> </w:t>
      </w:r>
      <w:r>
        <w:rPr/>
        <w:t>trial</w:t>
      </w:r>
      <w:r>
        <w:rPr>
          <w:spacing w:val="-15"/>
        </w:rPr>
        <w:t> </w:t>
      </w:r>
      <w:r>
        <w:rPr/>
        <w:t>court “either in resolving factual issues or in determining legal principles, when there is no other adequate remedy at law.” </w:t>
      </w:r>
      <w:r>
        <w:rPr>
          <w:spacing w:val="3"/>
        </w:rPr>
        <w:t>In </w:t>
      </w:r>
      <w:r>
        <w:rPr>
          <w:spacing w:val="-3"/>
        </w:rPr>
        <w:t>Texas, </w:t>
      </w:r>
      <w:r>
        <w:rPr/>
        <w:t>“[t]he</w:t>
      </w:r>
      <w:r>
        <w:rPr>
          <w:spacing w:val="-15"/>
        </w:rPr>
        <w:t> </w:t>
      </w:r>
      <w:r>
        <w:rPr/>
        <w:t>refusal</w:t>
      </w:r>
      <w:r>
        <w:rPr>
          <w:spacing w:val="-12"/>
        </w:rPr>
        <w:t> </w:t>
      </w:r>
      <w:r>
        <w:rPr/>
        <w:t>to</w:t>
      </w:r>
      <w:r>
        <w:rPr>
          <w:spacing w:val="-13"/>
        </w:rPr>
        <w:t> </w:t>
      </w:r>
      <w:r>
        <w:rPr/>
        <w:t>enforce</w:t>
      </w:r>
      <w:r>
        <w:rPr>
          <w:spacing w:val="-14"/>
        </w:rPr>
        <w:t> </w:t>
      </w:r>
      <w:r>
        <w:rPr/>
        <w:t>a</w:t>
      </w:r>
      <w:r>
        <w:rPr>
          <w:spacing w:val="-14"/>
        </w:rPr>
        <w:t> </w:t>
      </w:r>
      <w:r>
        <w:rPr/>
        <w:t>contract</w:t>
      </w:r>
      <w:r>
        <w:rPr>
          <w:spacing w:val="-15"/>
        </w:rPr>
        <w:t> </w:t>
      </w:r>
      <w:r>
        <w:rPr/>
        <w:t>according to its terms constitutes an abuse of discretion that may be subject to mandamus relief”. More specifically, Texas supreme court precedent</w:t>
      </w:r>
      <w:r>
        <w:rPr>
          <w:spacing w:val="-21"/>
        </w:rPr>
        <w:t> </w:t>
      </w:r>
      <w:r>
        <w:rPr/>
        <w:t>provides</w:t>
      </w:r>
      <w:r>
        <w:rPr>
          <w:spacing w:val="-18"/>
        </w:rPr>
        <w:t> </w:t>
      </w:r>
      <w:r>
        <w:rPr/>
        <w:t>that</w:t>
      </w:r>
      <w:r>
        <w:rPr>
          <w:spacing w:val="-20"/>
        </w:rPr>
        <w:t> </w:t>
      </w:r>
      <w:r>
        <w:rPr/>
        <w:t>“failure</w:t>
      </w:r>
      <w:r>
        <w:rPr>
          <w:spacing w:val="-19"/>
        </w:rPr>
        <w:t> </w:t>
      </w:r>
      <w:r>
        <w:rPr/>
        <w:t>to</w:t>
      </w:r>
      <w:r>
        <w:rPr>
          <w:spacing w:val="-15"/>
        </w:rPr>
        <w:t> </w:t>
      </w:r>
      <w:r>
        <w:rPr/>
        <w:t>enforce</w:t>
      </w:r>
      <w:r>
        <w:rPr>
          <w:spacing w:val="-17"/>
        </w:rPr>
        <w:t> </w:t>
      </w:r>
      <w:r>
        <w:rPr/>
        <w:t>an appraisal clause is an error of law constituting an abuse of discretion that cannot be remedied by </w:t>
      </w:r>
      <w:r>
        <w:rPr>
          <w:spacing w:val="2"/>
        </w:rPr>
        <w:t>appeal.” </w:t>
      </w:r>
      <w:r>
        <w:rPr/>
        <w:t>A case which considered</w:t>
      </w:r>
      <w:r>
        <w:rPr>
          <w:spacing w:val="-28"/>
        </w:rPr>
        <w:t> </w:t>
      </w:r>
      <w:r>
        <w:rPr/>
        <w:t>such</w:t>
      </w:r>
      <w:r>
        <w:rPr>
          <w:spacing w:val="-27"/>
        </w:rPr>
        <w:t> </w:t>
      </w:r>
      <w:r>
        <w:rPr/>
        <w:t>relief</w:t>
      </w:r>
      <w:r>
        <w:rPr>
          <w:spacing w:val="-29"/>
        </w:rPr>
        <w:t> </w:t>
      </w:r>
      <w:r>
        <w:rPr/>
        <w:t>did</w:t>
      </w:r>
      <w:r>
        <w:rPr>
          <w:spacing w:val="-29"/>
        </w:rPr>
        <w:t> </w:t>
      </w:r>
      <w:r>
        <w:rPr/>
        <w:t>so</w:t>
      </w:r>
      <w:r>
        <w:rPr>
          <w:spacing w:val="-26"/>
        </w:rPr>
        <w:t> </w:t>
      </w:r>
      <w:r>
        <w:rPr/>
        <w:t>where</w:t>
      </w:r>
      <w:r>
        <w:rPr>
          <w:spacing w:val="-27"/>
        </w:rPr>
        <w:t> </w:t>
      </w:r>
      <w:r>
        <w:rPr/>
        <w:t>it</w:t>
      </w:r>
      <w:r>
        <w:rPr>
          <w:spacing w:val="-29"/>
        </w:rPr>
        <w:t> </w:t>
      </w:r>
      <w:r>
        <w:rPr/>
        <w:t>ultimately observed</w:t>
      </w:r>
      <w:r>
        <w:rPr>
          <w:spacing w:val="-28"/>
        </w:rPr>
        <w:t> </w:t>
      </w:r>
      <w:r>
        <w:rPr/>
        <w:t>an</w:t>
      </w:r>
      <w:r>
        <w:rPr>
          <w:spacing w:val="-26"/>
        </w:rPr>
        <w:t> </w:t>
      </w:r>
      <w:r>
        <w:rPr/>
        <w:t>abuse</w:t>
      </w:r>
      <w:r>
        <w:rPr>
          <w:spacing w:val="-25"/>
        </w:rPr>
        <w:t> </w:t>
      </w:r>
      <w:r>
        <w:rPr/>
        <w:t>of</w:t>
      </w:r>
      <w:r>
        <w:rPr>
          <w:spacing w:val="-28"/>
        </w:rPr>
        <w:t> </w:t>
      </w:r>
      <w:r>
        <w:rPr/>
        <w:t>discretion</w:t>
      </w:r>
      <w:r>
        <w:rPr>
          <w:spacing w:val="-26"/>
        </w:rPr>
        <w:t> </w:t>
      </w:r>
      <w:r>
        <w:rPr/>
        <w:t>by</w:t>
      </w:r>
      <w:r>
        <w:rPr>
          <w:spacing w:val="-25"/>
        </w:rPr>
        <w:t> </w:t>
      </w:r>
      <w:r>
        <w:rPr/>
        <w:t>a</w:t>
      </w:r>
      <w:r>
        <w:rPr>
          <w:spacing w:val="-25"/>
        </w:rPr>
        <w:t> </w:t>
      </w:r>
      <w:r>
        <w:rPr/>
        <w:t>trial</w:t>
      </w:r>
      <w:r>
        <w:rPr>
          <w:spacing w:val="-23"/>
        </w:rPr>
        <w:t> </w:t>
      </w:r>
      <w:r>
        <w:rPr/>
        <w:t>court which had deemed appraisal waived, in the absence of evidence of the requisite intent</w:t>
      </w:r>
      <w:r>
        <w:rPr>
          <w:spacing w:val="-22"/>
        </w:rPr>
        <w:t> </w:t>
      </w:r>
      <w:r>
        <w:rPr/>
        <w:t>to establish</w:t>
      </w:r>
      <w:r>
        <w:rPr>
          <w:spacing w:val="-2"/>
        </w:rPr>
        <w:t> </w:t>
      </w:r>
      <w:r>
        <w:rPr/>
        <w:t>waiver.</w:t>
      </w:r>
      <w:r>
        <w:rPr>
          <w:vertAlign w:val="superscript"/>
        </w:rPr>
        <w:t>539</w:t>
      </w:r>
    </w:p>
    <w:p>
      <w:pPr>
        <w:pStyle w:val="BodyText"/>
        <w:rPr>
          <w:sz w:val="20"/>
        </w:rPr>
      </w:pPr>
    </w:p>
    <w:p>
      <w:pPr>
        <w:pStyle w:val="BodyText"/>
        <w:rPr>
          <w:sz w:val="20"/>
        </w:rPr>
      </w:pPr>
    </w:p>
    <w:p>
      <w:pPr>
        <w:pStyle w:val="BodyText"/>
        <w:spacing w:before="3"/>
        <w:rPr>
          <w:sz w:val="11"/>
        </w:rPr>
      </w:pPr>
      <w:r>
        <w:rPr/>
        <w:pict>
          <v:shape style="position:absolute;margin-left:162pt;margin-top:9.316167pt;width:143.9pt;height:.1pt;mso-position-horizontal-relative:page;mso-position-vertical-relative:paragraph;z-index:-251483136;mso-wrap-distance-left:0;mso-wrap-distance-right:0" coordorigin="3240,186" coordsize="2878,0" path="m3240,186l6118,186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12"/>
        </w:numPr>
        <w:tabs>
          <w:tab w:pos="3027" w:val="left" w:leader="none"/>
        </w:tabs>
        <w:spacing w:line="240" w:lineRule="auto" w:before="72" w:after="0"/>
        <w:ind w:left="3026" w:right="0" w:hanging="287"/>
        <w:jc w:val="left"/>
        <w:rPr>
          <w:sz w:val="18"/>
        </w:rPr>
      </w:pPr>
      <w:r>
        <w:rPr>
          <w:sz w:val="18"/>
          <w:u w:val="single"/>
        </w:rPr>
        <w:t>Citizens Prop. Ins. Corp. v. Admiralty House, Inc.</w:t>
      </w:r>
      <w:r>
        <w:rPr>
          <w:sz w:val="18"/>
        </w:rPr>
        <w:t>, 66 So.3d 342 (2011).</w:t>
      </w:r>
    </w:p>
    <w:p>
      <w:pPr>
        <w:pStyle w:val="ListParagraph"/>
        <w:numPr>
          <w:ilvl w:val="0"/>
          <w:numId w:val="12"/>
        </w:numPr>
        <w:tabs>
          <w:tab w:pos="3027" w:val="left" w:leader="none"/>
        </w:tabs>
        <w:spacing w:line="240" w:lineRule="auto" w:before="37" w:after="0"/>
        <w:ind w:left="3026" w:right="0" w:hanging="287"/>
        <w:jc w:val="left"/>
        <w:rPr>
          <w:rFonts w:ascii="Century Gothic"/>
          <w:sz w:val="18"/>
        </w:rPr>
      </w:pPr>
      <w:r>
        <w:rPr>
          <w:sz w:val="18"/>
          <w:u w:val="single"/>
        </w:rPr>
        <w:t>In re Continental Cas.Co.</w:t>
      </w:r>
      <w:r>
        <w:rPr>
          <w:sz w:val="18"/>
        </w:rPr>
        <w:t>, 2010 WL 3703664 (Tex.App-Houston [14</w:t>
      </w:r>
      <w:r>
        <w:rPr>
          <w:position w:val="7"/>
          <w:sz w:val="10"/>
        </w:rPr>
        <w:t>th </w:t>
      </w:r>
      <w:r>
        <w:rPr>
          <w:sz w:val="18"/>
        </w:rPr>
        <w:t>Dist]</w:t>
      </w:r>
      <w:r>
        <w:rPr>
          <w:spacing w:val="5"/>
          <w:sz w:val="18"/>
        </w:rPr>
        <w:t> </w:t>
      </w:r>
      <w:r>
        <w:rPr>
          <w:sz w:val="18"/>
        </w:rPr>
        <w:t>2010)</w:t>
      </w:r>
      <w:r>
        <w:rPr>
          <w:rFonts w:ascii="Century Gothic"/>
          <w:sz w:val="18"/>
        </w:rPr>
        <w:t>.</w:t>
      </w:r>
    </w:p>
    <w:p>
      <w:pPr>
        <w:spacing w:after="0" w:line="240" w:lineRule="auto"/>
        <w:jc w:val="left"/>
        <w:rPr>
          <w:rFonts w:ascii="Century Gothic"/>
          <w:sz w:val="18"/>
        </w:rPr>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197" w:firstLine="720"/>
        <w:jc w:val="both"/>
      </w:pPr>
      <w:r>
        <w:rPr/>
        <w:pict>
          <v:shape style="position:absolute;margin-left:314.975006pt;margin-top:62.81617pt;width:288.75pt;height:77pt;mso-position-horizontal-relative:page;mso-position-vertical-relative:paragraph;z-index:-254106624" coordorigin="6300,1256" coordsize="5775,1540" path="m12064,1256l9219,1256,9208,1267,9208,1499,9219,1510,12064,1510,12074,1499,12074,1267,12064,1256xm12060,1578l6310,1578,6300,1588,6300,1821,6310,1831,12060,1831,12070,1821,12070,1588,12060,1578xm12063,1900l6310,1900,6300,1910,6300,2143,6310,2153,12063,2153,12073,2143,12073,1910,12063,1900xm12060,2221l6310,2221,6300,2231,6300,2464,6310,2474,12060,2474,12070,2464,12070,2231,12060,2221xm8626,2543l6310,2543,6300,2553,6300,2786,6310,2796,8626,2796,8637,2786,8637,2553,8626,2543xe" filled="true" fillcolor="#7efdfd" stroked="false">
            <v:path arrowok="t"/>
            <v:fill type="solid"/>
            <w10:wrap type="none"/>
          </v:shape>
        </w:pict>
      </w:r>
      <w:bookmarkStart w:name="Law and Procedure 248" w:id="64"/>
      <w:bookmarkEnd w:id="64"/>
      <w:r>
        <w:rPr/>
      </w:r>
      <w:r>
        <w:rPr/>
        <w:t>The</w:t>
      </w:r>
      <w:r>
        <w:rPr>
          <w:spacing w:val="-16"/>
        </w:rPr>
        <w:t> </w:t>
      </w:r>
      <w:r>
        <w:rPr/>
        <w:t>Texas</w:t>
      </w:r>
      <w:r>
        <w:rPr>
          <w:spacing w:val="-15"/>
        </w:rPr>
        <w:t> </w:t>
      </w:r>
      <w:r>
        <w:rPr/>
        <w:t>Court</w:t>
      </w:r>
      <w:r>
        <w:rPr>
          <w:spacing w:val="-17"/>
        </w:rPr>
        <w:t> </w:t>
      </w:r>
      <w:r>
        <w:rPr/>
        <w:t>of</w:t>
      </w:r>
      <w:r>
        <w:rPr>
          <w:spacing w:val="-16"/>
        </w:rPr>
        <w:t> </w:t>
      </w:r>
      <w:r>
        <w:rPr/>
        <w:t>Appeals</w:t>
      </w:r>
      <w:r>
        <w:rPr>
          <w:spacing w:val="-14"/>
        </w:rPr>
        <w:t> </w:t>
      </w:r>
      <w:r>
        <w:rPr/>
        <w:t>has</w:t>
      </w:r>
      <w:r>
        <w:rPr>
          <w:spacing w:val="-12"/>
        </w:rPr>
        <w:t> </w:t>
      </w:r>
      <w:r>
        <w:rPr/>
        <w:t>held</w:t>
      </w:r>
      <w:r>
        <w:rPr>
          <w:spacing w:val="-15"/>
        </w:rPr>
        <w:t> </w:t>
      </w:r>
      <w:r>
        <w:rPr/>
        <w:t>that while mandamus relief is appropriate to enforce an appraisal clause in a </w:t>
      </w:r>
      <w:r>
        <w:rPr>
          <w:spacing w:val="-3"/>
        </w:rPr>
        <w:t>policy </w:t>
      </w:r>
      <w:r>
        <w:rPr/>
        <w:t>because “denying an appraisal would vitiate the insurer’s right to defend its breach of contract claim,” mandamus relief is not appropriate</w:t>
      </w:r>
      <w:r>
        <w:rPr>
          <w:spacing w:val="-13"/>
        </w:rPr>
        <w:t> </w:t>
      </w:r>
      <w:r>
        <w:rPr/>
        <w:t>regarding</w:t>
      </w:r>
      <w:r>
        <w:rPr>
          <w:spacing w:val="-11"/>
        </w:rPr>
        <w:t> </w:t>
      </w:r>
      <w:r>
        <w:rPr/>
        <w:t>the</w:t>
      </w:r>
      <w:r>
        <w:rPr>
          <w:spacing w:val="-11"/>
        </w:rPr>
        <w:t> </w:t>
      </w:r>
      <w:r>
        <w:rPr/>
        <w:t>grant</w:t>
      </w:r>
      <w:r>
        <w:rPr>
          <w:spacing w:val="-10"/>
        </w:rPr>
        <w:t> </w:t>
      </w:r>
      <w:r>
        <w:rPr/>
        <w:t>or</w:t>
      </w:r>
      <w:r>
        <w:rPr>
          <w:spacing w:val="-9"/>
        </w:rPr>
        <w:t> </w:t>
      </w:r>
      <w:r>
        <w:rPr/>
        <w:t>denial</w:t>
      </w:r>
      <w:r>
        <w:rPr>
          <w:spacing w:val="-11"/>
        </w:rPr>
        <w:t> </w:t>
      </w:r>
      <w:r>
        <w:rPr/>
        <w:t>of</w:t>
      </w:r>
      <w:r>
        <w:rPr>
          <w:spacing w:val="-11"/>
        </w:rPr>
        <w:t> </w:t>
      </w:r>
      <w:r>
        <w:rPr/>
        <w:t>a motion to abate the litigation </w:t>
      </w:r>
      <w:r>
        <w:rPr>
          <w:spacing w:val="-4"/>
        </w:rPr>
        <w:t>proceedings.</w:t>
      </w:r>
      <w:r>
        <w:rPr>
          <w:spacing w:val="-4"/>
          <w:vertAlign w:val="superscript"/>
        </w:rPr>
        <w:t>540</w:t>
      </w:r>
      <w:r>
        <w:rPr>
          <w:spacing w:val="-4"/>
          <w:vertAlign w:val="baseline"/>
        </w:rPr>
        <w:t> </w:t>
      </w:r>
      <w:r>
        <w:rPr>
          <w:vertAlign w:val="baseline"/>
        </w:rPr>
        <w:t>This is because in Texas, litigation proceedings need not be abated while appraisal </w:t>
      </w:r>
      <w:r>
        <w:rPr>
          <w:spacing w:val="-4"/>
          <w:vertAlign w:val="baseline"/>
        </w:rPr>
        <w:t>moves </w:t>
      </w:r>
      <w:r>
        <w:rPr>
          <w:vertAlign w:val="baseline"/>
        </w:rPr>
        <w:t>forward.</w:t>
      </w:r>
      <w:r>
        <w:rPr>
          <w:vertAlign w:val="superscript"/>
        </w:rPr>
        <w:t>541</w:t>
      </w:r>
    </w:p>
    <w:p>
      <w:pPr>
        <w:pStyle w:val="BodyText"/>
        <w:spacing w:before="11"/>
        <w:rPr>
          <w:sz w:val="25"/>
        </w:rPr>
      </w:pPr>
    </w:p>
    <w:p>
      <w:pPr>
        <w:pStyle w:val="BodyText"/>
        <w:spacing w:line="242" w:lineRule="auto"/>
        <w:ind w:left="3100" w:right="3198" w:firstLine="720"/>
        <w:jc w:val="both"/>
      </w:pPr>
      <w:r>
        <w:rPr/>
        <w:pict>
          <v:shape style="position:absolute;margin-left:314.976013pt;margin-top:12.526185pt;width:288.650pt;height:60.95pt;mso-position-horizontal-relative:page;mso-position-vertical-relative:paragraph;z-index:-254105600" coordorigin="6300,251" coordsize="5773,1219" path="m12057,251l8934,251,8924,261,8924,494,8934,504,12057,504,12067,494,12067,261,12057,251xm12057,572l6310,572,6300,582,6300,815,6310,825,12057,825,12067,815,12067,582,12057,572xm12061,894l6310,894,6300,904,6300,1137,6310,1147,12061,1147,12072,1137,12072,904,12061,894xm12061,1215l6310,1215,6300,1226,6300,1458,6310,1469,12061,1469,12072,1458,12072,1226,12061,1215xe" filled="true" fillcolor="#7efdfd" stroked="false">
            <v:path arrowok="t"/>
            <v:fill type="solid"/>
            <w10:wrap type="none"/>
          </v:shape>
        </w:pict>
      </w:r>
      <w:r>
        <w:rPr/>
        <w:t>A</w:t>
      </w:r>
      <w:r>
        <w:rPr>
          <w:spacing w:val="-19"/>
        </w:rPr>
        <w:t> </w:t>
      </w:r>
      <w:r>
        <w:rPr/>
        <w:t>Texas</w:t>
      </w:r>
      <w:r>
        <w:rPr>
          <w:spacing w:val="-23"/>
        </w:rPr>
        <w:t> </w:t>
      </w:r>
      <w:r>
        <w:rPr/>
        <w:t>court</w:t>
      </w:r>
      <w:r>
        <w:rPr>
          <w:spacing w:val="-22"/>
        </w:rPr>
        <w:t> </w:t>
      </w:r>
      <w:r>
        <w:rPr/>
        <w:t>denied</w:t>
      </w:r>
      <w:r>
        <w:rPr>
          <w:spacing w:val="-21"/>
        </w:rPr>
        <w:t> </w:t>
      </w:r>
      <w:r>
        <w:rPr/>
        <w:t>an</w:t>
      </w:r>
      <w:r>
        <w:rPr>
          <w:spacing w:val="-23"/>
        </w:rPr>
        <w:t> </w:t>
      </w:r>
      <w:r>
        <w:rPr/>
        <w:t>insurer’s</w:t>
      </w:r>
      <w:r>
        <w:rPr>
          <w:spacing w:val="-22"/>
        </w:rPr>
        <w:t> </w:t>
      </w:r>
      <w:r>
        <w:rPr/>
        <w:t>petition in a decision where it examined mandamus relief in the context of appraisal issues, setting forth several established principles. While differentiating</w:t>
      </w:r>
      <w:r>
        <w:rPr>
          <w:spacing w:val="-35"/>
        </w:rPr>
        <w:t> </w:t>
      </w:r>
      <w:r>
        <w:rPr/>
        <w:t>the</w:t>
      </w:r>
      <w:r>
        <w:rPr>
          <w:spacing w:val="-35"/>
        </w:rPr>
        <w:t> </w:t>
      </w:r>
      <w:r>
        <w:rPr/>
        <w:t>circumstances</w:t>
      </w:r>
      <w:r>
        <w:rPr>
          <w:spacing w:val="-34"/>
        </w:rPr>
        <w:t> </w:t>
      </w:r>
      <w:r>
        <w:rPr/>
        <w:t>before</w:t>
      </w:r>
      <w:r>
        <w:rPr>
          <w:spacing w:val="-35"/>
        </w:rPr>
        <w:t> </w:t>
      </w:r>
      <w:r>
        <w:rPr/>
        <w:t>it</w:t>
      </w:r>
      <w:r>
        <w:rPr>
          <w:spacing w:val="-37"/>
        </w:rPr>
        <w:t> </w:t>
      </w:r>
      <w:r>
        <w:rPr/>
        <w:t>from those directly applicable to this rule </w:t>
      </w:r>
      <w:r>
        <w:rPr>
          <w:spacing w:val="2"/>
        </w:rPr>
        <w:t>since </w:t>
      </w:r>
      <w:r>
        <w:rPr/>
        <w:t>enforcement of appraisal was not at issue in the instant case, </w:t>
      </w:r>
      <w:r>
        <w:rPr>
          <w:spacing w:val="2"/>
        </w:rPr>
        <w:t>it </w:t>
      </w:r>
      <w:r>
        <w:rPr/>
        <w:t>asserted a state supreme court holding that “mandamus relief </w:t>
      </w:r>
      <w:r>
        <w:rPr>
          <w:spacing w:val="-5"/>
        </w:rPr>
        <w:t>is </w:t>
      </w:r>
      <w:r>
        <w:rPr/>
        <w:t>appropriate to enforce an appraisal clause because denying an appraisal would vitiate the insurer’s right to defend its breach of contract</w:t>
      </w:r>
      <w:r>
        <w:rPr>
          <w:spacing w:val="-27"/>
        </w:rPr>
        <w:t> </w:t>
      </w:r>
      <w:r>
        <w:rPr/>
        <w:t>claim.”</w:t>
      </w:r>
      <w:r>
        <w:rPr>
          <w:spacing w:val="18"/>
        </w:rPr>
        <w:t> </w:t>
      </w:r>
      <w:r>
        <w:rPr/>
        <w:t>A</w:t>
      </w:r>
      <w:r>
        <w:rPr>
          <w:spacing w:val="-22"/>
        </w:rPr>
        <w:t> </w:t>
      </w:r>
      <w:r>
        <w:rPr/>
        <w:t>more</w:t>
      </w:r>
      <w:r>
        <w:rPr>
          <w:spacing w:val="-28"/>
        </w:rPr>
        <w:t> </w:t>
      </w:r>
      <w:r>
        <w:rPr/>
        <w:t>recent</w:t>
      </w:r>
      <w:r>
        <w:rPr>
          <w:spacing w:val="-28"/>
        </w:rPr>
        <w:t> </w:t>
      </w:r>
      <w:r>
        <w:rPr/>
        <w:t>supreme</w:t>
      </w:r>
      <w:r>
        <w:rPr>
          <w:spacing w:val="-27"/>
        </w:rPr>
        <w:t> </w:t>
      </w:r>
      <w:r>
        <w:rPr/>
        <w:t>court decision held that “mandamus will not lie regarding the grant or denial of a motion to abate” and with respect to insurance appraisal,</w:t>
      </w:r>
      <w:r>
        <w:rPr>
          <w:spacing w:val="-21"/>
        </w:rPr>
        <w:t> </w:t>
      </w:r>
      <w:r>
        <w:rPr/>
        <w:t>“failure</w:t>
      </w:r>
      <w:r>
        <w:rPr>
          <w:spacing w:val="-17"/>
        </w:rPr>
        <w:t> </w:t>
      </w:r>
      <w:r>
        <w:rPr/>
        <w:t>to</w:t>
      </w:r>
      <w:r>
        <w:rPr>
          <w:spacing w:val="-17"/>
        </w:rPr>
        <w:t> </w:t>
      </w:r>
      <w:r>
        <w:rPr/>
        <w:t>grant</w:t>
      </w:r>
      <w:r>
        <w:rPr>
          <w:spacing w:val="-19"/>
        </w:rPr>
        <w:t> </w:t>
      </w:r>
      <w:r>
        <w:rPr/>
        <w:t>[a]</w:t>
      </w:r>
      <w:r>
        <w:rPr>
          <w:spacing w:val="-15"/>
        </w:rPr>
        <w:t> </w:t>
      </w:r>
      <w:r>
        <w:rPr/>
        <w:t>motion</w:t>
      </w:r>
      <w:r>
        <w:rPr>
          <w:spacing w:val="-17"/>
        </w:rPr>
        <w:t> </w:t>
      </w:r>
      <w:r>
        <w:rPr/>
        <w:t>to</w:t>
      </w:r>
      <w:r>
        <w:rPr>
          <w:spacing w:val="-19"/>
        </w:rPr>
        <w:t> </w:t>
      </w:r>
      <w:r>
        <w:rPr/>
        <w:t>abate</w:t>
      </w:r>
    </w:p>
    <w:p>
      <w:pPr>
        <w:pStyle w:val="BodyText"/>
        <w:rPr>
          <w:sz w:val="20"/>
        </w:rPr>
      </w:pPr>
    </w:p>
    <w:p>
      <w:pPr>
        <w:pStyle w:val="BodyText"/>
        <w:spacing w:before="1"/>
        <w:rPr>
          <w:sz w:val="10"/>
        </w:rPr>
      </w:pPr>
      <w:r>
        <w:rPr/>
        <w:pict>
          <v:shape style="position:absolute;margin-left:162pt;margin-top:8.626435pt;width:143.9pt;height:.1pt;mso-position-horizontal-relative:page;mso-position-vertical-relative:paragraph;z-index:-251481088;mso-wrap-distance-left:0;mso-wrap-distance-right:0" coordorigin="3240,173" coordsize="2878,0" path="m3240,173l6118,17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01" w:val="left" w:leader="none"/>
        </w:tabs>
        <w:spacing w:line="240" w:lineRule="auto" w:before="71" w:after="0"/>
        <w:ind w:left="3000" w:right="0" w:hanging="261"/>
        <w:jc w:val="left"/>
        <w:rPr>
          <w:sz w:val="18"/>
        </w:rPr>
      </w:pPr>
      <w:r>
        <w:rPr>
          <w:sz w:val="18"/>
          <w:u w:val="single"/>
        </w:rPr>
        <w:t>In</w:t>
      </w:r>
      <w:r>
        <w:rPr>
          <w:spacing w:val="-13"/>
          <w:sz w:val="18"/>
          <w:u w:val="single"/>
        </w:rPr>
        <w:t> </w:t>
      </w:r>
      <w:r>
        <w:rPr>
          <w:sz w:val="18"/>
          <w:u w:val="single"/>
        </w:rPr>
        <w:t>re</w:t>
      </w:r>
      <w:r>
        <w:rPr>
          <w:spacing w:val="-15"/>
          <w:sz w:val="18"/>
          <w:u w:val="single"/>
        </w:rPr>
        <w:t> </w:t>
      </w:r>
      <w:r>
        <w:rPr>
          <w:sz w:val="18"/>
          <w:u w:val="single"/>
        </w:rPr>
        <w:t>Liberty</w:t>
      </w:r>
      <w:r>
        <w:rPr>
          <w:spacing w:val="-18"/>
          <w:sz w:val="18"/>
          <w:u w:val="single"/>
        </w:rPr>
        <w:t> </w:t>
      </w:r>
      <w:r>
        <w:rPr>
          <w:sz w:val="18"/>
          <w:u w:val="single"/>
        </w:rPr>
        <w:t>Mut.</w:t>
      </w:r>
      <w:r>
        <w:rPr>
          <w:spacing w:val="-13"/>
          <w:sz w:val="18"/>
          <w:u w:val="single"/>
        </w:rPr>
        <w:t> </w:t>
      </w:r>
      <w:r>
        <w:rPr>
          <w:sz w:val="18"/>
          <w:u w:val="single"/>
        </w:rPr>
        <w:t>Group,</w:t>
      </w:r>
      <w:r>
        <w:rPr>
          <w:spacing w:val="-14"/>
          <w:sz w:val="18"/>
          <w:u w:val="single"/>
        </w:rPr>
        <w:t> </w:t>
      </w:r>
      <w:r>
        <w:rPr>
          <w:sz w:val="18"/>
          <w:u w:val="single"/>
        </w:rPr>
        <w:t>Inc.</w:t>
      </w:r>
      <w:r>
        <w:rPr>
          <w:sz w:val="18"/>
        </w:rPr>
        <w:t>,</w:t>
      </w:r>
      <w:r>
        <w:rPr>
          <w:spacing w:val="-14"/>
          <w:sz w:val="18"/>
        </w:rPr>
        <w:t> </w:t>
      </w:r>
      <w:r>
        <w:rPr>
          <w:sz w:val="18"/>
        </w:rPr>
        <w:t>2011</w:t>
      </w:r>
      <w:r>
        <w:rPr>
          <w:spacing w:val="-13"/>
          <w:sz w:val="18"/>
        </w:rPr>
        <w:t> </w:t>
      </w:r>
      <w:r>
        <w:rPr>
          <w:sz w:val="18"/>
        </w:rPr>
        <w:t>WL</w:t>
      </w:r>
      <w:r>
        <w:rPr>
          <w:spacing w:val="-16"/>
          <w:sz w:val="18"/>
        </w:rPr>
        <w:t> </w:t>
      </w:r>
      <w:r>
        <w:rPr>
          <w:sz w:val="18"/>
        </w:rPr>
        <w:t>2149482</w:t>
      </w:r>
      <w:r>
        <w:rPr>
          <w:spacing w:val="-13"/>
          <w:sz w:val="18"/>
        </w:rPr>
        <w:t> </w:t>
      </w:r>
      <w:r>
        <w:rPr>
          <w:sz w:val="18"/>
        </w:rPr>
        <w:t>(Tex.</w:t>
      </w:r>
      <w:r>
        <w:rPr>
          <w:spacing w:val="-14"/>
          <w:sz w:val="18"/>
        </w:rPr>
        <w:t> </w:t>
      </w:r>
      <w:r>
        <w:rPr>
          <w:sz w:val="18"/>
        </w:rPr>
        <w:t>App.-Houston</w:t>
      </w:r>
      <w:r>
        <w:rPr>
          <w:spacing w:val="-11"/>
          <w:sz w:val="18"/>
        </w:rPr>
        <w:t> </w:t>
      </w:r>
      <w:r>
        <w:rPr>
          <w:sz w:val="18"/>
        </w:rPr>
        <w:t>[14</w:t>
      </w:r>
      <w:r>
        <w:rPr>
          <w:spacing w:val="-11"/>
          <w:sz w:val="18"/>
        </w:rPr>
        <w:t> </w:t>
      </w:r>
      <w:r>
        <w:rPr>
          <w:sz w:val="18"/>
        </w:rPr>
        <w:t>Dist.]</w:t>
      </w:r>
      <w:r>
        <w:rPr>
          <w:spacing w:val="-9"/>
          <w:sz w:val="18"/>
        </w:rPr>
        <w:t> </w:t>
      </w:r>
      <w:r>
        <w:rPr>
          <w:sz w:val="18"/>
        </w:rPr>
        <w:t>2011).</w:t>
      </w:r>
    </w:p>
    <w:p>
      <w:pPr>
        <w:pStyle w:val="ListParagraph"/>
        <w:numPr>
          <w:ilvl w:val="0"/>
          <w:numId w:val="12"/>
        </w:numPr>
        <w:tabs>
          <w:tab w:pos="3015" w:val="left" w:leader="none"/>
        </w:tabs>
        <w:spacing w:line="240" w:lineRule="auto" w:before="14" w:after="0"/>
        <w:ind w:left="3014" w:right="0" w:hanging="275"/>
        <w:jc w:val="left"/>
        <w:rPr>
          <w:sz w:val="18"/>
        </w:rPr>
      </w:pPr>
      <w:r>
        <w:rPr>
          <w:i/>
          <w:sz w:val="18"/>
        </w:rPr>
        <w:t>See </w:t>
      </w:r>
      <w:r>
        <w:rPr>
          <w:sz w:val="18"/>
          <w:u w:val="single"/>
        </w:rPr>
        <w:t>In re Universal Und. of Texas Ins. Co.</w:t>
      </w:r>
      <w:r>
        <w:rPr>
          <w:sz w:val="18"/>
        </w:rPr>
        <w:t>, 2011 WL 1713278</w:t>
      </w:r>
      <w:r>
        <w:rPr>
          <w:spacing w:val="-5"/>
          <w:sz w:val="18"/>
        </w:rPr>
        <w:t> </w:t>
      </w:r>
      <w:r>
        <w:rPr>
          <w:sz w:val="18"/>
        </w:rPr>
        <w:t>(Tex.2011).</w:t>
      </w:r>
    </w:p>
    <w:p>
      <w:pPr>
        <w:spacing w:after="0" w:line="240" w:lineRule="auto"/>
        <w:jc w:val="left"/>
        <w:rPr>
          <w:sz w:val="18"/>
        </w:rPr>
        <w:sectPr>
          <w:footerReference w:type="default" r:id="rId55"/>
          <w:pgSz w:w="12240" w:h="15840"/>
          <w:pgMar w:footer="2273" w:header="0" w:top="1500" w:bottom="2460" w:left="140" w:right="40"/>
          <w:pgNumType w:start="287"/>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jc w:val="both"/>
      </w:pPr>
      <w:bookmarkStart w:name="Law and Procedure 249" w:id="65"/>
      <w:bookmarkEnd w:id="65"/>
      <w:r>
        <w:rPr/>
      </w:r>
      <w:r>
        <w:rPr/>
        <w:t>is not subject to mandamus, and the proceedings need not be abated while appraisal goes forward.”</w:t>
      </w:r>
      <w:r>
        <w:rPr>
          <w:vertAlign w:val="superscript"/>
        </w:rPr>
        <w:t>542</w:t>
      </w:r>
    </w:p>
    <w:p>
      <w:pPr>
        <w:pStyle w:val="BodyText"/>
        <w:spacing w:before="1"/>
      </w:pPr>
    </w:p>
    <w:p>
      <w:pPr>
        <w:pStyle w:val="BodyText"/>
        <w:spacing w:line="242" w:lineRule="auto"/>
        <w:ind w:left="3100" w:right="3196" w:firstLine="720"/>
        <w:jc w:val="both"/>
      </w:pPr>
      <w:r>
        <w:rPr>
          <w:spacing w:val="3"/>
        </w:rPr>
        <w:t>In </w:t>
      </w:r>
      <w:r>
        <w:rPr/>
        <w:t>the state of Florida, it is within the trial court’s discretion to determine the order in which property insurance coverage and loss issues</w:t>
      </w:r>
      <w:r>
        <w:rPr>
          <w:spacing w:val="-29"/>
        </w:rPr>
        <w:t> </w:t>
      </w:r>
      <w:r>
        <w:rPr/>
        <w:t>are</w:t>
      </w:r>
      <w:r>
        <w:rPr>
          <w:spacing w:val="-30"/>
        </w:rPr>
        <w:t> </w:t>
      </w:r>
      <w:r>
        <w:rPr/>
        <w:t>considered.</w:t>
      </w:r>
      <w:r>
        <w:rPr>
          <w:spacing w:val="10"/>
        </w:rPr>
        <w:t> </w:t>
      </w:r>
      <w:r>
        <w:rPr/>
        <w:t>However,</w:t>
      </w:r>
      <w:r>
        <w:rPr>
          <w:spacing w:val="-32"/>
        </w:rPr>
        <w:t> </w:t>
      </w:r>
      <w:r>
        <w:rPr/>
        <w:t>the</w:t>
      </w:r>
      <w:r>
        <w:rPr>
          <w:spacing w:val="-30"/>
        </w:rPr>
        <w:t> </w:t>
      </w:r>
      <w:r>
        <w:rPr/>
        <w:t>court</w:t>
      </w:r>
      <w:r>
        <w:rPr>
          <w:spacing w:val="-31"/>
        </w:rPr>
        <w:t> </w:t>
      </w:r>
      <w:r>
        <w:rPr>
          <w:spacing w:val="-3"/>
        </w:rPr>
        <w:t>must </w:t>
      </w:r>
      <w:r>
        <w:rPr/>
        <w:t>first make a determination as to whether an arbitrable issue exists. Therefore, before arbitration or appraisal under a policy can be compelled, the party seeking appraisal must demonstrate</w:t>
      </w:r>
      <w:r>
        <w:rPr>
          <w:spacing w:val="-32"/>
        </w:rPr>
        <w:t> </w:t>
      </w:r>
      <w:r>
        <w:rPr/>
        <w:t>that</w:t>
      </w:r>
      <w:r>
        <w:rPr>
          <w:spacing w:val="-31"/>
        </w:rPr>
        <w:t> </w:t>
      </w:r>
      <w:r>
        <w:rPr/>
        <w:t>a</w:t>
      </w:r>
      <w:r>
        <w:rPr>
          <w:spacing w:val="-30"/>
        </w:rPr>
        <w:t> </w:t>
      </w:r>
      <w:r>
        <w:rPr/>
        <w:t>disagreement</w:t>
      </w:r>
      <w:r>
        <w:rPr>
          <w:spacing w:val="-33"/>
        </w:rPr>
        <w:t> </w:t>
      </w:r>
      <w:r>
        <w:rPr/>
        <w:t>or</w:t>
      </w:r>
      <w:r>
        <w:rPr>
          <w:spacing w:val="-29"/>
        </w:rPr>
        <w:t> </w:t>
      </w:r>
      <w:r>
        <w:rPr/>
        <w:t>arbitrable issue</w:t>
      </w:r>
      <w:r>
        <w:rPr>
          <w:spacing w:val="-1"/>
        </w:rPr>
        <w:t> </w:t>
      </w:r>
      <w:r>
        <w:rPr/>
        <w:t>exists.</w:t>
      </w:r>
      <w:r>
        <w:rPr>
          <w:vertAlign w:val="superscript"/>
        </w:rPr>
        <w:t>543</w:t>
      </w:r>
    </w:p>
    <w:p>
      <w:pPr>
        <w:pStyle w:val="BodyText"/>
        <w:spacing w:before="11"/>
        <w:rPr>
          <w:sz w:val="25"/>
        </w:rPr>
      </w:pPr>
    </w:p>
    <w:p>
      <w:pPr>
        <w:pStyle w:val="BodyText"/>
        <w:spacing w:line="242" w:lineRule="auto" w:before="1"/>
        <w:ind w:left="3100" w:right="3195" w:firstLine="720"/>
        <w:jc w:val="both"/>
      </w:pPr>
      <w:r>
        <w:rPr>
          <w:spacing w:val="3"/>
        </w:rPr>
        <w:t>In </w:t>
      </w:r>
      <w:r>
        <w:rPr/>
        <w:t>Florida, a covenant for appraisal within an insurance policy to determine an amount</w:t>
      </w:r>
      <w:r>
        <w:rPr>
          <w:spacing w:val="-19"/>
        </w:rPr>
        <w:t> </w:t>
      </w:r>
      <w:r>
        <w:rPr/>
        <w:t>of</w:t>
      </w:r>
      <w:r>
        <w:rPr>
          <w:spacing w:val="-17"/>
        </w:rPr>
        <w:t> </w:t>
      </w:r>
      <w:r>
        <w:rPr/>
        <w:t>loss</w:t>
      </w:r>
      <w:r>
        <w:rPr>
          <w:spacing w:val="-15"/>
        </w:rPr>
        <w:t> </w:t>
      </w:r>
      <w:r>
        <w:rPr/>
        <w:t>has</w:t>
      </w:r>
      <w:r>
        <w:rPr>
          <w:spacing w:val="-15"/>
        </w:rPr>
        <w:t> </w:t>
      </w:r>
      <w:r>
        <w:rPr/>
        <w:t>been</w:t>
      </w:r>
      <w:r>
        <w:rPr>
          <w:spacing w:val="-16"/>
        </w:rPr>
        <w:t> </w:t>
      </w:r>
      <w:r>
        <w:rPr/>
        <w:t>deemed</w:t>
      </w:r>
      <w:r>
        <w:rPr>
          <w:spacing w:val="-18"/>
        </w:rPr>
        <w:t> </w:t>
      </w:r>
      <w:r>
        <w:rPr/>
        <w:t>binding.</w:t>
      </w:r>
      <w:r>
        <w:rPr>
          <w:spacing w:val="-19"/>
        </w:rPr>
        <w:t> </w:t>
      </w:r>
      <w:r>
        <w:rPr>
          <w:spacing w:val="3"/>
        </w:rPr>
        <w:t>In</w:t>
      </w:r>
      <w:r>
        <w:rPr>
          <w:spacing w:val="-19"/>
        </w:rPr>
        <w:t> </w:t>
      </w:r>
      <w:r>
        <w:rPr/>
        <w:t>a case where the subject policy provided that “the sum for which the insurer is liable shall</w:t>
      </w:r>
      <w:r>
        <w:rPr>
          <w:spacing w:val="-41"/>
        </w:rPr>
        <w:t> </w:t>
      </w:r>
      <w:r>
        <w:rPr/>
        <w:t>not become</w:t>
      </w:r>
      <w:r>
        <w:rPr>
          <w:spacing w:val="-12"/>
        </w:rPr>
        <w:t> </w:t>
      </w:r>
      <w:r>
        <w:rPr/>
        <w:t>payable</w:t>
      </w:r>
      <w:r>
        <w:rPr>
          <w:spacing w:val="-9"/>
        </w:rPr>
        <w:t> </w:t>
      </w:r>
      <w:r>
        <w:rPr/>
        <w:t>until</w:t>
      </w:r>
      <w:r>
        <w:rPr>
          <w:spacing w:val="-11"/>
        </w:rPr>
        <w:t> </w:t>
      </w:r>
      <w:r>
        <w:rPr/>
        <w:t>60</w:t>
      </w:r>
      <w:r>
        <w:rPr>
          <w:spacing w:val="-7"/>
        </w:rPr>
        <w:t> </w:t>
      </w:r>
      <w:r>
        <w:rPr/>
        <w:t>days</w:t>
      </w:r>
      <w:r>
        <w:rPr>
          <w:spacing w:val="-9"/>
        </w:rPr>
        <w:t> </w:t>
      </w:r>
      <w:r>
        <w:rPr/>
        <w:t>after</w:t>
      </w:r>
      <w:r>
        <w:rPr>
          <w:spacing w:val="-12"/>
        </w:rPr>
        <w:t> </w:t>
      </w:r>
      <w:r>
        <w:rPr/>
        <w:t>an</w:t>
      </w:r>
      <w:r>
        <w:rPr>
          <w:spacing w:val="-11"/>
        </w:rPr>
        <w:t> </w:t>
      </w:r>
      <w:r>
        <w:rPr/>
        <w:t>award by such arbitrators has been received by the insurer, when an appraisal has been required, or that no suit upon the policy shall be sustainable until after full compliance by the insured with all of such requirements,”</w:t>
      </w:r>
      <w:r>
        <w:rPr>
          <w:spacing w:val="15"/>
        </w:rPr>
        <w:t> </w:t>
      </w:r>
      <w:r>
        <w:rPr/>
        <w:t>then</w:t>
      </w:r>
    </w:p>
    <w:p>
      <w:pPr>
        <w:pStyle w:val="BodyText"/>
        <w:rPr>
          <w:sz w:val="20"/>
        </w:rPr>
      </w:pPr>
    </w:p>
    <w:p>
      <w:pPr>
        <w:pStyle w:val="BodyText"/>
        <w:spacing w:before="2"/>
        <w:rPr>
          <w:sz w:val="14"/>
        </w:rPr>
      </w:pPr>
      <w:r>
        <w:rPr/>
        <w:pict>
          <v:shape style="position:absolute;margin-left:162pt;margin-top:11.113008pt;width:143.9pt;height:.1pt;mso-position-horizontal-relative:page;mso-position-vertical-relative:paragraph;z-index:-251478016;mso-wrap-distance-left:0;mso-wrap-distance-right:0" coordorigin="3240,222" coordsize="2878,0" path="m3240,222l6118,222e" filled="false" stroked="true" strokeweight=".84pt" strokecolor="#000000">
            <v:path arrowok="t"/>
            <v:stroke dashstyle="solid"/>
            <w10:wrap type="topAndBottom"/>
          </v:shape>
        </w:pict>
      </w:r>
    </w:p>
    <w:p>
      <w:pPr>
        <w:pStyle w:val="ListParagraph"/>
        <w:numPr>
          <w:ilvl w:val="0"/>
          <w:numId w:val="12"/>
        </w:numPr>
        <w:tabs>
          <w:tab w:pos="3001" w:val="left" w:leader="none"/>
        </w:tabs>
        <w:spacing w:line="247" w:lineRule="auto" w:before="149" w:after="0"/>
        <w:ind w:left="2740" w:right="2839" w:firstLine="0"/>
        <w:jc w:val="both"/>
        <w:rPr>
          <w:sz w:val="24"/>
        </w:rPr>
      </w:pPr>
      <w:r>
        <w:rPr>
          <w:sz w:val="18"/>
          <w:u w:val="single"/>
        </w:rPr>
        <w:t>In re Liberty Mut. Group Inc.</w:t>
      </w:r>
      <w:r>
        <w:rPr>
          <w:sz w:val="18"/>
        </w:rPr>
        <w:t>, 2011 WL 2149482, citing </w:t>
      </w:r>
      <w:r>
        <w:rPr>
          <w:sz w:val="18"/>
          <w:u w:val="single"/>
        </w:rPr>
        <w:t>In re Allstate Cnty. Mut. Ins. Co.</w:t>
      </w:r>
      <w:r>
        <w:rPr>
          <w:sz w:val="18"/>
        </w:rPr>
        <w:t>,</w:t>
      </w:r>
      <w:r>
        <w:rPr>
          <w:spacing w:val="-3"/>
          <w:sz w:val="18"/>
        </w:rPr>
        <w:t> </w:t>
      </w:r>
      <w:r>
        <w:rPr>
          <w:sz w:val="18"/>
        </w:rPr>
        <w:t>85</w:t>
      </w:r>
      <w:r>
        <w:rPr>
          <w:spacing w:val="-5"/>
          <w:sz w:val="18"/>
        </w:rPr>
        <w:t> </w:t>
      </w:r>
      <w:r>
        <w:rPr>
          <w:sz w:val="18"/>
        </w:rPr>
        <w:t>S.W.3d</w:t>
      </w:r>
      <w:r>
        <w:rPr>
          <w:spacing w:val="-3"/>
          <w:sz w:val="18"/>
        </w:rPr>
        <w:t> </w:t>
      </w:r>
      <w:r>
        <w:rPr>
          <w:sz w:val="18"/>
        </w:rPr>
        <w:t>193,</w:t>
      </w:r>
      <w:r>
        <w:rPr>
          <w:spacing w:val="-3"/>
          <w:sz w:val="18"/>
        </w:rPr>
        <w:t> </w:t>
      </w:r>
      <w:r>
        <w:rPr>
          <w:sz w:val="18"/>
        </w:rPr>
        <w:t>196</w:t>
      </w:r>
      <w:r>
        <w:rPr>
          <w:spacing w:val="-6"/>
          <w:sz w:val="18"/>
        </w:rPr>
        <w:t> </w:t>
      </w:r>
      <w:r>
        <w:rPr>
          <w:sz w:val="18"/>
        </w:rPr>
        <w:t>(Tex.</w:t>
      </w:r>
      <w:r>
        <w:rPr>
          <w:spacing w:val="-6"/>
          <w:sz w:val="18"/>
        </w:rPr>
        <w:t> </w:t>
      </w:r>
      <w:r>
        <w:rPr>
          <w:sz w:val="18"/>
        </w:rPr>
        <w:t>2002)</w:t>
      </w:r>
      <w:r>
        <w:rPr>
          <w:spacing w:val="-7"/>
          <w:sz w:val="18"/>
        </w:rPr>
        <w:t> </w:t>
      </w:r>
      <w:r>
        <w:rPr>
          <w:sz w:val="18"/>
        </w:rPr>
        <w:t>and</w:t>
      </w:r>
      <w:r>
        <w:rPr>
          <w:spacing w:val="-5"/>
          <w:sz w:val="18"/>
        </w:rPr>
        <w:t> </w:t>
      </w:r>
      <w:r>
        <w:rPr>
          <w:sz w:val="18"/>
          <w:u w:val="single"/>
        </w:rPr>
        <w:t>In</w:t>
      </w:r>
      <w:r>
        <w:rPr>
          <w:spacing w:val="-6"/>
          <w:sz w:val="18"/>
          <w:u w:val="single"/>
        </w:rPr>
        <w:t> </w:t>
      </w:r>
      <w:r>
        <w:rPr>
          <w:sz w:val="18"/>
          <w:u w:val="single"/>
        </w:rPr>
        <w:t>re</w:t>
      </w:r>
      <w:r>
        <w:rPr>
          <w:spacing w:val="-8"/>
          <w:sz w:val="18"/>
          <w:u w:val="single"/>
        </w:rPr>
        <w:t> </w:t>
      </w:r>
      <w:r>
        <w:rPr>
          <w:sz w:val="18"/>
          <w:u w:val="single"/>
        </w:rPr>
        <w:t>Universal</w:t>
      </w:r>
      <w:r>
        <w:rPr>
          <w:spacing w:val="-9"/>
          <w:sz w:val="18"/>
          <w:u w:val="single"/>
        </w:rPr>
        <w:t> </w:t>
      </w:r>
      <w:r>
        <w:rPr>
          <w:sz w:val="18"/>
          <w:u w:val="single"/>
        </w:rPr>
        <w:t>Und.</w:t>
      </w:r>
      <w:r>
        <w:rPr>
          <w:spacing w:val="-6"/>
          <w:sz w:val="18"/>
          <w:u w:val="single"/>
        </w:rPr>
        <w:t> </w:t>
      </w:r>
      <w:r>
        <w:rPr>
          <w:sz w:val="18"/>
          <w:u w:val="single"/>
        </w:rPr>
        <w:t>of</w:t>
      </w:r>
      <w:r>
        <w:rPr>
          <w:spacing w:val="-8"/>
          <w:sz w:val="18"/>
          <w:u w:val="single"/>
        </w:rPr>
        <w:t> </w:t>
      </w:r>
      <w:r>
        <w:rPr>
          <w:sz w:val="18"/>
          <w:u w:val="single"/>
        </w:rPr>
        <w:t>Texas</w:t>
      </w:r>
      <w:r>
        <w:rPr>
          <w:spacing w:val="-8"/>
          <w:sz w:val="18"/>
          <w:u w:val="single"/>
        </w:rPr>
        <w:t> </w:t>
      </w:r>
      <w:r>
        <w:rPr>
          <w:sz w:val="18"/>
          <w:u w:val="single"/>
        </w:rPr>
        <w:t>Ins.</w:t>
      </w:r>
      <w:r>
        <w:rPr>
          <w:spacing w:val="-7"/>
          <w:sz w:val="18"/>
          <w:u w:val="single"/>
        </w:rPr>
        <w:t> </w:t>
      </w:r>
      <w:r>
        <w:rPr>
          <w:sz w:val="18"/>
          <w:u w:val="single"/>
        </w:rPr>
        <w:t>Co.</w:t>
      </w:r>
      <w:r>
        <w:rPr>
          <w:sz w:val="18"/>
        </w:rPr>
        <w:t>,</w:t>
      </w:r>
      <w:r>
        <w:rPr>
          <w:spacing w:val="-6"/>
          <w:sz w:val="18"/>
        </w:rPr>
        <w:t> </w:t>
      </w:r>
      <w:r>
        <w:rPr>
          <w:sz w:val="18"/>
        </w:rPr>
        <w:t>2011</w:t>
      </w:r>
      <w:r>
        <w:rPr>
          <w:spacing w:val="-5"/>
          <w:sz w:val="18"/>
        </w:rPr>
        <w:t> </w:t>
      </w:r>
      <w:r>
        <w:rPr>
          <w:sz w:val="18"/>
        </w:rPr>
        <w:t>WL 1713278 at </w:t>
      </w:r>
      <w:r>
        <w:rPr>
          <w:spacing w:val="-3"/>
          <w:sz w:val="18"/>
        </w:rPr>
        <w:t>*7 </w:t>
      </w:r>
      <w:r>
        <w:rPr>
          <w:sz w:val="18"/>
        </w:rPr>
        <w:t>n.5 (Tex.,</w:t>
      </w:r>
      <w:r>
        <w:rPr>
          <w:spacing w:val="6"/>
          <w:sz w:val="18"/>
        </w:rPr>
        <w:t> </w:t>
      </w:r>
      <w:r>
        <w:rPr>
          <w:sz w:val="18"/>
        </w:rPr>
        <w:t>2011)</w:t>
      </w:r>
      <w:r>
        <w:rPr>
          <w:sz w:val="24"/>
        </w:rPr>
        <w:t>.</w:t>
      </w:r>
    </w:p>
    <w:p>
      <w:pPr>
        <w:pStyle w:val="ListParagraph"/>
        <w:numPr>
          <w:ilvl w:val="0"/>
          <w:numId w:val="12"/>
        </w:numPr>
        <w:tabs>
          <w:tab w:pos="3003" w:val="left" w:leader="none"/>
        </w:tabs>
        <w:spacing w:line="226" w:lineRule="exact" w:before="41" w:after="0"/>
        <w:ind w:left="2740" w:right="2850" w:firstLine="0"/>
        <w:jc w:val="both"/>
        <w:rPr>
          <w:sz w:val="18"/>
        </w:rPr>
      </w:pPr>
      <w:r>
        <w:rPr>
          <w:i/>
          <w:sz w:val="18"/>
        </w:rPr>
        <w:t>See</w:t>
      </w:r>
      <w:r>
        <w:rPr>
          <w:i/>
          <w:spacing w:val="-15"/>
          <w:sz w:val="18"/>
        </w:rPr>
        <w:t> </w:t>
      </w:r>
      <w:r>
        <w:rPr>
          <w:sz w:val="18"/>
          <w:u w:val="single"/>
        </w:rPr>
        <w:t>Citizens</w:t>
      </w:r>
      <w:r>
        <w:rPr>
          <w:spacing w:val="-14"/>
          <w:sz w:val="18"/>
          <w:u w:val="single"/>
        </w:rPr>
        <w:t> </w:t>
      </w:r>
      <w:r>
        <w:rPr>
          <w:sz w:val="18"/>
          <w:u w:val="single"/>
        </w:rPr>
        <w:t>Prop.</w:t>
      </w:r>
      <w:r>
        <w:rPr>
          <w:spacing w:val="-14"/>
          <w:sz w:val="18"/>
          <w:u w:val="single"/>
        </w:rPr>
        <w:t> </w:t>
      </w:r>
      <w:r>
        <w:rPr>
          <w:sz w:val="18"/>
          <w:u w:val="single"/>
        </w:rPr>
        <w:t>Ins.</w:t>
      </w:r>
      <w:r>
        <w:rPr>
          <w:spacing w:val="-13"/>
          <w:sz w:val="18"/>
          <w:u w:val="single"/>
        </w:rPr>
        <w:t> </w:t>
      </w:r>
      <w:r>
        <w:rPr>
          <w:sz w:val="18"/>
          <w:u w:val="single"/>
        </w:rPr>
        <w:t>Corp.</w:t>
      </w:r>
      <w:r>
        <w:rPr>
          <w:spacing w:val="-14"/>
          <w:sz w:val="18"/>
          <w:u w:val="single"/>
        </w:rPr>
        <w:t> </w:t>
      </w:r>
      <w:r>
        <w:rPr>
          <w:sz w:val="18"/>
          <w:u w:val="single"/>
        </w:rPr>
        <w:t>v.</w:t>
      </w:r>
      <w:r>
        <w:rPr>
          <w:spacing w:val="-13"/>
          <w:sz w:val="18"/>
          <w:u w:val="single"/>
        </w:rPr>
        <w:t> </w:t>
      </w:r>
      <w:r>
        <w:rPr>
          <w:sz w:val="18"/>
          <w:u w:val="single"/>
        </w:rPr>
        <w:t>Mango</w:t>
      </w:r>
      <w:r>
        <w:rPr>
          <w:spacing w:val="-13"/>
          <w:sz w:val="18"/>
          <w:u w:val="single"/>
        </w:rPr>
        <w:t> </w:t>
      </w:r>
      <w:r>
        <w:rPr>
          <w:sz w:val="18"/>
          <w:u w:val="single"/>
        </w:rPr>
        <w:t>Hill</w:t>
      </w:r>
      <w:r>
        <w:rPr>
          <w:spacing w:val="-13"/>
          <w:sz w:val="18"/>
          <w:u w:val="single"/>
        </w:rPr>
        <w:t> </w:t>
      </w:r>
      <w:r>
        <w:rPr>
          <w:sz w:val="18"/>
          <w:u w:val="single"/>
        </w:rPr>
        <w:t>Condominium</w:t>
      </w:r>
      <w:r>
        <w:rPr>
          <w:spacing w:val="-16"/>
          <w:sz w:val="18"/>
          <w:u w:val="single"/>
        </w:rPr>
        <w:t> </w:t>
      </w:r>
      <w:r>
        <w:rPr>
          <w:sz w:val="18"/>
          <w:u w:val="single"/>
        </w:rPr>
        <w:t>Ass’n</w:t>
      </w:r>
      <w:r>
        <w:rPr>
          <w:spacing w:val="-12"/>
          <w:sz w:val="18"/>
          <w:u w:val="single"/>
        </w:rPr>
        <w:t> </w:t>
      </w:r>
      <w:r>
        <w:rPr>
          <w:sz w:val="18"/>
          <w:u w:val="single"/>
        </w:rPr>
        <w:t>12,</w:t>
      </w:r>
      <w:r>
        <w:rPr>
          <w:spacing w:val="-10"/>
          <w:sz w:val="18"/>
          <w:u w:val="single"/>
        </w:rPr>
        <w:t> </w:t>
      </w:r>
      <w:r>
        <w:rPr>
          <w:sz w:val="18"/>
          <w:u w:val="single"/>
        </w:rPr>
        <w:t>Inc.</w:t>
      </w:r>
      <w:r>
        <w:rPr>
          <w:sz w:val="18"/>
        </w:rPr>
        <w:t>,</w:t>
      </w:r>
      <w:r>
        <w:rPr>
          <w:spacing w:val="-11"/>
          <w:sz w:val="18"/>
        </w:rPr>
        <w:t> </w:t>
      </w:r>
      <w:r>
        <w:rPr>
          <w:sz w:val="18"/>
        </w:rPr>
        <w:t>54</w:t>
      </w:r>
      <w:r>
        <w:rPr>
          <w:spacing w:val="-11"/>
          <w:sz w:val="18"/>
        </w:rPr>
        <w:t> </w:t>
      </w:r>
      <w:r>
        <w:rPr>
          <w:sz w:val="18"/>
        </w:rPr>
        <w:t>So.3d</w:t>
      </w:r>
      <w:r>
        <w:rPr>
          <w:spacing w:val="-11"/>
          <w:sz w:val="18"/>
        </w:rPr>
        <w:t> </w:t>
      </w:r>
      <w:r>
        <w:rPr>
          <w:sz w:val="18"/>
        </w:rPr>
        <w:t>578, 36 Fla L. Weekly D298 (Fla. 3d DCA</w:t>
      </w:r>
      <w:r>
        <w:rPr>
          <w:spacing w:val="-4"/>
          <w:sz w:val="18"/>
        </w:rPr>
        <w:t> </w:t>
      </w:r>
      <w:r>
        <w:rPr>
          <w:sz w:val="18"/>
        </w:rPr>
        <w:t>2011).</w:t>
      </w:r>
    </w:p>
    <w:p>
      <w:pPr>
        <w:spacing w:after="0" w:line="226" w:lineRule="exact"/>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50" w:id="66"/>
      <w:bookmarkEnd w:id="66"/>
      <w:r>
        <w:rPr/>
      </w:r>
      <w:r>
        <w:rPr>
          <w:spacing w:val="6"/>
        </w:rPr>
        <w:t>arbitration </w:t>
      </w:r>
      <w:r>
        <w:rPr>
          <w:spacing w:val="4"/>
        </w:rPr>
        <w:t>and award are </w:t>
      </w:r>
      <w:r>
        <w:rPr>
          <w:spacing w:val="6"/>
        </w:rPr>
        <w:t>conditions </w:t>
      </w:r>
      <w:r>
        <w:rPr/>
        <w:t>precedent to an insured’s right to pursue an action on the policy. </w:t>
      </w:r>
      <w:r>
        <w:rPr>
          <w:spacing w:val="3"/>
        </w:rPr>
        <w:t>In </w:t>
      </w:r>
      <w:r>
        <w:rPr/>
        <w:t>that case, an insurer promptly</w:t>
      </w:r>
      <w:r>
        <w:rPr>
          <w:spacing w:val="-27"/>
        </w:rPr>
        <w:t> </w:t>
      </w:r>
      <w:r>
        <w:rPr/>
        <w:t>demanded</w:t>
      </w:r>
      <w:r>
        <w:rPr>
          <w:spacing w:val="-27"/>
        </w:rPr>
        <w:t> </w:t>
      </w:r>
      <w:r>
        <w:rPr/>
        <w:t>appraisal</w:t>
      </w:r>
      <w:r>
        <w:rPr>
          <w:spacing w:val="-24"/>
        </w:rPr>
        <w:t> </w:t>
      </w:r>
      <w:r>
        <w:rPr/>
        <w:t>pursuant</w:t>
      </w:r>
      <w:r>
        <w:rPr>
          <w:spacing w:val="-25"/>
        </w:rPr>
        <w:t> </w:t>
      </w:r>
      <w:r>
        <w:rPr/>
        <w:t>to</w:t>
      </w:r>
      <w:r>
        <w:rPr>
          <w:spacing w:val="-25"/>
        </w:rPr>
        <w:t> </w:t>
      </w:r>
      <w:r>
        <w:rPr/>
        <w:t>the policy but the request was declined by the insureds without reason. Thus, conditions precedent were not met in order for insureds’ right to maintain an action under the</w:t>
      </w:r>
      <w:r>
        <w:rPr>
          <w:spacing w:val="-51"/>
        </w:rPr>
        <w:t> </w:t>
      </w:r>
      <w:r>
        <w:rPr>
          <w:spacing w:val="-5"/>
        </w:rPr>
        <w:t>policy.</w:t>
      </w:r>
      <w:r>
        <w:rPr>
          <w:spacing w:val="-5"/>
          <w:vertAlign w:val="superscript"/>
        </w:rPr>
        <w:t>544</w:t>
      </w:r>
    </w:p>
    <w:p>
      <w:pPr>
        <w:pStyle w:val="BodyText"/>
        <w:spacing w:before="12"/>
        <w:rPr>
          <w:sz w:val="25"/>
        </w:rPr>
      </w:pPr>
    </w:p>
    <w:p>
      <w:pPr>
        <w:pStyle w:val="BodyText"/>
        <w:spacing w:line="242" w:lineRule="auto"/>
        <w:ind w:left="3100" w:right="3198" w:firstLine="720"/>
        <w:jc w:val="both"/>
      </w:pPr>
      <w:r>
        <w:rPr>
          <w:spacing w:val="3"/>
        </w:rPr>
        <w:t>In</w:t>
      </w:r>
      <w:r>
        <w:rPr>
          <w:spacing w:val="-17"/>
        </w:rPr>
        <w:t> </w:t>
      </w:r>
      <w:r>
        <w:rPr/>
        <w:t>Massachusetts,</w:t>
      </w:r>
      <w:r>
        <w:rPr>
          <w:spacing w:val="-21"/>
        </w:rPr>
        <w:t> </w:t>
      </w:r>
      <w:r>
        <w:rPr/>
        <w:t>both</w:t>
      </w:r>
      <w:r>
        <w:rPr>
          <w:spacing w:val="-17"/>
        </w:rPr>
        <w:t> </w:t>
      </w:r>
      <w:r>
        <w:rPr/>
        <w:t>state</w:t>
      </w:r>
      <w:r>
        <w:rPr>
          <w:spacing w:val="-19"/>
        </w:rPr>
        <w:t> </w:t>
      </w:r>
      <w:r>
        <w:rPr/>
        <w:t>and</w:t>
      </w:r>
      <w:r>
        <w:rPr>
          <w:spacing w:val="-17"/>
        </w:rPr>
        <w:t> </w:t>
      </w:r>
      <w:r>
        <w:rPr/>
        <w:t>federal courts applying state law require a reference to a three-person panel of disinterested referees to evaluate the amount of loss, a </w:t>
      </w:r>
      <w:r>
        <w:rPr>
          <w:spacing w:val="4"/>
        </w:rPr>
        <w:t>factual question, in the event </w:t>
      </w:r>
      <w:r>
        <w:rPr>
          <w:spacing w:val="3"/>
        </w:rPr>
        <w:t>of </w:t>
      </w:r>
      <w:r>
        <w:rPr/>
        <w:t>a </w:t>
      </w:r>
      <w:r>
        <w:rPr>
          <w:spacing w:val="8"/>
        </w:rPr>
        <w:t>disagreement between </w:t>
      </w:r>
      <w:r>
        <w:rPr>
          <w:spacing w:val="7"/>
        </w:rPr>
        <w:t>parties. </w:t>
      </w:r>
      <w:r>
        <w:rPr>
          <w:spacing w:val="6"/>
        </w:rPr>
        <w:t>Under </w:t>
      </w:r>
      <w:r>
        <w:rPr/>
        <w:t>circumstances where an insured did </w:t>
      </w:r>
      <w:r>
        <w:rPr>
          <w:spacing w:val="-4"/>
        </w:rPr>
        <w:t>not </w:t>
      </w:r>
      <w:r>
        <w:rPr>
          <w:spacing w:val="-3"/>
        </w:rPr>
        <w:t>request</w:t>
      </w:r>
      <w:r>
        <w:rPr>
          <w:spacing w:val="-37"/>
        </w:rPr>
        <w:t> </w:t>
      </w:r>
      <w:r>
        <w:rPr>
          <w:spacing w:val="-3"/>
        </w:rPr>
        <w:t>such</w:t>
      </w:r>
      <w:r>
        <w:rPr>
          <w:spacing w:val="-34"/>
        </w:rPr>
        <w:t> </w:t>
      </w:r>
      <w:r>
        <w:rPr>
          <w:spacing w:val="-3"/>
        </w:rPr>
        <w:t>proceedings</w:t>
      </w:r>
      <w:r>
        <w:rPr>
          <w:spacing w:val="-34"/>
        </w:rPr>
        <w:t> </w:t>
      </w:r>
      <w:r>
        <w:rPr>
          <w:spacing w:val="-3"/>
        </w:rPr>
        <w:t>before</w:t>
      </w:r>
      <w:r>
        <w:rPr>
          <w:spacing w:val="-35"/>
        </w:rPr>
        <w:t> </w:t>
      </w:r>
      <w:r>
        <w:rPr/>
        <w:t>commencing an action, a court deemed compliance </w:t>
      </w:r>
      <w:r>
        <w:rPr>
          <w:spacing w:val="-4"/>
        </w:rPr>
        <w:t>with </w:t>
      </w:r>
      <w:r>
        <w:rPr/>
        <w:t>this</w:t>
      </w:r>
      <w:r>
        <w:rPr>
          <w:spacing w:val="-33"/>
        </w:rPr>
        <w:t> </w:t>
      </w:r>
      <w:r>
        <w:rPr>
          <w:spacing w:val="-3"/>
        </w:rPr>
        <w:t>reference</w:t>
      </w:r>
      <w:r>
        <w:rPr>
          <w:spacing w:val="-35"/>
        </w:rPr>
        <w:t> </w:t>
      </w:r>
      <w:r>
        <w:rPr/>
        <w:t>provision</w:t>
      </w:r>
      <w:r>
        <w:rPr>
          <w:spacing w:val="-31"/>
        </w:rPr>
        <w:t> </w:t>
      </w:r>
      <w:r>
        <w:rPr/>
        <w:t>“a</w:t>
      </w:r>
      <w:r>
        <w:rPr>
          <w:spacing w:val="-31"/>
        </w:rPr>
        <w:t> </w:t>
      </w:r>
      <w:r>
        <w:rPr/>
        <w:t>condition</w:t>
      </w:r>
      <w:r>
        <w:rPr>
          <w:spacing w:val="-34"/>
        </w:rPr>
        <w:t> </w:t>
      </w:r>
      <w:r>
        <w:rPr>
          <w:spacing w:val="-3"/>
        </w:rPr>
        <w:t>precedent </w:t>
      </w:r>
      <w:r>
        <w:rPr/>
        <w:t>to ‘any right of action in law or equity to recover for such loss.’” </w:t>
      </w:r>
      <w:r>
        <w:rPr>
          <w:spacing w:val="3"/>
        </w:rPr>
        <w:t>In </w:t>
      </w:r>
      <w:r>
        <w:rPr/>
        <w:t>that case, summary judgment was properly awarded by the</w:t>
      </w:r>
      <w:r>
        <w:rPr>
          <w:spacing w:val="-36"/>
        </w:rPr>
        <w:t> </w:t>
      </w:r>
      <w:r>
        <w:rPr/>
        <w:t>lower court based on this affirmative defense as raised by the adjuster and</w:t>
      </w:r>
      <w:r>
        <w:rPr>
          <w:spacing w:val="-9"/>
        </w:rPr>
        <w:t> </w:t>
      </w:r>
      <w:r>
        <w:rPr/>
        <w:t>insurer.</w:t>
      </w:r>
      <w:r>
        <w:rPr>
          <w:u w:val="single"/>
          <w:vertAlign w:val="superscript"/>
        </w:rPr>
        <w:t>545</w:t>
      </w:r>
    </w:p>
    <w:p>
      <w:pPr>
        <w:pStyle w:val="BodyText"/>
        <w:spacing w:before="9"/>
        <w:rPr>
          <w:sz w:val="25"/>
        </w:rPr>
      </w:pPr>
    </w:p>
    <w:p>
      <w:pPr>
        <w:pStyle w:val="BodyText"/>
        <w:spacing w:line="242" w:lineRule="auto"/>
        <w:ind w:left="3100" w:right="3198" w:firstLine="720"/>
        <w:jc w:val="both"/>
      </w:pPr>
      <w:r>
        <w:rPr/>
        <w:t>This ruling is consistent with that of another Florida case  which provided additional explanation where coverage was contested and insureds sought to compel</w:t>
      </w:r>
    </w:p>
    <w:p>
      <w:pPr>
        <w:pStyle w:val="BodyText"/>
        <w:spacing w:before="2"/>
        <w:rPr>
          <w:sz w:val="19"/>
        </w:rPr>
      </w:pPr>
      <w:r>
        <w:rPr/>
        <w:pict>
          <v:shape style="position:absolute;margin-left:162pt;margin-top:14.171723pt;width:143.9pt;height:.1pt;mso-position-horizontal-relative:page;mso-position-vertical-relative:paragraph;z-index:-251476992;mso-wrap-distance-left:0;mso-wrap-distance-right:0" coordorigin="3240,283" coordsize="2878,0" path="m3240,283l6118,28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15" w:val="left" w:leader="none"/>
        </w:tabs>
        <w:spacing w:line="248" w:lineRule="exact" w:before="71" w:after="0"/>
        <w:ind w:left="3014" w:right="0" w:hanging="275"/>
        <w:jc w:val="left"/>
        <w:rPr>
          <w:sz w:val="18"/>
        </w:rPr>
      </w:pPr>
      <w:r>
        <w:rPr>
          <w:sz w:val="18"/>
          <w:u w:val="single"/>
        </w:rPr>
        <w:t>Southern Home Ins, Co. v. Faulkner</w:t>
      </w:r>
      <w:r>
        <w:rPr>
          <w:sz w:val="18"/>
        </w:rPr>
        <w:t>, 49 So.2d 542 (Fla.</w:t>
      </w:r>
      <w:r>
        <w:rPr>
          <w:spacing w:val="3"/>
          <w:sz w:val="18"/>
        </w:rPr>
        <w:t> </w:t>
      </w:r>
      <w:r>
        <w:rPr>
          <w:sz w:val="18"/>
        </w:rPr>
        <w:t>1909).</w:t>
      </w:r>
    </w:p>
    <w:p>
      <w:pPr>
        <w:pStyle w:val="ListParagraph"/>
        <w:numPr>
          <w:ilvl w:val="0"/>
          <w:numId w:val="12"/>
        </w:numPr>
        <w:tabs>
          <w:tab w:pos="2996" w:val="left" w:leader="none"/>
        </w:tabs>
        <w:spacing w:line="248" w:lineRule="exact" w:before="0" w:after="0"/>
        <w:ind w:left="2995" w:right="0" w:hanging="256"/>
        <w:jc w:val="left"/>
        <w:rPr>
          <w:sz w:val="18"/>
        </w:rPr>
      </w:pPr>
      <w:r>
        <w:rPr>
          <w:sz w:val="18"/>
          <w:u w:val="single"/>
        </w:rPr>
        <w:t>L</w:t>
      </w:r>
      <w:r>
        <w:rPr>
          <w:spacing w:val="-8"/>
          <w:sz w:val="18"/>
          <w:u w:val="single"/>
        </w:rPr>
        <w:t> </w:t>
      </w:r>
      <w:r>
        <w:rPr>
          <w:sz w:val="18"/>
          <w:u w:val="single"/>
        </w:rPr>
        <w:t>&amp;</w:t>
      </w:r>
      <w:r>
        <w:rPr>
          <w:spacing w:val="-8"/>
          <w:sz w:val="18"/>
          <w:u w:val="single"/>
        </w:rPr>
        <w:t> </w:t>
      </w:r>
      <w:r>
        <w:rPr>
          <w:sz w:val="18"/>
          <w:u w:val="single"/>
        </w:rPr>
        <w:t>B</w:t>
      </w:r>
      <w:r>
        <w:rPr>
          <w:spacing w:val="-7"/>
          <w:sz w:val="18"/>
          <w:u w:val="single"/>
        </w:rPr>
        <w:t> </w:t>
      </w:r>
      <w:r>
        <w:rPr>
          <w:sz w:val="18"/>
          <w:u w:val="single"/>
        </w:rPr>
        <w:t>Realty,</w:t>
      </w:r>
      <w:r>
        <w:rPr>
          <w:spacing w:val="-6"/>
          <w:sz w:val="18"/>
          <w:u w:val="single"/>
        </w:rPr>
        <w:t> </w:t>
      </w:r>
      <w:r>
        <w:rPr>
          <w:sz w:val="18"/>
          <w:u w:val="single"/>
        </w:rPr>
        <w:t>Inc.</w:t>
      </w:r>
      <w:r>
        <w:rPr>
          <w:spacing w:val="-6"/>
          <w:sz w:val="18"/>
          <w:u w:val="single"/>
        </w:rPr>
        <w:t> </w:t>
      </w:r>
      <w:r>
        <w:rPr>
          <w:sz w:val="18"/>
          <w:u w:val="single"/>
        </w:rPr>
        <w:t>v.</w:t>
      </w:r>
      <w:r>
        <w:rPr>
          <w:spacing w:val="-6"/>
          <w:sz w:val="18"/>
          <w:u w:val="single"/>
        </w:rPr>
        <w:t> </w:t>
      </w:r>
      <w:r>
        <w:rPr>
          <w:sz w:val="18"/>
          <w:u w:val="single"/>
        </w:rPr>
        <w:t>Certuse</w:t>
      </w:r>
      <w:r>
        <w:rPr>
          <w:spacing w:val="-8"/>
          <w:sz w:val="18"/>
          <w:u w:val="single"/>
        </w:rPr>
        <w:t> </w:t>
      </w:r>
      <w:r>
        <w:rPr>
          <w:sz w:val="18"/>
          <w:u w:val="single"/>
        </w:rPr>
        <w:t>Adjustment,</w:t>
      </w:r>
      <w:r>
        <w:rPr>
          <w:spacing w:val="-7"/>
          <w:sz w:val="18"/>
          <w:u w:val="single"/>
        </w:rPr>
        <w:t> </w:t>
      </w:r>
      <w:r>
        <w:rPr>
          <w:sz w:val="18"/>
          <w:u w:val="single"/>
        </w:rPr>
        <w:t>Inc.</w:t>
      </w:r>
      <w:r>
        <w:rPr>
          <w:sz w:val="18"/>
        </w:rPr>
        <w:t>,</w:t>
      </w:r>
      <w:r>
        <w:rPr>
          <w:spacing w:val="-7"/>
          <w:sz w:val="18"/>
        </w:rPr>
        <w:t> </w:t>
      </w:r>
      <w:r>
        <w:rPr>
          <w:sz w:val="18"/>
        </w:rPr>
        <w:t>929</w:t>
      </w:r>
      <w:r>
        <w:rPr>
          <w:spacing w:val="-3"/>
          <w:sz w:val="18"/>
        </w:rPr>
        <w:t> </w:t>
      </w:r>
      <w:r>
        <w:rPr>
          <w:sz w:val="18"/>
        </w:rPr>
        <w:t>N.E.2d</w:t>
      </w:r>
      <w:r>
        <w:rPr>
          <w:spacing w:val="-4"/>
          <w:sz w:val="18"/>
        </w:rPr>
        <w:t> </w:t>
      </w:r>
      <w:r>
        <w:rPr>
          <w:sz w:val="18"/>
        </w:rPr>
        <w:t>358</w:t>
      </w:r>
      <w:r>
        <w:rPr>
          <w:spacing w:val="-3"/>
          <w:sz w:val="18"/>
        </w:rPr>
        <w:t> </w:t>
      </w:r>
      <w:r>
        <w:rPr>
          <w:sz w:val="18"/>
        </w:rPr>
        <w:t>(Mass.</w:t>
      </w:r>
      <w:r>
        <w:rPr>
          <w:spacing w:val="-5"/>
          <w:sz w:val="18"/>
        </w:rPr>
        <w:t> </w:t>
      </w:r>
      <w:r>
        <w:rPr>
          <w:sz w:val="18"/>
        </w:rPr>
        <w:t>App.</w:t>
      </w:r>
      <w:r>
        <w:rPr>
          <w:spacing w:val="-4"/>
          <w:sz w:val="18"/>
        </w:rPr>
        <w:t> </w:t>
      </w:r>
      <w:r>
        <w:rPr>
          <w:sz w:val="18"/>
        </w:rPr>
        <w:t>Ct.</w:t>
      </w:r>
      <w:r>
        <w:rPr>
          <w:spacing w:val="-4"/>
          <w:sz w:val="18"/>
        </w:rPr>
        <w:t> </w:t>
      </w:r>
      <w:r>
        <w:rPr>
          <w:sz w:val="18"/>
        </w:rPr>
        <w:t>1988),</w:t>
      </w:r>
    </w:p>
    <w:p>
      <w:pPr>
        <w:spacing w:before="4"/>
        <w:ind w:left="2740" w:right="0" w:firstLine="0"/>
        <w:jc w:val="left"/>
        <w:rPr>
          <w:rFonts w:ascii="Times New Roman" w:hAnsi="Times New Roman"/>
          <w:sz w:val="18"/>
        </w:rPr>
      </w:pPr>
      <w:r>
        <w:rPr>
          <w:rFonts w:ascii="Times New Roman" w:hAnsi="Times New Roman"/>
          <w:sz w:val="18"/>
        </w:rPr>
        <w:t>citing G.L. c. 175, §99, Twelfth, amended by St. 1985,c. 137, § 2.</w:t>
      </w:r>
    </w:p>
    <w:p>
      <w:pPr>
        <w:spacing w:after="0"/>
        <w:jc w:val="left"/>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jc w:val="both"/>
      </w:pPr>
      <w:bookmarkStart w:name="Law and Procedure 251" w:id="67"/>
      <w:bookmarkEnd w:id="67"/>
      <w:r>
        <w:rPr/>
      </w:r>
      <w:r>
        <w:rPr/>
        <w:t>appraisal. The Court relied upon a state supreme court holding in stating, “once the court</w:t>
      </w:r>
      <w:r>
        <w:rPr>
          <w:spacing w:val="-30"/>
        </w:rPr>
        <w:t> </w:t>
      </w:r>
      <w:r>
        <w:rPr/>
        <w:t>establishes</w:t>
      </w:r>
      <w:r>
        <w:rPr>
          <w:spacing w:val="-31"/>
        </w:rPr>
        <w:t> </w:t>
      </w:r>
      <w:r>
        <w:rPr/>
        <w:t>that</w:t>
      </w:r>
      <w:r>
        <w:rPr>
          <w:spacing w:val="-30"/>
        </w:rPr>
        <w:t> </w:t>
      </w:r>
      <w:r>
        <w:rPr/>
        <w:t>the</w:t>
      </w:r>
      <w:r>
        <w:rPr>
          <w:spacing w:val="-29"/>
        </w:rPr>
        <w:t> </w:t>
      </w:r>
      <w:r>
        <w:rPr/>
        <w:t>losses</w:t>
      </w:r>
      <w:r>
        <w:rPr>
          <w:spacing w:val="-27"/>
        </w:rPr>
        <w:t> </w:t>
      </w:r>
      <w:r>
        <w:rPr/>
        <w:t>are</w:t>
      </w:r>
      <w:r>
        <w:rPr>
          <w:spacing w:val="-29"/>
        </w:rPr>
        <w:t> </w:t>
      </w:r>
      <w:r>
        <w:rPr/>
        <w:t>covered</w:t>
      </w:r>
      <w:r>
        <w:rPr>
          <w:spacing w:val="-28"/>
        </w:rPr>
        <w:t> </w:t>
      </w:r>
      <w:r>
        <w:rPr/>
        <w:t>by a</w:t>
      </w:r>
      <w:r>
        <w:rPr>
          <w:spacing w:val="-15"/>
        </w:rPr>
        <w:t> </w:t>
      </w:r>
      <w:r>
        <w:rPr/>
        <w:t>policy,</w:t>
      </w:r>
      <w:r>
        <w:rPr>
          <w:spacing w:val="-18"/>
        </w:rPr>
        <w:t> </w:t>
      </w:r>
      <w:r>
        <w:rPr/>
        <w:t>then</w:t>
      </w:r>
      <w:r>
        <w:rPr>
          <w:spacing w:val="-18"/>
        </w:rPr>
        <w:t> </w:t>
      </w:r>
      <w:r>
        <w:rPr/>
        <w:t>those</w:t>
      </w:r>
      <w:r>
        <w:rPr>
          <w:spacing w:val="-15"/>
        </w:rPr>
        <w:t> </w:t>
      </w:r>
      <w:r>
        <w:rPr/>
        <w:t>losses</w:t>
      </w:r>
      <w:r>
        <w:rPr>
          <w:spacing w:val="-14"/>
        </w:rPr>
        <w:t> </w:t>
      </w:r>
      <w:r>
        <w:rPr/>
        <w:t>may</w:t>
      </w:r>
      <w:r>
        <w:rPr>
          <w:spacing w:val="-17"/>
        </w:rPr>
        <w:t> </w:t>
      </w:r>
      <w:r>
        <w:rPr/>
        <w:t>be</w:t>
      </w:r>
      <w:r>
        <w:rPr>
          <w:spacing w:val="-15"/>
        </w:rPr>
        <w:t> </w:t>
      </w:r>
      <w:r>
        <w:rPr/>
        <w:t>appraised.” </w:t>
      </w:r>
      <w:r>
        <w:rPr>
          <w:spacing w:val="3"/>
        </w:rPr>
        <w:t>It </w:t>
      </w:r>
      <w:r>
        <w:rPr/>
        <w:t>stated that the trial court “must resolve all underlying</w:t>
      </w:r>
      <w:r>
        <w:rPr>
          <w:spacing w:val="-15"/>
        </w:rPr>
        <w:t> </w:t>
      </w:r>
      <w:r>
        <w:rPr/>
        <w:t>coverage</w:t>
      </w:r>
      <w:r>
        <w:rPr>
          <w:spacing w:val="-16"/>
        </w:rPr>
        <w:t> </w:t>
      </w:r>
      <w:r>
        <w:rPr/>
        <w:t>disputes</w:t>
      </w:r>
      <w:r>
        <w:rPr>
          <w:spacing w:val="-17"/>
        </w:rPr>
        <w:t> </w:t>
      </w:r>
      <w:r>
        <w:rPr/>
        <w:t>prior</w:t>
      </w:r>
      <w:r>
        <w:rPr>
          <w:spacing w:val="-17"/>
        </w:rPr>
        <w:t> </w:t>
      </w:r>
      <w:r>
        <w:rPr/>
        <w:t>to</w:t>
      </w:r>
      <w:r>
        <w:rPr>
          <w:spacing w:val="-17"/>
        </w:rPr>
        <w:t> </w:t>
      </w:r>
      <w:r>
        <w:rPr/>
        <w:t>ordering an appraisal,” and reversed and remanded because</w:t>
      </w:r>
      <w:r>
        <w:rPr>
          <w:spacing w:val="-8"/>
        </w:rPr>
        <w:t> </w:t>
      </w:r>
      <w:r>
        <w:rPr/>
        <w:t>the</w:t>
      </w:r>
      <w:r>
        <w:rPr>
          <w:spacing w:val="-9"/>
        </w:rPr>
        <w:t> </w:t>
      </w:r>
      <w:r>
        <w:rPr/>
        <w:t>trial</w:t>
      </w:r>
      <w:r>
        <w:rPr>
          <w:spacing w:val="-8"/>
        </w:rPr>
        <w:t> </w:t>
      </w:r>
      <w:r>
        <w:rPr/>
        <w:t>court</w:t>
      </w:r>
      <w:r>
        <w:rPr>
          <w:spacing w:val="-8"/>
        </w:rPr>
        <w:t> </w:t>
      </w:r>
      <w:r>
        <w:rPr/>
        <w:t>there</w:t>
      </w:r>
      <w:r>
        <w:rPr>
          <w:spacing w:val="-9"/>
        </w:rPr>
        <w:t> </w:t>
      </w:r>
      <w:r>
        <w:rPr/>
        <w:t>had</w:t>
      </w:r>
      <w:r>
        <w:rPr>
          <w:spacing w:val="-7"/>
        </w:rPr>
        <w:t> </w:t>
      </w:r>
      <w:r>
        <w:rPr/>
        <w:t>not</w:t>
      </w:r>
      <w:r>
        <w:rPr>
          <w:spacing w:val="-10"/>
        </w:rPr>
        <w:t> </w:t>
      </w:r>
      <w:r>
        <w:rPr/>
        <w:t>resolved any factual dispute as to the insured’s compliance with policy</w:t>
      </w:r>
      <w:r>
        <w:rPr>
          <w:spacing w:val="-6"/>
        </w:rPr>
        <w:t> </w:t>
      </w:r>
      <w:r>
        <w:rPr/>
        <w:t>terms.</w:t>
      </w:r>
      <w:r>
        <w:rPr>
          <w:vertAlign w:val="superscript"/>
        </w:rPr>
        <w:t>546</w:t>
      </w:r>
    </w:p>
    <w:p>
      <w:pPr>
        <w:pStyle w:val="BodyText"/>
        <w:spacing w:before="11"/>
        <w:rPr>
          <w:sz w:val="25"/>
        </w:rPr>
      </w:pPr>
    </w:p>
    <w:p>
      <w:pPr>
        <w:pStyle w:val="BodyText"/>
        <w:spacing w:line="242" w:lineRule="auto"/>
        <w:ind w:left="3100" w:right="3197" w:firstLine="720"/>
        <w:jc w:val="both"/>
      </w:pPr>
      <w:r>
        <w:rPr>
          <w:spacing w:val="3"/>
        </w:rPr>
        <w:t>In </w:t>
      </w:r>
      <w:r>
        <w:rPr/>
        <w:t>Florida, where the insured started suit prematurely, the notice requirement advising the insured of the right to mediation pursuant to Fla. Stat. §627.7015(I) does not apply (as it describes</w:t>
      </w:r>
      <w:r>
        <w:rPr>
          <w:spacing w:val="-9"/>
        </w:rPr>
        <w:t> </w:t>
      </w:r>
      <w:r>
        <w:rPr/>
        <w:t>mediation</w:t>
      </w:r>
      <w:r>
        <w:rPr>
          <w:spacing w:val="-9"/>
        </w:rPr>
        <w:t> </w:t>
      </w:r>
      <w:r>
        <w:rPr/>
        <w:t>as</w:t>
      </w:r>
      <w:r>
        <w:rPr>
          <w:spacing w:val="-9"/>
        </w:rPr>
        <w:t> </w:t>
      </w:r>
      <w:r>
        <w:rPr/>
        <w:t>a</w:t>
      </w:r>
      <w:r>
        <w:rPr>
          <w:spacing w:val="-9"/>
        </w:rPr>
        <w:t> </w:t>
      </w:r>
      <w:r>
        <w:rPr/>
        <w:t>viable</w:t>
      </w:r>
      <w:r>
        <w:rPr>
          <w:spacing w:val="-9"/>
        </w:rPr>
        <w:t> </w:t>
      </w:r>
      <w:r>
        <w:rPr/>
        <w:t>option</w:t>
      </w:r>
      <w:r>
        <w:rPr>
          <w:spacing w:val="-9"/>
        </w:rPr>
        <w:t> </w:t>
      </w:r>
      <w:r>
        <w:rPr>
          <w:u w:val="single"/>
        </w:rPr>
        <w:t>before</w:t>
      </w:r>
      <w:r>
        <w:rPr/>
        <w:t> an insured resorts to litigation), the insured cannot rely on the statute to avoid appraisal where her premature filing of the lawsuit rendered the statute</w:t>
      </w:r>
      <w:r>
        <w:rPr>
          <w:spacing w:val="-4"/>
        </w:rPr>
        <w:t> </w:t>
      </w:r>
      <w:r>
        <w:rPr/>
        <w:t>inapplicable.</w:t>
      </w:r>
      <w:r>
        <w:rPr>
          <w:vertAlign w:val="superscript"/>
        </w:rPr>
        <w:t>547</w:t>
      </w:r>
    </w:p>
    <w:p>
      <w:pPr>
        <w:pStyle w:val="BodyText"/>
        <w:spacing w:before="12"/>
        <w:rPr>
          <w:sz w:val="25"/>
        </w:rPr>
      </w:pPr>
    </w:p>
    <w:p>
      <w:pPr>
        <w:pStyle w:val="BodyText"/>
        <w:spacing w:line="242" w:lineRule="auto"/>
        <w:ind w:left="3100" w:right="3200" w:firstLine="720"/>
        <w:jc w:val="both"/>
      </w:pPr>
      <w:r>
        <w:rPr/>
        <w:t>In Pennsylvania, where the insured elected to sue when the carrier denied the claim, there is no prohibition against the recovery of damages in the litigation without satisfying the policy’s appraisal clause.</w:t>
      </w:r>
      <w:r>
        <w:rPr>
          <w:vertAlign w:val="superscript"/>
        </w:rPr>
        <w:t>548</w:t>
      </w:r>
    </w:p>
    <w:p>
      <w:pPr>
        <w:pStyle w:val="BodyText"/>
        <w:rPr>
          <w:sz w:val="20"/>
        </w:rPr>
      </w:pPr>
    </w:p>
    <w:p>
      <w:pPr>
        <w:pStyle w:val="BodyText"/>
        <w:spacing w:before="6"/>
        <w:rPr>
          <w:sz w:val="17"/>
        </w:rPr>
      </w:pPr>
      <w:r>
        <w:rPr/>
        <w:pict>
          <v:shape style="position:absolute;margin-left:162pt;margin-top:13.146045pt;width:143.9pt;height:.1pt;mso-position-horizontal-relative:page;mso-position-vertical-relative:paragraph;z-index:-251475968;mso-wrap-distance-left:0;mso-wrap-distance-right:0" coordorigin="3240,263" coordsize="2878,0" path="m3240,263l6118,263e" filled="false" stroked="true" strokeweight=".84pt" strokecolor="#000000">
            <v:path arrowok="t"/>
            <v:stroke dashstyle="solid"/>
            <w10:wrap type="topAndBottom"/>
          </v:shape>
        </w:pict>
      </w:r>
    </w:p>
    <w:p>
      <w:pPr>
        <w:pStyle w:val="BodyText"/>
        <w:rPr>
          <w:sz w:val="7"/>
        </w:rPr>
      </w:pPr>
    </w:p>
    <w:p>
      <w:pPr>
        <w:pStyle w:val="ListParagraph"/>
        <w:numPr>
          <w:ilvl w:val="0"/>
          <w:numId w:val="12"/>
        </w:numPr>
        <w:tabs>
          <w:tab w:pos="3013" w:val="left" w:leader="none"/>
        </w:tabs>
        <w:spacing w:line="249" w:lineRule="auto" w:before="71" w:after="0"/>
        <w:ind w:left="2740" w:right="2848" w:firstLine="0"/>
        <w:jc w:val="left"/>
        <w:rPr>
          <w:rFonts w:ascii="Century Gothic"/>
          <w:sz w:val="18"/>
        </w:rPr>
      </w:pPr>
      <w:r>
        <w:rPr>
          <w:sz w:val="18"/>
          <w:u w:val="single"/>
        </w:rPr>
        <w:t>Sunshine State Ins. Co. v. Corridori</w:t>
      </w:r>
      <w:r>
        <w:rPr>
          <w:sz w:val="18"/>
        </w:rPr>
        <w:t>, 28 So.3d 129, 35 Fla. L. Weekly D289 (Fla. 4</w:t>
      </w:r>
      <w:r>
        <w:rPr>
          <w:position w:val="7"/>
          <w:sz w:val="10"/>
        </w:rPr>
        <w:t>th</w:t>
      </w:r>
      <w:r>
        <w:rPr>
          <w:sz w:val="10"/>
        </w:rPr>
        <w:t> </w:t>
      </w:r>
      <w:r>
        <w:rPr>
          <w:sz w:val="18"/>
        </w:rPr>
        <w:t>DCA</w:t>
      </w:r>
      <w:r>
        <w:rPr>
          <w:spacing w:val="-4"/>
          <w:sz w:val="18"/>
        </w:rPr>
        <w:t> </w:t>
      </w:r>
      <w:r>
        <w:rPr>
          <w:sz w:val="18"/>
        </w:rPr>
        <w:t>2010)</w:t>
      </w:r>
      <w:r>
        <w:rPr>
          <w:rFonts w:ascii="Century Gothic"/>
          <w:sz w:val="18"/>
        </w:rPr>
        <w:t>.</w:t>
      </w:r>
    </w:p>
    <w:p>
      <w:pPr>
        <w:pStyle w:val="ListParagraph"/>
        <w:numPr>
          <w:ilvl w:val="0"/>
          <w:numId w:val="12"/>
        </w:numPr>
        <w:tabs>
          <w:tab w:pos="3001" w:val="left" w:leader="none"/>
        </w:tabs>
        <w:spacing w:line="264" w:lineRule="auto" w:before="0" w:after="0"/>
        <w:ind w:left="2740" w:right="2848" w:firstLine="0"/>
        <w:jc w:val="left"/>
        <w:rPr>
          <w:sz w:val="18"/>
        </w:rPr>
      </w:pPr>
      <w:r>
        <w:rPr>
          <w:sz w:val="18"/>
          <w:u w:val="single"/>
        </w:rPr>
        <w:t>American</w:t>
      </w:r>
      <w:r>
        <w:rPr>
          <w:spacing w:val="-16"/>
          <w:sz w:val="18"/>
          <w:u w:val="single"/>
        </w:rPr>
        <w:t> </w:t>
      </w:r>
      <w:r>
        <w:rPr>
          <w:sz w:val="18"/>
          <w:u w:val="single"/>
        </w:rPr>
        <w:t>Integrity</w:t>
      </w:r>
      <w:r>
        <w:rPr>
          <w:spacing w:val="13"/>
          <w:sz w:val="18"/>
          <w:u w:val="single"/>
        </w:rPr>
        <w:t> </w:t>
      </w:r>
      <w:r>
        <w:rPr>
          <w:sz w:val="18"/>
          <w:u w:val="single"/>
        </w:rPr>
        <w:t>Ins.</w:t>
      </w:r>
      <w:r>
        <w:rPr>
          <w:spacing w:val="-15"/>
          <w:sz w:val="18"/>
          <w:u w:val="single"/>
        </w:rPr>
        <w:t> </w:t>
      </w:r>
      <w:r>
        <w:rPr>
          <w:sz w:val="18"/>
          <w:u w:val="single"/>
        </w:rPr>
        <w:t>Co.</w:t>
      </w:r>
      <w:r>
        <w:rPr>
          <w:spacing w:val="-16"/>
          <w:sz w:val="18"/>
          <w:u w:val="single"/>
        </w:rPr>
        <w:t> </w:t>
      </w:r>
      <w:r>
        <w:rPr>
          <w:sz w:val="18"/>
          <w:u w:val="single"/>
        </w:rPr>
        <w:t>v.</w:t>
      </w:r>
      <w:r>
        <w:rPr>
          <w:spacing w:val="-15"/>
          <w:sz w:val="18"/>
          <w:u w:val="single"/>
        </w:rPr>
        <w:t> </w:t>
      </w:r>
      <w:r>
        <w:rPr>
          <w:sz w:val="18"/>
          <w:u w:val="single"/>
        </w:rPr>
        <w:t>Gainey</w:t>
      </w:r>
      <w:r>
        <w:rPr>
          <w:sz w:val="18"/>
        </w:rPr>
        <w:t>,</w:t>
      </w:r>
      <w:r>
        <w:rPr>
          <w:spacing w:val="-15"/>
          <w:sz w:val="18"/>
        </w:rPr>
        <w:t> </w:t>
      </w:r>
      <w:r>
        <w:rPr>
          <w:sz w:val="18"/>
        </w:rPr>
        <w:t>100</w:t>
      </w:r>
      <w:r>
        <w:rPr>
          <w:spacing w:val="-14"/>
          <w:sz w:val="18"/>
        </w:rPr>
        <w:t> </w:t>
      </w:r>
      <w:r>
        <w:rPr>
          <w:sz w:val="18"/>
        </w:rPr>
        <w:t>So.3d</w:t>
      </w:r>
      <w:r>
        <w:rPr>
          <w:spacing w:val="-14"/>
          <w:sz w:val="18"/>
        </w:rPr>
        <w:t> </w:t>
      </w:r>
      <w:r>
        <w:rPr>
          <w:sz w:val="18"/>
        </w:rPr>
        <w:t>720,</w:t>
      </w:r>
      <w:r>
        <w:rPr>
          <w:spacing w:val="-17"/>
          <w:sz w:val="18"/>
        </w:rPr>
        <w:t> </w:t>
      </w:r>
      <w:r>
        <w:rPr>
          <w:sz w:val="18"/>
        </w:rPr>
        <w:t>37</w:t>
      </w:r>
      <w:r>
        <w:rPr>
          <w:spacing w:val="-16"/>
          <w:sz w:val="18"/>
        </w:rPr>
        <w:t> </w:t>
      </w:r>
      <w:r>
        <w:rPr>
          <w:sz w:val="18"/>
        </w:rPr>
        <w:t>Fla.</w:t>
      </w:r>
      <w:r>
        <w:rPr>
          <w:spacing w:val="-18"/>
          <w:sz w:val="18"/>
        </w:rPr>
        <w:t> </w:t>
      </w:r>
      <w:r>
        <w:rPr>
          <w:sz w:val="18"/>
        </w:rPr>
        <w:t>L.</w:t>
      </w:r>
      <w:r>
        <w:rPr>
          <w:spacing w:val="-15"/>
          <w:sz w:val="18"/>
        </w:rPr>
        <w:t> </w:t>
      </w:r>
      <w:r>
        <w:rPr>
          <w:sz w:val="18"/>
        </w:rPr>
        <w:t>Weekly</w:t>
      </w:r>
      <w:r>
        <w:rPr>
          <w:spacing w:val="-18"/>
          <w:sz w:val="18"/>
        </w:rPr>
        <w:t> </w:t>
      </w:r>
      <w:r>
        <w:rPr>
          <w:sz w:val="18"/>
        </w:rPr>
        <w:t>D</w:t>
      </w:r>
      <w:r>
        <w:rPr>
          <w:spacing w:val="-17"/>
          <w:sz w:val="18"/>
        </w:rPr>
        <w:t> </w:t>
      </w:r>
      <w:r>
        <w:rPr>
          <w:sz w:val="18"/>
        </w:rPr>
        <w:t>2297</w:t>
      </w:r>
      <w:r>
        <w:rPr>
          <w:spacing w:val="-14"/>
          <w:sz w:val="18"/>
        </w:rPr>
        <w:t> </w:t>
      </w:r>
      <w:r>
        <w:rPr>
          <w:sz w:val="18"/>
        </w:rPr>
        <w:t>(Fla.2d DCA</w:t>
      </w:r>
      <w:r>
        <w:rPr>
          <w:spacing w:val="-4"/>
          <w:sz w:val="18"/>
        </w:rPr>
        <w:t> </w:t>
      </w:r>
      <w:r>
        <w:rPr>
          <w:sz w:val="18"/>
        </w:rPr>
        <w:t>2012).</w:t>
      </w:r>
    </w:p>
    <w:p>
      <w:pPr>
        <w:pStyle w:val="ListParagraph"/>
        <w:numPr>
          <w:ilvl w:val="0"/>
          <w:numId w:val="12"/>
        </w:numPr>
        <w:tabs>
          <w:tab w:pos="2956" w:val="left" w:leader="none"/>
        </w:tabs>
        <w:spacing w:line="226" w:lineRule="exact" w:before="26" w:after="0"/>
        <w:ind w:left="2740" w:right="2846" w:firstLine="0"/>
        <w:jc w:val="left"/>
        <w:rPr>
          <w:sz w:val="18"/>
        </w:rPr>
      </w:pPr>
      <w:r>
        <w:rPr>
          <w:spacing w:val="-1"/>
          <w:sz w:val="18"/>
          <w:u w:val="single"/>
        </w:rPr>
        <w:t> </w:t>
      </w:r>
      <w:r>
        <w:rPr>
          <w:sz w:val="18"/>
          <w:u w:val="single"/>
        </w:rPr>
        <w:t>James</w:t>
      </w:r>
      <w:r>
        <w:rPr>
          <w:spacing w:val="-16"/>
          <w:sz w:val="18"/>
          <w:u w:val="single"/>
        </w:rPr>
        <w:t> </w:t>
      </w:r>
      <w:r>
        <w:rPr>
          <w:sz w:val="18"/>
          <w:u w:val="single"/>
        </w:rPr>
        <w:t>F.</w:t>
      </w:r>
      <w:r>
        <w:rPr>
          <w:spacing w:val="-14"/>
          <w:sz w:val="18"/>
          <w:u w:val="single"/>
        </w:rPr>
        <w:t> </w:t>
      </w:r>
      <w:r>
        <w:rPr>
          <w:sz w:val="18"/>
          <w:u w:val="single"/>
        </w:rPr>
        <w:t>Campenella</w:t>
      </w:r>
      <w:r>
        <w:rPr>
          <w:spacing w:val="-15"/>
          <w:sz w:val="18"/>
          <w:u w:val="single"/>
        </w:rPr>
        <w:t> </w:t>
      </w:r>
      <w:r>
        <w:rPr>
          <w:sz w:val="18"/>
          <w:u w:val="single"/>
        </w:rPr>
        <w:t>Const.</w:t>
      </w:r>
      <w:r>
        <w:rPr>
          <w:spacing w:val="-14"/>
          <w:sz w:val="18"/>
          <w:u w:val="single"/>
        </w:rPr>
        <w:t> </w:t>
      </w:r>
      <w:r>
        <w:rPr>
          <w:sz w:val="18"/>
          <w:u w:val="single"/>
        </w:rPr>
        <w:t>Co.</w:t>
      </w:r>
      <w:r>
        <w:rPr>
          <w:spacing w:val="-16"/>
          <w:sz w:val="18"/>
          <w:u w:val="single"/>
        </w:rPr>
        <w:t> </w:t>
      </w:r>
      <w:r>
        <w:rPr>
          <w:sz w:val="18"/>
          <w:u w:val="single"/>
        </w:rPr>
        <w:t>v.</w:t>
      </w:r>
      <w:r>
        <w:rPr>
          <w:spacing w:val="-14"/>
          <w:sz w:val="18"/>
          <w:u w:val="single"/>
        </w:rPr>
        <w:t> </w:t>
      </w:r>
      <w:r>
        <w:rPr>
          <w:sz w:val="18"/>
          <w:u w:val="single"/>
        </w:rPr>
        <w:t>Great</w:t>
      </w:r>
      <w:r>
        <w:rPr>
          <w:spacing w:val="-15"/>
          <w:sz w:val="18"/>
          <w:u w:val="single"/>
        </w:rPr>
        <w:t> </w:t>
      </w:r>
      <w:r>
        <w:rPr>
          <w:spacing w:val="-3"/>
          <w:sz w:val="18"/>
          <w:u w:val="single"/>
        </w:rPr>
        <w:t>Am.</w:t>
      </w:r>
      <w:r>
        <w:rPr>
          <w:spacing w:val="-11"/>
          <w:sz w:val="18"/>
          <w:u w:val="single"/>
        </w:rPr>
        <w:t> </w:t>
      </w:r>
      <w:r>
        <w:rPr>
          <w:sz w:val="18"/>
          <w:u w:val="single"/>
        </w:rPr>
        <w:t>Ins.</w:t>
      </w:r>
      <w:r>
        <w:rPr>
          <w:spacing w:val="-13"/>
          <w:sz w:val="18"/>
          <w:u w:val="single"/>
        </w:rPr>
        <w:t> </w:t>
      </w:r>
      <w:r>
        <w:rPr>
          <w:sz w:val="18"/>
          <w:u w:val="single"/>
        </w:rPr>
        <w:t>Co.</w:t>
      </w:r>
      <w:r>
        <w:rPr>
          <w:spacing w:val="-11"/>
          <w:sz w:val="18"/>
          <w:u w:val="single"/>
        </w:rPr>
        <w:t> </w:t>
      </w:r>
      <w:r>
        <w:rPr>
          <w:sz w:val="18"/>
          <w:u w:val="single"/>
        </w:rPr>
        <w:t>of</w:t>
      </w:r>
      <w:r>
        <w:rPr>
          <w:spacing w:val="-14"/>
          <w:sz w:val="18"/>
          <w:u w:val="single"/>
        </w:rPr>
        <w:t> </w:t>
      </w:r>
      <w:r>
        <w:rPr>
          <w:sz w:val="18"/>
          <w:u w:val="single"/>
        </w:rPr>
        <w:t>N.Y.</w:t>
      </w:r>
      <w:r>
        <w:rPr>
          <w:sz w:val="18"/>
        </w:rPr>
        <w:t>,</w:t>
      </w:r>
      <w:r>
        <w:rPr>
          <w:spacing w:val="-13"/>
          <w:sz w:val="18"/>
        </w:rPr>
        <w:t> </w:t>
      </w:r>
      <w:r>
        <w:rPr>
          <w:sz w:val="18"/>
        </w:rPr>
        <w:t>2010</w:t>
      </w:r>
      <w:r>
        <w:rPr>
          <w:spacing w:val="-14"/>
          <w:sz w:val="18"/>
        </w:rPr>
        <w:t> </w:t>
      </w:r>
      <w:r>
        <w:rPr>
          <w:sz w:val="18"/>
        </w:rPr>
        <w:t>WL</w:t>
      </w:r>
      <w:r>
        <w:rPr>
          <w:spacing w:val="-16"/>
          <w:sz w:val="18"/>
        </w:rPr>
        <w:t> </w:t>
      </w:r>
      <w:r>
        <w:rPr>
          <w:sz w:val="18"/>
        </w:rPr>
        <w:t>2076089</w:t>
      </w:r>
      <w:r>
        <w:rPr>
          <w:spacing w:val="-13"/>
          <w:sz w:val="18"/>
        </w:rPr>
        <w:t> </w:t>
      </w:r>
      <w:r>
        <w:rPr>
          <w:sz w:val="18"/>
        </w:rPr>
        <w:t>(E.D. Pa.).</w:t>
      </w:r>
    </w:p>
    <w:p>
      <w:pPr>
        <w:spacing w:after="0" w:line="226"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198" w:firstLine="720"/>
        <w:jc w:val="both"/>
      </w:pPr>
      <w:r>
        <w:rPr/>
        <w:pict>
          <v:shape style="position:absolute;margin-left:314.927002pt;margin-top:-124.313828pt;width:289pt;height:135.15pt;mso-position-horizontal-relative:page;mso-position-vertical-relative:paragraph;z-index:-254100480" coordorigin="6299,-2486" coordsize="5780,2703" path="m12072,-2486l6299,-2486,6299,-2365,6310,-2353,12061,-2353,12072,-2365,12072,-2486xm12062,-2285l6310,-2285,6299,-2274,6299,-2043,6310,-2032,12062,-2032,12073,-2043,12073,-2274,12062,-2285xm12060,-1963l6310,-1963,6299,-1952,6299,-1721,6310,-1710,12060,-1710,12071,-1721,12071,-1952,12060,-1963xm12065,-1642l6310,-1642,6299,-1630,6299,-1400,6310,-1388,12065,-1388,12076,-1400,12076,-1630,12065,-1642xm12061,-1320l6310,-1320,6299,-1309,6299,-1078,6310,-1067,12061,-1067,12072,-1078,12072,-1309,12061,-1320xm12058,-999l6310,-999,6299,-987,6299,-757,6310,-745,12058,-745,12070,-757,12070,-987,12058,-999xm12067,-677l6310,-677,6299,-666,6299,-435,6310,-424,12067,-424,12078,-435,12078,-666,12067,-677xm12060,-355l6310,-355,6299,-344,6299,-113,6310,-102,12060,-102,12071,-113,12071,-344,12060,-355xm10561,-65l6310,-65,6299,-53,6299,205,6310,216,10561,216,10573,205,10573,-53,10561,-65xe" filled="true" fillcolor="#fdb1b1" stroked="false">
            <v:path arrowok="t"/>
            <v:fill type="solid"/>
            <w10:wrap type="none"/>
          </v:shape>
        </w:pict>
      </w:r>
      <w:bookmarkStart w:name="Law and Procedure 252" w:id="68"/>
      <w:bookmarkEnd w:id="68"/>
      <w:r>
        <w:rPr/>
      </w:r>
      <w:r>
        <w:rPr/>
        <w:t>Indeed, in Pennsylvania the insured</w:t>
      </w:r>
      <w:r>
        <w:rPr>
          <w:spacing w:val="-34"/>
        </w:rPr>
        <w:t> </w:t>
      </w:r>
      <w:r>
        <w:rPr>
          <w:spacing w:val="-4"/>
        </w:rPr>
        <w:t>may </w:t>
      </w:r>
      <w:r>
        <w:rPr/>
        <w:t>not be denied his right ... “to sue for damages.”</w:t>
      </w:r>
      <w:r>
        <w:rPr>
          <w:vertAlign w:val="superscript"/>
        </w:rPr>
        <w:t>549</w:t>
      </w:r>
    </w:p>
    <w:p>
      <w:pPr>
        <w:pStyle w:val="BodyText"/>
        <w:spacing w:before="2"/>
      </w:pPr>
    </w:p>
    <w:p>
      <w:pPr>
        <w:pStyle w:val="BodyText"/>
        <w:spacing w:line="242" w:lineRule="auto"/>
        <w:ind w:left="3100" w:right="3198" w:firstLine="720"/>
        <w:jc w:val="both"/>
      </w:pPr>
      <w:r>
        <w:rPr>
          <w:spacing w:val="2"/>
        </w:rPr>
        <w:t>An</w:t>
      </w:r>
      <w:r>
        <w:rPr>
          <w:spacing w:val="-26"/>
        </w:rPr>
        <w:t> </w:t>
      </w:r>
      <w:r>
        <w:rPr/>
        <w:t>insured</w:t>
      </w:r>
      <w:r>
        <w:rPr>
          <w:spacing w:val="-27"/>
        </w:rPr>
        <w:t> </w:t>
      </w:r>
      <w:r>
        <w:rPr/>
        <w:t>was</w:t>
      </w:r>
      <w:r>
        <w:rPr>
          <w:spacing w:val="-26"/>
        </w:rPr>
        <w:t> </w:t>
      </w:r>
      <w:r>
        <w:rPr/>
        <w:t>judged</w:t>
      </w:r>
      <w:r>
        <w:rPr>
          <w:spacing w:val="-27"/>
        </w:rPr>
        <w:t> </w:t>
      </w:r>
      <w:r>
        <w:rPr/>
        <w:t>to</w:t>
      </w:r>
      <w:r>
        <w:rPr>
          <w:spacing w:val="-28"/>
        </w:rPr>
        <w:t> </w:t>
      </w:r>
      <w:r>
        <w:rPr/>
        <w:t>have</w:t>
      </w:r>
      <w:r>
        <w:rPr>
          <w:spacing w:val="-27"/>
        </w:rPr>
        <w:t> </w:t>
      </w:r>
      <w:r>
        <w:rPr/>
        <w:t>been</w:t>
      </w:r>
      <w:r>
        <w:rPr>
          <w:spacing w:val="-26"/>
        </w:rPr>
        <w:t> </w:t>
      </w:r>
      <w:r>
        <w:rPr>
          <w:spacing w:val="-3"/>
        </w:rPr>
        <w:t>fully </w:t>
      </w:r>
      <w:r>
        <w:rPr/>
        <w:t>warranted in resorting to the Court “in view of [an insurer’s] neglect to actively avail itself of [the</w:t>
      </w:r>
      <w:r>
        <w:rPr>
          <w:spacing w:val="-32"/>
        </w:rPr>
        <w:t> </w:t>
      </w:r>
      <w:r>
        <w:rPr/>
        <w:t>insured’s]</w:t>
      </w:r>
      <w:r>
        <w:rPr>
          <w:spacing w:val="-29"/>
        </w:rPr>
        <w:t> </w:t>
      </w:r>
      <w:r>
        <w:rPr/>
        <w:t>offer</w:t>
      </w:r>
      <w:r>
        <w:rPr>
          <w:spacing w:val="-32"/>
        </w:rPr>
        <w:t> </w:t>
      </w:r>
      <w:r>
        <w:rPr/>
        <w:t>of</w:t>
      </w:r>
      <w:r>
        <w:rPr>
          <w:spacing w:val="-28"/>
        </w:rPr>
        <w:t> </w:t>
      </w:r>
      <w:r>
        <w:rPr/>
        <w:t>an</w:t>
      </w:r>
      <w:r>
        <w:rPr>
          <w:spacing w:val="-29"/>
        </w:rPr>
        <w:t> </w:t>
      </w:r>
      <w:r>
        <w:rPr/>
        <w:t>appraisement,</w:t>
      </w:r>
      <w:r>
        <w:rPr>
          <w:spacing w:val="-31"/>
        </w:rPr>
        <w:t> </w:t>
      </w:r>
      <w:r>
        <w:rPr/>
        <w:t>and</w:t>
      </w:r>
      <w:r>
        <w:rPr>
          <w:spacing w:val="-30"/>
        </w:rPr>
        <w:t> </w:t>
      </w:r>
      <w:r>
        <w:rPr>
          <w:spacing w:val="-6"/>
        </w:rPr>
        <w:t>of </w:t>
      </w:r>
      <w:r>
        <w:rPr/>
        <w:t>the dilatory tactics it was pursuing in the adjustment of his loss.” There, an insured’s suggestion</w:t>
      </w:r>
      <w:r>
        <w:rPr>
          <w:spacing w:val="-32"/>
        </w:rPr>
        <w:t> </w:t>
      </w:r>
      <w:r>
        <w:rPr/>
        <w:t>of</w:t>
      </w:r>
      <w:r>
        <w:rPr>
          <w:spacing w:val="-31"/>
        </w:rPr>
        <w:t> </w:t>
      </w:r>
      <w:r>
        <w:rPr/>
        <w:t>appraisal</w:t>
      </w:r>
      <w:r>
        <w:rPr>
          <w:spacing w:val="-31"/>
        </w:rPr>
        <w:t> </w:t>
      </w:r>
      <w:r>
        <w:rPr/>
        <w:t>was</w:t>
      </w:r>
      <w:r>
        <w:rPr>
          <w:spacing w:val="-32"/>
        </w:rPr>
        <w:t> </w:t>
      </w:r>
      <w:r>
        <w:rPr>
          <w:spacing w:val="-3"/>
        </w:rPr>
        <w:t>actually</w:t>
      </w:r>
      <w:r>
        <w:rPr>
          <w:spacing w:val="-37"/>
        </w:rPr>
        <w:t> </w:t>
      </w:r>
      <w:r>
        <w:rPr/>
        <w:t>accepted by his insurer but subsequently, “no serious effort” to cooperate with the request was made. </w:t>
      </w:r>
      <w:r>
        <w:rPr>
          <w:spacing w:val="-3"/>
        </w:rPr>
        <w:t>To </w:t>
      </w:r>
      <w:r>
        <w:rPr/>
        <w:t>the contrary, the insurer’s practice was to engage in delay by making and </w:t>
      </w:r>
      <w:r>
        <w:rPr>
          <w:spacing w:val="21"/>
        </w:rPr>
        <w:t>withdrawing </w:t>
      </w:r>
      <w:r>
        <w:rPr/>
        <w:t>a </w:t>
      </w:r>
      <w:r>
        <w:rPr>
          <w:spacing w:val="19"/>
        </w:rPr>
        <w:t>series </w:t>
      </w:r>
      <w:r>
        <w:rPr>
          <w:spacing w:val="12"/>
        </w:rPr>
        <w:t>of </w:t>
      </w:r>
      <w:r>
        <w:rPr>
          <w:spacing w:val="21"/>
        </w:rPr>
        <w:t>appraiser </w:t>
      </w:r>
      <w:r>
        <w:rPr/>
        <w:t>appointments, until finally the insured sold the property at issue when he believed obtaining an appraisal would be impossible. The insurer insisted upon appraisal after it was sold and then repaired by the</w:t>
      </w:r>
      <w:r>
        <w:rPr>
          <w:spacing w:val="-7"/>
        </w:rPr>
        <w:t> </w:t>
      </w:r>
      <w:r>
        <w:rPr/>
        <w:t>purchaser.</w:t>
      </w:r>
      <w:r>
        <w:rPr>
          <w:vertAlign w:val="superscript"/>
        </w:rPr>
        <w:t>550</w:t>
      </w:r>
    </w:p>
    <w:p>
      <w:pPr>
        <w:pStyle w:val="BodyText"/>
        <w:spacing w:before="9"/>
        <w:rPr>
          <w:sz w:val="25"/>
        </w:rPr>
      </w:pPr>
    </w:p>
    <w:p>
      <w:pPr>
        <w:pStyle w:val="BodyText"/>
        <w:spacing w:line="242" w:lineRule="auto"/>
        <w:ind w:left="3100" w:right="3199" w:firstLine="720"/>
        <w:jc w:val="both"/>
      </w:pPr>
      <w:r>
        <w:rPr/>
        <w:t>Where the insurer has denied a claim in its entirety on the ground that it is not</w:t>
      </w:r>
      <w:r>
        <w:rPr>
          <w:spacing w:val="-49"/>
        </w:rPr>
        <w:t> </w:t>
      </w:r>
      <w:r>
        <w:rPr/>
        <w:t>covered by</w:t>
      </w:r>
      <w:r>
        <w:rPr>
          <w:spacing w:val="-11"/>
        </w:rPr>
        <w:t> </w:t>
      </w:r>
      <w:r>
        <w:rPr/>
        <w:t>the</w:t>
      </w:r>
      <w:r>
        <w:rPr>
          <w:spacing w:val="-6"/>
        </w:rPr>
        <w:t> </w:t>
      </w:r>
      <w:r>
        <w:rPr/>
        <w:t>insurance</w:t>
      </w:r>
      <w:r>
        <w:rPr>
          <w:spacing w:val="-7"/>
        </w:rPr>
        <w:t> </w:t>
      </w:r>
      <w:r>
        <w:rPr/>
        <w:t>policy,</w:t>
      </w:r>
      <w:r>
        <w:rPr>
          <w:spacing w:val="-8"/>
        </w:rPr>
        <w:t> </w:t>
      </w:r>
      <w:r>
        <w:rPr/>
        <w:t>the</w:t>
      </w:r>
      <w:r>
        <w:rPr>
          <w:spacing w:val="-10"/>
        </w:rPr>
        <w:t> </w:t>
      </w:r>
      <w:r>
        <w:rPr/>
        <w:t>issue</w:t>
      </w:r>
      <w:r>
        <w:rPr>
          <w:spacing w:val="-9"/>
        </w:rPr>
        <w:t> </w:t>
      </w:r>
      <w:r>
        <w:rPr/>
        <w:t>is</w:t>
      </w:r>
      <w:r>
        <w:rPr>
          <w:spacing w:val="-8"/>
        </w:rPr>
        <w:t> </w:t>
      </w:r>
      <w:r>
        <w:rPr/>
        <w:t>one</w:t>
      </w:r>
      <w:r>
        <w:rPr>
          <w:spacing w:val="-10"/>
        </w:rPr>
        <w:t> </w:t>
      </w:r>
      <w:r>
        <w:rPr/>
        <w:t>for</w:t>
      </w:r>
      <w:r>
        <w:rPr>
          <w:spacing w:val="-10"/>
        </w:rPr>
        <w:t> </w:t>
      </w:r>
      <w:r>
        <w:rPr/>
        <w:t>the court</w:t>
      </w:r>
      <w:r>
        <w:rPr>
          <w:spacing w:val="-35"/>
        </w:rPr>
        <w:t> </w:t>
      </w:r>
      <w:r>
        <w:rPr/>
        <w:t>and</w:t>
      </w:r>
      <w:r>
        <w:rPr>
          <w:spacing w:val="-32"/>
        </w:rPr>
        <w:t> </w:t>
      </w:r>
      <w:r>
        <w:rPr/>
        <w:t>should</w:t>
      </w:r>
      <w:r>
        <w:rPr>
          <w:spacing w:val="-30"/>
        </w:rPr>
        <w:t> </w:t>
      </w:r>
      <w:r>
        <w:rPr/>
        <w:t>generally</w:t>
      </w:r>
      <w:r>
        <w:rPr>
          <w:spacing w:val="-38"/>
        </w:rPr>
        <w:t> </w:t>
      </w:r>
      <w:r>
        <w:rPr/>
        <w:t>be</w:t>
      </w:r>
      <w:r>
        <w:rPr>
          <w:spacing w:val="-36"/>
        </w:rPr>
        <w:t> </w:t>
      </w:r>
      <w:r>
        <w:rPr>
          <w:spacing w:val="-3"/>
        </w:rPr>
        <w:t>determined</w:t>
      </w:r>
      <w:r>
        <w:rPr>
          <w:spacing w:val="-34"/>
        </w:rPr>
        <w:t> </w:t>
      </w:r>
      <w:r>
        <w:rPr/>
        <w:t>prior to</w:t>
      </w:r>
      <w:r>
        <w:rPr>
          <w:spacing w:val="-18"/>
        </w:rPr>
        <w:t> </w:t>
      </w:r>
      <w:r>
        <w:rPr/>
        <w:t>the</w:t>
      </w:r>
      <w:r>
        <w:rPr>
          <w:spacing w:val="-19"/>
        </w:rPr>
        <w:t> </w:t>
      </w:r>
      <w:r>
        <w:rPr/>
        <w:t>onset</w:t>
      </w:r>
      <w:r>
        <w:rPr>
          <w:spacing w:val="-19"/>
        </w:rPr>
        <w:t> </w:t>
      </w:r>
      <w:r>
        <w:rPr/>
        <w:t>of</w:t>
      </w:r>
      <w:r>
        <w:rPr>
          <w:spacing w:val="-18"/>
        </w:rPr>
        <w:t> </w:t>
      </w:r>
      <w:r>
        <w:rPr/>
        <w:t>appraisal.</w:t>
      </w:r>
      <w:r>
        <w:rPr>
          <w:spacing w:val="32"/>
        </w:rPr>
        <w:t> </w:t>
      </w:r>
      <w:r>
        <w:rPr/>
        <w:t>The</w:t>
      </w:r>
      <w:r>
        <w:rPr>
          <w:spacing w:val="-19"/>
        </w:rPr>
        <w:t> </w:t>
      </w:r>
      <w:r>
        <w:rPr/>
        <w:t>appraisal</w:t>
      </w:r>
      <w:r>
        <w:rPr>
          <w:spacing w:val="-16"/>
        </w:rPr>
        <w:t> </w:t>
      </w:r>
      <w:r>
        <w:rPr/>
        <w:t>sought by the insureds after denial of the claim </w:t>
      </w:r>
      <w:r>
        <w:rPr>
          <w:spacing w:val="-6"/>
        </w:rPr>
        <w:t>was </w:t>
      </w:r>
      <w:r>
        <w:rPr/>
        <w:t>the</w:t>
      </w:r>
      <w:r>
        <w:rPr>
          <w:spacing w:val="-17"/>
        </w:rPr>
        <w:t> </w:t>
      </w:r>
      <w:r>
        <w:rPr/>
        <w:t>wrong</w:t>
      </w:r>
      <w:r>
        <w:rPr>
          <w:spacing w:val="-14"/>
        </w:rPr>
        <w:t> </w:t>
      </w:r>
      <w:r>
        <w:rPr/>
        <w:t>remedy</w:t>
      </w:r>
      <w:r>
        <w:rPr>
          <w:spacing w:val="-20"/>
        </w:rPr>
        <w:t> </w:t>
      </w:r>
      <w:r>
        <w:rPr/>
        <w:t>and</w:t>
      </w:r>
      <w:r>
        <w:rPr>
          <w:spacing w:val="-13"/>
        </w:rPr>
        <w:t> </w:t>
      </w:r>
      <w:r>
        <w:rPr/>
        <w:t>was</w:t>
      </w:r>
      <w:r>
        <w:rPr>
          <w:spacing w:val="-13"/>
        </w:rPr>
        <w:t> </w:t>
      </w:r>
      <w:r>
        <w:rPr/>
        <w:t>premature</w:t>
      </w:r>
      <w:r>
        <w:rPr>
          <w:spacing w:val="-15"/>
        </w:rPr>
        <w:t> </w:t>
      </w:r>
      <w:r>
        <w:rPr/>
        <w:t>absent</w:t>
      </w:r>
    </w:p>
    <w:p>
      <w:pPr>
        <w:pStyle w:val="BodyText"/>
        <w:spacing w:before="3"/>
        <w:rPr>
          <w:sz w:val="27"/>
        </w:rPr>
      </w:pPr>
      <w:r>
        <w:rPr/>
        <w:pict>
          <v:shape style="position:absolute;margin-left:162pt;margin-top:19.130083pt;width:143.9pt;height:.1pt;mso-position-horizontal-relative:page;mso-position-vertical-relative:paragraph;z-index:-251474944;mso-wrap-distance-left:0;mso-wrap-distance-right:0" coordorigin="3240,383" coordsize="2878,0" path="m3240,383l6118,38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15" w:val="left" w:leader="none"/>
        </w:tabs>
        <w:spacing w:line="240" w:lineRule="auto" w:before="71" w:after="0"/>
        <w:ind w:left="3014" w:right="0" w:hanging="275"/>
        <w:jc w:val="left"/>
        <w:rPr>
          <w:sz w:val="18"/>
        </w:rPr>
      </w:pPr>
      <w:r>
        <w:rPr>
          <w:sz w:val="18"/>
          <w:u w:val="single"/>
        </w:rPr>
        <w:t>Ice City Inc. v. Ins. Co. of North America</w:t>
      </w:r>
      <w:r>
        <w:rPr>
          <w:sz w:val="18"/>
        </w:rPr>
        <w:t>, 456 Pa 210, 314 A.2d 236 (Pa.1974); </w:t>
      </w:r>
      <w:r>
        <w:rPr>
          <w:sz w:val="18"/>
          <w:u w:val="single"/>
        </w:rPr>
        <w:t>Id</w:t>
      </w:r>
      <w:r>
        <w:rPr>
          <w:sz w:val="18"/>
        </w:rPr>
        <w:t>.</w:t>
      </w:r>
    </w:p>
    <w:p>
      <w:pPr>
        <w:pStyle w:val="ListParagraph"/>
        <w:numPr>
          <w:ilvl w:val="0"/>
          <w:numId w:val="12"/>
        </w:numPr>
        <w:tabs>
          <w:tab w:pos="3027" w:val="left" w:leader="none"/>
        </w:tabs>
        <w:spacing w:line="240" w:lineRule="auto" w:before="57" w:after="0"/>
        <w:ind w:left="3026" w:right="0" w:hanging="287"/>
        <w:jc w:val="left"/>
        <w:rPr>
          <w:sz w:val="18"/>
        </w:rPr>
      </w:pPr>
      <w:r>
        <w:rPr>
          <w:sz w:val="18"/>
          <w:u w:val="single"/>
        </w:rPr>
        <w:t>Talbert v. Northwestern Nat. Ins. Co.</w:t>
      </w:r>
      <w:r>
        <w:rPr>
          <w:sz w:val="18"/>
        </w:rPr>
        <w:t>, 120 So. 24</w:t>
      </w:r>
      <w:r>
        <w:rPr>
          <w:spacing w:val="1"/>
          <w:sz w:val="18"/>
        </w:rPr>
        <w:t> </w:t>
      </w:r>
      <w:r>
        <w:rPr>
          <w:sz w:val="18"/>
        </w:rPr>
        <w:t>(1929).</w:t>
      </w:r>
    </w:p>
    <w:p>
      <w:pPr>
        <w:spacing w:after="0" w:line="240" w:lineRule="auto"/>
        <w:jc w:val="left"/>
        <w:rPr>
          <w:sz w:val="18"/>
        </w:rPr>
        <w:sectPr>
          <w:pgSz w:w="12240" w:h="15840"/>
          <w:pgMar w:header="0" w:footer="2273" w:top="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pPr>
      <w:bookmarkStart w:name="Law and Procedure 253" w:id="69"/>
      <w:bookmarkEnd w:id="69"/>
      <w:r>
        <w:rPr/>
      </w:r>
      <w:r>
        <w:rPr/>
        <w:t>a determination that coverage existed. </w:t>
      </w:r>
      <w:r>
        <w:rPr>
          <w:spacing w:val="2"/>
        </w:rPr>
        <w:t>It </w:t>
      </w:r>
      <w:r>
        <w:rPr/>
        <w:t>was held that the insureds remained free to file</w:t>
      </w:r>
      <w:r>
        <w:rPr>
          <w:spacing w:val="-42"/>
        </w:rPr>
        <w:t> </w:t>
      </w:r>
      <w:r>
        <w:rPr/>
        <w:t>suit on the policy and at that time reassert their claim to</w:t>
      </w:r>
      <w:r>
        <w:rPr>
          <w:spacing w:val="-2"/>
        </w:rPr>
        <w:t> </w:t>
      </w:r>
      <w:r>
        <w:rPr/>
        <w:t>appraisal.</w:t>
      </w:r>
      <w:r>
        <w:rPr>
          <w:vertAlign w:val="superscript"/>
        </w:rPr>
        <w:t>551</w:t>
      </w:r>
    </w:p>
    <w:p>
      <w:pPr>
        <w:pStyle w:val="BodyText"/>
        <w:spacing w:before="1"/>
      </w:pPr>
    </w:p>
    <w:p>
      <w:pPr>
        <w:pStyle w:val="BodyText"/>
        <w:spacing w:line="242" w:lineRule="auto"/>
        <w:ind w:left="3100" w:right="3197" w:firstLine="720"/>
        <w:jc w:val="both"/>
      </w:pPr>
      <w:r>
        <w:rPr>
          <w:spacing w:val="3"/>
        </w:rPr>
        <w:t>In </w:t>
      </w:r>
      <w:r>
        <w:rPr/>
        <w:t>North Carolina, the necessity of pursuing appraisal prior to commencing litigation</w:t>
      </w:r>
      <w:r>
        <w:rPr>
          <w:spacing w:val="-36"/>
        </w:rPr>
        <w:t> </w:t>
      </w:r>
      <w:r>
        <w:rPr/>
        <w:t>was</w:t>
      </w:r>
      <w:r>
        <w:rPr>
          <w:spacing w:val="-36"/>
        </w:rPr>
        <w:t> </w:t>
      </w:r>
      <w:r>
        <w:rPr/>
        <w:t>influenced</w:t>
      </w:r>
      <w:r>
        <w:rPr>
          <w:spacing w:val="-39"/>
        </w:rPr>
        <w:t> </w:t>
      </w:r>
      <w:r>
        <w:rPr/>
        <w:t>by</w:t>
      </w:r>
      <w:r>
        <w:rPr>
          <w:spacing w:val="-41"/>
        </w:rPr>
        <w:t> </w:t>
      </w:r>
      <w:r>
        <w:rPr>
          <w:spacing w:val="-3"/>
        </w:rPr>
        <w:t>pertinent</w:t>
      </w:r>
      <w:r>
        <w:rPr>
          <w:spacing w:val="-40"/>
        </w:rPr>
        <w:t> </w:t>
      </w:r>
      <w:r>
        <w:rPr/>
        <w:t>language within the insurance policy. </w:t>
      </w:r>
      <w:r>
        <w:rPr>
          <w:spacing w:val="-3"/>
        </w:rPr>
        <w:t>Where </w:t>
      </w:r>
      <w:r>
        <w:rPr/>
        <w:t>policy language</w:t>
      </w:r>
      <w:r>
        <w:rPr>
          <w:spacing w:val="-29"/>
        </w:rPr>
        <w:t> </w:t>
      </w:r>
      <w:r>
        <w:rPr/>
        <w:t>which</w:t>
      </w:r>
      <w:r>
        <w:rPr>
          <w:spacing w:val="-32"/>
        </w:rPr>
        <w:t> </w:t>
      </w:r>
      <w:r>
        <w:rPr/>
        <w:t>is</w:t>
      </w:r>
      <w:r>
        <w:rPr>
          <w:spacing w:val="-32"/>
        </w:rPr>
        <w:t> </w:t>
      </w:r>
      <w:r>
        <w:rPr/>
        <w:t>fairly</w:t>
      </w:r>
      <w:r>
        <w:rPr>
          <w:spacing w:val="-35"/>
        </w:rPr>
        <w:t> </w:t>
      </w:r>
      <w:r>
        <w:rPr/>
        <w:t>common</w:t>
      </w:r>
      <w:r>
        <w:rPr>
          <w:spacing w:val="-32"/>
        </w:rPr>
        <w:t> </w:t>
      </w:r>
      <w:r>
        <w:rPr/>
        <w:t>in</w:t>
      </w:r>
      <w:r>
        <w:rPr>
          <w:spacing w:val="-33"/>
        </w:rPr>
        <w:t> </w:t>
      </w:r>
      <w:r>
        <w:rPr/>
        <w:t>the</w:t>
      </w:r>
      <w:r>
        <w:rPr>
          <w:spacing w:val="-32"/>
        </w:rPr>
        <w:t> </w:t>
      </w:r>
      <w:r>
        <w:rPr/>
        <w:t>market, specifically provided that an insurer was not obligated to make a payment to its insured until the parties had agreed to an amount </w:t>
      </w:r>
      <w:r>
        <w:rPr>
          <w:spacing w:val="-6"/>
        </w:rPr>
        <w:t>of </w:t>
      </w:r>
      <w:r>
        <w:rPr/>
        <w:t>loss or appraisal was complete, completion</w:t>
      </w:r>
      <w:r>
        <w:rPr>
          <w:spacing w:val="-32"/>
        </w:rPr>
        <w:t> </w:t>
      </w:r>
      <w:r>
        <w:rPr/>
        <w:t>of the</w:t>
      </w:r>
      <w:r>
        <w:rPr>
          <w:spacing w:val="-35"/>
        </w:rPr>
        <w:t> </w:t>
      </w:r>
      <w:r>
        <w:rPr/>
        <w:t>appraisal</w:t>
      </w:r>
      <w:r>
        <w:rPr>
          <w:spacing w:val="-34"/>
        </w:rPr>
        <w:t> </w:t>
      </w:r>
      <w:r>
        <w:rPr/>
        <w:t>process</w:t>
      </w:r>
      <w:r>
        <w:rPr>
          <w:spacing w:val="-34"/>
        </w:rPr>
        <w:t> </w:t>
      </w:r>
      <w:r>
        <w:rPr/>
        <w:t>was</w:t>
      </w:r>
      <w:r>
        <w:rPr>
          <w:spacing w:val="-34"/>
        </w:rPr>
        <w:t> </w:t>
      </w:r>
      <w:r>
        <w:rPr/>
        <w:t>deemed</w:t>
      </w:r>
      <w:r>
        <w:rPr>
          <w:spacing w:val="-37"/>
        </w:rPr>
        <w:t> </w:t>
      </w:r>
      <w:r>
        <w:rPr/>
        <w:t>a</w:t>
      </w:r>
      <w:r>
        <w:rPr>
          <w:spacing w:val="-36"/>
        </w:rPr>
        <w:t> </w:t>
      </w:r>
      <w:r>
        <w:rPr/>
        <w:t>condition precedent to litigation. Because the insured did not complete appraisal before filing an action against the insurer, he could </w:t>
      </w:r>
      <w:r>
        <w:rPr>
          <w:spacing w:val="-4"/>
        </w:rPr>
        <w:t>not </w:t>
      </w:r>
      <w:r>
        <w:rPr/>
        <w:t>commence an action at that point. The</w:t>
      </w:r>
      <w:r>
        <w:rPr>
          <w:spacing w:val="-36"/>
        </w:rPr>
        <w:t> </w:t>
      </w:r>
      <w:r>
        <w:rPr/>
        <w:t>Court held that the lower court should have stayed proceedings</w:t>
      </w:r>
      <w:r>
        <w:rPr>
          <w:spacing w:val="-16"/>
        </w:rPr>
        <w:t> </w:t>
      </w:r>
      <w:r>
        <w:rPr/>
        <w:t>following</w:t>
      </w:r>
      <w:r>
        <w:rPr>
          <w:spacing w:val="-14"/>
        </w:rPr>
        <w:t> </w:t>
      </w:r>
      <w:r>
        <w:rPr/>
        <w:t>the</w:t>
      </w:r>
      <w:r>
        <w:rPr>
          <w:spacing w:val="-14"/>
        </w:rPr>
        <w:t> </w:t>
      </w:r>
      <w:r>
        <w:rPr/>
        <w:t>insured’s</w:t>
      </w:r>
      <w:r>
        <w:rPr>
          <w:spacing w:val="-15"/>
        </w:rPr>
        <w:t> </w:t>
      </w:r>
      <w:r>
        <w:rPr/>
        <w:t>complaint and ordered them to participate in appraisal rather than dismissing the insured’s claim for </w:t>
      </w:r>
      <w:r>
        <w:rPr>
          <w:spacing w:val="20"/>
        </w:rPr>
        <w:t>fai </w:t>
      </w:r>
      <w:r>
        <w:rPr>
          <w:spacing w:val="23"/>
        </w:rPr>
        <w:t>lure </w:t>
      </w:r>
      <w:r>
        <w:rPr>
          <w:spacing w:val="14"/>
        </w:rPr>
        <w:t>to </w:t>
      </w:r>
      <w:r>
        <w:rPr>
          <w:spacing w:val="26"/>
        </w:rPr>
        <w:t>comply </w:t>
      </w:r>
      <w:r>
        <w:rPr>
          <w:spacing w:val="20"/>
        </w:rPr>
        <w:t>with </w:t>
      </w:r>
      <w:r>
        <w:rPr>
          <w:spacing w:val="24"/>
        </w:rPr>
        <w:t>apprai </w:t>
      </w:r>
      <w:r>
        <w:rPr>
          <w:spacing w:val="20"/>
        </w:rPr>
        <w:t>sal </w:t>
      </w:r>
      <w:r>
        <w:rPr/>
        <w:t>requirements.</w:t>
      </w:r>
      <w:r>
        <w:rPr>
          <w:vertAlign w:val="superscript"/>
        </w:rPr>
        <w:t>552</w:t>
      </w:r>
    </w:p>
    <w:p>
      <w:pPr>
        <w:pStyle w:val="BodyText"/>
        <w:spacing w:before="7"/>
        <w:rPr>
          <w:sz w:val="25"/>
        </w:rPr>
      </w:pPr>
    </w:p>
    <w:p>
      <w:pPr>
        <w:pStyle w:val="BodyText"/>
        <w:tabs>
          <w:tab w:pos="4338" w:val="left" w:leader="none"/>
          <w:tab w:pos="6301" w:val="left" w:leader="none"/>
          <w:tab w:pos="7283" w:val="left" w:leader="none"/>
          <w:tab w:pos="8351" w:val="left" w:leader="none"/>
        </w:tabs>
        <w:spacing w:before="1"/>
        <w:ind w:left="3820"/>
      </w:pPr>
      <w:r>
        <w:rPr/>
        <w:t>A</w:t>
        <w:tab/>
        <w:t>Pennsylvania</w:t>
        <w:tab/>
        <w:t>court</w:t>
        <w:tab/>
        <w:t>found</w:t>
        <w:tab/>
        <w:t>that</w:t>
      </w:r>
    </w:p>
    <w:p>
      <w:pPr>
        <w:pStyle w:val="BodyText"/>
        <w:spacing w:before="10"/>
        <w:rPr>
          <w:sz w:val="19"/>
        </w:rPr>
      </w:pPr>
      <w:r>
        <w:rPr/>
        <w:pict>
          <v:shape style="position:absolute;margin-left:162pt;margin-top:14.594785pt;width:143.9pt;height:.1pt;mso-position-horizontal-relative:page;mso-position-vertical-relative:paragraph;z-index:-251472896;mso-wrap-distance-left:0;mso-wrap-distance-right:0" coordorigin="3240,292" coordsize="2878,0" path="m3240,292l6118,29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18" w:val="left" w:leader="none"/>
        </w:tabs>
        <w:spacing w:line="254" w:lineRule="auto" w:before="80" w:after="0"/>
        <w:ind w:left="2740" w:right="2848" w:firstLine="0"/>
        <w:jc w:val="both"/>
        <w:rPr>
          <w:sz w:val="24"/>
        </w:rPr>
      </w:pPr>
      <w:r>
        <w:rPr>
          <w:sz w:val="18"/>
          <w:u w:val="single"/>
        </w:rPr>
        <w:t>Corzo v. American Superior Ins. Co.</w:t>
      </w:r>
      <w:r>
        <w:rPr>
          <w:sz w:val="18"/>
        </w:rPr>
        <w:t>, 847 So.2d 584, 28 Fla. L. Weekly D 1432 (Fla. App.</w:t>
      </w:r>
      <w:r>
        <w:rPr>
          <w:spacing w:val="-7"/>
          <w:sz w:val="18"/>
        </w:rPr>
        <w:t> </w:t>
      </w:r>
      <w:r>
        <w:rPr>
          <w:sz w:val="18"/>
        </w:rPr>
        <w:t>3</w:t>
      </w:r>
      <w:r>
        <w:rPr>
          <w:spacing w:val="-7"/>
          <w:sz w:val="18"/>
        </w:rPr>
        <w:t> </w:t>
      </w:r>
      <w:r>
        <w:rPr>
          <w:sz w:val="18"/>
        </w:rPr>
        <w:t>Dist.</w:t>
      </w:r>
      <w:r>
        <w:rPr>
          <w:spacing w:val="-6"/>
          <w:sz w:val="18"/>
        </w:rPr>
        <w:t> </w:t>
      </w:r>
      <w:r>
        <w:rPr>
          <w:sz w:val="18"/>
        </w:rPr>
        <w:t>2003);</w:t>
      </w:r>
      <w:r>
        <w:rPr>
          <w:spacing w:val="-6"/>
          <w:sz w:val="18"/>
        </w:rPr>
        <w:t> </w:t>
      </w:r>
      <w:r>
        <w:rPr>
          <w:sz w:val="18"/>
          <w:u w:val="single"/>
        </w:rPr>
        <w:t>Landmark</w:t>
      </w:r>
      <w:r>
        <w:rPr>
          <w:spacing w:val="-9"/>
          <w:sz w:val="18"/>
          <w:u w:val="single"/>
        </w:rPr>
        <w:t> </w:t>
      </w:r>
      <w:r>
        <w:rPr>
          <w:sz w:val="18"/>
          <w:u w:val="single"/>
        </w:rPr>
        <w:t>American</w:t>
      </w:r>
      <w:r>
        <w:rPr>
          <w:spacing w:val="-7"/>
          <w:sz w:val="18"/>
          <w:u w:val="single"/>
        </w:rPr>
        <w:t> </w:t>
      </w:r>
      <w:r>
        <w:rPr>
          <w:sz w:val="18"/>
          <w:u w:val="single"/>
        </w:rPr>
        <w:t>Ins.</w:t>
      </w:r>
      <w:r>
        <w:rPr>
          <w:spacing w:val="-7"/>
          <w:sz w:val="18"/>
          <w:u w:val="single"/>
        </w:rPr>
        <w:t> </w:t>
      </w:r>
      <w:r>
        <w:rPr>
          <w:sz w:val="18"/>
          <w:u w:val="single"/>
        </w:rPr>
        <w:t>Co.</w:t>
      </w:r>
      <w:r>
        <w:rPr>
          <w:spacing w:val="-6"/>
          <w:sz w:val="18"/>
          <w:u w:val="single"/>
        </w:rPr>
        <w:t> </w:t>
      </w:r>
      <w:r>
        <w:rPr>
          <w:sz w:val="18"/>
          <w:u w:val="single"/>
        </w:rPr>
        <w:t>v.</w:t>
      </w:r>
      <w:r>
        <w:rPr>
          <w:spacing w:val="-7"/>
          <w:sz w:val="18"/>
          <w:u w:val="single"/>
        </w:rPr>
        <w:t> </w:t>
      </w:r>
      <w:r>
        <w:rPr>
          <w:sz w:val="18"/>
          <w:u w:val="single"/>
        </w:rPr>
        <w:t>Hacienda</w:t>
      </w:r>
      <w:r>
        <w:rPr>
          <w:spacing w:val="-7"/>
          <w:sz w:val="18"/>
          <w:u w:val="single"/>
        </w:rPr>
        <w:t> </w:t>
      </w:r>
      <w:r>
        <w:rPr>
          <w:sz w:val="18"/>
          <w:u w:val="single"/>
        </w:rPr>
        <w:t>Village</w:t>
      </w:r>
      <w:r>
        <w:rPr>
          <w:spacing w:val="-7"/>
          <w:sz w:val="18"/>
          <w:u w:val="single"/>
        </w:rPr>
        <w:t> </w:t>
      </w:r>
      <w:r>
        <w:rPr>
          <w:sz w:val="18"/>
          <w:u w:val="single"/>
        </w:rPr>
        <w:t>Homeowners</w:t>
      </w:r>
      <w:r>
        <w:rPr>
          <w:spacing w:val="-8"/>
          <w:sz w:val="18"/>
          <w:u w:val="single"/>
        </w:rPr>
        <w:t> </w:t>
      </w:r>
      <w:r>
        <w:rPr>
          <w:sz w:val="18"/>
          <w:u w:val="single"/>
        </w:rPr>
        <w:t>Ass’n, Inc.</w:t>
      </w:r>
      <w:r>
        <w:rPr>
          <w:sz w:val="18"/>
        </w:rPr>
        <w:t>, 2008 WL 4371325 (M.D.Fla. 2008)</w:t>
      </w:r>
      <w:r>
        <w:rPr>
          <w:sz w:val="24"/>
        </w:rPr>
        <w:t>.</w:t>
      </w:r>
    </w:p>
    <w:p>
      <w:pPr>
        <w:pStyle w:val="ListParagraph"/>
        <w:numPr>
          <w:ilvl w:val="0"/>
          <w:numId w:val="12"/>
        </w:numPr>
        <w:tabs>
          <w:tab w:pos="3015" w:val="left" w:leader="none"/>
        </w:tabs>
        <w:spacing w:line="254" w:lineRule="exact" w:before="0" w:after="0"/>
        <w:ind w:left="3014" w:right="0" w:hanging="275"/>
        <w:jc w:val="both"/>
        <w:rPr>
          <w:sz w:val="18"/>
        </w:rPr>
      </w:pPr>
      <w:r>
        <w:rPr>
          <w:sz w:val="18"/>
          <w:u w:val="single"/>
        </w:rPr>
        <w:t>Patel v. Scottsdale Ins. Co.</w:t>
      </w:r>
      <w:r>
        <w:rPr>
          <w:sz w:val="18"/>
        </w:rPr>
        <w:t>, 728 S.E.2d 394 (N.C. Ct. App.</w:t>
      </w:r>
      <w:r>
        <w:rPr>
          <w:spacing w:val="4"/>
          <w:sz w:val="18"/>
        </w:rPr>
        <w:t> </w:t>
      </w:r>
      <w:r>
        <w:rPr>
          <w:sz w:val="18"/>
        </w:rPr>
        <w:t>2012).</w:t>
      </w:r>
    </w:p>
    <w:p>
      <w:pPr>
        <w:spacing w:after="0" w:line="254" w:lineRule="exact"/>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54" w:id="70"/>
      <w:bookmarkEnd w:id="70"/>
      <w:r>
        <w:rPr/>
      </w:r>
      <w:r>
        <w:rPr/>
        <w:t>appraisal was not triggered where an insurer had not admitted that the insured suffered a covered loss under the policy. The dispute involved policy coverage rather than loss calculation.</w:t>
      </w:r>
      <w:r>
        <w:rPr>
          <w:spacing w:val="-27"/>
        </w:rPr>
        <w:t> </w:t>
      </w:r>
      <w:r>
        <w:rPr/>
        <w:t>Pennsylvania</w:t>
      </w:r>
      <w:r>
        <w:rPr>
          <w:spacing w:val="-26"/>
        </w:rPr>
        <w:t> </w:t>
      </w:r>
      <w:r>
        <w:rPr/>
        <w:t>law</w:t>
      </w:r>
      <w:r>
        <w:rPr>
          <w:spacing w:val="-28"/>
        </w:rPr>
        <w:t> </w:t>
      </w:r>
      <w:r>
        <w:rPr/>
        <w:t>sets</w:t>
      </w:r>
      <w:r>
        <w:rPr>
          <w:spacing w:val="-23"/>
        </w:rPr>
        <w:t> </w:t>
      </w:r>
      <w:r>
        <w:rPr/>
        <w:t>forth</w:t>
      </w:r>
      <w:r>
        <w:rPr>
          <w:spacing w:val="-24"/>
        </w:rPr>
        <w:t> </w:t>
      </w:r>
      <w:r>
        <w:rPr/>
        <w:t>that</w:t>
      </w:r>
      <w:r>
        <w:rPr>
          <w:spacing w:val="-24"/>
        </w:rPr>
        <w:t> </w:t>
      </w:r>
      <w:r>
        <w:rPr/>
        <w:t>an appraisal</w:t>
      </w:r>
      <w:r>
        <w:rPr>
          <w:spacing w:val="-26"/>
        </w:rPr>
        <w:t> </w:t>
      </w:r>
      <w:r>
        <w:rPr/>
        <w:t>provision</w:t>
      </w:r>
      <w:r>
        <w:rPr>
          <w:spacing w:val="-27"/>
        </w:rPr>
        <w:t> </w:t>
      </w:r>
      <w:r>
        <w:rPr/>
        <w:t>“can</w:t>
      </w:r>
      <w:r>
        <w:rPr>
          <w:spacing w:val="-28"/>
        </w:rPr>
        <w:t> </w:t>
      </w:r>
      <w:r>
        <w:rPr/>
        <w:t>only</w:t>
      </w:r>
      <w:r>
        <w:rPr>
          <w:spacing w:val="-28"/>
        </w:rPr>
        <w:t> </w:t>
      </w:r>
      <w:r>
        <w:rPr/>
        <w:t>be</w:t>
      </w:r>
      <w:r>
        <w:rPr>
          <w:spacing w:val="-26"/>
        </w:rPr>
        <w:t> </w:t>
      </w:r>
      <w:r>
        <w:rPr/>
        <w:t>invoked</w:t>
      </w:r>
      <w:r>
        <w:rPr>
          <w:spacing w:val="-28"/>
        </w:rPr>
        <w:t> </w:t>
      </w:r>
      <w:r>
        <w:rPr/>
        <w:t>when the</w:t>
      </w:r>
      <w:r>
        <w:rPr>
          <w:spacing w:val="-14"/>
        </w:rPr>
        <w:t> </w:t>
      </w:r>
      <w:r>
        <w:rPr/>
        <w:t>insurer</w:t>
      </w:r>
      <w:r>
        <w:rPr>
          <w:spacing w:val="-15"/>
        </w:rPr>
        <w:t> </w:t>
      </w:r>
      <w:r>
        <w:rPr/>
        <w:t>admits</w:t>
      </w:r>
      <w:r>
        <w:rPr>
          <w:spacing w:val="-12"/>
        </w:rPr>
        <w:t> </w:t>
      </w:r>
      <w:r>
        <w:rPr/>
        <w:t>liability</w:t>
      </w:r>
      <w:r>
        <w:rPr>
          <w:spacing w:val="-15"/>
        </w:rPr>
        <w:t> </w:t>
      </w:r>
      <w:r>
        <w:rPr/>
        <w:t>and</w:t>
      </w:r>
      <w:r>
        <w:rPr>
          <w:spacing w:val="-14"/>
        </w:rPr>
        <w:t> </w:t>
      </w:r>
      <w:r>
        <w:rPr/>
        <w:t>the</w:t>
      </w:r>
      <w:r>
        <w:rPr>
          <w:spacing w:val="-16"/>
        </w:rPr>
        <w:t> </w:t>
      </w:r>
      <w:r>
        <w:rPr/>
        <w:t>sole</w:t>
      </w:r>
      <w:r>
        <w:rPr>
          <w:spacing w:val="-15"/>
        </w:rPr>
        <w:t> </w:t>
      </w:r>
      <w:r>
        <w:rPr/>
        <w:t>issue</w:t>
      </w:r>
      <w:r>
        <w:rPr>
          <w:spacing w:val="-15"/>
        </w:rPr>
        <w:t> </w:t>
      </w:r>
      <w:r>
        <w:rPr/>
        <w:t>is</w:t>
      </w:r>
      <w:r>
        <w:rPr>
          <w:spacing w:val="-15"/>
        </w:rPr>
        <w:t> </w:t>
      </w:r>
      <w:r>
        <w:rPr/>
        <w:t>a dispute over the valuation of the loss.” </w:t>
      </w:r>
      <w:r>
        <w:rPr>
          <w:spacing w:val="3"/>
        </w:rPr>
        <w:t>In </w:t>
      </w:r>
      <w:r>
        <w:rPr/>
        <w:t>making this assertion, the Court nonetheless </w:t>
      </w:r>
      <w:r>
        <w:rPr>
          <w:spacing w:val="4"/>
        </w:rPr>
        <w:t>recognized </w:t>
      </w:r>
      <w:r>
        <w:rPr>
          <w:spacing w:val="2"/>
        </w:rPr>
        <w:t>the </w:t>
      </w:r>
      <w:r>
        <w:rPr>
          <w:spacing w:val="4"/>
        </w:rPr>
        <w:t>state’s </w:t>
      </w:r>
      <w:r>
        <w:rPr>
          <w:spacing w:val="5"/>
        </w:rPr>
        <w:t>preference </w:t>
      </w:r>
      <w:r>
        <w:rPr>
          <w:spacing w:val="4"/>
        </w:rPr>
        <w:t>for </w:t>
      </w:r>
      <w:r>
        <w:rPr/>
        <w:t>appraisal: “Appraisal clauses in insurance contracts are enforceable and recognized under</w:t>
      </w:r>
      <w:r>
        <w:rPr>
          <w:spacing w:val="-17"/>
        </w:rPr>
        <w:t> </w:t>
      </w:r>
      <w:r>
        <w:rPr/>
        <w:t>Pennsylvania</w:t>
      </w:r>
      <w:r>
        <w:rPr>
          <w:spacing w:val="-15"/>
        </w:rPr>
        <w:t> </w:t>
      </w:r>
      <w:r>
        <w:rPr/>
        <w:t>law</w:t>
      </w:r>
      <w:r>
        <w:rPr>
          <w:spacing w:val="-16"/>
        </w:rPr>
        <w:t> </w:t>
      </w:r>
      <w:r>
        <w:rPr/>
        <w:t>as</w:t>
      </w:r>
      <w:r>
        <w:rPr>
          <w:spacing w:val="-11"/>
        </w:rPr>
        <w:t> </w:t>
      </w:r>
      <w:r>
        <w:rPr/>
        <w:t>favored</w:t>
      </w:r>
      <w:r>
        <w:rPr>
          <w:spacing w:val="-13"/>
        </w:rPr>
        <w:t> </w:t>
      </w:r>
      <w:r>
        <w:rPr/>
        <w:t>alternative dispute resolution</w:t>
      </w:r>
      <w:r>
        <w:rPr>
          <w:spacing w:val="-4"/>
        </w:rPr>
        <w:t> </w:t>
      </w:r>
      <w:r>
        <w:rPr/>
        <w:t>mechanisms.”</w:t>
      </w:r>
      <w:r>
        <w:rPr>
          <w:vertAlign w:val="superscript"/>
        </w:rPr>
        <w:t>553</w:t>
      </w:r>
    </w:p>
    <w:p>
      <w:pPr>
        <w:pStyle w:val="BodyText"/>
        <w:spacing w:before="9"/>
        <w:rPr>
          <w:sz w:val="25"/>
        </w:rPr>
      </w:pPr>
    </w:p>
    <w:p>
      <w:pPr>
        <w:pStyle w:val="BodyText"/>
        <w:spacing w:line="242" w:lineRule="auto" w:before="1"/>
        <w:ind w:left="3100" w:right="3199" w:firstLine="720"/>
        <w:jc w:val="both"/>
      </w:pPr>
      <w:r>
        <w:rPr/>
        <w:t>The Federal District Court sitting in the Eastern</w:t>
      </w:r>
      <w:r>
        <w:rPr>
          <w:spacing w:val="-11"/>
        </w:rPr>
        <w:t> </w:t>
      </w:r>
      <w:r>
        <w:rPr/>
        <w:t>District</w:t>
      </w:r>
      <w:r>
        <w:rPr>
          <w:spacing w:val="-13"/>
        </w:rPr>
        <w:t> </w:t>
      </w:r>
      <w:r>
        <w:rPr/>
        <w:t>of</w:t>
      </w:r>
      <w:r>
        <w:rPr>
          <w:spacing w:val="-8"/>
        </w:rPr>
        <w:t> </w:t>
      </w:r>
      <w:r>
        <w:rPr/>
        <w:t>Pennsylvania</w:t>
      </w:r>
      <w:r>
        <w:rPr>
          <w:spacing w:val="-10"/>
        </w:rPr>
        <w:t> </w:t>
      </w:r>
      <w:r>
        <w:rPr/>
        <w:t>has</w:t>
      </w:r>
      <w:r>
        <w:rPr>
          <w:spacing w:val="-9"/>
        </w:rPr>
        <w:t> </w:t>
      </w:r>
      <w:r>
        <w:rPr/>
        <w:t>stated</w:t>
      </w:r>
      <w:r>
        <w:rPr>
          <w:spacing w:val="-9"/>
        </w:rPr>
        <w:t> </w:t>
      </w:r>
      <w:r>
        <w:rPr/>
        <w:t>that where an insured fails to comply with an appraisal clause they may not seek resolution through litigation and such an action was dismissed</w:t>
      </w:r>
      <w:r>
        <w:rPr>
          <w:spacing w:val="-17"/>
        </w:rPr>
        <w:t> </w:t>
      </w:r>
      <w:r>
        <w:rPr/>
        <w:t>for</w:t>
      </w:r>
      <w:r>
        <w:rPr>
          <w:spacing w:val="-17"/>
        </w:rPr>
        <w:t> </w:t>
      </w:r>
      <w:r>
        <w:rPr/>
        <w:t>failure</w:t>
      </w:r>
      <w:r>
        <w:rPr>
          <w:spacing w:val="-16"/>
        </w:rPr>
        <w:t> </w:t>
      </w:r>
      <w:r>
        <w:rPr/>
        <w:t>to</w:t>
      </w:r>
      <w:r>
        <w:rPr>
          <w:spacing w:val="-16"/>
        </w:rPr>
        <w:t> </w:t>
      </w:r>
      <w:r>
        <w:rPr/>
        <w:t>state</w:t>
      </w:r>
      <w:r>
        <w:rPr>
          <w:spacing w:val="-16"/>
        </w:rPr>
        <w:t> </w:t>
      </w:r>
      <w:r>
        <w:rPr/>
        <w:t>a</w:t>
      </w:r>
      <w:r>
        <w:rPr>
          <w:spacing w:val="-15"/>
        </w:rPr>
        <w:t> </w:t>
      </w:r>
      <w:r>
        <w:rPr/>
        <w:t>valid</w:t>
      </w:r>
      <w:r>
        <w:rPr>
          <w:spacing w:val="-16"/>
        </w:rPr>
        <w:t> </w:t>
      </w:r>
      <w:r>
        <w:rPr/>
        <w:t>claim</w:t>
      </w:r>
      <w:r>
        <w:rPr>
          <w:spacing w:val="-15"/>
        </w:rPr>
        <w:t> </w:t>
      </w:r>
      <w:r>
        <w:rPr/>
        <w:t>upon which relief could be</w:t>
      </w:r>
      <w:r>
        <w:rPr>
          <w:spacing w:val="-5"/>
        </w:rPr>
        <w:t> </w:t>
      </w:r>
      <w:r>
        <w:rPr/>
        <w:t>granted.</w:t>
      </w:r>
      <w:r>
        <w:rPr>
          <w:vertAlign w:val="superscript"/>
        </w:rPr>
        <w:t>554</w:t>
      </w:r>
    </w:p>
    <w:p>
      <w:pPr>
        <w:pStyle w:val="BodyText"/>
      </w:pPr>
    </w:p>
    <w:p>
      <w:pPr>
        <w:pStyle w:val="BodyText"/>
        <w:spacing w:line="242" w:lineRule="auto"/>
        <w:ind w:left="3100" w:right="3199" w:firstLine="720"/>
        <w:jc w:val="both"/>
      </w:pPr>
      <w:r>
        <w:rPr>
          <w:spacing w:val="3"/>
        </w:rPr>
        <w:t>In </w:t>
      </w:r>
      <w:r>
        <w:rPr/>
        <w:t>Missouri, the Court stayed appraisal where it found the dispute was primarily concerned</w:t>
      </w:r>
      <w:r>
        <w:rPr>
          <w:spacing w:val="-25"/>
        </w:rPr>
        <w:t> </w:t>
      </w:r>
      <w:r>
        <w:rPr/>
        <w:t>with</w:t>
      </w:r>
      <w:r>
        <w:rPr>
          <w:spacing w:val="-25"/>
        </w:rPr>
        <w:t> </w:t>
      </w:r>
      <w:r>
        <w:rPr/>
        <w:t>coverage</w:t>
      </w:r>
      <w:r>
        <w:rPr>
          <w:spacing w:val="-27"/>
        </w:rPr>
        <w:t> </w:t>
      </w:r>
      <w:r>
        <w:rPr/>
        <w:t>rather</w:t>
      </w:r>
      <w:r>
        <w:rPr>
          <w:spacing w:val="-28"/>
        </w:rPr>
        <w:t> </w:t>
      </w:r>
      <w:r>
        <w:rPr/>
        <w:t>than</w:t>
      </w:r>
      <w:r>
        <w:rPr>
          <w:spacing w:val="-25"/>
        </w:rPr>
        <w:t> </w:t>
      </w:r>
      <w:r>
        <w:rPr/>
        <w:t>amount of</w:t>
      </w:r>
      <w:r>
        <w:rPr>
          <w:spacing w:val="-17"/>
        </w:rPr>
        <w:t> </w:t>
      </w:r>
      <w:r>
        <w:rPr/>
        <w:t>loss.</w:t>
      </w:r>
      <w:r>
        <w:rPr>
          <w:spacing w:val="-17"/>
        </w:rPr>
        <w:t> </w:t>
      </w:r>
      <w:r>
        <w:rPr>
          <w:spacing w:val="-3"/>
        </w:rPr>
        <w:t>The</w:t>
      </w:r>
      <w:r>
        <w:rPr>
          <w:spacing w:val="-15"/>
        </w:rPr>
        <w:t> </w:t>
      </w:r>
      <w:r>
        <w:rPr/>
        <w:t>Court</w:t>
      </w:r>
      <w:r>
        <w:rPr>
          <w:spacing w:val="-16"/>
        </w:rPr>
        <w:t> </w:t>
      </w:r>
      <w:r>
        <w:rPr/>
        <w:t>reasoned</w:t>
      </w:r>
      <w:r>
        <w:rPr>
          <w:spacing w:val="-16"/>
        </w:rPr>
        <w:t> </w:t>
      </w:r>
      <w:r>
        <w:rPr/>
        <w:t>that</w:t>
      </w:r>
      <w:r>
        <w:rPr>
          <w:spacing w:val="-19"/>
        </w:rPr>
        <w:t> </w:t>
      </w:r>
      <w:r>
        <w:rPr/>
        <w:t>an</w:t>
      </w:r>
      <w:r>
        <w:rPr>
          <w:spacing w:val="-17"/>
        </w:rPr>
        <w:t> </w:t>
      </w:r>
      <w:r>
        <w:rPr/>
        <w:t>absence</w:t>
      </w:r>
      <w:r>
        <w:rPr>
          <w:spacing w:val="-17"/>
        </w:rPr>
        <w:t> </w:t>
      </w:r>
      <w:r>
        <w:rPr/>
        <w:t>of coverage</w:t>
      </w:r>
      <w:r>
        <w:rPr>
          <w:spacing w:val="-16"/>
        </w:rPr>
        <w:t> </w:t>
      </w:r>
      <w:r>
        <w:rPr/>
        <w:t>would</w:t>
      </w:r>
      <w:r>
        <w:rPr>
          <w:spacing w:val="-14"/>
        </w:rPr>
        <w:t> </w:t>
      </w:r>
      <w:r>
        <w:rPr/>
        <w:t>result</w:t>
      </w:r>
      <w:r>
        <w:rPr>
          <w:spacing w:val="-19"/>
        </w:rPr>
        <w:t> </w:t>
      </w:r>
      <w:r>
        <w:rPr/>
        <w:t>in</w:t>
      </w:r>
      <w:r>
        <w:rPr>
          <w:spacing w:val="-17"/>
        </w:rPr>
        <w:t> </w:t>
      </w:r>
      <w:r>
        <w:rPr/>
        <w:t>denial</w:t>
      </w:r>
      <w:r>
        <w:rPr>
          <w:spacing w:val="-15"/>
        </w:rPr>
        <w:t> </w:t>
      </w:r>
      <w:r>
        <w:rPr/>
        <w:t>of</w:t>
      </w:r>
      <w:r>
        <w:rPr>
          <w:spacing w:val="-16"/>
        </w:rPr>
        <w:t> </w:t>
      </w:r>
      <w:r>
        <w:rPr/>
        <w:t>a</w:t>
      </w:r>
      <w:r>
        <w:rPr>
          <w:spacing w:val="-16"/>
        </w:rPr>
        <w:t> </w:t>
      </w:r>
      <w:r>
        <w:rPr/>
        <w:t>claim</w:t>
      </w:r>
      <w:r>
        <w:rPr>
          <w:spacing w:val="-17"/>
        </w:rPr>
        <w:t> </w:t>
      </w:r>
      <w:r>
        <w:rPr>
          <w:spacing w:val="-4"/>
        </w:rPr>
        <w:t>and </w:t>
      </w:r>
      <w:r>
        <w:rPr/>
        <w:t>time and money spent on appraisal would</w:t>
      </w:r>
      <w:r>
        <w:rPr>
          <w:spacing w:val="-17"/>
        </w:rPr>
        <w:t> </w:t>
      </w:r>
      <w:r>
        <w:rPr/>
        <w:t>be</w:t>
      </w:r>
    </w:p>
    <w:p>
      <w:pPr>
        <w:pStyle w:val="BodyText"/>
        <w:spacing w:before="1"/>
        <w:rPr>
          <w:sz w:val="19"/>
        </w:rPr>
      </w:pPr>
      <w:r>
        <w:rPr/>
        <w:pict>
          <v:shape style="position:absolute;margin-left:162pt;margin-top:14.108686pt;width:143.9pt;height:.1pt;mso-position-horizontal-relative:page;mso-position-vertical-relative:paragraph;z-index:-251471872;mso-wrap-distance-left:0;mso-wrap-distance-right:0" coordorigin="3240,282" coordsize="2878,0" path="m3240,282l6118,282e" filled="false" stroked="true" strokeweight=".84pt" strokecolor="#000000">
            <v:path arrowok="t"/>
            <v:stroke dashstyle="solid"/>
            <w10:wrap type="topAndBottom"/>
          </v:shape>
        </w:pict>
      </w:r>
    </w:p>
    <w:p>
      <w:pPr>
        <w:pStyle w:val="ListParagraph"/>
        <w:numPr>
          <w:ilvl w:val="0"/>
          <w:numId w:val="12"/>
        </w:numPr>
        <w:tabs>
          <w:tab w:pos="3006" w:val="left" w:leader="none"/>
        </w:tabs>
        <w:spacing w:line="244" w:lineRule="auto" w:before="140" w:after="0"/>
        <w:ind w:left="2740" w:right="2842" w:firstLine="0"/>
        <w:jc w:val="left"/>
        <w:rPr>
          <w:sz w:val="18"/>
        </w:rPr>
      </w:pPr>
      <w:r>
        <w:rPr>
          <w:sz w:val="18"/>
          <w:u w:val="single"/>
        </w:rPr>
        <w:t>Keystone Asset Mgmt., Inc. v. West American Ins. Co.</w:t>
      </w:r>
      <w:r>
        <w:rPr>
          <w:sz w:val="18"/>
        </w:rPr>
        <w:t>, 2010 WL 4159249 (E.D. Pa. 2010).</w:t>
      </w:r>
    </w:p>
    <w:p>
      <w:pPr>
        <w:pStyle w:val="ListParagraph"/>
        <w:numPr>
          <w:ilvl w:val="0"/>
          <w:numId w:val="12"/>
        </w:numPr>
        <w:tabs>
          <w:tab w:pos="3001" w:val="left" w:leader="none"/>
        </w:tabs>
        <w:spacing w:line="278" w:lineRule="exact" w:before="0" w:after="0"/>
        <w:ind w:left="3001" w:right="0" w:hanging="261"/>
        <w:jc w:val="left"/>
        <w:rPr>
          <w:sz w:val="24"/>
        </w:rPr>
      </w:pPr>
      <w:r>
        <w:rPr>
          <w:sz w:val="18"/>
          <w:u w:val="single"/>
        </w:rPr>
        <w:t>Sydney v. Pacific Ind. Co.</w:t>
      </w:r>
      <w:r>
        <w:rPr>
          <w:sz w:val="18"/>
        </w:rPr>
        <w:t>, 2012 WL 3135529 (E.D. Pa.</w:t>
      </w:r>
      <w:r>
        <w:rPr>
          <w:spacing w:val="-4"/>
          <w:sz w:val="18"/>
        </w:rPr>
        <w:t> </w:t>
      </w:r>
      <w:r>
        <w:rPr>
          <w:sz w:val="18"/>
        </w:rPr>
        <w:t>2012)</w:t>
      </w:r>
      <w:r>
        <w:rPr>
          <w:sz w:val="24"/>
        </w:rPr>
        <w:t>.</w:t>
      </w:r>
    </w:p>
    <w:p>
      <w:pPr>
        <w:spacing w:after="0" w:line="278" w:lineRule="exact"/>
        <w:jc w:val="left"/>
        <w:rPr>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55" w:id="71"/>
      <w:bookmarkEnd w:id="71"/>
      <w:r>
        <w:rPr/>
      </w:r>
      <w:r>
        <w:rPr/>
        <w:t>wasteful. Alternatively, if neither was the case but exclusions applied to certain aspects of coverage,</w:t>
      </w:r>
      <w:r>
        <w:rPr>
          <w:spacing w:val="-33"/>
        </w:rPr>
        <w:t> </w:t>
      </w:r>
      <w:r>
        <w:rPr/>
        <w:t>appraisal</w:t>
      </w:r>
      <w:r>
        <w:rPr>
          <w:spacing w:val="-30"/>
        </w:rPr>
        <w:t> </w:t>
      </w:r>
      <w:r>
        <w:rPr>
          <w:spacing w:val="-3"/>
        </w:rPr>
        <w:t>would</w:t>
      </w:r>
      <w:r>
        <w:rPr>
          <w:spacing w:val="-31"/>
        </w:rPr>
        <w:t> </w:t>
      </w:r>
      <w:r>
        <w:rPr/>
        <w:t>be</w:t>
      </w:r>
      <w:r>
        <w:rPr>
          <w:spacing w:val="-30"/>
        </w:rPr>
        <w:t> </w:t>
      </w:r>
      <w:r>
        <w:rPr/>
        <w:t>limited</w:t>
      </w:r>
      <w:r>
        <w:rPr>
          <w:spacing w:val="-32"/>
        </w:rPr>
        <w:t> </w:t>
      </w:r>
      <w:r>
        <w:rPr/>
        <w:t>in</w:t>
      </w:r>
      <w:r>
        <w:rPr>
          <w:spacing w:val="-30"/>
        </w:rPr>
        <w:t> </w:t>
      </w:r>
      <w:r>
        <w:rPr/>
        <w:t>scope. The Court stated that if appraisal took place </w:t>
      </w:r>
      <w:r>
        <w:rPr>
          <w:spacing w:val="13"/>
        </w:rPr>
        <w:t>prior </w:t>
      </w:r>
      <w:r>
        <w:rPr>
          <w:spacing w:val="7"/>
        </w:rPr>
        <w:t>to </w:t>
      </w:r>
      <w:r>
        <w:rPr/>
        <w:t>a </w:t>
      </w:r>
      <w:r>
        <w:rPr>
          <w:spacing w:val="11"/>
        </w:rPr>
        <w:t>coverage </w:t>
      </w:r>
      <w:r>
        <w:rPr>
          <w:spacing w:val="14"/>
        </w:rPr>
        <w:t>determination, </w:t>
      </w:r>
      <w:r>
        <w:rPr/>
        <w:t>modification of the appraisal award or additional appraisal may be warranted, resulting in financial hardship for both parties involved. The Court found further support for </w:t>
      </w:r>
      <w:r>
        <w:rPr>
          <w:spacing w:val="14"/>
        </w:rPr>
        <w:t>staying </w:t>
      </w:r>
      <w:r>
        <w:rPr>
          <w:spacing w:val="16"/>
        </w:rPr>
        <w:t>appraisal </w:t>
      </w:r>
      <w:r>
        <w:rPr>
          <w:spacing w:val="15"/>
        </w:rPr>
        <w:t>until </w:t>
      </w:r>
      <w:r>
        <w:rPr/>
        <w:t>a </w:t>
      </w:r>
      <w:r>
        <w:rPr>
          <w:spacing w:val="15"/>
        </w:rPr>
        <w:t>coverage </w:t>
      </w:r>
      <w:r>
        <w:rPr/>
        <w:t>determination was complete in that no damage would be suffered by the petitioner for</w:t>
      </w:r>
      <w:r>
        <w:rPr>
          <w:spacing w:val="-17"/>
        </w:rPr>
        <w:t> </w:t>
      </w:r>
      <w:r>
        <w:rPr/>
        <w:t>appraisal</w:t>
      </w:r>
      <w:r>
        <w:rPr>
          <w:spacing w:val="-15"/>
        </w:rPr>
        <w:t> </w:t>
      </w:r>
      <w:r>
        <w:rPr/>
        <w:t>and</w:t>
      </w:r>
      <w:r>
        <w:rPr>
          <w:spacing w:val="-14"/>
        </w:rPr>
        <w:t> </w:t>
      </w:r>
      <w:r>
        <w:rPr/>
        <w:t>that</w:t>
      </w:r>
      <w:r>
        <w:rPr>
          <w:spacing w:val="-15"/>
        </w:rPr>
        <w:t> </w:t>
      </w:r>
      <w:r>
        <w:rPr/>
        <w:t>judicial</w:t>
      </w:r>
      <w:r>
        <w:rPr>
          <w:spacing w:val="-15"/>
        </w:rPr>
        <w:t> </w:t>
      </w:r>
      <w:r>
        <w:rPr/>
        <w:t>economy</w:t>
      </w:r>
      <w:r>
        <w:rPr>
          <w:spacing w:val="-20"/>
        </w:rPr>
        <w:t> </w:t>
      </w:r>
      <w:r>
        <w:rPr/>
        <w:t>would be served by the</w:t>
      </w:r>
      <w:r>
        <w:rPr>
          <w:spacing w:val="-7"/>
        </w:rPr>
        <w:t> </w:t>
      </w:r>
      <w:r>
        <w:rPr/>
        <w:t>stay.</w:t>
      </w:r>
      <w:r>
        <w:rPr>
          <w:vertAlign w:val="superscript"/>
        </w:rPr>
        <w:t>555</w:t>
      </w:r>
    </w:p>
    <w:p>
      <w:pPr>
        <w:pStyle w:val="BodyText"/>
        <w:spacing w:before="9"/>
        <w:rPr>
          <w:sz w:val="25"/>
        </w:rPr>
      </w:pPr>
    </w:p>
    <w:p>
      <w:pPr>
        <w:pStyle w:val="BodyText"/>
        <w:spacing w:line="242" w:lineRule="auto" w:before="1"/>
        <w:ind w:left="3100" w:right="3195" w:firstLine="720"/>
        <w:jc w:val="both"/>
      </w:pPr>
      <w:r>
        <w:rPr>
          <w:spacing w:val="3"/>
        </w:rPr>
        <w:t>In </w:t>
      </w:r>
      <w:r>
        <w:rPr/>
        <w:t>California, where disagreement surrounded the nature of a dispute and thus </w:t>
      </w:r>
      <w:r>
        <w:rPr>
          <w:spacing w:val="21"/>
        </w:rPr>
        <w:t>appraisal’ </w:t>
      </w:r>
      <w:r>
        <w:rPr/>
        <w:t>s </w:t>
      </w:r>
      <w:r>
        <w:rPr>
          <w:spacing w:val="22"/>
        </w:rPr>
        <w:t>applicability </w:t>
      </w:r>
      <w:r>
        <w:rPr>
          <w:spacing w:val="18"/>
        </w:rPr>
        <w:t>under </w:t>
      </w:r>
      <w:r>
        <w:rPr>
          <w:spacing w:val="16"/>
        </w:rPr>
        <w:t>the </w:t>
      </w:r>
      <w:r>
        <w:rPr/>
        <w:t>circumstances, it was concluded that the decision</w:t>
      </w:r>
      <w:r>
        <w:rPr>
          <w:spacing w:val="-15"/>
        </w:rPr>
        <w:t> </w:t>
      </w:r>
      <w:r>
        <w:rPr/>
        <w:t>of</w:t>
      </w:r>
      <w:r>
        <w:rPr>
          <w:spacing w:val="-15"/>
        </w:rPr>
        <w:t> </w:t>
      </w:r>
      <w:r>
        <w:rPr/>
        <w:t>whether</w:t>
      </w:r>
      <w:r>
        <w:rPr>
          <w:spacing w:val="-18"/>
        </w:rPr>
        <w:t> </w:t>
      </w:r>
      <w:r>
        <w:rPr/>
        <w:t>to</w:t>
      </w:r>
      <w:r>
        <w:rPr>
          <w:spacing w:val="-15"/>
        </w:rPr>
        <w:t> </w:t>
      </w:r>
      <w:r>
        <w:rPr/>
        <w:t>stay</w:t>
      </w:r>
      <w:r>
        <w:rPr>
          <w:spacing w:val="-18"/>
        </w:rPr>
        <w:t> </w:t>
      </w:r>
      <w:r>
        <w:rPr/>
        <w:t>appraisal</w:t>
      </w:r>
      <w:r>
        <w:rPr>
          <w:spacing w:val="-16"/>
        </w:rPr>
        <w:t> </w:t>
      </w:r>
      <w:r>
        <w:rPr/>
        <w:t>fell</w:t>
      </w:r>
      <w:r>
        <w:rPr>
          <w:spacing w:val="-14"/>
        </w:rPr>
        <w:t> </w:t>
      </w:r>
      <w:r>
        <w:rPr/>
        <w:t>within the trial court’s discretion. </w:t>
      </w:r>
      <w:r>
        <w:rPr>
          <w:spacing w:val="-3"/>
        </w:rPr>
        <w:t>The </w:t>
      </w:r>
      <w:r>
        <w:rPr/>
        <w:t>Court relied upon</w:t>
      </w:r>
      <w:r>
        <w:rPr>
          <w:spacing w:val="-23"/>
        </w:rPr>
        <w:t> </w:t>
      </w:r>
      <w:r>
        <w:rPr/>
        <w:t>a</w:t>
      </w:r>
      <w:r>
        <w:rPr>
          <w:spacing w:val="-25"/>
        </w:rPr>
        <w:t> </w:t>
      </w:r>
      <w:r>
        <w:rPr/>
        <w:t>precedential</w:t>
      </w:r>
      <w:r>
        <w:rPr>
          <w:spacing w:val="-21"/>
        </w:rPr>
        <w:t> </w:t>
      </w:r>
      <w:r>
        <w:rPr/>
        <w:t>matter</w:t>
      </w:r>
      <w:r>
        <w:rPr>
          <w:spacing w:val="-24"/>
        </w:rPr>
        <w:t> </w:t>
      </w:r>
      <w:r>
        <w:rPr/>
        <w:t>in</w:t>
      </w:r>
      <w:r>
        <w:rPr>
          <w:spacing w:val="-25"/>
        </w:rPr>
        <w:t> </w:t>
      </w:r>
      <w:r>
        <w:rPr/>
        <w:t>which</w:t>
      </w:r>
      <w:r>
        <w:rPr>
          <w:spacing w:val="-25"/>
        </w:rPr>
        <w:t> </w:t>
      </w:r>
      <w:r>
        <w:rPr/>
        <w:t>appraisal was deferred until after contractual and statutory</w:t>
      </w:r>
      <w:r>
        <w:rPr>
          <w:spacing w:val="-38"/>
        </w:rPr>
        <w:t> </w:t>
      </w:r>
      <w:r>
        <w:rPr/>
        <w:t>interpretation</w:t>
      </w:r>
      <w:r>
        <w:rPr>
          <w:spacing w:val="-34"/>
        </w:rPr>
        <w:t> </w:t>
      </w:r>
      <w:r>
        <w:rPr/>
        <w:t>issues</w:t>
      </w:r>
      <w:r>
        <w:rPr>
          <w:spacing w:val="-35"/>
        </w:rPr>
        <w:t> </w:t>
      </w:r>
      <w:r>
        <w:rPr/>
        <w:t>not</w:t>
      </w:r>
      <w:r>
        <w:rPr>
          <w:spacing w:val="-36"/>
        </w:rPr>
        <w:t> </w:t>
      </w:r>
      <w:r>
        <w:rPr/>
        <w:t>determinable by appraisers were settled by the trial court. </w:t>
      </w:r>
      <w:r>
        <w:rPr>
          <w:spacing w:val="3"/>
        </w:rPr>
        <w:t>It </w:t>
      </w:r>
      <w:r>
        <w:rPr/>
        <w:t>supported its decision by equating the rules applicable</w:t>
      </w:r>
      <w:r>
        <w:rPr>
          <w:spacing w:val="-34"/>
        </w:rPr>
        <w:t> </w:t>
      </w:r>
      <w:r>
        <w:rPr/>
        <w:t>to</w:t>
      </w:r>
      <w:r>
        <w:rPr>
          <w:spacing w:val="-34"/>
        </w:rPr>
        <w:t> </w:t>
      </w:r>
      <w:r>
        <w:rPr/>
        <w:t>arbitration</w:t>
      </w:r>
      <w:r>
        <w:rPr>
          <w:spacing w:val="-36"/>
        </w:rPr>
        <w:t> </w:t>
      </w:r>
      <w:r>
        <w:rPr/>
        <w:t>to</w:t>
      </w:r>
      <w:r>
        <w:rPr>
          <w:spacing w:val="-34"/>
        </w:rPr>
        <w:t> </w:t>
      </w:r>
      <w:r>
        <w:rPr/>
        <w:t>those</w:t>
      </w:r>
      <w:r>
        <w:rPr>
          <w:spacing w:val="-34"/>
        </w:rPr>
        <w:t> </w:t>
      </w:r>
      <w:r>
        <w:rPr/>
        <w:t>applicable</w:t>
      </w:r>
      <w:r>
        <w:rPr>
          <w:spacing w:val="-36"/>
        </w:rPr>
        <w:t> </w:t>
      </w:r>
      <w:r>
        <w:rPr/>
        <w:t>to insurance appraisal; a court could defer appraisal</w:t>
      </w:r>
      <w:r>
        <w:rPr>
          <w:spacing w:val="-28"/>
        </w:rPr>
        <w:t> </w:t>
      </w:r>
      <w:r>
        <w:rPr/>
        <w:t>where</w:t>
      </w:r>
      <w:r>
        <w:rPr>
          <w:spacing w:val="-29"/>
        </w:rPr>
        <w:t> </w:t>
      </w:r>
      <w:r>
        <w:rPr/>
        <w:t>appropriate,</w:t>
      </w:r>
      <w:r>
        <w:rPr>
          <w:spacing w:val="-32"/>
        </w:rPr>
        <w:t> </w:t>
      </w:r>
      <w:r>
        <w:rPr/>
        <w:t>“just</w:t>
      </w:r>
      <w:r>
        <w:rPr>
          <w:spacing w:val="-30"/>
        </w:rPr>
        <w:t> </w:t>
      </w:r>
      <w:r>
        <w:rPr/>
        <w:t>as</w:t>
      </w:r>
      <w:r>
        <w:rPr>
          <w:spacing w:val="-28"/>
        </w:rPr>
        <w:t> </w:t>
      </w:r>
      <w:r>
        <w:rPr/>
        <w:t>it</w:t>
      </w:r>
      <w:r>
        <w:rPr>
          <w:spacing w:val="-28"/>
        </w:rPr>
        <w:t> </w:t>
      </w:r>
      <w:r>
        <w:rPr/>
        <w:t>has</w:t>
      </w:r>
      <w:r>
        <w:rPr>
          <w:spacing w:val="-30"/>
        </w:rPr>
        <w:t> </w:t>
      </w:r>
      <w:r>
        <w:rPr/>
        <w:t>‘the power to sever arbitrable claims</w:t>
      </w:r>
      <w:r>
        <w:rPr>
          <w:spacing w:val="57"/>
        </w:rPr>
        <w:t> </w:t>
      </w:r>
      <w:r>
        <w:rPr/>
        <w:t>from</w:t>
      </w:r>
    </w:p>
    <w:p>
      <w:pPr>
        <w:pStyle w:val="BodyText"/>
        <w:rPr>
          <w:sz w:val="20"/>
        </w:rPr>
      </w:pPr>
    </w:p>
    <w:p>
      <w:pPr>
        <w:pStyle w:val="BodyText"/>
        <w:spacing w:before="11"/>
        <w:rPr>
          <w:sz w:val="12"/>
        </w:rPr>
      </w:pPr>
      <w:r>
        <w:rPr/>
        <w:pict>
          <v:shape style="position:absolute;margin-left:162pt;margin-top:10.3102pt;width:143.9pt;height:.1pt;mso-position-horizontal-relative:page;mso-position-vertical-relative:paragraph;z-index:-251470848;mso-wrap-distance-left:0;mso-wrap-distance-right:0" coordorigin="3240,206" coordsize="2878,0" path="m3240,206l6118,206e" filled="false" stroked="true" strokeweight=".84pt" strokecolor="#000000">
            <v:path arrowok="t"/>
            <v:stroke dashstyle="solid"/>
            <w10:wrap type="topAndBottom"/>
          </v:shape>
        </w:pict>
      </w:r>
    </w:p>
    <w:p>
      <w:pPr>
        <w:pStyle w:val="ListParagraph"/>
        <w:numPr>
          <w:ilvl w:val="0"/>
          <w:numId w:val="12"/>
        </w:numPr>
        <w:tabs>
          <w:tab w:pos="2998" w:val="left" w:leader="none"/>
        </w:tabs>
        <w:spacing w:line="240" w:lineRule="auto" w:before="149" w:after="0"/>
        <w:ind w:left="2998" w:right="109" w:hanging="2998"/>
        <w:jc w:val="left"/>
        <w:rPr>
          <w:sz w:val="18"/>
        </w:rPr>
      </w:pPr>
      <w:r>
        <w:rPr>
          <w:sz w:val="18"/>
          <w:u w:val="single"/>
        </w:rPr>
        <w:t>SSDD, LLC v. Underwriters at Lloyd’s, London</w:t>
      </w:r>
      <w:r>
        <w:rPr>
          <w:sz w:val="18"/>
        </w:rPr>
        <w:t>, 2013 WL 2420676 (E.D. Mo.</w:t>
      </w:r>
      <w:r>
        <w:rPr>
          <w:spacing w:val="-31"/>
          <w:sz w:val="18"/>
        </w:rPr>
        <w:t> </w:t>
      </w:r>
      <w:r>
        <w:rPr>
          <w:sz w:val="18"/>
        </w:rPr>
        <w:t>2013).</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56" w:id="72"/>
      <w:bookmarkEnd w:id="72"/>
      <w:r>
        <w:rPr/>
      </w:r>
      <w:r>
        <w:rPr/>
        <w:t>inarbitrable ones and to stay either the arbitration</w:t>
      </w:r>
      <w:r>
        <w:rPr>
          <w:spacing w:val="-25"/>
        </w:rPr>
        <w:t> </w:t>
      </w:r>
      <w:r>
        <w:rPr/>
        <w:t>or</w:t>
      </w:r>
      <w:r>
        <w:rPr>
          <w:spacing w:val="-30"/>
        </w:rPr>
        <w:t> </w:t>
      </w:r>
      <w:r>
        <w:rPr/>
        <w:t>the</w:t>
      </w:r>
      <w:r>
        <w:rPr>
          <w:spacing w:val="-28"/>
        </w:rPr>
        <w:t> </w:t>
      </w:r>
      <w:r>
        <w:rPr/>
        <w:t>judicial</w:t>
      </w:r>
      <w:r>
        <w:rPr>
          <w:spacing w:val="-23"/>
        </w:rPr>
        <w:t> </w:t>
      </w:r>
      <w:r>
        <w:rPr/>
        <w:t>proceedings</w:t>
      </w:r>
      <w:r>
        <w:rPr>
          <w:spacing w:val="-24"/>
        </w:rPr>
        <w:t> </w:t>
      </w:r>
      <w:r>
        <w:rPr/>
        <w:t>pending the outcome of the other.’” The Appellate Court further addressed abuse of discretion, finding none where the trial court deferred appraisal until the parties’ rights under the policy and statutes were</w:t>
      </w:r>
      <w:r>
        <w:rPr>
          <w:spacing w:val="-12"/>
        </w:rPr>
        <w:t> </w:t>
      </w:r>
      <w:r>
        <w:rPr/>
        <w:t>determined.</w:t>
      </w:r>
      <w:r>
        <w:rPr>
          <w:vertAlign w:val="superscript"/>
        </w:rPr>
        <w:t>556</w:t>
      </w:r>
    </w:p>
    <w:p>
      <w:pPr>
        <w:pStyle w:val="BodyText"/>
      </w:pPr>
    </w:p>
    <w:p>
      <w:pPr>
        <w:pStyle w:val="BodyText"/>
        <w:spacing w:line="242" w:lineRule="auto"/>
        <w:ind w:left="3100" w:right="3197" w:firstLine="720"/>
        <w:jc w:val="both"/>
      </w:pPr>
      <w:r>
        <w:rPr/>
        <w:t>A California case was stayed pending the conclusion of appraisal where factual disputes existed as to whether an insurer had failed</w:t>
      </w:r>
      <w:r>
        <w:rPr>
          <w:spacing w:val="-19"/>
        </w:rPr>
        <w:t> </w:t>
      </w:r>
      <w:r>
        <w:rPr/>
        <w:t>to</w:t>
      </w:r>
      <w:r>
        <w:rPr>
          <w:spacing w:val="-18"/>
        </w:rPr>
        <w:t> </w:t>
      </w:r>
      <w:r>
        <w:rPr/>
        <w:t>pay</w:t>
      </w:r>
      <w:r>
        <w:rPr>
          <w:spacing w:val="-21"/>
        </w:rPr>
        <w:t> </w:t>
      </w:r>
      <w:r>
        <w:rPr/>
        <w:t>the</w:t>
      </w:r>
      <w:r>
        <w:rPr>
          <w:spacing w:val="-19"/>
        </w:rPr>
        <w:t> </w:t>
      </w:r>
      <w:r>
        <w:rPr/>
        <w:t>actual</w:t>
      </w:r>
      <w:r>
        <w:rPr>
          <w:spacing w:val="-17"/>
        </w:rPr>
        <w:t> </w:t>
      </w:r>
      <w:r>
        <w:rPr/>
        <w:t>cash</w:t>
      </w:r>
      <w:r>
        <w:rPr>
          <w:spacing w:val="-17"/>
        </w:rPr>
        <w:t> </w:t>
      </w:r>
      <w:r>
        <w:rPr/>
        <w:t>value</w:t>
      </w:r>
      <w:r>
        <w:rPr>
          <w:spacing w:val="-17"/>
        </w:rPr>
        <w:t> </w:t>
      </w:r>
      <w:r>
        <w:rPr/>
        <w:t>of</w:t>
      </w:r>
      <w:r>
        <w:rPr>
          <w:spacing w:val="-17"/>
        </w:rPr>
        <w:t> </w:t>
      </w:r>
      <w:r>
        <w:rPr>
          <w:spacing w:val="-3"/>
        </w:rPr>
        <w:t>property </w:t>
      </w:r>
      <w:r>
        <w:rPr/>
        <w:t>and misrepresented </w:t>
      </w:r>
      <w:r>
        <w:rPr>
          <w:spacing w:val="2"/>
        </w:rPr>
        <w:t>that </w:t>
      </w:r>
      <w:r>
        <w:rPr/>
        <w:t>its settlement reflected</w:t>
      </w:r>
      <w:r>
        <w:rPr>
          <w:spacing w:val="-36"/>
        </w:rPr>
        <w:t> </w:t>
      </w:r>
      <w:r>
        <w:rPr/>
        <w:t>the</w:t>
      </w:r>
      <w:r>
        <w:rPr>
          <w:spacing w:val="-34"/>
        </w:rPr>
        <w:t> </w:t>
      </w:r>
      <w:r>
        <w:rPr/>
        <w:t>actual</w:t>
      </w:r>
      <w:r>
        <w:rPr>
          <w:spacing w:val="-33"/>
        </w:rPr>
        <w:t> </w:t>
      </w:r>
      <w:r>
        <w:rPr/>
        <w:t>cash</w:t>
      </w:r>
      <w:r>
        <w:rPr>
          <w:spacing w:val="-33"/>
        </w:rPr>
        <w:t> </w:t>
      </w:r>
      <w:r>
        <w:rPr/>
        <w:t>value.</w:t>
      </w:r>
      <w:r>
        <w:rPr>
          <w:spacing w:val="-33"/>
        </w:rPr>
        <w:t> </w:t>
      </w:r>
      <w:r>
        <w:rPr/>
        <w:t>There,</w:t>
      </w:r>
      <w:r>
        <w:rPr>
          <w:spacing w:val="-35"/>
        </w:rPr>
        <w:t> </w:t>
      </w:r>
      <w:r>
        <w:rPr/>
        <w:t>insureds had raised an issue as to the calculation method to determine depreciation on its property</w:t>
      </w:r>
      <w:r>
        <w:rPr>
          <w:spacing w:val="-27"/>
        </w:rPr>
        <w:t> </w:t>
      </w:r>
      <w:r>
        <w:rPr/>
        <w:t>claims</w:t>
      </w:r>
      <w:r>
        <w:rPr>
          <w:spacing w:val="-25"/>
        </w:rPr>
        <w:t> </w:t>
      </w:r>
      <w:r>
        <w:rPr/>
        <w:t>and</w:t>
      </w:r>
      <w:r>
        <w:rPr>
          <w:spacing w:val="-23"/>
        </w:rPr>
        <w:t> </w:t>
      </w:r>
      <w:r>
        <w:rPr/>
        <w:t>the</w:t>
      </w:r>
      <w:r>
        <w:rPr>
          <w:spacing w:val="-25"/>
        </w:rPr>
        <w:t> </w:t>
      </w:r>
      <w:r>
        <w:rPr/>
        <w:t>insurer’s</w:t>
      </w:r>
      <w:r>
        <w:rPr>
          <w:spacing w:val="-22"/>
        </w:rPr>
        <w:t> </w:t>
      </w:r>
      <w:r>
        <w:rPr/>
        <w:t>concealment of the standard used. </w:t>
      </w:r>
      <w:r>
        <w:rPr>
          <w:spacing w:val="3"/>
        </w:rPr>
        <w:t>In </w:t>
      </w:r>
      <w:r>
        <w:rPr/>
        <w:t>spite of the insured’s contention that statutory and </w:t>
      </w:r>
      <w:r>
        <w:rPr>
          <w:spacing w:val="-3"/>
        </w:rPr>
        <w:t>regulatory </w:t>
      </w:r>
      <w:r>
        <w:rPr/>
        <w:t>questions</w:t>
      </w:r>
      <w:r>
        <w:rPr>
          <w:spacing w:val="-16"/>
        </w:rPr>
        <w:t> </w:t>
      </w:r>
      <w:r>
        <w:rPr/>
        <w:t>must</w:t>
      </w:r>
      <w:r>
        <w:rPr>
          <w:spacing w:val="-18"/>
        </w:rPr>
        <w:t> </w:t>
      </w:r>
      <w:r>
        <w:rPr/>
        <w:t>be</w:t>
      </w:r>
      <w:r>
        <w:rPr>
          <w:spacing w:val="-16"/>
        </w:rPr>
        <w:t> </w:t>
      </w:r>
      <w:r>
        <w:rPr/>
        <w:t>clarified</w:t>
      </w:r>
      <w:r>
        <w:rPr>
          <w:spacing w:val="-16"/>
        </w:rPr>
        <w:t> </w:t>
      </w:r>
      <w:r>
        <w:rPr/>
        <w:t>prior</w:t>
      </w:r>
      <w:r>
        <w:rPr>
          <w:spacing w:val="-16"/>
        </w:rPr>
        <w:t> </w:t>
      </w:r>
      <w:r>
        <w:rPr/>
        <w:t>to</w:t>
      </w:r>
      <w:r>
        <w:rPr>
          <w:spacing w:val="-17"/>
        </w:rPr>
        <w:t> </w:t>
      </w:r>
      <w:r>
        <w:rPr/>
        <w:t>appraisal,</w:t>
      </w:r>
      <w:r>
        <w:rPr>
          <w:spacing w:val="-16"/>
        </w:rPr>
        <w:t> </w:t>
      </w:r>
      <w:r>
        <w:rPr/>
        <w:t>a California court found that they had not presented</w:t>
      </w:r>
      <w:r>
        <w:rPr>
          <w:spacing w:val="-38"/>
        </w:rPr>
        <w:t> </w:t>
      </w:r>
      <w:r>
        <w:rPr/>
        <w:t>facts</w:t>
      </w:r>
      <w:r>
        <w:rPr>
          <w:spacing w:val="-37"/>
        </w:rPr>
        <w:t> </w:t>
      </w:r>
      <w:r>
        <w:rPr/>
        <w:t>and</w:t>
      </w:r>
      <w:r>
        <w:rPr>
          <w:spacing w:val="-40"/>
        </w:rPr>
        <w:t> </w:t>
      </w:r>
      <w:r>
        <w:rPr>
          <w:spacing w:val="-3"/>
        </w:rPr>
        <w:t>circumstances</w:t>
      </w:r>
      <w:r>
        <w:rPr>
          <w:spacing w:val="-39"/>
        </w:rPr>
        <w:t> </w:t>
      </w:r>
      <w:r>
        <w:rPr/>
        <w:t>implicating such</w:t>
      </w:r>
      <w:r>
        <w:rPr>
          <w:spacing w:val="-30"/>
        </w:rPr>
        <w:t> </w:t>
      </w:r>
      <w:r>
        <w:rPr/>
        <w:t>a</w:t>
      </w:r>
      <w:r>
        <w:rPr>
          <w:spacing w:val="-31"/>
        </w:rPr>
        <w:t> </w:t>
      </w:r>
      <w:r>
        <w:rPr/>
        <w:t>controversy</w:t>
      </w:r>
      <w:r>
        <w:rPr>
          <w:spacing w:val="-34"/>
        </w:rPr>
        <w:t> </w:t>
      </w:r>
      <w:r>
        <w:rPr/>
        <w:t>that</w:t>
      </w:r>
      <w:r>
        <w:rPr>
          <w:spacing w:val="-32"/>
        </w:rPr>
        <w:t> </w:t>
      </w:r>
      <w:r>
        <w:rPr/>
        <w:t>needed</w:t>
      </w:r>
      <w:r>
        <w:rPr>
          <w:spacing w:val="-32"/>
        </w:rPr>
        <w:t> </w:t>
      </w:r>
      <w:r>
        <w:rPr/>
        <w:t>to</w:t>
      </w:r>
      <w:r>
        <w:rPr>
          <w:spacing w:val="-31"/>
        </w:rPr>
        <w:t> </w:t>
      </w:r>
      <w:r>
        <w:rPr/>
        <w:t>be</w:t>
      </w:r>
      <w:r>
        <w:rPr>
          <w:spacing w:val="-29"/>
        </w:rPr>
        <w:t> </w:t>
      </w:r>
      <w:r>
        <w:rPr/>
        <w:t>decided by</w:t>
      </w:r>
      <w:r>
        <w:rPr>
          <w:spacing w:val="-35"/>
        </w:rPr>
        <w:t> </w:t>
      </w:r>
      <w:r>
        <w:rPr/>
        <w:t>appraisal.</w:t>
      </w:r>
      <w:r>
        <w:rPr>
          <w:spacing w:val="-34"/>
        </w:rPr>
        <w:t> </w:t>
      </w:r>
      <w:r>
        <w:rPr/>
        <w:t>The</w:t>
      </w:r>
      <w:r>
        <w:rPr>
          <w:spacing w:val="-34"/>
        </w:rPr>
        <w:t> </w:t>
      </w:r>
      <w:r>
        <w:rPr/>
        <w:t>Court</w:t>
      </w:r>
      <w:r>
        <w:rPr>
          <w:spacing w:val="-34"/>
        </w:rPr>
        <w:t> </w:t>
      </w:r>
      <w:r>
        <w:rPr/>
        <w:t>stated,</w:t>
      </w:r>
      <w:r>
        <w:rPr>
          <w:spacing w:val="-36"/>
        </w:rPr>
        <w:t> </w:t>
      </w:r>
      <w:r>
        <w:rPr/>
        <w:t>“‘[t]he</w:t>
      </w:r>
      <w:r>
        <w:rPr>
          <w:spacing w:val="-33"/>
        </w:rPr>
        <w:t> </w:t>
      </w:r>
      <w:r>
        <w:rPr/>
        <w:t>propriety of declaratory relief in a particular case will depend</w:t>
      </w:r>
      <w:r>
        <w:rPr>
          <w:spacing w:val="-19"/>
        </w:rPr>
        <w:t> </w:t>
      </w:r>
      <w:r>
        <w:rPr/>
        <w:t>upon</w:t>
      </w:r>
      <w:r>
        <w:rPr>
          <w:spacing w:val="-18"/>
        </w:rPr>
        <w:t> </w:t>
      </w:r>
      <w:r>
        <w:rPr/>
        <w:t>a</w:t>
      </w:r>
      <w:r>
        <w:rPr>
          <w:spacing w:val="-19"/>
        </w:rPr>
        <w:t> </w:t>
      </w:r>
      <w:r>
        <w:rPr/>
        <w:t>circumspect</w:t>
      </w:r>
      <w:r>
        <w:rPr>
          <w:spacing w:val="-23"/>
        </w:rPr>
        <w:t> </w:t>
      </w:r>
      <w:r>
        <w:rPr/>
        <w:t>sense</w:t>
      </w:r>
      <w:r>
        <w:rPr>
          <w:spacing w:val="-22"/>
        </w:rPr>
        <w:t> </w:t>
      </w:r>
      <w:r>
        <w:rPr/>
        <w:t>of</w:t>
      </w:r>
      <w:r>
        <w:rPr>
          <w:spacing w:val="-21"/>
        </w:rPr>
        <w:t> </w:t>
      </w:r>
      <w:r>
        <w:rPr/>
        <w:t>its</w:t>
      </w:r>
      <w:r>
        <w:rPr>
          <w:spacing w:val="-19"/>
        </w:rPr>
        <w:t> </w:t>
      </w:r>
      <w:r>
        <w:rPr/>
        <w:t>fitness informed by the teachings and</w:t>
      </w:r>
      <w:r>
        <w:rPr>
          <w:spacing w:val="43"/>
        </w:rPr>
        <w:t> </w:t>
      </w:r>
      <w:r>
        <w:rPr/>
        <w:t>experience</w:t>
      </w:r>
    </w:p>
    <w:p>
      <w:pPr>
        <w:pStyle w:val="BodyText"/>
        <w:rPr>
          <w:sz w:val="20"/>
        </w:rPr>
      </w:pPr>
    </w:p>
    <w:p>
      <w:pPr>
        <w:pStyle w:val="BodyText"/>
        <w:spacing w:before="8"/>
        <w:rPr>
          <w:sz w:val="16"/>
        </w:rPr>
      </w:pPr>
      <w:r>
        <w:rPr/>
        <w:pict>
          <v:shape style="position:absolute;margin-left:162pt;margin-top:12.652226pt;width:143.9pt;height:.1pt;mso-position-horizontal-relative:page;mso-position-vertical-relative:paragraph;z-index:-251469824;mso-wrap-distance-left:0;mso-wrap-distance-right:0" coordorigin="3240,253" coordsize="2878,0" path="m3240,253l6118,253e" filled="false" stroked="true" strokeweight=".84pt" strokecolor="#000000">
            <v:path arrowok="t"/>
            <v:stroke dashstyle="solid"/>
            <w10:wrap type="topAndBottom"/>
          </v:shape>
        </w:pict>
      </w:r>
    </w:p>
    <w:p>
      <w:pPr>
        <w:pStyle w:val="ListParagraph"/>
        <w:numPr>
          <w:ilvl w:val="0"/>
          <w:numId w:val="12"/>
        </w:numPr>
        <w:tabs>
          <w:tab w:pos="3001" w:val="left" w:leader="none"/>
        </w:tabs>
        <w:spacing w:line="244" w:lineRule="auto" w:before="140" w:after="0"/>
        <w:ind w:left="2740" w:right="2841" w:firstLine="0"/>
        <w:jc w:val="both"/>
        <w:rPr>
          <w:sz w:val="18"/>
        </w:rPr>
      </w:pPr>
      <w:r>
        <w:rPr>
          <w:sz w:val="18"/>
          <w:u w:val="single"/>
        </w:rPr>
        <w:t>Alexander v. Farmers Ins.Co., Inc.</w:t>
      </w:r>
      <w:r>
        <w:rPr>
          <w:sz w:val="18"/>
        </w:rPr>
        <w:t>, 219 Cal.App.4</w:t>
      </w:r>
      <w:r>
        <w:rPr>
          <w:position w:val="7"/>
          <w:sz w:val="10"/>
        </w:rPr>
        <w:t>th </w:t>
      </w:r>
      <w:r>
        <w:rPr>
          <w:sz w:val="18"/>
        </w:rPr>
        <w:t>1183, 162 Cal Rptr.3d 455, citing</w:t>
      </w:r>
      <w:r>
        <w:rPr>
          <w:sz w:val="18"/>
          <w:u w:val="single"/>
        </w:rPr>
        <w:t> Kirkwood</w:t>
      </w:r>
      <w:r>
        <w:rPr>
          <w:spacing w:val="-7"/>
          <w:sz w:val="18"/>
          <w:u w:val="single"/>
        </w:rPr>
        <w:t> </w:t>
      </w:r>
      <w:r>
        <w:rPr>
          <w:sz w:val="18"/>
          <w:u w:val="single"/>
        </w:rPr>
        <w:t>v.</w:t>
      </w:r>
      <w:r>
        <w:rPr>
          <w:spacing w:val="-8"/>
          <w:sz w:val="18"/>
          <w:u w:val="single"/>
        </w:rPr>
        <w:t> </w:t>
      </w:r>
      <w:r>
        <w:rPr>
          <w:sz w:val="18"/>
          <w:u w:val="single"/>
        </w:rPr>
        <w:t>California</w:t>
      </w:r>
      <w:r>
        <w:rPr>
          <w:spacing w:val="-8"/>
          <w:sz w:val="18"/>
          <w:u w:val="single"/>
        </w:rPr>
        <w:t> </w:t>
      </w:r>
      <w:r>
        <w:rPr>
          <w:sz w:val="18"/>
          <w:u w:val="single"/>
        </w:rPr>
        <w:t>State</w:t>
      </w:r>
      <w:r>
        <w:rPr>
          <w:spacing w:val="-7"/>
          <w:sz w:val="18"/>
          <w:u w:val="single"/>
        </w:rPr>
        <w:t> </w:t>
      </w:r>
      <w:r>
        <w:rPr>
          <w:sz w:val="18"/>
          <w:u w:val="single"/>
        </w:rPr>
        <w:t>Auto.</w:t>
      </w:r>
      <w:r>
        <w:rPr>
          <w:spacing w:val="-6"/>
          <w:sz w:val="18"/>
          <w:u w:val="single"/>
        </w:rPr>
        <w:t> </w:t>
      </w:r>
      <w:r>
        <w:rPr>
          <w:sz w:val="18"/>
          <w:u w:val="single"/>
        </w:rPr>
        <w:t>Ass’n</w:t>
      </w:r>
      <w:r>
        <w:rPr>
          <w:spacing w:val="-8"/>
          <w:sz w:val="18"/>
          <w:u w:val="single"/>
        </w:rPr>
        <w:t> </w:t>
      </w:r>
      <w:r>
        <w:rPr>
          <w:sz w:val="18"/>
          <w:u w:val="single"/>
        </w:rPr>
        <w:t>Inter-Ins.</w:t>
      </w:r>
      <w:r>
        <w:rPr>
          <w:spacing w:val="-7"/>
          <w:sz w:val="18"/>
          <w:u w:val="single"/>
        </w:rPr>
        <w:t> </w:t>
      </w:r>
      <w:r>
        <w:rPr>
          <w:sz w:val="18"/>
          <w:u w:val="single"/>
        </w:rPr>
        <w:t>Bureau</w:t>
      </w:r>
      <w:r>
        <w:rPr>
          <w:sz w:val="18"/>
        </w:rPr>
        <w:t>,</w:t>
      </w:r>
      <w:r>
        <w:rPr>
          <w:spacing w:val="-8"/>
          <w:sz w:val="18"/>
        </w:rPr>
        <w:t> </w:t>
      </w:r>
      <w:r>
        <w:rPr>
          <w:sz w:val="18"/>
        </w:rPr>
        <w:t>193</w:t>
      </w:r>
      <w:r>
        <w:rPr>
          <w:spacing w:val="-7"/>
          <w:sz w:val="18"/>
        </w:rPr>
        <w:t> </w:t>
      </w:r>
      <w:r>
        <w:rPr>
          <w:sz w:val="18"/>
        </w:rPr>
        <w:t>Cal.App.</w:t>
      </w:r>
      <w:r>
        <w:rPr>
          <w:spacing w:val="-10"/>
          <w:sz w:val="18"/>
        </w:rPr>
        <w:t> </w:t>
      </w:r>
      <w:r>
        <w:rPr>
          <w:sz w:val="18"/>
        </w:rPr>
        <w:t>49</w:t>
      </w:r>
      <w:r>
        <w:rPr>
          <w:spacing w:val="-8"/>
          <w:sz w:val="18"/>
        </w:rPr>
        <w:t> </w:t>
      </w:r>
      <w:r>
        <w:rPr>
          <w:sz w:val="18"/>
        </w:rPr>
        <w:t>at</w:t>
      </w:r>
      <w:r>
        <w:rPr>
          <w:spacing w:val="-11"/>
          <w:sz w:val="18"/>
        </w:rPr>
        <w:t> </w:t>
      </w:r>
      <w:r>
        <w:rPr>
          <w:sz w:val="18"/>
        </w:rPr>
        <w:t>58-60,</w:t>
      </w:r>
      <w:r>
        <w:rPr>
          <w:spacing w:val="-9"/>
          <w:sz w:val="18"/>
        </w:rPr>
        <w:t> </w:t>
      </w:r>
      <w:r>
        <w:rPr>
          <w:sz w:val="18"/>
        </w:rPr>
        <w:t>122 Cal.Rptr.3d 480 (Cal. App. 2011) and </w:t>
      </w:r>
      <w:r>
        <w:rPr>
          <w:sz w:val="18"/>
          <w:u w:val="single"/>
        </w:rPr>
        <w:t>Doan v. State Farm. Gen. Ins. Co.</w:t>
      </w:r>
      <w:r>
        <w:rPr>
          <w:sz w:val="18"/>
        </w:rPr>
        <w:t>, 195 Cal.App.4</w:t>
      </w:r>
      <w:r>
        <w:rPr>
          <w:position w:val="7"/>
          <w:sz w:val="10"/>
        </w:rPr>
        <w:t>th</w:t>
      </w:r>
      <w:r>
        <w:rPr>
          <w:sz w:val="10"/>
        </w:rPr>
        <w:t> </w:t>
      </w:r>
      <w:r>
        <w:rPr>
          <w:sz w:val="18"/>
        </w:rPr>
        <w:t>at 1092-99, 125 Cal.Rptr.3d 793</w:t>
      </w:r>
      <w:r>
        <w:rPr>
          <w:spacing w:val="4"/>
          <w:sz w:val="18"/>
        </w:rPr>
        <w:t> </w:t>
      </w:r>
      <w:r>
        <w:rPr>
          <w:sz w:val="18"/>
        </w:rPr>
        <w:t>(2011).</w:t>
      </w:r>
    </w:p>
    <w:p>
      <w:pPr>
        <w:spacing w:after="0" w:line="244" w:lineRule="auto"/>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6"/>
        </w:rPr>
      </w:pPr>
    </w:p>
    <w:p>
      <w:pPr>
        <w:pStyle w:val="BodyText"/>
        <w:spacing w:line="242" w:lineRule="auto" w:before="41"/>
        <w:ind w:left="3100" w:right="3197"/>
        <w:jc w:val="both"/>
      </w:pPr>
      <w:r>
        <w:rPr/>
        <w:pict>
          <v:shape style="position:absolute;margin-left:314.923004pt;margin-top:-124.313828pt;width:288.95pt;height:135.5pt;mso-position-horizontal-relative:page;mso-position-vertical-relative:paragraph;z-index:-254094336" coordorigin="6298,-2486" coordsize="5779,2710" path="m12071,-2486l6298,-2486,6298,-2361,6310,-2350,12060,-2350,12071,-2361,12071,-2486xm12061,-2281l6310,-2281,6298,-2270,6298,-2039,6310,-2028,12061,-2028,12073,-2039,12073,-2270,12061,-2281xm12063,-1960l6310,-1960,6298,-1948,6298,-1718,6310,-1706,12063,-1706,12075,-1718,12075,-1948,12063,-1960xm12062,-1638l6310,-1638,6298,-1627,6298,-1396,6310,-1385,12062,-1385,12073,-1396,12073,-1627,12062,-1638xm12063,-1316l6310,-1316,6298,-1305,6298,-1075,6310,-1063,12063,-1063,12075,-1075,12075,-1305,12063,-1316xm12066,-995l6310,-995,6298,-983,6298,-753,6310,-742,12066,-742,12077,-753,12077,-983,12066,-995xm12058,-673l6310,-673,6298,-662,6298,-431,6310,-420,12058,-420,12069,-431,12069,-662,12058,-673xm12062,-352l6310,-352,6298,-340,6298,-110,6310,-98,12062,-98,12074,-110,12074,-340,12062,-352xm9425,-61l6310,-61,6298,-50,6298,212,6310,223,9425,223,9436,212,9436,-50,9425,-61xe" filled="true" fillcolor="#fdb1b1" stroked="false">
            <v:path arrowok="t"/>
            <v:fill type="solid"/>
            <w10:wrap type="none"/>
          </v:shape>
        </w:pict>
      </w:r>
      <w:bookmarkStart w:name="Law and Procedure 257" w:id="73"/>
      <w:bookmarkEnd w:id="73"/>
      <w:r>
        <w:rPr/>
      </w:r>
      <w:r>
        <w:rPr/>
        <w:t>concerning</w:t>
      </w:r>
      <w:r>
        <w:rPr>
          <w:spacing w:val="-26"/>
        </w:rPr>
        <w:t> </w:t>
      </w:r>
      <w:r>
        <w:rPr/>
        <w:t>the</w:t>
      </w:r>
      <w:r>
        <w:rPr>
          <w:spacing w:val="-28"/>
        </w:rPr>
        <w:t> </w:t>
      </w:r>
      <w:r>
        <w:rPr/>
        <w:t>functions</w:t>
      </w:r>
      <w:r>
        <w:rPr>
          <w:spacing w:val="-24"/>
        </w:rPr>
        <w:t> </w:t>
      </w:r>
      <w:r>
        <w:rPr/>
        <w:t>and</w:t>
      </w:r>
      <w:r>
        <w:rPr>
          <w:spacing w:val="-25"/>
        </w:rPr>
        <w:t> </w:t>
      </w:r>
      <w:r>
        <w:rPr/>
        <w:t>extent</w:t>
      </w:r>
      <w:r>
        <w:rPr>
          <w:spacing w:val="-28"/>
        </w:rPr>
        <w:t> </w:t>
      </w:r>
      <w:r>
        <w:rPr/>
        <w:t>of</w:t>
      </w:r>
      <w:r>
        <w:rPr>
          <w:spacing w:val="-27"/>
        </w:rPr>
        <w:t> </w:t>
      </w:r>
      <w:r>
        <w:rPr/>
        <w:t>federal judicial power’...‘[b]asically, the question in each case is whether the facts alleged,</w:t>
      </w:r>
      <w:r>
        <w:rPr>
          <w:spacing w:val="-44"/>
        </w:rPr>
        <w:t> </w:t>
      </w:r>
      <w:r>
        <w:rPr>
          <w:spacing w:val="-3"/>
        </w:rPr>
        <w:t>under </w:t>
      </w:r>
      <w:r>
        <w:rPr/>
        <w:t>all the circumstances, show that there is a substantial controversy, between parties having adverse legal interests, of sufficient immediacy</w:t>
      </w:r>
      <w:r>
        <w:rPr>
          <w:spacing w:val="-20"/>
        </w:rPr>
        <w:t> </w:t>
      </w:r>
      <w:r>
        <w:rPr/>
        <w:t>and</w:t>
      </w:r>
      <w:r>
        <w:rPr>
          <w:spacing w:val="-18"/>
        </w:rPr>
        <w:t> </w:t>
      </w:r>
      <w:r>
        <w:rPr/>
        <w:t>reality</w:t>
      </w:r>
      <w:r>
        <w:rPr>
          <w:spacing w:val="-20"/>
        </w:rPr>
        <w:t> </w:t>
      </w:r>
      <w:r>
        <w:rPr/>
        <w:t>to</w:t>
      </w:r>
      <w:r>
        <w:rPr>
          <w:spacing w:val="-17"/>
        </w:rPr>
        <w:t> </w:t>
      </w:r>
      <w:r>
        <w:rPr/>
        <w:t>warrant</w:t>
      </w:r>
      <w:r>
        <w:rPr>
          <w:spacing w:val="-20"/>
        </w:rPr>
        <w:t> </w:t>
      </w:r>
      <w:r>
        <w:rPr/>
        <w:t>the</w:t>
      </w:r>
      <w:r>
        <w:rPr>
          <w:spacing w:val="-19"/>
        </w:rPr>
        <w:t> </w:t>
      </w:r>
      <w:r>
        <w:rPr/>
        <w:t>issuance of a declaratory</w:t>
      </w:r>
      <w:r>
        <w:rPr>
          <w:spacing w:val="-6"/>
        </w:rPr>
        <w:t> </w:t>
      </w:r>
      <w:r>
        <w:rPr/>
        <w:t>judgment.’”</w:t>
      </w:r>
      <w:r>
        <w:rPr>
          <w:vertAlign w:val="superscript"/>
        </w:rPr>
        <w:t>557</w:t>
      </w:r>
    </w:p>
    <w:p>
      <w:pPr>
        <w:pStyle w:val="BodyText"/>
      </w:pPr>
    </w:p>
    <w:p>
      <w:pPr>
        <w:pStyle w:val="BodyText"/>
        <w:spacing w:line="242" w:lineRule="auto"/>
        <w:ind w:left="3100" w:right="3198" w:firstLine="720"/>
        <w:jc w:val="both"/>
      </w:pPr>
      <w:r>
        <w:rPr>
          <w:spacing w:val="3"/>
        </w:rPr>
        <w:t>In </w:t>
      </w:r>
      <w:r>
        <w:rPr/>
        <w:t>Colorado, a stay of litigation pending appraisal</w:t>
      </w:r>
      <w:r>
        <w:rPr>
          <w:spacing w:val="-31"/>
        </w:rPr>
        <w:t> </w:t>
      </w:r>
      <w:r>
        <w:rPr/>
        <w:t>was</w:t>
      </w:r>
      <w:r>
        <w:rPr>
          <w:spacing w:val="-30"/>
        </w:rPr>
        <w:t> </w:t>
      </w:r>
      <w:r>
        <w:rPr/>
        <w:t>also</w:t>
      </w:r>
      <w:r>
        <w:rPr>
          <w:spacing w:val="-29"/>
        </w:rPr>
        <w:t> </w:t>
      </w:r>
      <w:r>
        <w:rPr/>
        <w:t>deemed</w:t>
      </w:r>
      <w:r>
        <w:rPr>
          <w:spacing w:val="-36"/>
        </w:rPr>
        <w:t> </w:t>
      </w:r>
      <w:r>
        <w:rPr>
          <w:spacing w:val="-3"/>
        </w:rPr>
        <w:t>appropriate</w:t>
      </w:r>
      <w:r>
        <w:rPr>
          <w:spacing w:val="-35"/>
        </w:rPr>
        <w:t> </w:t>
      </w:r>
      <w:r>
        <w:rPr/>
        <w:t>on</w:t>
      </w:r>
      <w:r>
        <w:rPr>
          <w:spacing w:val="-30"/>
        </w:rPr>
        <w:t> </w:t>
      </w:r>
      <w:r>
        <w:rPr/>
        <w:t>the basis that appraisal would resolve “key issues that are in dispute,” having the potential to limit the need for discovery and costs to both parties.</w:t>
      </w:r>
      <w:r>
        <w:rPr>
          <w:spacing w:val="-22"/>
        </w:rPr>
        <w:t> </w:t>
      </w:r>
      <w:r>
        <w:rPr/>
        <w:t>For</w:t>
      </w:r>
      <w:r>
        <w:rPr>
          <w:spacing w:val="-20"/>
        </w:rPr>
        <w:t> </w:t>
      </w:r>
      <w:r>
        <w:rPr/>
        <w:t>example,</w:t>
      </w:r>
      <w:r>
        <w:rPr>
          <w:spacing w:val="-20"/>
        </w:rPr>
        <w:t> </w:t>
      </w:r>
      <w:r>
        <w:rPr/>
        <w:t>if</w:t>
      </w:r>
      <w:r>
        <w:rPr>
          <w:spacing w:val="-18"/>
        </w:rPr>
        <w:t> </w:t>
      </w:r>
      <w:r>
        <w:rPr/>
        <w:t>the</w:t>
      </w:r>
      <w:r>
        <w:rPr>
          <w:spacing w:val="-17"/>
        </w:rPr>
        <w:t> </w:t>
      </w:r>
      <w:r>
        <w:rPr/>
        <w:t>storm</w:t>
      </w:r>
      <w:r>
        <w:rPr>
          <w:spacing w:val="-20"/>
        </w:rPr>
        <w:t> </w:t>
      </w:r>
      <w:r>
        <w:rPr/>
        <w:t>at</w:t>
      </w:r>
      <w:r>
        <w:rPr>
          <w:spacing w:val="-19"/>
        </w:rPr>
        <w:t> </w:t>
      </w:r>
      <w:r>
        <w:rPr/>
        <w:t>issue</w:t>
      </w:r>
      <w:r>
        <w:rPr>
          <w:spacing w:val="-18"/>
        </w:rPr>
        <w:t> </w:t>
      </w:r>
      <w:r>
        <w:rPr/>
        <w:t>in</w:t>
      </w:r>
      <w:r>
        <w:rPr>
          <w:spacing w:val="-18"/>
        </w:rPr>
        <w:t> </w:t>
      </w:r>
      <w:r>
        <w:rPr/>
        <w:t>that instance did not cause damage to </w:t>
      </w:r>
      <w:r>
        <w:rPr>
          <w:spacing w:val="-5"/>
        </w:rPr>
        <w:t>the </w:t>
      </w:r>
      <w:r>
        <w:rPr/>
        <w:t>insured’s property, then no coverage issue would result and there would be no need for the</w:t>
      </w:r>
      <w:r>
        <w:rPr>
          <w:spacing w:val="-17"/>
        </w:rPr>
        <w:t> </w:t>
      </w:r>
      <w:r>
        <w:rPr/>
        <w:t>case</w:t>
      </w:r>
      <w:r>
        <w:rPr>
          <w:spacing w:val="-18"/>
        </w:rPr>
        <w:t> </w:t>
      </w:r>
      <w:r>
        <w:rPr/>
        <w:t>to</w:t>
      </w:r>
      <w:r>
        <w:rPr>
          <w:spacing w:val="-18"/>
        </w:rPr>
        <w:t> </w:t>
      </w:r>
      <w:r>
        <w:rPr/>
        <w:t>continue;</w:t>
      </w:r>
      <w:r>
        <w:rPr>
          <w:spacing w:val="-17"/>
        </w:rPr>
        <w:t> </w:t>
      </w:r>
      <w:r>
        <w:rPr/>
        <w:t>in</w:t>
      </w:r>
      <w:r>
        <w:rPr>
          <w:spacing w:val="-16"/>
        </w:rPr>
        <w:t> </w:t>
      </w:r>
      <w:r>
        <w:rPr/>
        <w:t>contrast,</w:t>
      </w:r>
      <w:r>
        <w:rPr>
          <w:spacing w:val="-19"/>
        </w:rPr>
        <w:t> </w:t>
      </w:r>
      <w:r>
        <w:rPr/>
        <w:t>if</w:t>
      </w:r>
      <w:r>
        <w:rPr>
          <w:spacing w:val="-17"/>
        </w:rPr>
        <w:t> </w:t>
      </w:r>
      <w:r>
        <w:rPr/>
        <w:t>it</w:t>
      </w:r>
      <w:r>
        <w:rPr>
          <w:spacing w:val="-17"/>
        </w:rPr>
        <w:t> </w:t>
      </w:r>
      <w:r>
        <w:rPr/>
        <w:t>did</w:t>
      </w:r>
      <w:r>
        <w:rPr>
          <w:spacing w:val="-18"/>
        </w:rPr>
        <w:t> </w:t>
      </w:r>
      <w:r>
        <w:rPr/>
        <w:t>cause the</w:t>
      </w:r>
      <w:r>
        <w:rPr>
          <w:spacing w:val="-15"/>
        </w:rPr>
        <w:t> </w:t>
      </w:r>
      <w:r>
        <w:rPr/>
        <w:t>damage</w:t>
      </w:r>
      <w:r>
        <w:rPr>
          <w:spacing w:val="-14"/>
        </w:rPr>
        <w:t> </w:t>
      </w:r>
      <w:r>
        <w:rPr/>
        <w:t>claimed,</w:t>
      </w:r>
      <w:r>
        <w:rPr>
          <w:spacing w:val="-18"/>
        </w:rPr>
        <w:t> </w:t>
      </w:r>
      <w:r>
        <w:rPr/>
        <w:t>appraisal</w:t>
      </w:r>
      <w:r>
        <w:rPr>
          <w:spacing w:val="-14"/>
        </w:rPr>
        <w:t> </w:t>
      </w:r>
      <w:r>
        <w:rPr/>
        <w:t>would</w:t>
      </w:r>
      <w:r>
        <w:rPr>
          <w:spacing w:val="-14"/>
        </w:rPr>
        <w:t> </w:t>
      </w:r>
      <w:r>
        <w:rPr>
          <w:spacing w:val="-3"/>
        </w:rPr>
        <w:t>resolve </w:t>
      </w:r>
      <w:r>
        <w:rPr/>
        <w:t>the extent of</w:t>
      </w:r>
      <w:r>
        <w:rPr>
          <w:spacing w:val="-5"/>
        </w:rPr>
        <w:t> </w:t>
      </w:r>
      <w:r>
        <w:rPr/>
        <w:t>damage.</w:t>
      </w:r>
      <w:r>
        <w:rPr>
          <w:vertAlign w:val="superscript"/>
        </w:rPr>
        <w:t>558</w:t>
      </w:r>
    </w:p>
    <w:p>
      <w:pPr>
        <w:pStyle w:val="BodyText"/>
        <w:spacing w:before="11"/>
        <w:rPr>
          <w:sz w:val="25"/>
        </w:rPr>
      </w:pPr>
    </w:p>
    <w:p>
      <w:pPr>
        <w:pStyle w:val="BodyText"/>
        <w:spacing w:line="242" w:lineRule="auto"/>
        <w:ind w:left="3100" w:right="3201" w:firstLine="720"/>
        <w:jc w:val="both"/>
      </w:pPr>
      <w:r>
        <w:rPr>
          <w:spacing w:val="3"/>
        </w:rPr>
        <w:t>In </w:t>
      </w:r>
      <w:r>
        <w:rPr/>
        <w:t>North Carolina, an insurer’s motion to stay an action and compel appraisal </w:t>
      </w:r>
      <w:r>
        <w:rPr>
          <w:spacing w:val="-6"/>
        </w:rPr>
        <w:t>was </w:t>
      </w:r>
      <w:r>
        <w:rPr/>
        <w:t>denied</w:t>
      </w:r>
      <w:r>
        <w:rPr>
          <w:spacing w:val="-25"/>
        </w:rPr>
        <w:t> </w:t>
      </w:r>
      <w:r>
        <w:rPr/>
        <w:t>where</w:t>
      </w:r>
      <w:r>
        <w:rPr>
          <w:spacing w:val="-23"/>
        </w:rPr>
        <w:t> </w:t>
      </w:r>
      <w:r>
        <w:rPr/>
        <w:t>a</w:t>
      </w:r>
      <w:r>
        <w:rPr>
          <w:spacing w:val="-24"/>
        </w:rPr>
        <w:t> </w:t>
      </w:r>
      <w:r>
        <w:rPr/>
        <w:t>disagreement</w:t>
      </w:r>
      <w:r>
        <w:rPr>
          <w:spacing w:val="-26"/>
        </w:rPr>
        <w:t> </w:t>
      </w:r>
      <w:r>
        <w:rPr/>
        <w:t>had</w:t>
      </w:r>
      <w:r>
        <w:rPr>
          <w:spacing w:val="-24"/>
        </w:rPr>
        <w:t> </w:t>
      </w:r>
      <w:r>
        <w:rPr/>
        <w:t>arisen</w:t>
      </w:r>
      <w:r>
        <w:rPr>
          <w:spacing w:val="-24"/>
        </w:rPr>
        <w:t> </w:t>
      </w:r>
      <w:r>
        <w:rPr/>
        <w:t>as</w:t>
      </w:r>
      <w:r>
        <w:rPr>
          <w:spacing w:val="-23"/>
        </w:rPr>
        <w:t> </w:t>
      </w:r>
      <w:r>
        <w:rPr>
          <w:spacing w:val="-8"/>
        </w:rPr>
        <w:t>to </w:t>
      </w:r>
      <w:r>
        <w:rPr/>
        <w:t>the</w:t>
      </w:r>
      <w:r>
        <w:rPr>
          <w:spacing w:val="-8"/>
        </w:rPr>
        <w:t> </w:t>
      </w:r>
      <w:r>
        <w:rPr/>
        <w:t>order</w:t>
      </w:r>
      <w:r>
        <w:rPr>
          <w:spacing w:val="-10"/>
        </w:rPr>
        <w:t> </w:t>
      </w:r>
      <w:r>
        <w:rPr/>
        <w:t>of</w:t>
      </w:r>
      <w:r>
        <w:rPr>
          <w:spacing w:val="-8"/>
        </w:rPr>
        <w:t> </w:t>
      </w:r>
      <w:r>
        <w:rPr/>
        <w:t>appraisal</w:t>
      </w:r>
      <w:r>
        <w:rPr>
          <w:spacing w:val="-9"/>
        </w:rPr>
        <w:t> </w:t>
      </w:r>
      <w:r>
        <w:rPr/>
        <w:t>and</w:t>
      </w:r>
      <w:r>
        <w:rPr>
          <w:spacing w:val="-9"/>
        </w:rPr>
        <w:t> </w:t>
      </w:r>
      <w:r>
        <w:rPr/>
        <w:t>litigation.</w:t>
      </w:r>
      <w:r>
        <w:rPr>
          <w:spacing w:val="-11"/>
        </w:rPr>
        <w:t> </w:t>
      </w:r>
      <w:r>
        <w:rPr/>
        <w:t>The</w:t>
      </w:r>
      <w:r>
        <w:rPr>
          <w:spacing w:val="-11"/>
        </w:rPr>
        <w:t> </w:t>
      </w:r>
      <w:r>
        <w:rPr/>
        <w:t>Court</w:t>
      </w:r>
    </w:p>
    <w:p>
      <w:pPr>
        <w:pStyle w:val="BodyText"/>
        <w:rPr>
          <w:sz w:val="20"/>
        </w:rPr>
      </w:pPr>
    </w:p>
    <w:p>
      <w:pPr>
        <w:pStyle w:val="BodyText"/>
        <w:spacing w:before="2"/>
        <w:rPr>
          <w:sz w:val="17"/>
        </w:rPr>
      </w:pPr>
      <w:r>
        <w:rPr/>
        <w:pict>
          <v:shape style="position:absolute;margin-left:162pt;margin-top:12.924404pt;width:143.9pt;height:.1pt;mso-position-horizontal-relative:page;mso-position-vertical-relative:paragraph;z-index:-251468800;mso-wrap-distance-left:0;mso-wrap-distance-right:0" coordorigin="3240,258" coordsize="2878,0" path="m3240,258l6118,258e" filled="false" stroked="true" strokeweight=".84pt" strokecolor="#000000">
            <v:path arrowok="t"/>
            <v:stroke dashstyle="solid"/>
            <w10:wrap type="topAndBottom"/>
          </v:shape>
        </w:pict>
      </w:r>
    </w:p>
    <w:p>
      <w:pPr>
        <w:pStyle w:val="ListParagraph"/>
        <w:numPr>
          <w:ilvl w:val="0"/>
          <w:numId w:val="12"/>
        </w:numPr>
        <w:tabs>
          <w:tab w:pos="3010" w:val="left" w:leader="none"/>
        </w:tabs>
        <w:spacing w:line="247" w:lineRule="auto" w:before="149" w:after="0"/>
        <w:ind w:left="2740" w:right="2850" w:firstLine="0"/>
        <w:jc w:val="left"/>
        <w:rPr>
          <w:sz w:val="18"/>
        </w:rPr>
      </w:pPr>
      <w:r>
        <w:rPr>
          <w:sz w:val="18"/>
          <w:u w:val="single"/>
        </w:rPr>
        <w:t>Pivonka v. Allstate Ins. Co.</w:t>
      </w:r>
      <w:r>
        <w:rPr>
          <w:sz w:val="18"/>
        </w:rPr>
        <w:t>, 2011 WL 6153611 (E.D.Cal. 2011), citing </w:t>
      </w:r>
      <w:r>
        <w:rPr>
          <w:sz w:val="18"/>
          <w:u w:val="single"/>
        </w:rPr>
        <w:t>Public Serv. Comm’n</w:t>
      </w:r>
      <w:r>
        <w:rPr>
          <w:spacing w:val="-10"/>
          <w:sz w:val="18"/>
          <w:u w:val="single"/>
        </w:rPr>
        <w:t> </w:t>
      </w:r>
      <w:r>
        <w:rPr>
          <w:sz w:val="18"/>
          <w:u w:val="single"/>
        </w:rPr>
        <w:t>of</w:t>
      </w:r>
      <w:r>
        <w:rPr>
          <w:spacing w:val="-12"/>
          <w:sz w:val="18"/>
          <w:u w:val="single"/>
        </w:rPr>
        <w:t> </w:t>
      </w:r>
      <w:r>
        <w:rPr>
          <w:sz w:val="18"/>
          <w:u w:val="single"/>
        </w:rPr>
        <w:t>Utah</w:t>
      </w:r>
      <w:r>
        <w:rPr>
          <w:spacing w:val="-9"/>
          <w:sz w:val="18"/>
          <w:u w:val="single"/>
        </w:rPr>
        <w:t> </w:t>
      </w:r>
      <w:r>
        <w:rPr>
          <w:sz w:val="18"/>
          <w:u w:val="single"/>
        </w:rPr>
        <w:t>v.</w:t>
      </w:r>
      <w:r>
        <w:rPr>
          <w:spacing w:val="-10"/>
          <w:sz w:val="18"/>
          <w:u w:val="single"/>
        </w:rPr>
        <w:t> </w:t>
      </w:r>
      <w:r>
        <w:rPr>
          <w:sz w:val="18"/>
          <w:u w:val="single"/>
        </w:rPr>
        <w:t>Wycoff</w:t>
      </w:r>
      <w:r>
        <w:rPr>
          <w:spacing w:val="-14"/>
          <w:sz w:val="18"/>
          <w:u w:val="single"/>
        </w:rPr>
        <w:t> </w:t>
      </w:r>
      <w:r>
        <w:rPr>
          <w:sz w:val="18"/>
          <w:u w:val="single"/>
        </w:rPr>
        <w:t>Co.</w:t>
      </w:r>
      <w:r>
        <w:rPr>
          <w:spacing w:val="-9"/>
          <w:sz w:val="18"/>
          <w:u w:val="single"/>
        </w:rPr>
        <w:t> </w:t>
      </w:r>
      <w:r>
        <w:rPr>
          <w:sz w:val="18"/>
          <w:u w:val="single"/>
        </w:rPr>
        <w:t>Inc</w:t>
      </w:r>
      <w:r>
        <w:rPr>
          <w:sz w:val="18"/>
        </w:rPr>
        <w:t>.,</w:t>
      </w:r>
      <w:r>
        <w:rPr>
          <w:spacing w:val="26"/>
          <w:sz w:val="18"/>
        </w:rPr>
        <w:t> </w:t>
      </w:r>
      <w:r>
        <w:rPr>
          <w:sz w:val="18"/>
        </w:rPr>
        <w:t>344</w:t>
      </w:r>
      <w:r>
        <w:rPr>
          <w:spacing w:val="-9"/>
          <w:sz w:val="18"/>
        </w:rPr>
        <w:t> </w:t>
      </w:r>
      <w:r>
        <w:rPr>
          <w:sz w:val="18"/>
        </w:rPr>
        <w:t>U.S.</w:t>
      </w:r>
      <w:r>
        <w:rPr>
          <w:spacing w:val="-8"/>
          <w:sz w:val="18"/>
        </w:rPr>
        <w:t> </w:t>
      </w:r>
      <w:r>
        <w:rPr>
          <w:sz w:val="18"/>
        </w:rPr>
        <w:t>237,</w:t>
      </w:r>
      <w:r>
        <w:rPr>
          <w:spacing w:val="-9"/>
          <w:sz w:val="18"/>
        </w:rPr>
        <w:t> </w:t>
      </w:r>
      <w:r>
        <w:rPr>
          <w:sz w:val="18"/>
        </w:rPr>
        <w:t>243,</w:t>
      </w:r>
      <w:r>
        <w:rPr>
          <w:spacing w:val="-11"/>
          <w:sz w:val="18"/>
        </w:rPr>
        <w:t> </w:t>
      </w:r>
      <w:r>
        <w:rPr>
          <w:sz w:val="18"/>
        </w:rPr>
        <w:t>73</w:t>
      </w:r>
      <w:r>
        <w:rPr>
          <w:spacing w:val="-6"/>
          <w:sz w:val="18"/>
        </w:rPr>
        <w:t> </w:t>
      </w:r>
      <w:r>
        <w:rPr>
          <w:sz w:val="18"/>
        </w:rPr>
        <w:t>S.Ct.</w:t>
      </w:r>
      <w:r>
        <w:rPr>
          <w:spacing w:val="-5"/>
          <w:sz w:val="18"/>
        </w:rPr>
        <w:t> </w:t>
      </w:r>
      <w:r>
        <w:rPr>
          <w:sz w:val="18"/>
        </w:rPr>
        <w:t>236,</w:t>
      </w:r>
      <w:r>
        <w:rPr>
          <w:spacing w:val="-9"/>
          <w:sz w:val="18"/>
        </w:rPr>
        <w:t> </w:t>
      </w:r>
      <w:r>
        <w:rPr>
          <w:sz w:val="18"/>
        </w:rPr>
        <w:t>97</w:t>
      </w:r>
      <w:r>
        <w:rPr>
          <w:spacing w:val="-9"/>
          <w:sz w:val="18"/>
        </w:rPr>
        <w:t> </w:t>
      </w:r>
      <w:r>
        <w:rPr>
          <w:sz w:val="18"/>
        </w:rPr>
        <w:t>L.Ed.</w:t>
      </w:r>
      <w:r>
        <w:rPr>
          <w:spacing w:val="-9"/>
          <w:sz w:val="18"/>
        </w:rPr>
        <w:t> </w:t>
      </w:r>
      <w:r>
        <w:rPr>
          <w:sz w:val="18"/>
        </w:rPr>
        <w:t>291</w:t>
      </w:r>
      <w:r>
        <w:rPr>
          <w:spacing w:val="-8"/>
          <w:sz w:val="18"/>
        </w:rPr>
        <w:t> </w:t>
      </w:r>
      <w:r>
        <w:rPr>
          <w:sz w:val="18"/>
        </w:rPr>
        <w:t>(1952)</w:t>
      </w:r>
    </w:p>
    <w:p>
      <w:pPr>
        <w:spacing w:line="204" w:lineRule="exact" w:before="0"/>
        <w:ind w:left="2740" w:right="0" w:firstLine="0"/>
        <w:jc w:val="left"/>
        <w:rPr>
          <w:rFonts w:ascii="Times New Roman"/>
          <w:sz w:val="18"/>
        </w:rPr>
      </w:pPr>
      <w:r>
        <w:rPr>
          <w:rFonts w:ascii="Times New Roman"/>
          <w:sz w:val="18"/>
        </w:rPr>
        <w:t>and </w:t>
      </w:r>
      <w:r>
        <w:rPr>
          <w:rFonts w:ascii="Times New Roman"/>
          <w:sz w:val="18"/>
          <w:u w:val="single"/>
        </w:rPr>
        <w:t>Maryland Cas. Co. v. Pacific Coal &amp; Oil Co.</w:t>
      </w:r>
      <w:r>
        <w:rPr>
          <w:rFonts w:ascii="Times New Roman"/>
          <w:sz w:val="18"/>
        </w:rPr>
        <w:t>, 312 U.S. 270, 273, 61 S.Ct. 510, 85 L.Ed.</w:t>
      </w:r>
    </w:p>
    <w:p>
      <w:pPr>
        <w:spacing w:before="4"/>
        <w:ind w:left="2740" w:right="0" w:firstLine="0"/>
        <w:jc w:val="left"/>
        <w:rPr>
          <w:rFonts w:ascii="Times New Roman"/>
          <w:sz w:val="18"/>
        </w:rPr>
      </w:pPr>
      <w:r>
        <w:rPr>
          <w:rFonts w:ascii="Times New Roman"/>
          <w:sz w:val="18"/>
        </w:rPr>
        <w:t>826 (1941).</w:t>
      </w:r>
    </w:p>
    <w:p>
      <w:pPr>
        <w:pStyle w:val="ListParagraph"/>
        <w:numPr>
          <w:ilvl w:val="0"/>
          <w:numId w:val="12"/>
        </w:numPr>
        <w:tabs>
          <w:tab w:pos="3010" w:val="left" w:leader="none"/>
        </w:tabs>
        <w:spacing w:line="240" w:lineRule="auto" w:before="43" w:after="0"/>
        <w:ind w:left="3010" w:right="0" w:hanging="270"/>
        <w:jc w:val="left"/>
        <w:rPr>
          <w:sz w:val="18"/>
        </w:rPr>
      </w:pPr>
      <w:r>
        <w:rPr>
          <w:sz w:val="18"/>
          <w:u w:val="single"/>
        </w:rPr>
        <w:t>Auto-Owners</w:t>
      </w:r>
      <w:r>
        <w:rPr>
          <w:spacing w:val="-19"/>
          <w:sz w:val="18"/>
          <w:u w:val="single"/>
        </w:rPr>
        <w:t> </w:t>
      </w:r>
      <w:r>
        <w:rPr>
          <w:sz w:val="18"/>
          <w:u w:val="single"/>
        </w:rPr>
        <w:t>Ins.</w:t>
      </w:r>
      <w:r>
        <w:rPr>
          <w:spacing w:val="-17"/>
          <w:sz w:val="18"/>
          <w:u w:val="single"/>
        </w:rPr>
        <w:t> </w:t>
      </w:r>
      <w:r>
        <w:rPr>
          <w:sz w:val="18"/>
          <w:u w:val="single"/>
        </w:rPr>
        <w:t>Co.</w:t>
      </w:r>
      <w:r>
        <w:rPr>
          <w:spacing w:val="-16"/>
          <w:sz w:val="18"/>
          <w:u w:val="single"/>
        </w:rPr>
        <w:t> </w:t>
      </w:r>
      <w:r>
        <w:rPr>
          <w:sz w:val="18"/>
          <w:u w:val="single"/>
        </w:rPr>
        <w:t>v.</w:t>
      </w:r>
      <w:r>
        <w:rPr>
          <w:spacing w:val="-16"/>
          <w:sz w:val="18"/>
          <w:u w:val="single"/>
        </w:rPr>
        <w:t> </w:t>
      </w:r>
      <w:r>
        <w:rPr>
          <w:sz w:val="18"/>
          <w:u w:val="single"/>
        </w:rPr>
        <w:t>Summit</w:t>
      </w:r>
      <w:r>
        <w:rPr>
          <w:spacing w:val="-16"/>
          <w:sz w:val="18"/>
          <w:u w:val="single"/>
        </w:rPr>
        <w:t> </w:t>
      </w:r>
      <w:r>
        <w:rPr>
          <w:sz w:val="18"/>
          <w:u w:val="single"/>
        </w:rPr>
        <w:t>Park</w:t>
      </w:r>
      <w:r>
        <w:rPr>
          <w:spacing w:val="-19"/>
          <w:sz w:val="18"/>
          <w:u w:val="single"/>
        </w:rPr>
        <w:t> </w:t>
      </w:r>
      <w:r>
        <w:rPr>
          <w:sz w:val="18"/>
          <w:u w:val="single"/>
        </w:rPr>
        <w:t>Townhome</w:t>
      </w:r>
      <w:r>
        <w:rPr>
          <w:spacing w:val="-17"/>
          <w:sz w:val="18"/>
          <w:u w:val="single"/>
        </w:rPr>
        <w:t> </w:t>
      </w:r>
      <w:r>
        <w:rPr>
          <w:sz w:val="18"/>
          <w:u w:val="single"/>
        </w:rPr>
        <w:t>Ass’n</w:t>
      </w:r>
      <w:r>
        <w:rPr>
          <w:sz w:val="18"/>
        </w:rPr>
        <w:t>,</w:t>
      </w:r>
      <w:r>
        <w:rPr>
          <w:spacing w:val="-16"/>
          <w:sz w:val="18"/>
        </w:rPr>
        <w:t> </w:t>
      </w:r>
      <w:r>
        <w:rPr>
          <w:sz w:val="18"/>
        </w:rPr>
        <w:t>2015</w:t>
      </w:r>
      <w:r>
        <w:rPr>
          <w:spacing w:val="-13"/>
          <w:sz w:val="18"/>
        </w:rPr>
        <w:t> </w:t>
      </w:r>
      <w:r>
        <w:rPr>
          <w:sz w:val="18"/>
        </w:rPr>
        <w:t>U.S.</w:t>
      </w:r>
      <w:r>
        <w:rPr>
          <w:spacing w:val="-13"/>
          <w:sz w:val="18"/>
        </w:rPr>
        <w:t> </w:t>
      </w:r>
      <w:r>
        <w:rPr>
          <w:sz w:val="18"/>
        </w:rPr>
        <w:t>Dist.</w:t>
      </w:r>
      <w:r>
        <w:rPr>
          <w:spacing w:val="-15"/>
          <w:sz w:val="18"/>
        </w:rPr>
        <w:t> </w:t>
      </w:r>
      <w:r>
        <w:rPr>
          <w:sz w:val="18"/>
        </w:rPr>
        <w:t>LEXIS</w:t>
      </w:r>
      <w:r>
        <w:rPr>
          <w:spacing w:val="-16"/>
          <w:sz w:val="18"/>
        </w:rPr>
        <w:t> </w:t>
      </w:r>
      <w:r>
        <w:rPr>
          <w:sz w:val="18"/>
        </w:rPr>
        <w:t>48854.</w:t>
      </w:r>
    </w:p>
    <w:p>
      <w:pPr>
        <w:spacing w:after="0" w:line="240" w:lineRule="auto"/>
        <w:jc w:val="left"/>
        <w:rPr>
          <w:sz w:val="18"/>
        </w:rPr>
        <w:sectPr>
          <w:pgSz w:w="12240" w:h="15840"/>
          <w:pgMar w:header="0" w:footer="2273" w:top="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58" w:id="74"/>
      <w:bookmarkEnd w:id="74"/>
      <w:r>
        <w:rPr/>
      </w:r>
      <w:r>
        <w:rPr/>
        <w:t>determined</w:t>
      </w:r>
      <w:r>
        <w:rPr>
          <w:spacing w:val="-35"/>
        </w:rPr>
        <w:t> </w:t>
      </w:r>
      <w:r>
        <w:rPr/>
        <w:t>North</w:t>
      </w:r>
      <w:r>
        <w:rPr>
          <w:spacing w:val="-34"/>
        </w:rPr>
        <w:t> </w:t>
      </w:r>
      <w:r>
        <w:rPr/>
        <w:t>Carolina</w:t>
      </w:r>
      <w:r>
        <w:rPr>
          <w:spacing w:val="-33"/>
        </w:rPr>
        <w:t> </w:t>
      </w:r>
      <w:r>
        <w:rPr/>
        <w:t>law</w:t>
      </w:r>
      <w:r>
        <w:rPr>
          <w:spacing w:val="-38"/>
        </w:rPr>
        <w:t> </w:t>
      </w:r>
      <w:r>
        <w:rPr/>
        <w:t>requires</w:t>
      </w:r>
      <w:r>
        <w:rPr>
          <w:spacing w:val="-35"/>
        </w:rPr>
        <w:t> </w:t>
      </w:r>
      <w:r>
        <w:rPr/>
        <w:t>that</w:t>
      </w:r>
      <w:r>
        <w:rPr>
          <w:spacing w:val="-36"/>
        </w:rPr>
        <w:t> </w:t>
      </w:r>
      <w:r>
        <w:rPr/>
        <w:t>an appraiser’s</w:t>
      </w:r>
      <w:r>
        <w:rPr>
          <w:spacing w:val="-25"/>
        </w:rPr>
        <w:t> </w:t>
      </w:r>
      <w:r>
        <w:rPr/>
        <w:t>authority</w:t>
      </w:r>
      <w:r>
        <w:rPr>
          <w:spacing w:val="-26"/>
        </w:rPr>
        <w:t> </w:t>
      </w:r>
      <w:r>
        <w:rPr/>
        <w:t>“is</w:t>
      </w:r>
      <w:r>
        <w:rPr>
          <w:spacing w:val="-25"/>
        </w:rPr>
        <w:t> </w:t>
      </w:r>
      <w:r>
        <w:rPr/>
        <w:t>limited</w:t>
      </w:r>
      <w:r>
        <w:rPr>
          <w:spacing w:val="-25"/>
        </w:rPr>
        <w:t> </w:t>
      </w:r>
      <w:r>
        <w:rPr/>
        <w:t>to</w:t>
      </w:r>
      <w:r>
        <w:rPr>
          <w:spacing w:val="-23"/>
        </w:rPr>
        <w:t> </w:t>
      </w:r>
      <w:r>
        <w:rPr/>
        <w:t>the</w:t>
      </w:r>
      <w:r>
        <w:rPr>
          <w:spacing w:val="-25"/>
        </w:rPr>
        <w:t> </w:t>
      </w:r>
      <w:r>
        <w:rPr/>
        <w:t>valuation of loss, and does not include deciding legal questions of policy interpretation or scope of coverage.” While the insurer argued that appraisal was a condition precedent to the initiation of a lawsuit against it, the insured insisted that issues of coverage and bad faith by</w:t>
      </w:r>
      <w:r>
        <w:rPr>
          <w:spacing w:val="-18"/>
        </w:rPr>
        <w:t> </w:t>
      </w:r>
      <w:r>
        <w:rPr/>
        <w:t>the</w:t>
      </w:r>
      <w:r>
        <w:rPr>
          <w:spacing w:val="-17"/>
        </w:rPr>
        <w:t> </w:t>
      </w:r>
      <w:r>
        <w:rPr/>
        <w:t>insurer</w:t>
      </w:r>
      <w:r>
        <w:rPr>
          <w:spacing w:val="-18"/>
        </w:rPr>
        <w:t> </w:t>
      </w:r>
      <w:r>
        <w:rPr/>
        <w:t>were</w:t>
      </w:r>
      <w:r>
        <w:rPr>
          <w:spacing w:val="-17"/>
        </w:rPr>
        <w:t> </w:t>
      </w:r>
      <w:r>
        <w:rPr/>
        <w:t>not</w:t>
      </w:r>
      <w:r>
        <w:rPr>
          <w:spacing w:val="-16"/>
        </w:rPr>
        <w:t> </w:t>
      </w:r>
      <w:r>
        <w:rPr/>
        <w:t>resolvable</w:t>
      </w:r>
      <w:r>
        <w:rPr>
          <w:spacing w:val="-13"/>
        </w:rPr>
        <w:t> </w:t>
      </w:r>
      <w:r>
        <w:rPr/>
        <w:t>by</w:t>
      </w:r>
      <w:r>
        <w:rPr>
          <w:spacing w:val="-17"/>
        </w:rPr>
        <w:t> </w:t>
      </w:r>
      <w:r>
        <w:rPr/>
        <w:t>appraisal and must be dealt with prior to the appraisal process. The court distinguished the instant facts</w:t>
      </w:r>
      <w:r>
        <w:rPr>
          <w:spacing w:val="-34"/>
        </w:rPr>
        <w:t> </w:t>
      </w:r>
      <w:r>
        <w:rPr/>
        <w:t>from</w:t>
      </w:r>
      <w:r>
        <w:rPr>
          <w:spacing w:val="-35"/>
        </w:rPr>
        <w:t> </w:t>
      </w:r>
      <w:r>
        <w:rPr/>
        <w:t>a</w:t>
      </w:r>
      <w:r>
        <w:rPr>
          <w:spacing w:val="-32"/>
        </w:rPr>
        <w:t> </w:t>
      </w:r>
      <w:r>
        <w:rPr/>
        <w:t>Court</w:t>
      </w:r>
      <w:r>
        <w:rPr>
          <w:spacing w:val="-35"/>
        </w:rPr>
        <w:t> </w:t>
      </w:r>
      <w:r>
        <w:rPr/>
        <w:t>of</w:t>
      </w:r>
      <w:r>
        <w:rPr>
          <w:spacing w:val="-32"/>
        </w:rPr>
        <w:t> </w:t>
      </w:r>
      <w:r>
        <w:rPr/>
        <w:t>Appeals</w:t>
      </w:r>
      <w:r>
        <w:rPr>
          <w:spacing w:val="-34"/>
        </w:rPr>
        <w:t> </w:t>
      </w:r>
      <w:r>
        <w:rPr/>
        <w:t>precedent</w:t>
      </w:r>
      <w:r>
        <w:rPr>
          <w:spacing w:val="-36"/>
        </w:rPr>
        <w:t> </w:t>
      </w:r>
      <w:r>
        <w:rPr/>
        <w:t>which stood for the proposition that appraisal is a condition</w:t>
      </w:r>
      <w:r>
        <w:rPr>
          <w:spacing w:val="-16"/>
        </w:rPr>
        <w:t> </w:t>
      </w:r>
      <w:r>
        <w:rPr/>
        <w:t>precedent</w:t>
      </w:r>
      <w:r>
        <w:rPr>
          <w:spacing w:val="-19"/>
        </w:rPr>
        <w:t> </w:t>
      </w:r>
      <w:r>
        <w:rPr/>
        <w:t>to</w:t>
      </w:r>
      <w:r>
        <w:rPr>
          <w:spacing w:val="-16"/>
        </w:rPr>
        <w:t> </w:t>
      </w:r>
      <w:r>
        <w:rPr/>
        <w:t>filing</w:t>
      </w:r>
      <w:r>
        <w:rPr>
          <w:spacing w:val="-16"/>
        </w:rPr>
        <w:t> </w:t>
      </w:r>
      <w:r>
        <w:rPr/>
        <w:t>suit.</w:t>
      </w:r>
      <w:r>
        <w:rPr>
          <w:spacing w:val="-18"/>
        </w:rPr>
        <w:t> </w:t>
      </w:r>
      <w:r>
        <w:rPr>
          <w:spacing w:val="3"/>
        </w:rPr>
        <w:t>In</w:t>
      </w:r>
      <w:r>
        <w:rPr>
          <w:spacing w:val="-19"/>
        </w:rPr>
        <w:t> </w:t>
      </w:r>
      <w:r>
        <w:rPr/>
        <w:t>contrast</w:t>
      </w:r>
      <w:r>
        <w:rPr>
          <w:spacing w:val="-18"/>
        </w:rPr>
        <w:t> </w:t>
      </w:r>
      <w:r>
        <w:rPr/>
        <w:t>to the circumstances in that matter, the present issues clearly pertained to coverage </w:t>
      </w:r>
      <w:r>
        <w:rPr>
          <w:spacing w:val="-3"/>
        </w:rPr>
        <w:t>under </w:t>
      </w:r>
      <w:r>
        <w:rPr/>
        <w:t>state law. They included the number of occurrences, coverage existence and scope </w:t>
      </w:r>
      <w:r>
        <w:rPr>
          <w:spacing w:val="6"/>
        </w:rPr>
        <w:t>for </w:t>
      </w:r>
      <w:r>
        <w:rPr>
          <w:spacing w:val="10"/>
        </w:rPr>
        <w:t>equipment </w:t>
      </w:r>
      <w:r>
        <w:rPr>
          <w:spacing w:val="9"/>
        </w:rPr>
        <w:t>breakdowns, </w:t>
      </w:r>
      <w:r>
        <w:rPr>
          <w:spacing w:val="6"/>
        </w:rPr>
        <w:t>and </w:t>
      </w:r>
      <w:r>
        <w:rPr>
          <w:spacing w:val="5"/>
        </w:rPr>
        <w:t>the </w:t>
      </w:r>
      <w:r>
        <w:rPr/>
        <w:t>appropriateness of repair or </w:t>
      </w:r>
      <w:r>
        <w:rPr>
          <w:spacing w:val="-3"/>
        </w:rPr>
        <w:t>replacement </w:t>
      </w:r>
      <w:r>
        <w:rPr/>
        <w:t>coverage and alleged bad faith</w:t>
      </w:r>
      <w:r>
        <w:rPr>
          <w:spacing w:val="-8"/>
        </w:rPr>
        <w:t> </w:t>
      </w:r>
      <w:r>
        <w:rPr/>
        <w:t>conduct.</w:t>
      </w:r>
      <w:r>
        <w:rPr>
          <w:vertAlign w:val="superscript"/>
        </w:rPr>
        <w:t>559</w:t>
      </w:r>
    </w:p>
    <w:p>
      <w:pPr>
        <w:pStyle w:val="BodyText"/>
        <w:spacing w:before="7"/>
        <w:rPr>
          <w:sz w:val="25"/>
        </w:rPr>
      </w:pPr>
    </w:p>
    <w:p>
      <w:pPr>
        <w:pStyle w:val="BodyText"/>
        <w:spacing w:line="242" w:lineRule="auto"/>
        <w:ind w:left="3100" w:right="3195" w:firstLine="720"/>
        <w:jc w:val="both"/>
      </w:pPr>
      <w:r>
        <w:rPr>
          <w:spacing w:val="11"/>
        </w:rPr>
        <w:t>However, where </w:t>
      </w:r>
      <w:r>
        <w:rPr>
          <w:spacing w:val="14"/>
        </w:rPr>
        <w:t>litigation </w:t>
      </w:r>
      <w:r>
        <w:rPr>
          <w:spacing w:val="8"/>
        </w:rPr>
        <w:t>was </w:t>
      </w:r>
      <w:r>
        <w:rPr/>
        <w:t>commenced as a direct result of an insurer’s failure</w:t>
      </w:r>
      <w:r>
        <w:rPr>
          <w:spacing w:val="-11"/>
        </w:rPr>
        <w:t> </w:t>
      </w:r>
      <w:r>
        <w:rPr/>
        <w:t>to</w:t>
      </w:r>
      <w:r>
        <w:rPr>
          <w:spacing w:val="-10"/>
        </w:rPr>
        <w:t> </w:t>
      </w:r>
      <w:r>
        <w:rPr/>
        <w:t>proceed</w:t>
      </w:r>
      <w:r>
        <w:rPr>
          <w:spacing w:val="-11"/>
        </w:rPr>
        <w:t> </w:t>
      </w:r>
      <w:r>
        <w:rPr/>
        <w:t>with</w:t>
      </w:r>
      <w:r>
        <w:rPr>
          <w:spacing w:val="-12"/>
        </w:rPr>
        <w:t> </w:t>
      </w:r>
      <w:r>
        <w:rPr/>
        <w:t>appraisal,</w:t>
      </w:r>
      <w:r>
        <w:rPr>
          <w:spacing w:val="-14"/>
        </w:rPr>
        <w:t> </w:t>
      </w:r>
      <w:r>
        <w:rPr/>
        <w:t>the</w:t>
      </w:r>
      <w:r>
        <w:rPr>
          <w:spacing w:val="-13"/>
        </w:rPr>
        <w:t> </w:t>
      </w:r>
      <w:r>
        <w:rPr/>
        <w:t>question of</w:t>
      </w:r>
      <w:r>
        <w:rPr>
          <w:spacing w:val="-34"/>
        </w:rPr>
        <w:t> </w:t>
      </w:r>
      <w:r>
        <w:rPr/>
        <w:t>whether</w:t>
      </w:r>
      <w:r>
        <w:rPr>
          <w:spacing w:val="-37"/>
        </w:rPr>
        <w:t> </w:t>
      </w:r>
      <w:r>
        <w:rPr/>
        <w:t>completion</w:t>
      </w:r>
      <w:r>
        <w:rPr>
          <w:spacing w:val="-37"/>
        </w:rPr>
        <w:t> </w:t>
      </w:r>
      <w:r>
        <w:rPr/>
        <w:t>of</w:t>
      </w:r>
      <w:r>
        <w:rPr>
          <w:spacing w:val="-36"/>
        </w:rPr>
        <w:t> </w:t>
      </w:r>
      <w:r>
        <w:rPr>
          <w:spacing w:val="-3"/>
        </w:rPr>
        <w:t>the</w:t>
      </w:r>
      <w:r>
        <w:rPr>
          <w:spacing w:val="-37"/>
        </w:rPr>
        <w:t> </w:t>
      </w:r>
      <w:r>
        <w:rPr/>
        <w:t>appraisal</w:t>
      </w:r>
      <w:r>
        <w:rPr>
          <w:spacing w:val="-33"/>
        </w:rPr>
        <w:t> </w:t>
      </w:r>
      <w:r>
        <w:rPr/>
        <w:t>process was</w:t>
      </w:r>
      <w:r>
        <w:rPr>
          <w:spacing w:val="-32"/>
        </w:rPr>
        <w:t> </w:t>
      </w:r>
      <w:r>
        <w:rPr/>
        <w:t>a</w:t>
      </w:r>
      <w:r>
        <w:rPr>
          <w:spacing w:val="-33"/>
        </w:rPr>
        <w:t> </w:t>
      </w:r>
      <w:r>
        <w:rPr/>
        <w:t>condition</w:t>
      </w:r>
      <w:r>
        <w:rPr>
          <w:spacing w:val="-34"/>
        </w:rPr>
        <w:t> </w:t>
      </w:r>
      <w:r>
        <w:rPr/>
        <w:t>precedent</w:t>
      </w:r>
      <w:r>
        <w:rPr>
          <w:spacing w:val="-35"/>
        </w:rPr>
        <w:t> </w:t>
      </w:r>
      <w:r>
        <w:rPr/>
        <w:t>to</w:t>
      </w:r>
      <w:r>
        <w:rPr>
          <w:spacing w:val="-32"/>
        </w:rPr>
        <w:t> </w:t>
      </w:r>
      <w:r>
        <w:rPr/>
        <w:t>suit</w:t>
      </w:r>
      <w:r>
        <w:rPr>
          <w:spacing w:val="-35"/>
        </w:rPr>
        <w:t> </w:t>
      </w:r>
      <w:r>
        <w:rPr/>
        <w:t>was</w:t>
      </w:r>
      <w:r>
        <w:rPr>
          <w:spacing w:val="-31"/>
        </w:rPr>
        <w:t> </w:t>
      </w:r>
      <w:r>
        <w:rPr/>
        <w:t>deemed a question of</w:t>
      </w:r>
      <w:r>
        <w:rPr>
          <w:spacing w:val="-3"/>
        </w:rPr>
        <w:t> </w:t>
      </w:r>
      <w:r>
        <w:rPr/>
        <w:t>fact.</w:t>
      </w:r>
      <w:r>
        <w:rPr>
          <w:vertAlign w:val="superscript"/>
        </w:rPr>
        <w:t>560</w:t>
      </w:r>
    </w:p>
    <w:p>
      <w:pPr>
        <w:pStyle w:val="BodyText"/>
        <w:rPr>
          <w:sz w:val="20"/>
        </w:rPr>
      </w:pPr>
    </w:p>
    <w:p>
      <w:pPr>
        <w:pStyle w:val="BodyText"/>
        <w:spacing w:before="4"/>
        <w:rPr>
          <w:sz w:val="16"/>
        </w:rPr>
      </w:pPr>
      <w:r>
        <w:rPr/>
        <w:pict>
          <v:shape style="position:absolute;margin-left:162pt;margin-top:12.416909pt;width:143.9pt;height:.1pt;mso-position-horizontal-relative:page;mso-position-vertical-relative:paragraph;z-index:-251466752;mso-wrap-distance-left:0;mso-wrap-distance-right:0" coordorigin="3240,248" coordsize="2878,0" path="m3240,248l6118,24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46" w:val="left" w:leader="none"/>
        </w:tabs>
        <w:spacing w:line="261" w:lineRule="auto" w:before="71" w:after="0"/>
        <w:ind w:left="2740" w:right="2851" w:firstLine="0"/>
        <w:jc w:val="left"/>
        <w:rPr>
          <w:sz w:val="18"/>
        </w:rPr>
      </w:pPr>
      <w:r>
        <w:rPr>
          <w:sz w:val="18"/>
          <w:u w:val="single"/>
        </w:rPr>
        <w:t>Otto Industries North America, Inc. v. The Phoenix Ins. Co.</w:t>
      </w:r>
      <w:r>
        <w:rPr>
          <w:sz w:val="18"/>
        </w:rPr>
        <w:t>, 2013 WL 2124163 (W.D.N.C. 2013).</w:t>
      </w:r>
    </w:p>
    <w:p>
      <w:pPr>
        <w:pStyle w:val="ListParagraph"/>
        <w:numPr>
          <w:ilvl w:val="0"/>
          <w:numId w:val="12"/>
        </w:numPr>
        <w:tabs>
          <w:tab w:pos="3027" w:val="left" w:leader="none"/>
        </w:tabs>
        <w:spacing w:line="240" w:lineRule="auto" w:before="24" w:after="0"/>
        <w:ind w:left="3026" w:right="0" w:hanging="287"/>
        <w:jc w:val="left"/>
        <w:rPr>
          <w:sz w:val="18"/>
        </w:rPr>
      </w:pPr>
      <w:r>
        <w:rPr>
          <w:sz w:val="18"/>
          <w:u w:val="single"/>
        </w:rPr>
        <w:t>Gilbert v. Southern Trust Ins, Co.</w:t>
      </w:r>
      <w:r>
        <w:rPr>
          <w:sz w:val="18"/>
        </w:rPr>
        <w:t>, 555 S.E.2d 69 (Ga. Ct. App.</w:t>
      </w:r>
      <w:r>
        <w:rPr>
          <w:spacing w:val="5"/>
          <w:sz w:val="18"/>
        </w:rPr>
        <w:t> </w:t>
      </w:r>
      <w:r>
        <w:rPr>
          <w:sz w:val="18"/>
        </w:rPr>
        <w:t>2001).</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firstLine="720"/>
        <w:jc w:val="both"/>
      </w:pPr>
      <w:bookmarkStart w:name="Law and Procedure 259" w:id="75"/>
      <w:bookmarkEnd w:id="75"/>
      <w:r>
        <w:rPr/>
      </w:r>
      <w:r>
        <w:rPr/>
        <w:t>In Washington, it has been clarified that the stay of an action for the purpose of appraisal must not preclude parties from filing motions related to appraisal. In that case, proper valuation computations related to the appraisal process were in dispute. The court’s holding was supported by the insurer’s contention that the parties should not be ordered to participate in appraisal without resolving related disputes first.</w:t>
      </w:r>
      <w:r>
        <w:rPr>
          <w:vertAlign w:val="superscript"/>
        </w:rPr>
        <w:t>561</w:t>
      </w:r>
    </w:p>
    <w:p>
      <w:pPr>
        <w:pStyle w:val="BodyText"/>
        <w:spacing w:before="11"/>
        <w:rPr>
          <w:sz w:val="25"/>
        </w:rPr>
      </w:pPr>
    </w:p>
    <w:p>
      <w:pPr>
        <w:pStyle w:val="BodyText"/>
        <w:spacing w:line="242" w:lineRule="auto"/>
        <w:ind w:left="3100" w:right="3197" w:firstLine="720"/>
        <w:jc w:val="both"/>
      </w:pPr>
      <w:r>
        <w:rPr/>
        <w:t>Where the insured was pursuing both appraisal</w:t>
      </w:r>
      <w:r>
        <w:rPr>
          <w:spacing w:val="-8"/>
        </w:rPr>
        <w:t> </w:t>
      </w:r>
      <w:r>
        <w:rPr/>
        <w:t>and</w:t>
      </w:r>
      <w:r>
        <w:rPr>
          <w:spacing w:val="-9"/>
        </w:rPr>
        <w:t> </w:t>
      </w:r>
      <w:r>
        <w:rPr/>
        <w:t>litigation</w:t>
      </w:r>
      <w:r>
        <w:rPr>
          <w:spacing w:val="-9"/>
        </w:rPr>
        <w:t> </w:t>
      </w:r>
      <w:r>
        <w:rPr/>
        <w:t>of</w:t>
      </w:r>
      <w:r>
        <w:rPr>
          <w:spacing w:val="-9"/>
        </w:rPr>
        <w:t> </w:t>
      </w:r>
      <w:r>
        <w:rPr/>
        <w:t>issues</w:t>
      </w:r>
      <w:r>
        <w:rPr>
          <w:spacing w:val="-7"/>
        </w:rPr>
        <w:t> </w:t>
      </w:r>
      <w:r>
        <w:rPr/>
        <w:t>of</w:t>
      </w:r>
      <w:r>
        <w:rPr>
          <w:spacing w:val="-6"/>
        </w:rPr>
        <w:t> </w:t>
      </w:r>
      <w:r>
        <w:rPr/>
        <w:t>bad</w:t>
      </w:r>
      <w:r>
        <w:rPr>
          <w:spacing w:val="-6"/>
        </w:rPr>
        <w:t> </w:t>
      </w:r>
      <w:r>
        <w:rPr/>
        <w:t>faith,</w:t>
      </w:r>
      <w:r>
        <w:rPr>
          <w:spacing w:val="-10"/>
        </w:rPr>
        <w:t> </w:t>
      </w:r>
      <w:r>
        <w:rPr/>
        <w:t>it was</w:t>
      </w:r>
      <w:r>
        <w:rPr>
          <w:spacing w:val="-20"/>
        </w:rPr>
        <w:t> </w:t>
      </w:r>
      <w:r>
        <w:rPr/>
        <w:t>held</w:t>
      </w:r>
      <w:r>
        <w:rPr>
          <w:spacing w:val="-19"/>
        </w:rPr>
        <w:t> </w:t>
      </w:r>
      <w:r>
        <w:rPr/>
        <w:t>that</w:t>
      </w:r>
      <w:r>
        <w:rPr>
          <w:spacing w:val="-20"/>
        </w:rPr>
        <w:t> </w:t>
      </w:r>
      <w:r>
        <w:rPr/>
        <w:t>bifurcation</w:t>
      </w:r>
      <w:r>
        <w:rPr>
          <w:spacing w:val="-19"/>
        </w:rPr>
        <w:t> </w:t>
      </w:r>
      <w:r>
        <w:rPr/>
        <w:t>was</w:t>
      </w:r>
      <w:r>
        <w:rPr>
          <w:spacing w:val="-18"/>
        </w:rPr>
        <w:t> </w:t>
      </w:r>
      <w:r>
        <w:rPr/>
        <w:t>inappropriate</w:t>
      </w:r>
      <w:r>
        <w:rPr>
          <w:spacing w:val="-18"/>
        </w:rPr>
        <w:t> </w:t>
      </w:r>
      <w:r>
        <w:rPr/>
        <w:t>as it</w:t>
      </w:r>
      <w:r>
        <w:rPr>
          <w:spacing w:val="-23"/>
        </w:rPr>
        <w:t> </w:t>
      </w:r>
      <w:r>
        <w:rPr/>
        <w:t>would</w:t>
      </w:r>
      <w:r>
        <w:rPr>
          <w:spacing w:val="-16"/>
        </w:rPr>
        <w:t> </w:t>
      </w:r>
      <w:r>
        <w:rPr/>
        <w:t>be</w:t>
      </w:r>
      <w:r>
        <w:rPr>
          <w:spacing w:val="-19"/>
        </w:rPr>
        <w:t> </w:t>
      </w:r>
      <w:r>
        <w:rPr/>
        <w:t>inconvenient</w:t>
      </w:r>
      <w:r>
        <w:rPr>
          <w:spacing w:val="-21"/>
        </w:rPr>
        <w:t> </w:t>
      </w:r>
      <w:r>
        <w:rPr/>
        <w:t>and</w:t>
      </w:r>
      <w:r>
        <w:rPr>
          <w:spacing w:val="-19"/>
        </w:rPr>
        <w:t> </w:t>
      </w:r>
      <w:r>
        <w:rPr/>
        <w:t>would</w:t>
      </w:r>
      <w:r>
        <w:rPr>
          <w:spacing w:val="-15"/>
        </w:rPr>
        <w:t> </w:t>
      </w:r>
      <w:r>
        <w:rPr/>
        <w:t>only</w:t>
      </w:r>
      <w:r>
        <w:rPr>
          <w:spacing w:val="-21"/>
        </w:rPr>
        <w:t> </w:t>
      </w:r>
      <w:r>
        <w:rPr/>
        <w:t>serve to further delay</w:t>
      </w:r>
      <w:r>
        <w:rPr>
          <w:spacing w:val="-5"/>
        </w:rPr>
        <w:t> </w:t>
      </w:r>
      <w:r>
        <w:rPr/>
        <w:t>litigation.</w:t>
      </w:r>
      <w:r>
        <w:rPr>
          <w:vertAlign w:val="superscript"/>
        </w:rPr>
        <w:t>562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r>
        <w:rPr/>
        <w:pict>
          <v:shape style="position:absolute;margin-left:162pt;margin-top:14.745288pt;width:143.9pt;height:.1pt;mso-position-horizontal-relative:page;mso-position-vertical-relative:paragraph;z-index:-251465728;mso-wrap-distance-left:0;mso-wrap-distance-right:0" coordorigin="3240,295" coordsize="2878,0" path="m3240,295l6118,295e" filled="false" stroked="true" strokeweight=".84pt" strokecolor="#000000">
            <v:path arrowok="t"/>
            <v:stroke dashstyle="solid"/>
            <w10:wrap type="topAndBottom"/>
          </v:shape>
        </w:pict>
      </w:r>
    </w:p>
    <w:p>
      <w:pPr>
        <w:pStyle w:val="ListParagraph"/>
        <w:numPr>
          <w:ilvl w:val="0"/>
          <w:numId w:val="12"/>
        </w:numPr>
        <w:tabs>
          <w:tab w:pos="3013" w:val="left" w:leader="none"/>
        </w:tabs>
        <w:spacing w:line="244" w:lineRule="auto" w:before="140" w:after="0"/>
        <w:ind w:left="2740" w:right="2843" w:firstLine="0"/>
        <w:jc w:val="left"/>
        <w:rPr>
          <w:sz w:val="18"/>
        </w:rPr>
      </w:pPr>
      <w:r>
        <w:rPr>
          <w:sz w:val="18"/>
          <w:u w:val="single"/>
        </w:rPr>
        <w:t>Trident Seafoods Corp. v. Commonwealth Ins. Co.</w:t>
      </w:r>
      <w:r>
        <w:rPr>
          <w:sz w:val="18"/>
        </w:rPr>
        <w:t>, 2010 WL 3894111 (W.D.Wash. 2010).</w:t>
      </w:r>
    </w:p>
    <w:p>
      <w:pPr>
        <w:pStyle w:val="ListParagraph"/>
        <w:numPr>
          <w:ilvl w:val="0"/>
          <w:numId w:val="12"/>
        </w:numPr>
        <w:tabs>
          <w:tab w:pos="3015" w:val="left" w:leader="none"/>
        </w:tabs>
        <w:spacing w:line="265" w:lineRule="exact" w:before="0" w:after="0"/>
        <w:ind w:left="3014" w:right="0" w:hanging="275"/>
        <w:jc w:val="left"/>
        <w:rPr>
          <w:sz w:val="18"/>
        </w:rPr>
      </w:pPr>
      <w:r>
        <w:rPr>
          <w:sz w:val="18"/>
          <w:u w:val="single"/>
        </w:rPr>
        <w:t>1550 Brickell Associates v. Q.B.E. Ins. Corp.</w:t>
      </w:r>
      <w:r>
        <w:rPr>
          <w:sz w:val="18"/>
        </w:rPr>
        <w:t>, 2010 WL 4683889 (S.D.Fla. 2010).</w:t>
      </w:r>
    </w:p>
    <w:p>
      <w:pPr>
        <w:spacing w:after="0" w:line="265"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19" w:val="left" w:leader="none"/>
          <w:tab w:pos="3820" w:val="left" w:leader="none"/>
        </w:tabs>
        <w:spacing w:line="240" w:lineRule="auto" w:before="42" w:after="0"/>
        <w:ind w:left="3820" w:right="0" w:hanging="720"/>
        <w:jc w:val="left"/>
        <w:rPr>
          <w:rFonts w:ascii="Century Gothic"/>
          <w:sz w:val="26"/>
        </w:rPr>
      </w:pPr>
      <w:bookmarkStart w:name="Law and Procedure 260" w:id="76"/>
      <w:bookmarkEnd w:id="76"/>
      <w:r>
        <w:rPr/>
      </w:r>
      <w:bookmarkStart w:name="Law and Procedure 260" w:id="77"/>
      <w:bookmarkEnd w:id="77"/>
      <w:r>
        <w:rPr>
          <w:rFonts w:ascii="Century Gothic"/>
          <w:sz w:val="26"/>
        </w:rPr>
        <w:t>T</w:t>
      </w:r>
      <w:r>
        <w:rPr>
          <w:rFonts w:ascii="Century Gothic"/>
          <w:sz w:val="26"/>
        </w:rPr>
        <w:t>IMING OF THE</w:t>
      </w:r>
      <w:r>
        <w:rPr>
          <w:rFonts w:ascii="Century Gothic"/>
          <w:spacing w:val="-4"/>
          <w:sz w:val="26"/>
        </w:rPr>
        <w:t> </w:t>
      </w:r>
      <w:r>
        <w:rPr>
          <w:rFonts w:ascii="Century Gothic"/>
          <w:sz w:val="26"/>
        </w:rPr>
        <w:t>AWARD</w:t>
      </w:r>
    </w:p>
    <w:p>
      <w:pPr>
        <w:pStyle w:val="BodyText"/>
        <w:spacing w:before="5"/>
      </w:pPr>
    </w:p>
    <w:p>
      <w:pPr>
        <w:pStyle w:val="BodyText"/>
        <w:spacing w:line="242" w:lineRule="auto"/>
        <w:ind w:left="3100" w:right="3198" w:firstLine="720"/>
        <w:jc w:val="both"/>
      </w:pPr>
      <w:r>
        <w:rPr/>
        <w:t>Interestingly, the Standard Fire Policy as well as most insurance policies fail to set forth any particular time reference with respect to the</w:t>
      </w:r>
      <w:r>
        <w:rPr>
          <w:spacing w:val="-16"/>
        </w:rPr>
        <w:t> </w:t>
      </w:r>
      <w:r>
        <w:rPr/>
        <w:t>issuance</w:t>
      </w:r>
      <w:r>
        <w:rPr>
          <w:spacing w:val="-13"/>
        </w:rPr>
        <w:t> </w:t>
      </w:r>
      <w:r>
        <w:rPr/>
        <w:t>of</w:t>
      </w:r>
      <w:r>
        <w:rPr>
          <w:spacing w:val="-15"/>
        </w:rPr>
        <w:t> </w:t>
      </w:r>
      <w:r>
        <w:rPr/>
        <w:t>an</w:t>
      </w:r>
      <w:r>
        <w:rPr>
          <w:spacing w:val="-14"/>
        </w:rPr>
        <w:t> </w:t>
      </w:r>
      <w:r>
        <w:rPr/>
        <w:t>award.</w:t>
      </w:r>
      <w:r>
        <w:rPr>
          <w:spacing w:val="38"/>
        </w:rPr>
        <w:t> </w:t>
      </w:r>
      <w:r>
        <w:rPr/>
        <w:t>This</w:t>
      </w:r>
      <w:r>
        <w:rPr>
          <w:spacing w:val="-18"/>
        </w:rPr>
        <w:t> </w:t>
      </w:r>
      <w:r>
        <w:rPr/>
        <w:t>being</w:t>
      </w:r>
      <w:r>
        <w:rPr>
          <w:spacing w:val="-16"/>
        </w:rPr>
        <w:t> </w:t>
      </w:r>
      <w:r>
        <w:rPr/>
        <w:t>the</w:t>
      </w:r>
      <w:r>
        <w:rPr>
          <w:spacing w:val="-18"/>
        </w:rPr>
        <w:t> </w:t>
      </w:r>
      <w:r>
        <w:rPr/>
        <w:t>case, rules</w:t>
      </w:r>
      <w:r>
        <w:rPr>
          <w:spacing w:val="-35"/>
        </w:rPr>
        <w:t> </w:t>
      </w:r>
      <w:r>
        <w:rPr/>
        <w:t>of</w:t>
      </w:r>
      <w:r>
        <w:rPr>
          <w:spacing w:val="-37"/>
        </w:rPr>
        <w:t> </w:t>
      </w:r>
      <w:r>
        <w:rPr>
          <w:spacing w:val="-3"/>
        </w:rPr>
        <w:t>contract</w:t>
      </w:r>
      <w:r>
        <w:rPr>
          <w:spacing w:val="-35"/>
        </w:rPr>
        <w:t> </w:t>
      </w:r>
      <w:r>
        <w:rPr/>
        <w:t>construction</w:t>
      </w:r>
      <w:r>
        <w:rPr>
          <w:spacing w:val="-32"/>
        </w:rPr>
        <w:t> </w:t>
      </w:r>
      <w:r>
        <w:rPr/>
        <w:t>would</w:t>
      </w:r>
      <w:r>
        <w:rPr>
          <w:spacing w:val="-32"/>
        </w:rPr>
        <w:t> </w:t>
      </w:r>
      <w:r>
        <w:rPr/>
        <w:t>require</w:t>
      </w:r>
      <w:r>
        <w:rPr>
          <w:spacing w:val="-34"/>
        </w:rPr>
        <w:t> </w:t>
      </w:r>
      <w:r>
        <w:rPr/>
        <w:t>the appraisal</w:t>
      </w:r>
      <w:r>
        <w:rPr>
          <w:spacing w:val="-23"/>
        </w:rPr>
        <w:t> </w:t>
      </w:r>
      <w:r>
        <w:rPr/>
        <w:t>team</w:t>
      </w:r>
      <w:r>
        <w:rPr>
          <w:spacing w:val="-26"/>
        </w:rPr>
        <w:t> </w:t>
      </w:r>
      <w:r>
        <w:rPr/>
        <w:t>to</w:t>
      </w:r>
      <w:r>
        <w:rPr>
          <w:spacing w:val="-22"/>
        </w:rPr>
        <w:t> </w:t>
      </w:r>
      <w:r>
        <w:rPr/>
        <w:t>be</w:t>
      </w:r>
      <w:r>
        <w:rPr>
          <w:spacing w:val="-22"/>
        </w:rPr>
        <w:t> </w:t>
      </w:r>
      <w:r>
        <w:rPr/>
        <w:t>held</w:t>
      </w:r>
      <w:r>
        <w:rPr>
          <w:spacing w:val="-22"/>
        </w:rPr>
        <w:t> </w:t>
      </w:r>
      <w:r>
        <w:rPr/>
        <w:t>to</w:t>
      </w:r>
      <w:r>
        <w:rPr>
          <w:spacing w:val="-22"/>
        </w:rPr>
        <w:t> </w:t>
      </w:r>
      <w:r>
        <w:rPr/>
        <w:t>a</w:t>
      </w:r>
      <w:r>
        <w:rPr>
          <w:spacing w:val="-25"/>
        </w:rPr>
        <w:t> </w:t>
      </w:r>
      <w:r>
        <w:rPr/>
        <w:t>reasonableness standard,</w:t>
      </w:r>
      <w:r>
        <w:rPr>
          <w:spacing w:val="-21"/>
        </w:rPr>
        <w:t> </w:t>
      </w:r>
      <w:r>
        <w:rPr/>
        <w:t>requiring</w:t>
      </w:r>
      <w:r>
        <w:rPr>
          <w:spacing w:val="-17"/>
        </w:rPr>
        <w:t> </w:t>
      </w:r>
      <w:r>
        <w:rPr/>
        <w:t>the</w:t>
      </w:r>
      <w:r>
        <w:rPr>
          <w:spacing w:val="-21"/>
        </w:rPr>
        <w:t> </w:t>
      </w:r>
      <w:r>
        <w:rPr/>
        <w:t>issuance</w:t>
      </w:r>
      <w:r>
        <w:rPr>
          <w:spacing w:val="-18"/>
        </w:rPr>
        <w:t> </w:t>
      </w:r>
      <w:r>
        <w:rPr/>
        <w:t>of</w:t>
      </w:r>
      <w:r>
        <w:rPr>
          <w:spacing w:val="-22"/>
        </w:rPr>
        <w:t> </w:t>
      </w:r>
      <w:r>
        <w:rPr/>
        <w:t>their</w:t>
      </w:r>
      <w:r>
        <w:rPr>
          <w:spacing w:val="-19"/>
        </w:rPr>
        <w:t> </w:t>
      </w:r>
      <w:r>
        <w:rPr/>
        <w:t>award within a reasonable period of time from the beginning of the</w:t>
      </w:r>
      <w:r>
        <w:rPr>
          <w:spacing w:val="-4"/>
        </w:rPr>
        <w:t> </w:t>
      </w:r>
      <w:r>
        <w:rPr/>
        <w:t>process.</w:t>
      </w:r>
    </w:p>
    <w:p>
      <w:pPr>
        <w:pStyle w:val="BodyText"/>
      </w:pPr>
    </w:p>
    <w:p>
      <w:pPr>
        <w:pStyle w:val="BodyText"/>
        <w:spacing w:line="242" w:lineRule="auto"/>
        <w:ind w:left="3100" w:right="3200" w:firstLine="720"/>
        <w:jc w:val="both"/>
      </w:pPr>
      <w:r>
        <w:rPr>
          <w:spacing w:val="3"/>
        </w:rPr>
        <w:t>It </w:t>
      </w:r>
      <w:r>
        <w:rPr/>
        <w:t>is clear from a careful reading of the appraisal provision that the drafters had as their</w:t>
      </w:r>
      <w:r>
        <w:rPr>
          <w:spacing w:val="-28"/>
        </w:rPr>
        <w:t> </w:t>
      </w:r>
      <w:r>
        <w:rPr/>
        <w:t>primary</w:t>
      </w:r>
      <w:r>
        <w:rPr>
          <w:spacing w:val="-30"/>
        </w:rPr>
        <w:t> </w:t>
      </w:r>
      <w:r>
        <w:rPr/>
        <w:t>objective,</w:t>
      </w:r>
      <w:r>
        <w:rPr>
          <w:spacing w:val="-29"/>
        </w:rPr>
        <w:t> </w:t>
      </w:r>
      <w:r>
        <w:rPr/>
        <w:t>a</w:t>
      </w:r>
      <w:r>
        <w:rPr>
          <w:spacing w:val="-27"/>
        </w:rPr>
        <w:t> </w:t>
      </w:r>
      <w:r>
        <w:rPr/>
        <w:t>speedy</w:t>
      </w:r>
      <w:r>
        <w:rPr>
          <w:spacing w:val="-28"/>
        </w:rPr>
        <w:t> </w:t>
      </w:r>
      <w:r>
        <w:rPr/>
        <w:t>conclusion</w:t>
      </w:r>
      <w:r>
        <w:rPr>
          <w:spacing w:val="-26"/>
        </w:rPr>
        <w:t> </w:t>
      </w:r>
      <w:r>
        <w:rPr/>
        <w:t>to the</w:t>
      </w:r>
      <w:r>
        <w:rPr>
          <w:spacing w:val="-2"/>
        </w:rPr>
        <w:t> </w:t>
      </w:r>
      <w:r>
        <w:rPr/>
        <w:t>appraisal.</w:t>
      </w:r>
    </w:p>
    <w:p>
      <w:pPr>
        <w:pStyle w:val="BodyText"/>
        <w:spacing w:before="1"/>
      </w:pPr>
    </w:p>
    <w:p>
      <w:pPr>
        <w:pStyle w:val="BodyText"/>
        <w:spacing w:line="242" w:lineRule="auto"/>
        <w:ind w:left="3100" w:right="3197" w:firstLine="720"/>
        <w:jc w:val="both"/>
      </w:pPr>
      <w:r>
        <w:rPr/>
        <w:t>For this reason, the absence of a contractual time constraint should be viewed as an effort to give the participants flexibility and discretion in carrying out their appointed duties, not as a license for unnecessary delay or dilatory conduct.</w:t>
      </w:r>
    </w:p>
    <w:p>
      <w:pPr>
        <w:pStyle w:val="BodyText"/>
      </w:pPr>
    </w:p>
    <w:p>
      <w:pPr>
        <w:pStyle w:val="BodyText"/>
        <w:spacing w:line="242" w:lineRule="auto" w:before="1"/>
        <w:ind w:left="3100" w:right="3199" w:firstLine="720"/>
        <w:jc w:val="both"/>
      </w:pPr>
      <w:r>
        <w:rPr>
          <w:spacing w:val="3"/>
        </w:rPr>
        <w:t>It </w:t>
      </w:r>
      <w:r>
        <w:rPr/>
        <w:t>is fundamental to a successful conclusion</w:t>
      </w:r>
      <w:r>
        <w:rPr>
          <w:spacing w:val="-7"/>
        </w:rPr>
        <w:t> </w:t>
      </w:r>
      <w:r>
        <w:rPr/>
        <w:t>to</w:t>
      </w:r>
      <w:r>
        <w:rPr>
          <w:spacing w:val="-7"/>
        </w:rPr>
        <w:t> </w:t>
      </w:r>
      <w:r>
        <w:rPr/>
        <w:t>the</w:t>
      </w:r>
      <w:r>
        <w:rPr>
          <w:spacing w:val="-8"/>
        </w:rPr>
        <w:t> </w:t>
      </w:r>
      <w:r>
        <w:rPr/>
        <w:t>appraisal</w:t>
      </w:r>
      <w:r>
        <w:rPr>
          <w:spacing w:val="-9"/>
        </w:rPr>
        <w:t> </w:t>
      </w:r>
      <w:r>
        <w:rPr/>
        <w:t>that</w:t>
      </w:r>
      <w:r>
        <w:rPr>
          <w:spacing w:val="-9"/>
        </w:rPr>
        <w:t> </w:t>
      </w:r>
      <w:r>
        <w:rPr/>
        <w:t>the</w:t>
      </w:r>
      <w:r>
        <w:rPr>
          <w:spacing w:val="-7"/>
        </w:rPr>
        <w:t> </w:t>
      </w:r>
      <w:r>
        <w:rPr/>
        <w:t>award</w:t>
      </w:r>
      <w:r>
        <w:rPr>
          <w:spacing w:val="-7"/>
        </w:rPr>
        <w:t> </w:t>
      </w:r>
      <w:r>
        <w:rPr>
          <w:spacing w:val="-6"/>
        </w:rPr>
        <w:t>be </w:t>
      </w:r>
      <w:r>
        <w:rPr/>
        <w:t>rendered within a reasonable period of time </w:t>
      </w:r>
      <w:r>
        <w:rPr>
          <w:spacing w:val="4"/>
        </w:rPr>
        <w:t>and </w:t>
      </w:r>
      <w:r>
        <w:rPr>
          <w:spacing w:val="3"/>
        </w:rPr>
        <w:t>as </w:t>
      </w:r>
      <w:r>
        <w:rPr>
          <w:spacing w:val="5"/>
        </w:rPr>
        <w:t>soon </w:t>
      </w:r>
      <w:r>
        <w:rPr>
          <w:spacing w:val="3"/>
        </w:rPr>
        <w:t>as </w:t>
      </w:r>
      <w:r>
        <w:rPr>
          <w:spacing w:val="4"/>
        </w:rPr>
        <w:t>possible under the </w:t>
      </w:r>
      <w:r>
        <w:rPr/>
        <w:t>circumstances.</w:t>
      </w:r>
    </w:p>
    <w:p>
      <w:pPr>
        <w:pStyle w:val="BodyText"/>
      </w:pPr>
    </w:p>
    <w:p>
      <w:pPr>
        <w:pStyle w:val="BodyText"/>
        <w:spacing w:line="242" w:lineRule="auto" w:before="1"/>
        <w:ind w:left="3100" w:right="3203" w:firstLine="720"/>
        <w:jc w:val="both"/>
      </w:pPr>
      <w:r>
        <w:rPr/>
        <w:t>The parties to the appraisal may wish </w:t>
      </w:r>
      <w:r>
        <w:rPr>
          <w:spacing w:val="-8"/>
        </w:rPr>
        <w:t>to </w:t>
      </w:r>
      <w:r>
        <w:rPr>
          <w:spacing w:val="-3"/>
        </w:rPr>
        <w:t>consider</w:t>
      </w:r>
      <w:r>
        <w:rPr>
          <w:spacing w:val="-34"/>
        </w:rPr>
        <w:t> </w:t>
      </w:r>
      <w:r>
        <w:rPr/>
        <w:t>including</w:t>
      </w:r>
      <w:r>
        <w:rPr>
          <w:spacing w:val="-29"/>
        </w:rPr>
        <w:t> </w:t>
      </w:r>
      <w:r>
        <w:rPr/>
        <w:t>a</w:t>
      </w:r>
      <w:r>
        <w:rPr>
          <w:spacing w:val="-30"/>
        </w:rPr>
        <w:t> </w:t>
      </w:r>
      <w:r>
        <w:rPr/>
        <w:t>proposed</w:t>
      </w:r>
      <w:r>
        <w:rPr>
          <w:spacing w:val="-27"/>
        </w:rPr>
        <w:t> </w:t>
      </w:r>
      <w:r>
        <w:rPr/>
        <w:t>schedule</w:t>
      </w:r>
      <w:r>
        <w:rPr>
          <w:spacing w:val="-30"/>
        </w:rPr>
        <w:t> </w:t>
      </w:r>
      <w:r>
        <w:rPr/>
        <w:t>for</w:t>
      </w:r>
      <w:r>
        <w:rPr>
          <w:spacing w:val="-31"/>
        </w:rPr>
        <w:t> </w:t>
      </w:r>
      <w:r>
        <w:rPr>
          <w:spacing w:val="-3"/>
        </w:rPr>
        <w:t>the</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195"/>
        <w:jc w:val="both"/>
      </w:pPr>
      <w:bookmarkStart w:name="Law and Procedure 261" w:id="78"/>
      <w:bookmarkEnd w:id="78"/>
      <w:r>
        <w:rPr/>
      </w:r>
      <w:r>
        <w:rPr/>
        <w:t>conduct of the appraisal within the appraisal agreement so as to encourage responsible conduct. However, care should be taken in setting the deadlines, as the process often tends</w:t>
      </w:r>
      <w:r>
        <w:rPr>
          <w:spacing w:val="-16"/>
        </w:rPr>
        <w:t> </w:t>
      </w:r>
      <w:r>
        <w:rPr/>
        <w:t>to</w:t>
      </w:r>
      <w:r>
        <w:rPr>
          <w:spacing w:val="-14"/>
        </w:rPr>
        <w:t> </w:t>
      </w:r>
      <w:r>
        <w:rPr/>
        <w:t>be</w:t>
      </w:r>
      <w:r>
        <w:rPr>
          <w:spacing w:val="-15"/>
        </w:rPr>
        <w:t> </w:t>
      </w:r>
      <w:r>
        <w:rPr/>
        <w:t>more</w:t>
      </w:r>
      <w:r>
        <w:rPr>
          <w:spacing w:val="-16"/>
        </w:rPr>
        <w:t> </w:t>
      </w:r>
      <w:r>
        <w:rPr/>
        <w:t>protracted</w:t>
      </w:r>
      <w:r>
        <w:rPr>
          <w:spacing w:val="-16"/>
        </w:rPr>
        <w:t> </w:t>
      </w:r>
      <w:r>
        <w:rPr/>
        <w:t>than</w:t>
      </w:r>
      <w:r>
        <w:rPr>
          <w:spacing w:val="-14"/>
        </w:rPr>
        <w:t> </w:t>
      </w:r>
      <w:r>
        <w:rPr/>
        <w:t>anticipated </w:t>
      </w:r>
      <w:r>
        <w:rPr>
          <w:spacing w:val="-4"/>
        </w:rPr>
        <w:t>even</w:t>
      </w:r>
      <w:r>
        <w:rPr>
          <w:spacing w:val="-33"/>
        </w:rPr>
        <w:t> </w:t>
      </w:r>
      <w:r>
        <w:rPr>
          <w:spacing w:val="-3"/>
        </w:rPr>
        <w:t>with</w:t>
      </w:r>
      <w:r>
        <w:rPr>
          <w:spacing w:val="-31"/>
        </w:rPr>
        <w:t> </w:t>
      </w:r>
      <w:r>
        <w:rPr/>
        <w:t>the</w:t>
      </w:r>
      <w:r>
        <w:rPr>
          <w:spacing w:val="-30"/>
        </w:rPr>
        <w:t> </w:t>
      </w:r>
      <w:r>
        <w:rPr/>
        <w:t>exercise</w:t>
      </w:r>
      <w:r>
        <w:rPr>
          <w:spacing w:val="-32"/>
        </w:rPr>
        <w:t> </w:t>
      </w:r>
      <w:r>
        <w:rPr/>
        <w:t>of</w:t>
      </w:r>
      <w:r>
        <w:rPr>
          <w:spacing w:val="-30"/>
        </w:rPr>
        <w:t> </w:t>
      </w:r>
      <w:r>
        <w:rPr/>
        <w:t>diligence.</w:t>
      </w:r>
      <w:r>
        <w:rPr>
          <w:spacing w:val="-35"/>
        </w:rPr>
        <w:t> </w:t>
      </w:r>
      <w:r>
        <w:rPr>
          <w:spacing w:val="-3"/>
        </w:rPr>
        <w:t>Allowances </w:t>
      </w:r>
      <w:r>
        <w:rPr/>
        <w:t>should be made for scheduling difficulties, inclement weather, the unavailability of witnesses</w:t>
      </w:r>
      <w:r>
        <w:rPr>
          <w:spacing w:val="-19"/>
        </w:rPr>
        <w:t> </w:t>
      </w:r>
      <w:r>
        <w:rPr/>
        <w:t>and</w:t>
      </w:r>
      <w:r>
        <w:rPr>
          <w:spacing w:val="-18"/>
        </w:rPr>
        <w:t> </w:t>
      </w:r>
      <w:r>
        <w:rPr/>
        <w:t>participants</w:t>
      </w:r>
      <w:r>
        <w:rPr>
          <w:spacing w:val="-18"/>
        </w:rPr>
        <w:t> </w:t>
      </w:r>
      <w:r>
        <w:rPr/>
        <w:t>and</w:t>
      </w:r>
      <w:r>
        <w:rPr>
          <w:spacing w:val="-19"/>
        </w:rPr>
        <w:t> </w:t>
      </w:r>
      <w:r>
        <w:rPr/>
        <w:t>other</w:t>
      </w:r>
      <w:r>
        <w:rPr>
          <w:spacing w:val="-22"/>
        </w:rPr>
        <w:t> </w:t>
      </w:r>
      <w:r>
        <w:rPr/>
        <w:t>practical problems</w:t>
      </w:r>
      <w:r>
        <w:rPr>
          <w:spacing w:val="-33"/>
        </w:rPr>
        <w:t> </w:t>
      </w:r>
      <w:r>
        <w:rPr>
          <w:spacing w:val="-3"/>
        </w:rPr>
        <w:t>that</w:t>
      </w:r>
      <w:r>
        <w:rPr>
          <w:spacing w:val="-35"/>
        </w:rPr>
        <w:t> </w:t>
      </w:r>
      <w:r>
        <w:rPr>
          <w:spacing w:val="-3"/>
        </w:rPr>
        <w:t>make</w:t>
      </w:r>
      <w:r>
        <w:rPr>
          <w:spacing w:val="-32"/>
        </w:rPr>
        <w:t> </w:t>
      </w:r>
      <w:r>
        <w:rPr/>
        <w:t>the</w:t>
      </w:r>
      <w:r>
        <w:rPr>
          <w:spacing w:val="-31"/>
        </w:rPr>
        <w:t> </w:t>
      </w:r>
      <w:r>
        <w:rPr/>
        <w:t>scheduling</w:t>
      </w:r>
      <w:r>
        <w:rPr>
          <w:spacing w:val="-30"/>
        </w:rPr>
        <w:t> </w:t>
      </w:r>
      <w:r>
        <w:rPr/>
        <w:t>of</w:t>
      </w:r>
      <w:r>
        <w:rPr>
          <w:spacing w:val="-30"/>
        </w:rPr>
        <w:t> </w:t>
      </w:r>
      <w:r>
        <w:rPr/>
        <w:t>activities complicated.</w:t>
      </w:r>
    </w:p>
    <w:p>
      <w:pPr>
        <w:pStyle w:val="BodyText"/>
        <w:spacing w:before="11"/>
        <w:rPr>
          <w:sz w:val="25"/>
        </w:rPr>
      </w:pPr>
    </w:p>
    <w:p>
      <w:pPr>
        <w:pStyle w:val="BodyText"/>
        <w:spacing w:line="242" w:lineRule="auto"/>
        <w:ind w:left="3100" w:right="3199" w:firstLine="720"/>
        <w:jc w:val="both"/>
      </w:pPr>
      <w:r>
        <w:rPr/>
        <w:t>While most policies do not define </w:t>
      </w:r>
      <w:r>
        <w:rPr>
          <w:spacing w:val="-3"/>
        </w:rPr>
        <w:t>time </w:t>
      </w:r>
      <w:r>
        <w:rPr/>
        <w:t>constraints</w:t>
      </w:r>
      <w:r>
        <w:rPr>
          <w:spacing w:val="-14"/>
        </w:rPr>
        <w:t> </w:t>
      </w:r>
      <w:r>
        <w:rPr/>
        <w:t>for</w:t>
      </w:r>
      <w:r>
        <w:rPr>
          <w:spacing w:val="-15"/>
        </w:rPr>
        <w:t> </w:t>
      </w:r>
      <w:r>
        <w:rPr/>
        <w:t>the</w:t>
      </w:r>
      <w:r>
        <w:rPr>
          <w:spacing w:val="-13"/>
        </w:rPr>
        <w:t> </w:t>
      </w:r>
      <w:r>
        <w:rPr/>
        <w:t>issuance</w:t>
      </w:r>
      <w:r>
        <w:rPr>
          <w:spacing w:val="-12"/>
        </w:rPr>
        <w:t> </w:t>
      </w:r>
      <w:r>
        <w:rPr/>
        <w:t>of</w:t>
      </w:r>
      <w:r>
        <w:rPr>
          <w:spacing w:val="-12"/>
        </w:rPr>
        <w:t> </w:t>
      </w:r>
      <w:r>
        <w:rPr/>
        <w:t>an</w:t>
      </w:r>
      <w:r>
        <w:rPr>
          <w:spacing w:val="-15"/>
        </w:rPr>
        <w:t> </w:t>
      </w:r>
      <w:r>
        <w:rPr/>
        <w:t>award,</w:t>
      </w:r>
      <w:r>
        <w:rPr>
          <w:spacing w:val="-18"/>
        </w:rPr>
        <w:t> </w:t>
      </w:r>
      <w:r>
        <w:rPr/>
        <w:t>some states have mandated time periods, the </w:t>
      </w:r>
      <w:r>
        <w:rPr>
          <w:spacing w:val="16"/>
        </w:rPr>
        <w:t>violation </w:t>
      </w:r>
      <w:r>
        <w:rPr>
          <w:spacing w:val="11"/>
        </w:rPr>
        <w:t>of </w:t>
      </w:r>
      <w:r>
        <w:rPr>
          <w:spacing w:val="16"/>
        </w:rPr>
        <w:t>which </w:t>
      </w:r>
      <w:r>
        <w:rPr>
          <w:spacing w:val="14"/>
        </w:rPr>
        <w:t>can </w:t>
      </w:r>
      <w:r>
        <w:rPr>
          <w:spacing w:val="13"/>
        </w:rPr>
        <w:t>have </w:t>
      </w:r>
      <w:r>
        <w:rPr>
          <w:spacing w:val="14"/>
        </w:rPr>
        <w:t>dire </w:t>
      </w:r>
      <w:r>
        <w:rPr/>
        <w:t>consequences to the</w:t>
      </w:r>
      <w:r>
        <w:rPr>
          <w:spacing w:val="-4"/>
        </w:rPr>
        <w:t> </w:t>
      </w:r>
      <w:r>
        <w:rPr/>
        <w:t>appraisal.</w:t>
      </w:r>
    </w:p>
    <w:p>
      <w:pPr>
        <w:pStyle w:val="BodyText"/>
        <w:spacing w:before="1"/>
      </w:pPr>
    </w:p>
    <w:p>
      <w:pPr>
        <w:pStyle w:val="BodyText"/>
        <w:spacing w:line="242" w:lineRule="auto"/>
        <w:ind w:left="3100" w:right="3197" w:firstLine="720"/>
        <w:jc w:val="both"/>
      </w:pPr>
      <w:r>
        <w:rPr>
          <w:spacing w:val="3"/>
        </w:rPr>
        <w:t>In </w:t>
      </w:r>
      <w:r>
        <w:rPr/>
        <w:t>fact, in Connecticut, for example, it has</w:t>
      </w:r>
      <w:r>
        <w:rPr>
          <w:spacing w:val="-27"/>
        </w:rPr>
        <w:t> </w:t>
      </w:r>
      <w:r>
        <w:rPr/>
        <w:t>been</w:t>
      </w:r>
      <w:r>
        <w:rPr>
          <w:spacing w:val="-30"/>
        </w:rPr>
        <w:t> </w:t>
      </w:r>
      <w:r>
        <w:rPr/>
        <w:t>held</w:t>
      </w:r>
      <w:r>
        <w:rPr>
          <w:spacing w:val="-30"/>
        </w:rPr>
        <w:t> </w:t>
      </w:r>
      <w:r>
        <w:rPr/>
        <w:t>that</w:t>
      </w:r>
      <w:r>
        <w:rPr>
          <w:spacing w:val="-31"/>
        </w:rPr>
        <w:t> </w:t>
      </w:r>
      <w:r>
        <w:rPr/>
        <w:t>an</w:t>
      </w:r>
      <w:r>
        <w:rPr>
          <w:spacing w:val="-27"/>
        </w:rPr>
        <w:t> </w:t>
      </w:r>
      <w:r>
        <w:rPr/>
        <w:t>award</w:t>
      </w:r>
      <w:r>
        <w:rPr>
          <w:spacing w:val="-28"/>
        </w:rPr>
        <w:t> </w:t>
      </w:r>
      <w:r>
        <w:rPr/>
        <w:t>rendered</w:t>
      </w:r>
      <w:r>
        <w:rPr>
          <w:spacing w:val="-28"/>
        </w:rPr>
        <w:t> </w:t>
      </w:r>
      <w:r>
        <w:rPr/>
        <w:t>after</w:t>
      </w:r>
      <w:r>
        <w:rPr>
          <w:spacing w:val="-30"/>
        </w:rPr>
        <w:t> </w:t>
      </w:r>
      <w:r>
        <w:rPr/>
        <w:t>30 days</w:t>
      </w:r>
      <w:r>
        <w:rPr>
          <w:spacing w:val="-27"/>
        </w:rPr>
        <w:t> </w:t>
      </w:r>
      <w:r>
        <w:rPr/>
        <w:t>of</w:t>
      </w:r>
      <w:r>
        <w:rPr>
          <w:spacing w:val="-26"/>
        </w:rPr>
        <w:t> </w:t>
      </w:r>
      <w:r>
        <w:rPr/>
        <w:t>the</w:t>
      </w:r>
      <w:r>
        <w:rPr>
          <w:spacing w:val="-24"/>
        </w:rPr>
        <w:t> </w:t>
      </w:r>
      <w:r>
        <w:rPr/>
        <w:t>“completion</w:t>
      </w:r>
      <w:r>
        <w:rPr>
          <w:spacing w:val="-23"/>
        </w:rPr>
        <w:t> </w:t>
      </w:r>
      <w:r>
        <w:rPr/>
        <w:t>of</w:t>
      </w:r>
      <w:r>
        <w:rPr>
          <w:spacing w:val="-23"/>
        </w:rPr>
        <w:t> </w:t>
      </w:r>
      <w:r>
        <w:rPr/>
        <w:t>the</w:t>
      </w:r>
      <w:r>
        <w:rPr>
          <w:spacing w:val="-25"/>
        </w:rPr>
        <w:t> </w:t>
      </w:r>
      <w:r>
        <w:rPr/>
        <w:t>hearing”</w:t>
      </w:r>
      <w:r>
        <w:rPr>
          <w:spacing w:val="-24"/>
        </w:rPr>
        <w:t> </w:t>
      </w:r>
      <w:r>
        <w:rPr/>
        <w:t>has</w:t>
      </w:r>
      <w:r>
        <w:rPr>
          <w:spacing w:val="-23"/>
        </w:rPr>
        <w:t> </w:t>
      </w:r>
      <w:r>
        <w:rPr/>
        <w:t>no legal effect unless the parties expressly</w:t>
      </w:r>
      <w:r>
        <w:rPr>
          <w:spacing w:val="-46"/>
        </w:rPr>
        <w:t> </w:t>
      </w:r>
      <w:r>
        <w:rPr>
          <w:spacing w:val="-4"/>
        </w:rPr>
        <w:t>extend </w:t>
      </w:r>
      <w:r>
        <w:rPr/>
        <w:t>the deadline.</w:t>
      </w:r>
      <w:r>
        <w:rPr>
          <w:vertAlign w:val="superscript"/>
        </w:rPr>
        <w:t>563</w:t>
      </w:r>
      <w:r>
        <w:rPr>
          <w:vertAlign w:val="baseline"/>
        </w:rPr>
        <w:t> Though it has been held </w:t>
      </w:r>
      <w:r>
        <w:rPr>
          <w:spacing w:val="-11"/>
          <w:vertAlign w:val="baseline"/>
        </w:rPr>
        <w:t>that </w:t>
      </w:r>
      <w:r>
        <w:rPr>
          <w:vertAlign w:val="baseline"/>
        </w:rPr>
        <w:t>this deadline is strictly enforced</w:t>
      </w:r>
      <w:r>
        <w:rPr>
          <w:vertAlign w:val="superscript"/>
        </w:rPr>
        <w:t>564</w:t>
      </w:r>
      <w:r>
        <w:rPr>
          <w:vertAlign w:val="baseline"/>
        </w:rPr>
        <w:t> there is </w:t>
      </w:r>
      <w:r>
        <w:rPr>
          <w:spacing w:val="-16"/>
          <w:vertAlign w:val="baseline"/>
        </w:rPr>
        <w:t>no </w:t>
      </w:r>
      <w:r>
        <w:rPr>
          <w:vertAlign w:val="baseline"/>
        </w:rPr>
        <w:t>recorded decision specifically applying this particular statute to an insurance appraisal or </w:t>
      </w:r>
      <w:r>
        <w:rPr>
          <w:spacing w:val="2"/>
          <w:vertAlign w:val="baseline"/>
        </w:rPr>
        <w:t>defining </w:t>
      </w:r>
      <w:r>
        <w:rPr>
          <w:vertAlign w:val="baseline"/>
        </w:rPr>
        <w:t>precisely what constitutes the completion</w:t>
      </w:r>
      <w:r>
        <w:rPr>
          <w:spacing w:val="-31"/>
          <w:vertAlign w:val="baseline"/>
        </w:rPr>
        <w:t> </w:t>
      </w:r>
      <w:r>
        <w:rPr>
          <w:vertAlign w:val="baseline"/>
        </w:rPr>
        <w:t>of</w:t>
      </w:r>
      <w:r>
        <w:rPr>
          <w:spacing w:val="-31"/>
          <w:vertAlign w:val="baseline"/>
        </w:rPr>
        <w:t> </w:t>
      </w:r>
      <w:r>
        <w:rPr>
          <w:spacing w:val="-3"/>
          <w:vertAlign w:val="baseline"/>
        </w:rPr>
        <w:t>the</w:t>
      </w:r>
      <w:r>
        <w:rPr>
          <w:spacing w:val="-35"/>
          <w:vertAlign w:val="baseline"/>
        </w:rPr>
        <w:t> </w:t>
      </w:r>
      <w:r>
        <w:rPr>
          <w:vertAlign w:val="baseline"/>
        </w:rPr>
        <w:t>hearing</w:t>
      </w:r>
      <w:r>
        <w:rPr>
          <w:spacing w:val="-31"/>
          <w:vertAlign w:val="baseline"/>
        </w:rPr>
        <w:t> </w:t>
      </w:r>
      <w:r>
        <w:rPr>
          <w:vertAlign w:val="baseline"/>
        </w:rPr>
        <w:t>as</w:t>
      </w:r>
      <w:r>
        <w:rPr>
          <w:spacing w:val="-31"/>
          <w:vertAlign w:val="baseline"/>
        </w:rPr>
        <w:t> </w:t>
      </w:r>
      <w:r>
        <w:rPr>
          <w:vertAlign w:val="baseline"/>
        </w:rPr>
        <w:t>contemplated</w:t>
      </w:r>
      <w:r>
        <w:rPr>
          <w:spacing w:val="-32"/>
          <w:vertAlign w:val="baseline"/>
        </w:rPr>
        <w:t> </w:t>
      </w:r>
      <w:r>
        <w:rPr>
          <w:vertAlign w:val="baseline"/>
        </w:rPr>
        <w:t>by the</w:t>
      </w:r>
      <w:r>
        <w:rPr>
          <w:spacing w:val="-2"/>
          <w:vertAlign w:val="baseline"/>
        </w:rPr>
        <w:t> </w:t>
      </w:r>
      <w:r>
        <w:rPr>
          <w:vertAlign w:val="baseline"/>
        </w:rPr>
        <w:t>statute.</w:t>
      </w:r>
    </w:p>
    <w:p>
      <w:pPr>
        <w:pStyle w:val="BodyText"/>
        <w:spacing w:before="10"/>
        <w:rPr>
          <w:sz w:val="24"/>
        </w:rPr>
      </w:pPr>
      <w:r>
        <w:rPr/>
        <w:pict>
          <v:shape style="position:absolute;margin-left:162pt;margin-top:17.636568pt;width:143.9pt;height:.1pt;mso-position-horizontal-relative:page;mso-position-vertical-relative:paragraph;z-index:-251464704;mso-wrap-distance-left:0;mso-wrap-distance-right:0" coordorigin="3240,353" coordsize="2878,0" path="m3240,353l6118,353e" filled="false" stroked="true" strokeweight=".84pt" strokecolor="#000000">
            <v:path arrowok="t"/>
            <v:stroke dashstyle="solid"/>
            <w10:wrap type="topAndBottom"/>
          </v:shape>
        </w:pict>
      </w:r>
    </w:p>
    <w:p>
      <w:pPr>
        <w:pStyle w:val="ListParagraph"/>
        <w:numPr>
          <w:ilvl w:val="0"/>
          <w:numId w:val="12"/>
        </w:numPr>
        <w:tabs>
          <w:tab w:pos="2984" w:val="left" w:leader="none"/>
        </w:tabs>
        <w:spacing w:line="240" w:lineRule="exact" w:before="140" w:after="0"/>
        <w:ind w:left="2983" w:right="0" w:hanging="244"/>
        <w:jc w:val="left"/>
        <w:rPr>
          <w:sz w:val="18"/>
        </w:rPr>
      </w:pPr>
      <w:r>
        <w:rPr>
          <w:sz w:val="18"/>
        </w:rPr>
        <w:t>Time</w:t>
      </w:r>
      <w:r>
        <w:rPr>
          <w:spacing w:val="-18"/>
          <w:sz w:val="18"/>
        </w:rPr>
        <w:t> </w:t>
      </w:r>
      <w:r>
        <w:rPr>
          <w:sz w:val="18"/>
        </w:rPr>
        <w:t>Within</w:t>
      </w:r>
      <w:r>
        <w:rPr>
          <w:spacing w:val="-15"/>
          <w:sz w:val="18"/>
        </w:rPr>
        <w:t> </w:t>
      </w:r>
      <w:r>
        <w:rPr>
          <w:sz w:val="18"/>
        </w:rPr>
        <w:t>Which</w:t>
      </w:r>
      <w:r>
        <w:rPr>
          <w:spacing w:val="-16"/>
          <w:sz w:val="18"/>
        </w:rPr>
        <w:t> </w:t>
      </w:r>
      <w:r>
        <w:rPr>
          <w:sz w:val="18"/>
        </w:rPr>
        <w:t>Award</w:t>
      </w:r>
      <w:r>
        <w:rPr>
          <w:spacing w:val="-15"/>
          <w:sz w:val="18"/>
        </w:rPr>
        <w:t> </w:t>
      </w:r>
      <w:r>
        <w:rPr>
          <w:sz w:val="18"/>
        </w:rPr>
        <w:t>Shall</w:t>
      </w:r>
      <w:r>
        <w:rPr>
          <w:spacing w:val="-17"/>
          <w:sz w:val="18"/>
        </w:rPr>
        <w:t> </w:t>
      </w:r>
      <w:r>
        <w:rPr>
          <w:sz w:val="18"/>
        </w:rPr>
        <w:t>be</w:t>
      </w:r>
      <w:r>
        <w:rPr>
          <w:spacing w:val="-17"/>
          <w:sz w:val="18"/>
        </w:rPr>
        <w:t> </w:t>
      </w:r>
      <w:r>
        <w:rPr>
          <w:sz w:val="18"/>
        </w:rPr>
        <w:t>Rendered;</w:t>
      </w:r>
      <w:r>
        <w:rPr>
          <w:spacing w:val="-18"/>
          <w:sz w:val="18"/>
        </w:rPr>
        <w:t> </w:t>
      </w:r>
      <w:r>
        <w:rPr>
          <w:sz w:val="18"/>
        </w:rPr>
        <w:t>Notice,</w:t>
      </w:r>
      <w:r>
        <w:rPr>
          <w:spacing w:val="-18"/>
          <w:sz w:val="18"/>
        </w:rPr>
        <w:t> </w:t>
      </w:r>
      <w:r>
        <w:rPr>
          <w:sz w:val="18"/>
        </w:rPr>
        <w:t>Conn.</w:t>
      </w:r>
      <w:r>
        <w:rPr>
          <w:spacing w:val="-16"/>
          <w:sz w:val="18"/>
        </w:rPr>
        <w:t> </w:t>
      </w:r>
      <w:r>
        <w:rPr>
          <w:sz w:val="18"/>
        </w:rPr>
        <w:t>Gen.</w:t>
      </w:r>
      <w:r>
        <w:rPr>
          <w:spacing w:val="-18"/>
          <w:sz w:val="18"/>
        </w:rPr>
        <w:t> </w:t>
      </w:r>
      <w:r>
        <w:rPr>
          <w:sz w:val="18"/>
        </w:rPr>
        <w:t>Stat.</w:t>
      </w:r>
      <w:r>
        <w:rPr>
          <w:spacing w:val="-19"/>
          <w:sz w:val="18"/>
        </w:rPr>
        <w:t> </w:t>
      </w:r>
      <w:r>
        <w:rPr>
          <w:sz w:val="18"/>
        </w:rPr>
        <w:t>§52-416</w:t>
      </w:r>
      <w:r>
        <w:rPr>
          <w:spacing w:val="-18"/>
          <w:sz w:val="18"/>
        </w:rPr>
        <w:t> </w:t>
      </w:r>
      <w:r>
        <w:rPr>
          <w:sz w:val="18"/>
        </w:rPr>
        <w:t>(2003).</w:t>
      </w:r>
    </w:p>
    <w:p>
      <w:pPr>
        <w:pStyle w:val="ListParagraph"/>
        <w:numPr>
          <w:ilvl w:val="0"/>
          <w:numId w:val="12"/>
        </w:numPr>
        <w:tabs>
          <w:tab w:pos="2998" w:val="left" w:leader="none"/>
        </w:tabs>
        <w:spacing w:line="240" w:lineRule="exact" w:before="0" w:after="0"/>
        <w:ind w:left="2998" w:right="0" w:hanging="258"/>
        <w:jc w:val="left"/>
        <w:rPr>
          <w:sz w:val="18"/>
        </w:rPr>
      </w:pPr>
      <w:r>
        <w:rPr>
          <w:sz w:val="18"/>
          <w:u w:val="single"/>
        </w:rPr>
        <w:t>Fagnani</w:t>
      </w:r>
      <w:r>
        <w:rPr>
          <w:spacing w:val="-2"/>
          <w:sz w:val="18"/>
          <w:u w:val="single"/>
        </w:rPr>
        <w:t> </w:t>
      </w:r>
      <w:r>
        <w:rPr>
          <w:sz w:val="18"/>
          <w:u w:val="single"/>
        </w:rPr>
        <w:t>v.</w:t>
      </w:r>
      <w:r>
        <w:rPr>
          <w:spacing w:val="-2"/>
          <w:sz w:val="18"/>
          <w:u w:val="single"/>
        </w:rPr>
        <w:t> </w:t>
      </w:r>
      <w:r>
        <w:rPr>
          <w:sz w:val="18"/>
          <w:u w:val="single"/>
        </w:rPr>
        <w:t>Integrity</w:t>
      </w:r>
      <w:r>
        <w:rPr>
          <w:spacing w:val="-5"/>
          <w:sz w:val="18"/>
          <w:u w:val="single"/>
        </w:rPr>
        <w:t> </w:t>
      </w:r>
      <w:r>
        <w:rPr>
          <w:sz w:val="18"/>
          <w:u w:val="single"/>
        </w:rPr>
        <w:t>Finance</w:t>
      </w:r>
      <w:r>
        <w:rPr>
          <w:spacing w:val="-4"/>
          <w:sz w:val="18"/>
          <w:u w:val="single"/>
        </w:rPr>
        <w:t> </w:t>
      </w:r>
      <w:r>
        <w:rPr>
          <w:sz w:val="18"/>
          <w:u w:val="single"/>
        </w:rPr>
        <w:t>Corp.</w:t>
      </w:r>
      <w:r>
        <w:rPr>
          <w:sz w:val="18"/>
        </w:rPr>
        <w:t>,</w:t>
      </w:r>
      <w:r>
        <w:rPr>
          <w:spacing w:val="-1"/>
          <w:sz w:val="18"/>
        </w:rPr>
        <w:t> </w:t>
      </w:r>
      <w:r>
        <w:rPr>
          <w:sz w:val="18"/>
        </w:rPr>
        <w:t>53</w:t>
      </w:r>
      <w:r>
        <w:rPr>
          <w:spacing w:val="-3"/>
          <w:sz w:val="18"/>
        </w:rPr>
        <w:t> </w:t>
      </w:r>
      <w:r>
        <w:rPr>
          <w:sz w:val="18"/>
        </w:rPr>
        <w:t>Del.</w:t>
      </w:r>
      <w:r>
        <w:rPr>
          <w:spacing w:val="-5"/>
          <w:sz w:val="18"/>
        </w:rPr>
        <w:t> </w:t>
      </w:r>
      <w:r>
        <w:rPr>
          <w:sz w:val="18"/>
        </w:rPr>
        <w:t>193,</w:t>
      </w:r>
      <w:r>
        <w:rPr>
          <w:spacing w:val="-4"/>
          <w:sz w:val="18"/>
        </w:rPr>
        <w:t> </w:t>
      </w:r>
      <w:r>
        <w:rPr>
          <w:sz w:val="18"/>
        </w:rPr>
        <w:t>167</w:t>
      </w:r>
      <w:r>
        <w:rPr>
          <w:spacing w:val="-3"/>
          <w:sz w:val="18"/>
        </w:rPr>
        <w:t> </w:t>
      </w:r>
      <w:r>
        <w:rPr>
          <w:sz w:val="18"/>
        </w:rPr>
        <w:t>A.2d</w:t>
      </w:r>
      <w:r>
        <w:rPr>
          <w:spacing w:val="-3"/>
          <w:sz w:val="18"/>
        </w:rPr>
        <w:t> </w:t>
      </w:r>
      <w:r>
        <w:rPr>
          <w:sz w:val="18"/>
        </w:rPr>
        <w:t>67</w:t>
      </w:r>
      <w:r>
        <w:rPr>
          <w:spacing w:val="-3"/>
          <w:sz w:val="18"/>
        </w:rPr>
        <w:t> </w:t>
      </w:r>
      <w:r>
        <w:rPr>
          <w:sz w:val="18"/>
        </w:rPr>
        <w:t>(Sup.</w:t>
      </w:r>
      <w:r>
        <w:rPr>
          <w:spacing w:val="-4"/>
          <w:sz w:val="18"/>
        </w:rPr>
        <w:t> </w:t>
      </w:r>
      <w:r>
        <w:rPr>
          <w:sz w:val="18"/>
        </w:rPr>
        <w:t>Ct.</w:t>
      </w:r>
      <w:r>
        <w:rPr>
          <w:spacing w:val="-1"/>
          <w:sz w:val="18"/>
        </w:rPr>
        <w:t> </w:t>
      </w:r>
      <w:r>
        <w:rPr>
          <w:sz w:val="18"/>
        </w:rPr>
        <w:t>1960);</w:t>
      </w:r>
      <w:r>
        <w:rPr>
          <w:spacing w:val="-2"/>
          <w:sz w:val="18"/>
        </w:rPr>
        <w:t> </w:t>
      </w:r>
      <w:r>
        <w:rPr>
          <w:sz w:val="18"/>
          <w:u w:val="single"/>
        </w:rPr>
        <w:t>Marsala</w:t>
      </w:r>
    </w:p>
    <w:p>
      <w:pPr>
        <w:spacing w:before="4"/>
        <w:ind w:left="2740" w:right="0" w:firstLine="0"/>
        <w:jc w:val="left"/>
        <w:rPr>
          <w:rFonts w:ascii="Times New Roman"/>
          <w:sz w:val="18"/>
        </w:rPr>
      </w:pPr>
      <w:r>
        <w:rPr>
          <w:rFonts w:ascii="Times New Roman"/>
          <w:sz w:val="18"/>
          <w:u w:val="single"/>
        </w:rPr>
        <w:t>v. Bath Corp. Of America</w:t>
      </w:r>
      <w:r>
        <w:rPr>
          <w:rFonts w:ascii="Times New Roman"/>
          <w:sz w:val="18"/>
        </w:rPr>
        <w:t>, 157 Conn. 362, 254 A.2d 469 (1969).</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19" w:val="left" w:leader="none"/>
          <w:tab w:pos="3820" w:val="left" w:leader="none"/>
        </w:tabs>
        <w:spacing w:line="240" w:lineRule="auto" w:before="42" w:after="0"/>
        <w:ind w:left="3820" w:right="0" w:hanging="720"/>
        <w:jc w:val="left"/>
        <w:rPr>
          <w:rFonts w:ascii="Century Gothic"/>
          <w:sz w:val="26"/>
        </w:rPr>
      </w:pPr>
      <w:bookmarkStart w:name="Law and Procedure 262" w:id="79"/>
      <w:bookmarkEnd w:id="79"/>
      <w:r>
        <w:rPr/>
      </w:r>
      <w:bookmarkStart w:name="Law and Procedure 262" w:id="80"/>
      <w:bookmarkEnd w:id="80"/>
      <w:r>
        <w:rPr>
          <w:rFonts w:ascii="Century Gothic"/>
          <w:spacing w:val="-3"/>
          <w:sz w:val="26"/>
        </w:rPr>
        <w:t>W</w:t>
      </w:r>
      <w:r>
        <w:rPr>
          <w:rFonts w:ascii="Century Gothic"/>
          <w:spacing w:val="-3"/>
          <w:sz w:val="26"/>
        </w:rPr>
        <w:t>HEN </w:t>
      </w:r>
      <w:r>
        <w:rPr>
          <w:rFonts w:ascii="Century Gothic"/>
          <w:sz w:val="26"/>
        </w:rPr>
        <w:t>THE LOSS </w:t>
      </w:r>
      <w:r>
        <w:rPr>
          <w:rFonts w:ascii="Century Gothic"/>
          <w:spacing w:val="4"/>
          <w:sz w:val="26"/>
        </w:rPr>
        <w:t>IS</w:t>
      </w:r>
      <w:r>
        <w:rPr>
          <w:rFonts w:ascii="Century Gothic"/>
          <w:spacing w:val="-1"/>
          <w:sz w:val="26"/>
        </w:rPr>
        <w:t> </w:t>
      </w:r>
      <w:r>
        <w:rPr>
          <w:rFonts w:ascii="Century Gothic"/>
          <w:sz w:val="26"/>
        </w:rPr>
        <w:t>PAYABLE</w:t>
      </w:r>
    </w:p>
    <w:p>
      <w:pPr>
        <w:pStyle w:val="BodyText"/>
        <w:spacing w:before="5"/>
      </w:pPr>
    </w:p>
    <w:p>
      <w:pPr>
        <w:pStyle w:val="BodyText"/>
        <w:spacing w:line="242" w:lineRule="auto"/>
        <w:ind w:left="3100" w:right="3194" w:firstLine="720"/>
        <w:jc w:val="both"/>
      </w:pPr>
      <w:r>
        <w:rPr/>
        <w:t>Pursuant</w:t>
      </w:r>
      <w:r>
        <w:rPr>
          <w:spacing w:val="-29"/>
        </w:rPr>
        <w:t> </w:t>
      </w:r>
      <w:r>
        <w:rPr/>
        <w:t>to</w:t>
      </w:r>
      <w:r>
        <w:rPr>
          <w:spacing w:val="-32"/>
        </w:rPr>
        <w:t> </w:t>
      </w:r>
      <w:r>
        <w:rPr/>
        <w:t>the</w:t>
      </w:r>
      <w:r>
        <w:rPr>
          <w:spacing w:val="-31"/>
        </w:rPr>
        <w:t> </w:t>
      </w:r>
      <w:r>
        <w:rPr/>
        <w:t>Standard</w:t>
      </w:r>
      <w:r>
        <w:rPr>
          <w:spacing w:val="-32"/>
        </w:rPr>
        <w:t> </w:t>
      </w:r>
      <w:r>
        <w:rPr/>
        <w:t>Fire</w:t>
      </w:r>
      <w:r>
        <w:rPr>
          <w:spacing w:val="-34"/>
        </w:rPr>
        <w:t> </w:t>
      </w:r>
      <w:r>
        <w:rPr/>
        <w:t>Policy,</w:t>
      </w:r>
      <w:r>
        <w:rPr>
          <w:spacing w:val="-33"/>
        </w:rPr>
        <w:t> </w:t>
      </w:r>
      <w:r>
        <w:rPr/>
        <w:t>a</w:t>
      </w:r>
      <w:r>
        <w:rPr>
          <w:spacing w:val="-32"/>
        </w:rPr>
        <w:t> </w:t>
      </w:r>
      <w:r>
        <w:rPr/>
        <w:t>loss is</w:t>
      </w:r>
      <w:r>
        <w:rPr>
          <w:spacing w:val="-27"/>
        </w:rPr>
        <w:t> </w:t>
      </w:r>
      <w:r>
        <w:rPr/>
        <w:t>payable</w:t>
      </w:r>
      <w:r>
        <w:rPr>
          <w:spacing w:val="-25"/>
        </w:rPr>
        <w:t> </w:t>
      </w:r>
      <w:r>
        <w:rPr/>
        <w:t>no</w:t>
      </w:r>
      <w:r>
        <w:rPr>
          <w:spacing w:val="-27"/>
        </w:rPr>
        <w:t> </w:t>
      </w:r>
      <w:r>
        <w:rPr/>
        <w:t>later</w:t>
      </w:r>
      <w:r>
        <w:rPr>
          <w:spacing w:val="-26"/>
        </w:rPr>
        <w:t> </w:t>
      </w:r>
      <w:r>
        <w:rPr/>
        <w:t>than</w:t>
      </w:r>
      <w:r>
        <w:rPr>
          <w:spacing w:val="-24"/>
        </w:rPr>
        <w:t> </w:t>
      </w:r>
      <w:r>
        <w:rPr/>
        <w:t>60</w:t>
      </w:r>
      <w:r>
        <w:rPr>
          <w:spacing w:val="-24"/>
        </w:rPr>
        <w:t> </w:t>
      </w:r>
      <w:r>
        <w:rPr/>
        <w:t>days</w:t>
      </w:r>
      <w:r>
        <w:rPr>
          <w:spacing w:val="-24"/>
        </w:rPr>
        <w:t> </w:t>
      </w:r>
      <w:r>
        <w:rPr/>
        <w:t>after</w:t>
      </w:r>
      <w:r>
        <w:rPr>
          <w:spacing w:val="-30"/>
        </w:rPr>
        <w:t> </w:t>
      </w:r>
      <w:r>
        <w:rPr/>
        <w:t>receipt</w:t>
      </w:r>
      <w:r>
        <w:rPr>
          <w:spacing w:val="-27"/>
        </w:rPr>
        <w:t> </w:t>
      </w:r>
      <w:r>
        <w:rPr/>
        <w:t>of proof and ascertainment of amount, by agreement</w:t>
      </w:r>
      <w:r>
        <w:rPr>
          <w:spacing w:val="-38"/>
        </w:rPr>
        <w:t> </w:t>
      </w:r>
      <w:r>
        <w:rPr/>
        <w:t>or</w:t>
      </w:r>
      <w:r>
        <w:rPr>
          <w:spacing w:val="-34"/>
        </w:rPr>
        <w:t> </w:t>
      </w:r>
      <w:r>
        <w:rPr/>
        <w:t>award.</w:t>
      </w:r>
      <w:r>
        <w:rPr>
          <w:vertAlign w:val="superscript"/>
        </w:rPr>
        <w:t>565</w:t>
      </w:r>
      <w:r>
        <w:rPr>
          <w:spacing w:val="3"/>
          <w:vertAlign w:val="baseline"/>
        </w:rPr>
        <w:t> </w:t>
      </w:r>
      <w:r>
        <w:rPr>
          <w:vertAlign w:val="baseline"/>
        </w:rPr>
        <w:t>This</w:t>
      </w:r>
      <w:r>
        <w:rPr>
          <w:spacing w:val="-33"/>
          <w:vertAlign w:val="baseline"/>
        </w:rPr>
        <w:t> </w:t>
      </w:r>
      <w:r>
        <w:rPr>
          <w:vertAlign w:val="baseline"/>
        </w:rPr>
        <w:t>provision</w:t>
      </w:r>
      <w:r>
        <w:rPr>
          <w:spacing w:val="-35"/>
          <w:vertAlign w:val="baseline"/>
        </w:rPr>
        <w:t> </w:t>
      </w:r>
      <w:r>
        <w:rPr>
          <w:spacing w:val="-7"/>
          <w:vertAlign w:val="baseline"/>
        </w:rPr>
        <w:t>measures </w:t>
      </w:r>
      <w:r>
        <w:rPr>
          <w:vertAlign w:val="baseline"/>
        </w:rPr>
        <w:t>the timely payment of the loss from either the insured's filing of a proof of loss after the ascertainment</w:t>
      </w:r>
      <w:r>
        <w:rPr>
          <w:spacing w:val="-34"/>
          <w:vertAlign w:val="baseline"/>
        </w:rPr>
        <w:t> </w:t>
      </w:r>
      <w:r>
        <w:rPr>
          <w:vertAlign w:val="baseline"/>
        </w:rPr>
        <w:t>of</w:t>
      </w:r>
      <w:r>
        <w:rPr>
          <w:spacing w:val="-31"/>
          <w:vertAlign w:val="baseline"/>
        </w:rPr>
        <w:t> </w:t>
      </w:r>
      <w:r>
        <w:rPr>
          <w:vertAlign w:val="baseline"/>
        </w:rPr>
        <w:t>the</w:t>
      </w:r>
      <w:r>
        <w:rPr>
          <w:spacing w:val="-32"/>
          <w:vertAlign w:val="baseline"/>
        </w:rPr>
        <w:t> </w:t>
      </w:r>
      <w:r>
        <w:rPr>
          <w:vertAlign w:val="baseline"/>
        </w:rPr>
        <w:t>amount</w:t>
      </w:r>
      <w:r>
        <w:rPr>
          <w:spacing w:val="-32"/>
          <w:vertAlign w:val="baseline"/>
        </w:rPr>
        <w:t> </w:t>
      </w:r>
      <w:r>
        <w:rPr>
          <w:vertAlign w:val="baseline"/>
        </w:rPr>
        <w:t>of</w:t>
      </w:r>
      <w:r>
        <w:rPr>
          <w:spacing w:val="-29"/>
          <w:vertAlign w:val="baseline"/>
        </w:rPr>
        <w:t> </w:t>
      </w:r>
      <w:r>
        <w:rPr>
          <w:vertAlign w:val="baseline"/>
        </w:rPr>
        <w:t>that</w:t>
      </w:r>
      <w:r>
        <w:rPr>
          <w:spacing w:val="-30"/>
          <w:vertAlign w:val="baseline"/>
        </w:rPr>
        <w:t> </w:t>
      </w:r>
      <w:r>
        <w:rPr>
          <w:vertAlign w:val="baseline"/>
        </w:rPr>
        <w:t>loss,</w:t>
      </w:r>
      <w:r>
        <w:rPr>
          <w:spacing w:val="-30"/>
          <w:vertAlign w:val="baseline"/>
        </w:rPr>
        <w:t> </w:t>
      </w:r>
      <w:r>
        <w:rPr>
          <w:vertAlign w:val="baseline"/>
        </w:rPr>
        <w:t>either by</w:t>
      </w:r>
      <w:r>
        <w:rPr>
          <w:spacing w:val="-26"/>
          <w:vertAlign w:val="baseline"/>
        </w:rPr>
        <w:t> </w:t>
      </w:r>
      <w:r>
        <w:rPr>
          <w:vertAlign w:val="baseline"/>
        </w:rPr>
        <w:t>written</w:t>
      </w:r>
      <w:r>
        <w:rPr>
          <w:spacing w:val="-23"/>
          <w:vertAlign w:val="baseline"/>
        </w:rPr>
        <w:t> </w:t>
      </w:r>
      <w:r>
        <w:rPr>
          <w:vertAlign w:val="baseline"/>
        </w:rPr>
        <w:t>agreement</w:t>
      </w:r>
      <w:r>
        <w:rPr>
          <w:spacing w:val="-26"/>
          <w:vertAlign w:val="baseline"/>
        </w:rPr>
        <w:t> </w:t>
      </w:r>
      <w:r>
        <w:rPr>
          <w:vertAlign w:val="baseline"/>
        </w:rPr>
        <w:t>between</w:t>
      </w:r>
      <w:r>
        <w:rPr>
          <w:spacing w:val="-23"/>
          <w:vertAlign w:val="baseline"/>
        </w:rPr>
        <w:t> </w:t>
      </w:r>
      <w:r>
        <w:rPr>
          <w:vertAlign w:val="baseline"/>
        </w:rPr>
        <w:t>the</w:t>
      </w:r>
      <w:r>
        <w:rPr>
          <w:spacing w:val="-25"/>
          <w:vertAlign w:val="baseline"/>
        </w:rPr>
        <w:t> </w:t>
      </w:r>
      <w:r>
        <w:rPr>
          <w:vertAlign w:val="baseline"/>
        </w:rPr>
        <w:t>insurer</w:t>
      </w:r>
      <w:r>
        <w:rPr>
          <w:spacing w:val="-26"/>
          <w:vertAlign w:val="baseline"/>
        </w:rPr>
        <w:t> </w:t>
      </w:r>
      <w:r>
        <w:rPr>
          <w:vertAlign w:val="baseline"/>
        </w:rPr>
        <w:t>and the insured or when such an agreement cannot</w:t>
      </w:r>
      <w:r>
        <w:rPr>
          <w:spacing w:val="-17"/>
          <w:vertAlign w:val="baseline"/>
        </w:rPr>
        <w:t> </w:t>
      </w:r>
      <w:r>
        <w:rPr>
          <w:vertAlign w:val="baseline"/>
        </w:rPr>
        <w:t>be</w:t>
      </w:r>
      <w:r>
        <w:rPr>
          <w:spacing w:val="-16"/>
          <w:vertAlign w:val="baseline"/>
        </w:rPr>
        <w:t> </w:t>
      </w:r>
      <w:r>
        <w:rPr>
          <w:vertAlign w:val="baseline"/>
        </w:rPr>
        <w:t>reached,</w:t>
      </w:r>
      <w:r>
        <w:rPr>
          <w:spacing w:val="-16"/>
          <w:vertAlign w:val="baseline"/>
        </w:rPr>
        <w:t> </w:t>
      </w:r>
      <w:r>
        <w:rPr>
          <w:vertAlign w:val="baseline"/>
        </w:rPr>
        <w:t>by</w:t>
      </w:r>
      <w:r>
        <w:rPr>
          <w:spacing w:val="-17"/>
          <w:vertAlign w:val="baseline"/>
        </w:rPr>
        <w:t> </w:t>
      </w:r>
      <w:r>
        <w:rPr>
          <w:vertAlign w:val="baseline"/>
        </w:rPr>
        <w:t>an</w:t>
      </w:r>
      <w:r>
        <w:rPr>
          <w:spacing w:val="-16"/>
          <w:vertAlign w:val="baseline"/>
        </w:rPr>
        <w:t> </w:t>
      </w:r>
      <w:r>
        <w:rPr>
          <w:vertAlign w:val="baseline"/>
        </w:rPr>
        <w:t>award</w:t>
      </w:r>
      <w:r>
        <w:rPr>
          <w:spacing w:val="-16"/>
          <w:vertAlign w:val="baseline"/>
        </w:rPr>
        <w:t> </w:t>
      </w:r>
      <w:r>
        <w:rPr>
          <w:vertAlign w:val="baseline"/>
        </w:rPr>
        <w:t>growing</w:t>
      </w:r>
      <w:r>
        <w:rPr>
          <w:spacing w:val="-15"/>
          <w:vertAlign w:val="baseline"/>
        </w:rPr>
        <w:t> </w:t>
      </w:r>
      <w:r>
        <w:rPr>
          <w:vertAlign w:val="baseline"/>
        </w:rPr>
        <w:t>out of the appraisal process. The provision thus recognizes a period of time within which reasonable</w:t>
      </w:r>
      <w:r>
        <w:rPr>
          <w:spacing w:val="-20"/>
          <w:vertAlign w:val="baseline"/>
        </w:rPr>
        <w:t> </w:t>
      </w:r>
      <w:r>
        <w:rPr>
          <w:vertAlign w:val="baseline"/>
        </w:rPr>
        <w:t>differences</w:t>
      </w:r>
      <w:r>
        <w:rPr>
          <w:spacing w:val="-22"/>
          <w:vertAlign w:val="baseline"/>
        </w:rPr>
        <w:t> </w:t>
      </w:r>
      <w:r>
        <w:rPr>
          <w:vertAlign w:val="baseline"/>
        </w:rPr>
        <w:t>between</w:t>
      </w:r>
      <w:r>
        <w:rPr>
          <w:spacing w:val="-22"/>
          <w:vertAlign w:val="baseline"/>
        </w:rPr>
        <w:t> </w:t>
      </w:r>
      <w:r>
        <w:rPr>
          <w:vertAlign w:val="baseline"/>
        </w:rPr>
        <w:t>the</w:t>
      </w:r>
      <w:r>
        <w:rPr>
          <w:spacing w:val="-22"/>
          <w:vertAlign w:val="baseline"/>
        </w:rPr>
        <w:t> </w:t>
      </w:r>
      <w:r>
        <w:rPr>
          <w:vertAlign w:val="baseline"/>
        </w:rPr>
        <w:t>parties</w:t>
      </w:r>
      <w:r>
        <w:rPr>
          <w:spacing w:val="-24"/>
          <w:vertAlign w:val="baseline"/>
        </w:rPr>
        <w:t> </w:t>
      </w:r>
      <w:r>
        <w:rPr>
          <w:vertAlign w:val="baseline"/>
        </w:rPr>
        <w:t>to the insurance contract may be resolved by methods prescribed in the contract</w:t>
      </w:r>
      <w:r>
        <w:rPr>
          <w:spacing w:val="-11"/>
          <w:vertAlign w:val="baseline"/>
        </w:rPr>
        <w:t> </w:t>
      </w:r>
      <w:r>
        <w:rPr>
          <w:vertAlign w:val="baseline"/>
        </w:rPr>
        <w:t>itself.</w:t>
      </w:r>
      <w:r>
        <w:rPr>
          <w:vertAlign w:val="superscript"/>
        </w:rPr>
        <w:t>566</w:t>
      </w:r>
    </w:p>
    <w:p>
      <w:pPr>
        <w:pStyle w:val="BodyText"/>
        <w:spacing w:before="10"/>
        <w:rPr>
          <w:sz w:val="25"/>
        </w:rPr>
      </w:pPr>
    </w:p>
    <w:p>
      <w:pPr>
        <w:pStyle w:val="BodyText"/>
        <w:spacing w:line="242" w:lineRule="auto"/>
        <w:ind w:left="3100" w:right="3196" w:firstLine="720"/>
        <w:jc w:val="both"/>
      </w:pPr>
      <w:r>
        <w:rPr/>
        <w:t>The 60 day provision is not absolute. Adjustment and payment must </w:t>
      </w:r>
      <w:r>
        <w:rPr>
          <w:spacing w:val="-3"/>
        </w:rPr>
        <w:t>proceed </w:t>
      </w:r>
      <w:r>
        <w:rPr/>
        <w:t>without unnecessary delay based </w:t>
      </w:r>
      <w:r>
        <w:rPr>
          <w:spacing w:val="2"/>
        </w:rPr>
        <w:t>upon </w:t>
      </w:r>
      <w:r>
        <w:rPr/>
        <w:t>the facts</w:t>
      </w:r>
      <w:r>
        <w:rPr>
          <w:spacing w:val="-19"/>
        </w:rPr>
        <w:t> </w:t>
      </w:r>
      <w:r>
        <w:rPr/>
        <w:t>of</w:t>
      </w:r>
      <w:r>
        <w:rPr>
          <w:spacing w:val="-17"/>
        </w:rPr>
        <w:t> </w:t>
      </w:r>
      <w:r>
        <w:rPr/>
        <w:t>the</w:t>
      </w:r>
      <w:r>
        <w:rPr>
          <w:spacing w:val="-17"/>
        </w:rPr>
        <w:t> </w:t>
      </w:r>
      <w:r>
        <w:rPr/>
        <w:t>case.</w:t>
      </w:r>
      <w:r>
        <w:rPr>
          <w:spacing w:val="-19"/>
        </w:rPr>
        <w:t> </w:t>
      </w:r>
      <w:r>
        <w:rPr/>
        <w:t>Payment</w:t>
      </w:r>
      <w:r>
        <w:rPr>
          <w:spacing w:val="-17"/>
        </w:rPr>
        <w:t> </w:t>
      </w:r>
      <w:r>
        <w:rPr/>
        <w:t>should</w:t>
      </w:r>
      <w:r>
        <w:rPr>
          <w:spacing w:val="-13"/>
        </w:rPr>
        <w:t> </w:t>
      </w:r>
      <w:r>
        <w:rPr/>
        <w:t>be</w:t>
      </w:r>
      <w:r>
        <w:rPr>
          <w:spacing w:val="-18"/>
        </w:rPr>
        <w:t> </w:t>
      </w:r>
      <w:r>
        <w:rPr/>
        <w:t>made</w:t>
      </w:r>
      <w:r>
        <w:rPr>
          <w:spacing w:val="-17"/>
        </w:rPr>
        <w:t> </w:t>
      </w:r>
      <w:r>
        <w:rPr/>
        <w:t>as soon</w:t>
      </w:r>
      <w:r>
        <w:rPr>
          <w:spacing w:val="-14"/>
        </w:rPr>
        <w:t> </w:t>
      </w:r>
      <w:r>
        <w:rPr/>
        <w:t>as</w:t>
      </w:r>
      <w:r>
        <w:rPr>
          <w:spacing w:val="-13"/>
        </w:rPr>
        <w:t> </w:t>
      </w:r>
      <w:r>
        <w:rPr/>
        <w:t>possible</w:t>
      </w:r>
      <w:r>
        <w:rPr>
          <w:spacing w:val="-12"/>
        </w:rPr>
        <w:t> </w:t>
      </w:r>
      <w:r>
        <w:rPr/>
        <w:t>after</w:t>
      </w:r>
      <w:r>
        <w:rPr>
          <w:spacing w:val="-14"/>
        </w:rPr>
        <w:t> </w:t>
      </w:r>
      <w:r>
        <w:rPr/>
        <w:t>the</w:t>
      </w:r>
      <w:r>
        <w:rPr>
          <w:spacing w:val="-12"/>
        </w:rPr>
        <w:t> </w:t>
      </w:r>
      <w:r>
        <w:rPr/>
        <w:t>award</w:t>
      </w:r>
      <w:r>
        <w:rPr>
          <w:spacing w:val="-12"/>
        </w:rPr>
        <w:t> </w:t>
      </w:r>
      <w:r>
        <w:rPr/>
        <w:t>is</w:t>
      </w:r>
      <w:r>
        <w:rPr>
          <w:spacing w:val="-12"/>
        </w:rPr>
        <w:t> </w:t>
      </w:r>
      <w:r>
        <w:rPr>
          <w:spacing w:val="-6"/>
        </w:rPr>
        <w:t>rendered.</w:t>
      </w:r>
      <w:r>
        <w:rPr>
          <w:spacing w:val="-6"/>
          <w:vertAlign w:val="superscript"/>
        </w:rPr>
        <w:t>567</w:t>
      </w:r>
    </w:p>
    <w:p>
      <w:pPr>
        <w:pStyle w:val="BodyText"/>
        <w:spacing w:before="1"/>
      </w:pPr>
    </w:p>
    <w:p>
      <w:pPr>
        <w:pStyle w:val="BodyText"/>
        <w:spacing w:line="242" w:lineRule="auto"/>
        <w:ind w:left="3100" w:right="3197" w:firstLine="720"/>
        <w:jc w:val="both"/>
      </w:pPr>
      <w:r>
        <w:rPr/>
        <w:t>Some states regulate the period within which payment must be made after an appraisal award. For example, New </w:t>
      </w:r>
      <w:r>
        <w:rPr>
          <w:spacing w:val="-3"/>
        </w:rPr>
        <w:t>York </w:t>
      </w:r>
      <w:r>
        <w:rPr/>
        <w:t>Insurance</w:t>
      </w:r>
      <w:r>
        <w:rPr>
          <w:spacing w:val="33"/>
        </w:rPr>
        <w:t> </w:t>
      </w:r>
      <w:r>
        <w:rPr/>
        <w:t>Regulation</w:t>
      </w:r>
      <w:r>
        <w:rPr>
          <w:spacing w:val="34"/>
        </w:rPr>
        <w:t> </w:t>
      </w:r>
      <w:r>
        <w:rPr/>
        <w:t>§216.6</w:t>
      </w:r>
      <w:r>
        <w:rPr>
          <w:spacing w:val="34"/>
        </w:rPr>
        <w:t> </w:t>
      </w:r>
      <w:r>
        <w:rPr/>
        <w:t>(f)</w:t>
      </w:r>
      <w:r>
        <w:rPr>
          <w:spacing w:val="30"/>
        </w:rPr>
        <w:t> </w:t>
      </w:r>
      <w:r>
        <w:rPr/>
        <w:t>states</w:t>
      </w:r>
      <w:r>
        <w:rPr>
          <w:spacing w:val="33"/>
        </w:rPr>
        <w:t> </w:t>
      </w:r>
      <w:r>
        <w:rPr/>
        <w:t>in</w:t>
      </w:r>
      <w:r>
        <w:rPr>
          <w:spacing w:val="34"/>
        </w:rPr>
        <w:t> </w:t>
      </w:r>
      <w:r>
        <w:rPr>
          <w:spacing w:val="-3"/>
        </w:rPr>
        <w:t>part</w:t>
      </w:r>
    </w:p>
    <w:p>
      <w:pPr>
        <w:pStyle w:val="BodyText"/>
        <w:rPr>
          <w:sz w:val="20"/>
        </w:rPr>
      </w:pPr>
    </w:p>
    <w:p>
      <w:pPr>
        <w:pStyle w:val="BodyText"/>
        <w:spacing w:before="6"/>
        <w:rPr>
          <w:sz w:val="19"/>
        </w:rPr>
      </w:pPr>
      <w:r>
        <w:rPr/>
        <w:pict>
          <v:shape style="position:absolute;margin-left:162pt;margin-top:14.365078pt;width:143.9pt;height:.1pt;mso-position-horizontal-relative:page;mso-position-vertical-relative:paragraph;z-index:-251463680;mso-wrap-distance-left:0;mso-wrap-distance-right:0" coordorigin="3240,287" coordsize="2878,0" path="m3240,287l6118,28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15" w:val="left" w:leader="none"/>
        </w:tabs>
        <w:spacing w:line="240" w:lineRule="auto" w:before="71" w:after="0"/>
        <w:ind w:left="3014" w:right="0" w:hanging="275"/>
        <w:jc w:val="left"/>
        <w:rPr>
          <w:sz w:val="24"/>
        </w:rPr>
      </w:pPr>
      <w:r>
        <w:rPr>
          <w:sz w:val="18"/>
        </w:rPr>
        <w:t>Lines 150-156 of the Standard Fire Policy; </w:t>
      </w:r>
      <w:r>
        <w:rPr>
          <w:i/>
          <w:sz w:val="18"/>
        </w:rPr>
        <w:t>See e.g.</w:t>
      </w:r>
      <w:r>
        <w:rPr>
          <w:sz w:val="18"/>
        </w:rPr>
        <w:t>, N.Y. Ins. Law</w:t>
      </w:r>
      <w:r>
        <w:rPr>
          <w:spacing w:val="-5"/>
          <w:sz w:val="18"/>
        </w:rPr>
        <w:t> </w:t>
      </w:r>
      <w:r>
        <w:rPr>
          <w:sz w:val="18"/>
        </w:rPr>
        <w:t>§3404</w:t>
      </w:r>
      <w:r>
        <w:rPr>
          <w:sz w:val="24"/>
        </w:rPr>
        <w:t>.</w:t>
      </w:r>
    </w:p>
    <w:p>
      <w:pPr>
        <w:pStyle w:val="ListParagraph"/>
        <w:numPr>
          <w:ilvl w:val="0"/>
          <w:numId w:val="12"/>
        </w:numPr>
        <w:tabs>
          <w:tab w:pos="3027" w:val="left" w:leader="none"/>
        </w:tabs>
        <w:spacing w:line="259" w:lineRule="exact" w:before="1" w:after="0"/>
        <w:ind w:left="3026" w:right="0" w:hanging="287"/>
        <w:jc w:val="left"/>
        <w:rPr>
          <w:sz w:val="24"/>
        </w:rPr>
      </w:pPr>
      <w:r>
        <w:rPr>
          <w:sz w:val="18"/>
        </w:rPr>
        <w:t>FC&amp;S Bulletins, The National Underwriter Co., Misc. Property, April 1995</w:t>
      </w:r>
      <w:r>
        <w:rPr>
          <w:sz w:val="24"/>
        </w:rPr>
        <w:t>.</w:t>
      </w:r>
    </w:p>
    <w:p>
      <w:pPr>
        <w:pStyle w:val="ListParagraph"/>
        <w:numPr>
          <w:ilvl w:val="0"/>
          <w:numId w:val="12"/>
        </w:numPr>
        <w:tabs>
          <w:tab w:pos="3018" w:val="left" w:leader="none"/>
        </w:tabs>
        <w:spacing w:line="236" w:lineRule="exact" w:before="0" w:after="0"/>
        <w:ind w:left="3017" w:right="0" w:hanging="278"/>
        <w:jc w:val="left"/>
        <w:rPr>
          <w:sz w:val="18"/>
        </w:rPr>
      </w:pPr>
      <w:r>
        <w:rPr>
          <w:sz w:val="18"/>
          <w:u w:val="single"/>
        </w:rPr>
        <w:t>Providence Washington Ins. Co. v. Wolf</w:t>
      </w:r>
      <w:r>
        <w:rPr>
          <w:sz w:val="18"/>
        </w:rPr>
        <w:t>, 168 Ind. 690, 80 N.E. 26</w:t>
      </w:r>
      <w:r>
        <w:rPr>
          <w:spacing w:val="4"/>
          <w:sz w:val="18"/>
        </w:rPr>
        <w:t> </w:t>
      </w:r>
      <w:r>
        <w:rPr>
          <w:sz w:val="18"/>
        </w:rPr>
        <w:t>(1907).</w:t>
      </w:r>
    </w:p>
    <w:p>
      <w:pPr>
        <w:spacing w:after="0" w:line="236"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before="42"/>
        <w:ind w:left="3100"/>
      </w:pPr>
      <w:bookmarkStart w:name="Law and Procedure 263" w:id="81"/>
      <w:bookmarkEnd w:id="81"/>
      <w:r>
        <w:rPr/>
      </w:r>
      <w:r>
        <w:rPr/>
        <w:t>that:</w:t>
      </w:r>
    </w:p>
    <w:p>
      <w:pPr>
        <w:pStyle w:val="BodyText"/>
        <w:rPr>
          <w:sz w:val="23"/>
        </w:rPr>
      </w:pPr>
    </w:p>
    <w:p>
      <w:pPr>
        <w:pStyle w:val="BodyText"/>
        <w:spacing w:line="242" w:lineRule="auto" w:before="42"/>
        <w:ind w:left="3820" w:right="3917"/>
        <w:jc w:val="both"/>
      </w:pPr>
      <w:r>
        <w:rPr/>
        <w:t>“Every</w:t>
      </w:r>
      <w:r>
        <w:rPr>
          <w:spacing w:val="-34"/>
        </w:rPr>
        <w:t> </w:t>
      </w:r>
      <w:r>
        <w:rPr/>
        <w:t>insurer</w:t>
      </w:r>
      <w:r>
        <w:rPr>
          <w:spacing w:val="-34"/>
        </w:rPr>
        <w:t> </w:t>
      </w:r>
      <w:r>
        <w:rPr/>
        <w:t>shall</w:t>
      </w:r>
      <w:r>
        <w:rPr>
          <w:spacing w:val="-29"/>
        </w:rPr>
        <w:t> </w:t>
      </w:r>
      <w:r>
        <w:rPr/>
        <w:t>pay</w:t>
      </w:r>
      <w:r>
        <w:rPr>
          <w:spacing w:val="-30"/>
        </w:rPr>
        <w:t> </w:t>
      </w:r>
      <w:r>
        <w:rPr/>
        <w:t>any</w:t>
      </w:r>
      <w:r>
        <w:rPr>
          <w:spacing w:val="-31"/>
        </w:rPr>
        <w:t> </w:t>
      </w:r>
      <w:r>
        <w:rPr/>
        <w:t>amount finally</w:t>
      </w:r>
      <w:r>
        <w:rPr>
          <w:spacing w:val="-33"/>
        </w:rPr>
        <w:t> </w:t>
      </w:r>
      <w:r>
        <w:rPr/>
        <w:t>agreed</w:t>
      </w:r>
      <w:r>
        <w:rPr>
          <w:spacing w:val="-33"/>
        </w:rPr>
        <w:t> </w:t>
      </w:r>
      <w:r>
        <w:rPr/>
        <w:t>upon</w:t>
      </w:r>
      <w:r>
        <w:rPr>
          <w:spacing w:val="-29"/>
        </w:rPr>
        <w:t> </w:t>
      </w:r>
      <w:r>
        <w:rPr/>
        <w:t>in</w:t>
      </w:r>
      <w:r>
        <w:rPr>
          <w:spacing w:val="-32"/>
        </w:rPr>
        <w:t> </w:t>
      </w:r>
      <w:r>
        <w:rPr/>
        <w:t>settlement</w:t>
      </w:r>
      <w:r>
        <w:rPr>
          <w:spacing w:val="-33"/>
        </w:rPr>
        <w:t> </w:t>
      </w:r>
      <w:r>
        <w:rPr/>
        <w:t>of all or part of any claim not </w:t>
      </w:r>
      <w:r>
        <w:rPr>
          <w:spacing w:val="-3"/>
        </w:rPr>
        <w:t>later </w:t>
      </w:r>
      <w:r>
        <w:rPr/>
        <w:t>than five business days from the receipt of such agreement by </w:t>
      </w:r>
      <w:r>
        <w:rPr>
          <w:spacing w:val="-6"/>
        </w:rPr>
        <w:t>the </w:t>
      </w:r>
      <w:r>
        <w:rPr/>
        <w:t>insurer, or from the date of the performance by the claimant of </w:t>
      </w:r>
      <w:r>
        <w:rPr>
          <w:spacing w:val="6"/>
        </w:rPr>
        <w:t>any </w:t>
      </w:r>
      <w:r>
        <w:rPr>
          <w:spacing w:val="8"/>
        </w:rPr>
        <w:t>condition </w:t>
      </w:r>
      <w:r>
        <w:rPr>
          <w:spacing w:val="6"/>
        </w:rPr>
        <w:t>set </w:t>
      </w:r>
      <w:r>
        <w:rPr>
          <w:spacing w:val="5"/>
        </w:rPr>
        <w:t>by </w:t>
      </w:r>
      <w:r>
        <w:rPr>
          <w:spacing w:val="7"/>
        </w:rPr>
        <w:t>such </w:t>
      </w:r>
      <w:r>
        <w:rPr/>
        <w:t>agreement, whichever is </w:t>
      </w:r>
      <w:r>
        <w:rPr>
          <w:spacing w:val="-3"/>
        </w:rPr>
        <w:t>later, </w:t>
      </w:r>
      <w:r>
        <w:rPr/>
        <w:t>except as provided in §331 of the Insurance Law as respects liens by tax districts on fire insurance proceeds.”</w:t>
      </w:r>
    </w:p>
    <w:p>
      <w:pPr>
        <w:pStyle w:val="BodyText"/>
        <w:spacing w:before="10"/>
        <w:rPr>
          <w:sz w:val="25"/>
        </w:rPr>
      </w:pPr>
    </w:p>
    <w:p>
      <w:pPr>
        <w:pStyle w:val="BodyText"/>
        <w:spacing w:line="242" w:lineRule="auto"/>
        <w:ind w:left="3100" w:right="3195" w:firstLine="720"/>
        <w:jc w:val="both"/>
      </w:pPr>
      <w:r>
        <w:rPr>
          <w:spacing w:val="3"/>
        </w:rPr>
        <w:t>In </w:t>
      </w:r>
      <w:r>
        <w:rPr/>
        <w:t>the state of Michigan the former statute MCL §500.2831, repealed in 1990, allowed an insurer to withhold payment until the completion of appraisal without penalty. However the new replacement statute offers no such protection. On the subject of appraisal,</w:t>
      </w:r>
      <w:r>
        <w:rPr>
          <w:spacing w:val="-17"/>
        </w:rPr>
        <w:t> </w:t>
      </w:r>
      <w:r>
        <w:rPr/>
        <w:t>MCL</w:t>
      </w:r>
      <w:r>
        <w:rPr>
          <w:spacing w:val="-15"/>
        </w:rPr>
        <w:t> </w:t>
      </w:r>
      <w:r>
        <w:rPr/>
        <w:t>§500.2833</w:t>
      </w:r>
      <w:r>
        <w:rPr>
          <w:spacing w:val="-15"/>
        </w:rPr>
        <w:t> </w:t>
      </w:r>
      <w:r>
        <w:rPr>
          <w:spacing w:val="-3"/>
        </w:rPr>
        <w:t>(1)(m)</w:t>
      </w:r>
      <w:r>
        <w:rPr>
          <w:spacing w:val="-21"/>
        </w:rPr>
        <w:t> </w:t>
      </w:r>
      <w:r>
        <w:rPr/>
        <w:t>addresses</w:t>
      </w:r>
      <w:r>
        <w:rPr>
          <w:spacing w:val="-16"/>
        </w:rPr>
        <w:t> </w:t>
      </w:r>
      <w:r>
        <w:rPr/>
        <w:t>the procedure</w:t>
      </w:r>
      <w:r>
        <w:rPr>
          <w:spacing w:val="-16"/>
        </w:rPr>
        <w:t> </w:t>
      </w:r>
      <w:r>
        <w:rPr/>
        <w:t>for</w:t>
      </w:r>
      <w:r>
        <w:rPr>
          <w:spacing w:val="-16"/>
        </w:rPr>
        <w:t> </w:t>
      </w:r>
      <w:r>
        <w:rPr/>
        <w:t>appraisal</w:t>
      </w:r>
      <w:r>
        <w:rPr>
          <w:spacing w:val="-17"/>
        </w:rPr>
        <w:t> </w:t>
      </w:r>
      <w:r>
        <w:rPr/>
        <w:t>but</w:t>
      </w:r>
      <w:r>
        <w:rPr>
          <w:spacing w:val="-18"/>
        </w:rPr>
        <w:t> </w:t>
      </w:r>
      <w:r>
        <w:rPr/>
        <w:t>omits</w:t>
      </w:r>
      <w:r>
        <w:rPr>
          <w:spacing w:val="-16"/>
        </w:rPr>
        <w:t> </w:t>
      </w:r>
      <w:r>
        <w:rPr/>
        <w:t>discussion</w:t>
      </w:r>
      <w:r>
        <w:rPr>
          <w:spacing w:val="-15"/>
        </w:rPr>
        <w:t> </w:t>
      </w:r>
      <w:r>
        <w:rPr/>
        <w:t>of guidelines for when the loss is payable. </w:t>
      </w:r>
      <w:r>
        <w:rPr>
          <w:spacing w:val="-3"/>
        </w:rPr>
        <w:t>Where </w:t>
      </w:r>
      <w:r>
        <w:rPr/>
        <w:t>the parties employ the appraisal process, the appraisal award triggers the 30-day payment mandate</w:t>
      </w:r>
      <w:r>
        <w:rPr>
          <w:spacing w:val="-26"/>
        </w:rPr>
        <w:t> </w:t>
      </w:r>
      <w:r>
        <w:rPr/>
        <w:t>contained</w:t>
      </w:r>
      <w:r>
        <w:rPr>
          <w:spacing w:val="-24"/>
        </w:rPr>
        <w:t> </w:t>
      </w:r>
      <w:r>
        <w:rPr/>
        <w:t>in</w:t>
      </w:r>
      <w:r>
        <w:rPr>
          <w:spacing w:val="-22"/>
        </w:rPr>
        <w:t> </w:t>
      </w:r>
      <w:r>
        <w:rPr/>
        <w:t>MCL</w:t>
      </w:r>
      <w:r>
        <w:rPr>
          <w:spacing w:val="-22"/>
        </w:rPr>
        <w:t> </w:t>
      </w:r>
      <w:r>
        <w:rPr/>
        <w:t>§500.2836(2).</w:t>
      </w:r>
      <w:r>
        <w:rPr>
          <w:spacing w:val="23"/>
        </w:rPr>
        <w:t> </w:t>
      </w:r>
      <w:r>
        <w:rPr/>
        <w:t>As</w:t>
      </w:r>
      <w:r>
        <w:rPr>
          <w:spacing w:val="-25"/>
        </w:rPr>
        <w:t> </w:t>
      </w:r>
      <w:r>
        <w:rPr/>
        <w:t>a result, an award paid after such date was subject to an addition for statutory</w:t>
      </w:r>
      <w:r>
        <w:rPr>
          <w:spacing w:val="8"/>
        </w:rPr>
        <w:t> </w:t>
      </w:r>
      <w:r>
        <w:rPr/>
        <w:t>penalty</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3100"/>
      </w:pPr>
      <w:bookmarkStart w:name="Law and Procedure 264" w:id="82"/>
      <w:bookmarkEnd w:id="82"/>
      <w:r>
        <w:rPr/>
      </w:r>
      <w:r>
        <w:rPr/>
        <w:t>interest.</w:t>
      </w:r>
      <w:r>
        <w:rPr>
          <w:vertAlign w:val="superscript"/>
        </w:rPr>
        <w:t>568</w:t>
      </w:r>
    </w:p>
    <w:p>
      <w:pPr>
        <w:pStyle w:val="BodyText"/>
        <w:spacing w:before="5"/>
      </w:pPr>
    </w:p>
    <w:p>
      <w:pPr>
        <w:pStyle w:val="BodyText"/>
        <w:spacing w:line="242" w:lineRule="auto" w:before="1"/>
        <w:ind w:left="3100" w:right="3199" w:firstLine="720"/>
        <w:jc w:val="both"/>
      </w:pPr>
      <w:r>
        <w:rPr/>
        <w:t>Local statutes and regulations should</w:t>
      </w:r>
      <w:r>
        <w:rPr>
          <w:spacing w:val="-44"/>
        </w:rPr>
        <w:t> </w:t>
      </w:r>
      <w:r>
        <w:rPr>
          <w:spacing w:val="-6"/>
        </w:rPr>
        <w:t>be </w:t>
      </w:r>
      <w:r>
        <w:rPr/>
        <w:t>consulted as many jurisdictions have</w:t>
      </w:r>
      <w:r>
        <w:rPr>
          <w:spacing w:val="-50"/>
        </w:rPr>
        <w:t> </w:t>
      </w:r>
      <w:r>
        <w:rPr/>
        <w:t>adopted </w:t>
      </w:r>
      <w:r>
        <w:rPr>
          <w:spacing w:val="9"/>
        </w:rPr>
        <w:t>similar </w:t>
      </w:r>
      <w:r>
        <w:rPr>
          <w:spacing w:val="11"/>
        </w:rPr>
        <w:t>provisions </w:t>
      </w:r>
      <w:r>
        <w:rPr>
          <w:spacing w:val="10"/>
        </w:rPr>
        <w:t>mandating </w:t>
      </w:r>
      <w:r>
        <w:rPr/>
        <w:t>a </w:t>
      </w:r>
      <w:r>
        <w:rPr>
          <w:spacing w:val="7"/>
        </w:rPr>
        <w:t>more </w:t>
      </w:r>
      <w:r>
        <w:rPr/>
        <w:t>expeditious payment then might be required by the insurance</w:t>
      </w:r>
      <w:r>
        <w:rPr>
          <w:spacing w:val="-5"/>
        </w:rPr>
        <w:t> </w:t>
      </w:r>
      <w:r>
        <w:rPr/>
        <w:t>policy.</w:t>
      </w:r>
    </w:p>
    <w:p>
      <w:pPr>
        <w:pStyle w:val="BodyText"/>
      </w:pPr>
    </w:p>
    <w:p>
      <w:pPr>
        <w:pStyle w:val="BodyText"/>
        <w:spacing w:line="242" w:lineRule="auto" w:before="1"/>
        <w:ind w:left="3100" w:right="3195" w:firstLine="720"/>
        <w:jc w:val="both"/>
      </w:pPr>
      <w:r>
        <w:rPr>
          <w:spacing w:val="3"/>
        </w:rPr>
        <w:t>It </w:t>
      </w:r>
      <w:r>
        <w:rPr/>
        <w:t>has been held that for the 60-day</w:t>
      </w:r>
      <w:r>
        <w:rPr>
          <w:spacing w:val="-47"/>
        </w:rPr>
        <w:t> </w:t>
      </w:r>
      <w:r>
        <w:rPr/>
        <w:t>time period to apply, there must be a valid appraisal</w:t>
      </w:r>
      <w:r>
        <w:rPr>
          <w:spacing w:val="-11"/>
        </w:rPr>
        <w:t> </w:t>
      </w:r>
      <w:r>
        <w:rPr/>
        <w:t>and</w:t>
      </w:r>
      <w:r>
        <w:rPr>
          <w:spacing w:val="-8"/>
        </w:rPr>
        <w:t> </w:t>
      </w:r>
      <w:r>
        <w:rPr/>
        <w:t>where</w:t>
      </w:r>
      <w:r>
        <w:rPr>
          <w:spacing w:val="-10"/>
        </w:rPr>
        <w:t> </w:t>
      </w:r>
      <w:r>
        <w:rPr/>
        <w:t>the</w:t>
      </w:r>
      <w:r>
        <w:rPr>
          <w:spacing w:val="-9"/>
        </w:rPr>
        <w:t> </w:t>
      </w:r>
      <w:r>
        <w:rPr/>
        <w:t>insureds</w:t>
      </w:r>
      <w:r>
        <w:rPr>
          <w:spacing w:val="-10"/>
        </w:rPr>
        <w:t> </w:t>
      </w:r>
      <w:r>
        <w:rPr/>
        <w:t>rejected</w:t>
      </w:r>
      <w:r>
        <w:rPr>
          <w:spacing w:val="-10"/>
        </w:rPr>
        <w:t> </w:t>
      </w:r>
      <w:r>
        <w:rPr/>
        <w:t>the joint appraisal, it was clear that the loss payment provision of the policy which mandated</w:t>
      </w:r>
      <w:r>
        <w:rPr>
          <w:spacing w:val="-24"/>
        </w:rPr>
        <w:t> </w:t>
      </w:r>
      <w:r>
        <w:rPr/>
        <w:t>payment</w:t>
      </w:r>
      <w:r>
        <w:rPr>
          <w:spacing w:val="-26"/>
        </w:rPr>
        <w:t> </w:t>
      </w:r>
      <w:r>
        <w:rPr/>
        <w:t>“60</w:t>
      </w:r>
      <w:r>
        <w:rPr>
          <w:spacing w:val="-22"/>
        </w:rPr>
        <w:t> </w:t>
      </w:r>
      <w:r>
        <w:rPr/>
        <w:t>days</w:t>
      </w:r>
      <w:r>
        <w:rPr>
          <w:spacing w:val="-25"/>
        </w:rPr>
        <w:t> </w:t>
      </w:r>
      <w:r>
        <w:rPr/>
        <w:t>after</w:t>
      </w:r>
      <w:r>
        <w:rPr>
          <w:spacing w:val="-24"/>
        </w:rPr>
        <w:t> </w:t>
      </w:r>
      <w:r>
        <w:rPr>
          <w:spacing w:val="-3"/>
        </w:rPr>
        <w:t>we</w:t>
      </w:r>
      <w:r>
        <w:rPr>
          <w:spacing w:val="-21"/>
        </w:rPr>
        <w:t> </w:t>
      </w:r>
      <w:r>
        <w:rPr/>
        <w:t>receive your</w:t>
      </w:r>
      <w:r>
        <w:rPr>
          <w:spacing w:val="-22"/>
        </w:rPr>
        <w:t> </w:t>
      </w:r>
      <w:r>
        <w:rPr/>
        <w:t>proofs</w:t>
      </w:r>
      <w:r>
        <w:rPr>
          <w:spacing w:val="-18"/>
        </w:rPr>
        <w:t> </w:t>
      </w:r>
      <w:r>
        <w:rPr/>
        <w:t>of</w:t>
      </w:r>
      <w:r>
        <w:rPr>
          <w:spacing w:val="-19"/>
        </w:rPr>
        <w:t> </w:t>
      </w:r>
      <w:r>
        <w:rPr/>
        <w:t>loss</w:t>
      </w:r>
      <w:r>
        <w:rPr>
          <w:spacing w:val="-18"/>
        </w:rPr>
        <w:t> </w:t>
      </w:r>
      <w:r>
        <w:rPr/>
        <w:t>and;</w:t>
      </w:r>
      <w:r>
        <w:rPr>
          <w:spacing w:val="-21"/>
        </w:rPr>
        <w:t> </w:t>
      </w:r>
      <w:r>
        <w:rPr/>
        <w:t>a)reach</w:t>
      </w:r>
      <w:r>
        <w:rPr>
          <w:spacing w:val="-17"/>
        </w:rPr>
        <w:t> </w:t>
      </w:r>
      <w:r>
        <w:rPr/>
        <w:t>an</w:t>
      </w:r>
      <w:r>
        <w:rPr>
          <w:spacing w:val="-19"/>
        </w:rPr>
        <w:t> </w:t>
      </w:r>
      <w:r>
        <w:rPr/>
        <w:t>agreement with you; b) there is an entry of a final judgment; or c) there is a filing of an</w:t>
      </w:r>
      <w:r>
        <w:rPr>
          <w:spacing w:val="-34"/>
        </w:rPr>
        <w:t> </w:t>
      </w:r>
      <w:r>
        <w:rPr/>
        <w:t>appraisal award with us”, has not been triggered such that</w:t>
      </w:r>
      <w:r>
        <w:rPr>
          <w:spacing w:val="-13"/>
        </w:rPr>
        <w:t> </w:t>
      </w:r>
      <w:r>
        <w:rPr/>
        <w:t>the</w:t>
      </w:r>
      <w:r>
        <w:rPr>
          <w:spacing w:val="-11"/>
        </w:rPr>
        <w:t> </w:t>
      </w:r>
      <w:r>
        <w:rPr/>
        <w:t>60</w:t>
      </w:r>
      <w:r>
        <w:rPr>
          <w:spacing w:val="-10"/>
        </w:rPr>
        <w:t> </w:t>
      </w:r>
      <w:r>
        <w:rPr/>
        <w:t>day</w:t>
      </w:r>
      <w:r>
        <w:rPr>
          <w:spacing w:val="-12"/>
        </w:rPr>
        <w:t> </w:t>
      </w:r>
      <w:r>
        <w:rPr/>
        <w:t>provision</w:t>
      </w:r>
      <w:r>
        <w:rPr>
          <w:spacing w:val="-12"/>
        </w:rPr>
        <w:t> </w:t>
      </w:r>
      <w:r>
        <w:rPr/>
        <w:t>became</w:t>
      </w:r>
      <w:r>
        <w:rPr>
          <w:spacing w:val="-13"/>
        </w:rPr>
        <w:t> </w:t>
      </w:r>
      <w:r>
        <w:rPr>
          <w:spacing w:val="-5"/>
        </w:rPr>
        <w:t>operable.</w:t>
      </w:r>
      <w:r>
        <w:rPr>
          <w:spacing w:val="-5"/>
          <w:vertAlign w:val="superscript"/>
        </w:rPr>
        <w:t>569</w:t>
      </w:r>
    </w:p>
    <w:p>
      <w:pPr>
        <w:pStyle w:val="BodyText"/>
        <w:spacing w:before="10"/>
        <w:rPr>
          <w:sz w:val="25"/>
        </w:rPr>
      </w:pPr>
    </w:p>
    <w:p>
      <w:pPr>
        <w:pStyle w:val="BodyText"/>
        <w:spacing w:line="242" w:lineRule="auto" w:before="1"/>
        <w:ind w:left="3100" w:right="3199" w:firstLine="720"/>
        <w:jc w:val="both"/>
      </w:pPr>
      <w:r>
        <w:rPr>
          <w:spacing w:val="3"/>
        </w:rPr>
        <w:t>In </w:t>
      </w:r>
      <w:r>
        <w:rPr/>
        <w:t>jurisdictions that analogize appraisal with arbitration, it has been held that a party seeking to avoid paying on the award must challenge</w:t>
      </w:r>
      <w:r>
        <w:rPr>
          <w:spacing w:val="-11"/>
        </w:rPr>
        <w:t> </w:t>
      </w:r>
      <w:r>
        <w:rPr/>
        <w:t>the</w:t>
      </w:r>
      <w:r>
        <w:rPr>
          <w:spacing w:val="-11"/>
        </w:rPr>
        <w:t> </w:t>
      </w:r>
      <w:r>
        <w:rPr/>
        <w:t>appraisal</w:t>
      </w:r>
      <w:r>
        <w:rPr>
          <w:spacing w:val="-11"/>
        </w:rPr>
        <w:t> </w:t>
      </w:r>
      <w:r>
        <w:rPr/>
        <w:t>award</w:t>
      </w:r>
      <w:r>
        <w:rPr>
          <w:spacing w:val="-13"/>
        </w:rPr>
        <w:t> </w:t>
      </w:r>
      <w:r>
        <w:rPr/>
        <w:t>and</w:t>
      </w:r>
      <w:r>
        <w:rPr>
          <w:spacing w:val="-12"/>
        </w:rPr>
        <w:t> </w:t>
      </w:r>
      <w:r>
        <w:rPr/>
        <w:t>adhere</w:t>
      </w:r>
      <w:r>
        <w:rPr>
          <w:spacing w:val="-13"/>
        </w:rPr>
        <w:t> </w:t>
      </w:r>
      <w:r>
        <w:rPr>
          <w:spacing w:val="-8"/>
        </w:rPr>
        <w:t>to </w:t>
      </w:r>
      <w:r>
        <w:rPr/>
        <w:t>the requirements of local statutes mandating time limits within which such a challenge</w:t>
      </w:r>
      <w:r>
        <w:rPr>
          <w:spacing w:val="-13"/>
        </w:rPr>
        <w:t> </w:t>
      </w:r>
      <w:r>
        <w:rPr/>
        <w:t>must be filed. For example, in Connecticut it has been held that where there </w:t>
      </w:r>
      <w:r>
        <w:rPr>
          <w:spacing w:val="-3"/>
        </w:rPr>
        <w:t>were </w:t>
      </w:r>
      <w:r>
        <w:rPr>
          <w:spacing w:val="17"/>
        </w:rPr>
        <w:t> </w:t>
      </w:r>
      <w:r>
        <w:rPr/>
        <w:t>procedural</w:t>
      </w:r>
    </w:p>
    <w:p>
      <w:pPr>
        <w:pStyle w:val="BodyText"/>
        <w:spacing w:before="1"/>
        <w:rPr>
          <w:sz w:val="22"/>
        </w:rPr>
      </w:pPr>
      <w:r>
        <w:rPr/>
        <w:pict>
          <v:shape style="position:absolute;margin-left:162pt;margin-top:15.982813pt;width:143.9pt;height:.1pt;mso-position-horizontal-relative:page;mso-position-vertical-relative:paragraph;z-index:-251462656;mso-wrap-distance-left:0;mso-wrap-distance-right:0" coordorigin="3240,320" coordsize="2878,0" path="m3240,320l6118,32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3001" w:val="left" w:leader="none"/>
        </w:tabs>
        <w:spacing w:line="254" w:lineRule="auto" w:before="80" w:after="0"/>
        <w:ind w:left="2740" w:right="2845" w:firstLine="0"/>
        <w:jc w:val="both"/>
        <w:rPr>
          <w:sz w:val="18"/>
        </w:rPr>
      </w:pPr>
      <w:r>
        <w:rPr>
          <w:sz w:val="18"/>
          <w:u w:val="single"/>
        </w:rPr>
        <w:t>Griswald</w:t>
      </w:r>
      <w:r>
        <w:rPr>
          <w:spacing w:val="-14"/>
          <w:sz w:val="18"/>
          <w:u w:val="single"/>
        </w:rPr>
        <w:t> </w:t>
      </w:r>
      <w:r>
        <w:rPr>
          <w:sz w:val="18"/>
          <w:u w:val="single"/>
        </w:rPr>
        <w:t>Properties,</w:t>
      </w:r>
      <w:r>
        <w:rPr>
          <w:spacing w:val="-15"/>
          <w:sz w:val="18"/>
          <w:u w:val="single"/>
        </w:rPr>
        <w:t> </w:t>
      </w:r>
      <w:r>
        <w:rPr>
          <w:sz w:val="18"/>
          <w:u w:val="single"/>
        </w:rPr>
        <w:t>L.L.C.</w:t>
      </w:r>
      <w:r>
        <w:rPr>
          <w:spacing w:val="-13"/>
          <w:sz w:val="18"/>
          <w:u w:val="single"/>
        </w:rPr>
        <w:t> </w:t>
      </w:r>
      <w:r>
        <w:rPr>
          <w:sz w:val="18"/>
          <w:u w:val="single"/>
        </w:rPr>
        <w:t>v.</w:t>
      </w:r>
      <w:r>
        <w:rPr>
          <w:spacing w:val="-15"/>
          <w:sz w:val="18"/>
          <w:u w:val="single"/>
        </w:rPr>
        <w:t> </w:t>
      </w:r>
      <w:r>
        <w:rPr>
          <w:sz w:val="18"/>
          <w:u w:val="single"/>
        </w:rPr>
        <w:t>Lexington</w:t>
      </w:r>
      <w:r>
        <w:rPr>
          <w:spacing w:val="-14"/>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sz w:val="18"/>
        </w:rPr>
        <w:t>275</w:t>
      </w:r>
      <w:r>
        <w:rPr>
          <w:spacing w:val="-13"/>
          <w:sz w:val="18"/>
        </w:rPr>
        <w:t> </w:t>
      </w:r>
      <w:r>
        <w:rPr>
          <w:sz w:val="18"/>
        </w:rPr>
        <w:t>Mich.</w:t>
      </w:r>
      <w:r>
        <w:rPr>
          <w:spacing w:val="-14"/>
          <w:sz w:val="18"/>
        </w:rPr>
        <w:t> </w:t>
      </w:r>
      <w:r>
        <w:rPr>
          <w:sz w:val="18"/>
        </w:rPr>
        <w:t>App.543,</w:t>
      </w:r>
      <w:r>
        <w:rPr>
          <w:spacing w:val="-15"/>
          <w:sz w:val="18"/>
        </w:rPr>
        <w:t> </w:t>
      </w:r>
      <w:r>
        <w:rPr>
          <w:sz w:val="18"/>
        </w:rPr>
        <w:t>740</w:t>
      </w:r>
      <w:r>
        <w:rPr>
          <w:spacing w:val="-13"/>
          <w:sz w:val="18"/>
        </w:rPr>
        <w:t> </w:t>
      </w:r>
      <w:r>
        <w:rPr>
          <w:sz w:val="18"/>
        </w:rPr>
        <w:t>N.W.2d</w:t>
      </w:r>
      <w:r>
        <w:rPr>
          <w:spacing w:val="-13"/>
          <w:sz w:val="18"/>
        </w:rPr>
        <w:t> </w:t>
      </w:r>
      <w:r>
        <w:rPr>
          <w:sz w:val="18"/>
        </w:rPr>
        <w:t>659 (2007)</w:t>
      </w:r>
      <w:r>
        <w:rPr>
          <w:spacing w:val="-4"/>
          <w:sz w:val="18"/>
        </w:rPr>
        <w:t> </w:t>
      </w:r>
      <w:r>
        <w:rPr>
          <w:i/>
          <w:sz w:val="18"/>
        </w:rPr>
        <w:t>rev’d</w:t>
      </w:r>
      <w:r>
        <w:rPr>
          <w:i/>
          <w:spacing w:val="-4"/>
          <w:sz w:val="18"/>
        </w:rPr>
        <w:t> </w:t>
      </w:r>
      <w:r>
        <w:rPr>
          <w:i/>
          <w:sz w:val="18"/>
        </w:rPr>
        <w:t>by</w:t>
      </w:r>
      <w:r>
        <w:rPr>
          <w:i/>
          <w:spacing w:val="-7"/>
          <w:sz w:val="18"/>
        </w:rPr>
        <w:t> </w:t>
      </w:r>
      <w:r>
        <w:rPr>
          <w:i/>
          <w:sz w:val="18"/>
        </w:rPr>
        <w:t>panel,</w:t>
      </w:r>
      <w:r>
        <w:rPr>
          <w:i/>
          <w:spacing w:val="-3"/>
          <w:sz w:val="18"/>
        </w:rPr>
        <w:t> </w:t>
      </w:r>
      <w:r>
        <w:rPr>
          <w:i/>
          <w:sz w:val="18"/>
        </w:rPr>
        <w:t>aff’d</w:t>
      </w:r>
      <w:r>
        <w:rPr>
          <w:i/>
          <w:spacing w:val="-2"/>
          <w:sz w:val="18"/>
        </w:rPr>
        <w:t> </w:t>
      </w:r>
      <w:r>
        <w:rPr>
          <w:i/>
          <w:sz w:val="18"/>
        </w:rPr>
        <w:t>in</w:t>
      </w:r>
      <w:r>
        <w:rPr>
          <w:i/>
          <w:spacing w:val="-2"/>
          <w:sz w:val="18"/>
        </w:rPr>
        <w:t> </w:t>
      </w:r>
      <w:r>
        <w:rPr>
          <w:i/>
          <w:sz w:val="18"/>
        </w:rPr>
        <w:t>part,</w:t>
      </w:r>
      <w:r>
        <w:rPr>
          <w:i/>
          <w:spacing w:val="-3"/>
          <w:sz w:val="18"/>
        </w:rPr>
        <w:t> </w:t>
      </w:r>
      <w:r>
        <w:rPr>
          <w:i/>
          <w:sz w:val="18"/>
        </w:rPr>
        <w:t>rev’d</w:t>
      </w:r>
      <w:r>
        <w:rPr>
          <w:i/>
          <w:spacing w:val="-4"/>
          <w:sz w:val="18"/>
        </w:rPr>
        <w:t> </w:t>
      </w:r>
      <w:r>
        <w:rPr>
          <w:i/>
          <w:sz w:val="18"/>
        </w:rPr>
        <w:t>and</w:t>
      </w:r>
      <w:r>
        <w:rPr>
          <w:i/>
          <w:spacing w:val="-2"/>
          <w:sz w:val="18"/>
        </w:rPr>
        <w:t> </w:t>
      </w:r>
      <w:r>
        <w:rPr>
          <w:i/>
          <w:sz w:val="18"/>
        </w:rPr>
        <w:t>remanded</w:t>
      </w:r>
      <w:r>
        <w:rPr>
          <w:i/>
          <w:spacing w:val="-3"/>
          <w:sz w:val="18"/>
        </w:rPr>
        <w:t> </w:t>
      </w:r>
      <w:r>
        <w:rPr>
          <w:i/>
          <w:sz w:val="18"/>
        </w:rPr>
        <w:t>in</w:t>
      </w:r>
      <w:r>
        <w:rPr>
          <w:i/>
          <w:spacing w:val="-2"/>
          <w:sz w:val="18"/>
        </w:rPr>
        <w:t> </w:t>
      </w:r>
      <w:r>
        <w:rPr>
          <w:i/>
          <w:sz w:val="18"/>
        </w:rPr>
        <w:t>part</w:t>
      </w:r>
      <w:r>
        <w:rPr>
          <w:sz w:val="18"/>
        </w:rPr>
        <w:t>,</w:t>
      </w:r>
      <w:r>
        <w:rPr>
          <w:spacing w:val="-3"/>
          <w:sz w:val="18"/>
        </w:rPr>
        <w:t> </w:t>
      </w:r>
      <w:r>
        <w:rPr>
          <w:sz w:val="18"/>
        </w:rPr>
        <w:t>276</w:t>
      </w:r>
      <w:r>
        <w:rPr>
          <w:spacing w:val="-5"/>
          <w:sz w:val="18"/>
        </w:rPr>
        <w:t> </w:t>
      </w:r>
      <w:r>
        <w:rPr>
          <w:sz w:val="18"/>
        </w:rPr>
        <w:t>Mich.</w:t>
      </w:r>
      <w:r>
        <w:rPr>
          <w:spacing w:val="-3"/>
          <w:sz w:val="18"/>
        </w:rPr>
        <w:t> </w:t>
      </w:r>
      <w:r>
        <w:rPr>
          <w:sz w:val="18"/>
        </w:rPr>
        <w:t>App.</w:t>
      </w:r>
      <w:r>
        <w:rPr>
          <w:spacing w:val="-3"/>
          <w:sz w:val="18"/>
        </w:rPr>
        <w:t> </w:t>
      </w:r>
      <w:r>
        <w:rPr>
          <w:sz w:val="18"/>
        </w:rPr>
        <w:t>551,</w:t>
      </w:r>
      <w:r>
        <w:rPr>
          <w:spacing w:val="-3"/>
          <w:sz w:val="18"/>
        </w:rPr>
        <w:t> </w:t>
      </w:r>
      <w:r>
        <w:rPr>
          <w:sz w:val="18"/>
        </w:rPr>
        <w:t>741 N.W.2d 549</w:t>
      </w:r>
      <w:r>
        <w:rPr>
          <w:spacing w:val="2"/>
          <w:sz w:val="18"/>
        </w:rPr>
        <w:t> </w:t>
      </w:r>
      <w:r>
        <w:rPr>
          <w:sz w:val="18"/>
        </w:rPr>
        <w:t>(2007).</w:t>
      </w:r>
    </w:p>
    <w:p>
      <w:pPr>
        <w:pStyle w:val="ListParagraph"/>
        <w:numPr>
          <w:ilvl w:val="0"/>
          <w:numId w:val="12"/>
        </w:numPr>
        <w:tabs>
          <w:tab w:pos="3074" w:val="left" w:leader="none"/>
        </w:tabs>
        <w:spacing w:line="256" w:lineRule="exact" w:before="0" w:after="0"/>
        <w:ind w:left="3073" w:right="0" w:hanging="334"/>
        <w:jc w:val="left"/>
        <w:rPr>
          <w:sz w:val="18"/>
        </w:rPr>
      </w:pPr>
      <w:r>
        <w:rPr>
          <w:sz w:val="18"/>
          <w:u w:val="single"/>
        </w:rPr>
        <w:t>Nelson v. Farmer’s Union Mut. Ins. Co.</w:t>
      </w:r>
      <w:r>
        <w:rPr>
          <w:sz w:val="18"/>
        </w:rPr>
        <w:t>, 315 Mont. 268, 68 P.3d 689 (Mont.</w:t>
      </w:r>
      <w:r>
        <w:rPr>
          <w:spacing w:val="9"/>
          <w:sz w:val="18"/>
        </w:rPr>
        <w:t> </w:t>
      </w:r>
      <w:r>
        <w:rPr>
          <w:sz w:val="18"/>
        </w:rPr>
        <w:t>2003).</w:t>
      </w:r>
    </w:p>
    <w:p>
      <w:pPr>
        <w:spacing w:after="0" w:line="256"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65" w:id="83"/>
      <w:bookmarkEnd w:id="83"/>
      <w:r>
        <w:rPr/>
      </w:r>
      <w:r>
        <w:rPr/>
        <w:t>issues concerning the adequacy of </w:t>
      </w:r>
      <w:r>
        <w:rPr>
          <w:spacing w:val="-5"/>
        </w:rPr>
        <w:t>the </w:t>
      </w:r>
      <w:r>
        <w:rPr/>
        <w:t>appraisal proceeding, objections should</w:t>
      </w:r>
      <w:r>
        <w:rPr>
          <w:spacing w:val="-39"/>
        </w:rPr>
        <w:t> </w:t>
      </w:r>
      <w:r>
        <w:rPr>
          <w:spacing w:val="-5"/>
        </w:rPr>
        <w:t>have </w:t>
      </w:r>
      <w:r>
        <w:rPr/>
        <w:t>been raised within 30 days of the </w:t>
      </w:r>
      <w:r>
        <w:rPr>
          <w:spacing w:val="-4"/>
        </w:rPr>
        <w:t>award </w:t>
      </w:r>
      <w:r>
        <w:rPr/>
        <w:t>pursuant to §52-420 of the Connecticut General</w:t>
      </w:r>
      <w:r>
        <w:rPr>
          <w:spacing w:val="-2"/>
        </w:rPr>
        <w:t> </w:t>
      </w:r>
      <w:r>
        <w:rPr/>
        <w:t>Statutes.</w:t>
      </w:r>
      <w:r>
        <w:rPr>
          <w:vertAlign w:val="superscript"/>
        </w:rPr>
        <w:t>570</w:t>
      </w:r>
    </w:p>
    <w:p>
      <w:pPr>
        <w:pStyle w:val="BodyText"/>
      </w:pPr>
    </w:p>
    <w:p>
      <w:pPr>
        <w:pStyle w:val="BodyText"/>
        <w:spacing w:line="242" w:lineRule="auto" w:before="1"/>
        <w:ind w:left="3100" w:right="3201" w:firstLine="720"/>
        <w:jc w:val="both"/>
      </w:pPr>
      <w:r>
        <w:rPr>
          <w:spacing w:val="-3"/>
        </w:rPr>
        <w:t>Where </w:t>
      </w:r>
      <w:r>
        <w:rPr/>
        <w:t>the insurer ignored an appraisal award</w:t>
      </w:r>
      <w:r>
        <w:rPr>
          <w:spacing w:val="-26"/>
        </w:rPr>
        <w:t> </w:t>
      </w:r>
      <w:r>
        <w:rPr/>
        <w:t>and</w:t>
      </w:r>
      <w:r>
        <w:rPr>
          <w:spacing w:val="-25"/>
        </w:rPr>
        <w:t> </w:t>
      </w:r>
      <w:r>
        <w:rPr/>
        <w:t>paid</w:t>
      </w:r>
      <w:r>
        <w:rPr>
          <w:spacing w:val="-26"/>
        </w:rPr>
        <w:t> </w:t>
      </w:r>
      <w:r>
        <w:rPr/>
        <w:t>only</w:t>
      </w:r>
      <w:r>
        <w:rPr>
          <w:spacing w:val="-27"/>
        </w:rPr>
        <w:t> </w:t>
      </w:r>
      <w:r>
        <w:rPr/>
        <w:t>the</w:t>
      </w:r>
      <w:r>
        <w:rPr>
          <w:spacing w:val="-26"/>
        </w:rPr>
        <w:t> </w:t>
      </w:r>
      <w:r>
        <w:rPr/>
        <w:t>amount</w:t>
      </w:r>
      <w:r>
        <w:rPr>
          <w:spacing w:val="-25"/>
        </w:rPr>
        <w:t> </w:t>
      </w:r>
      <w:r>
        <w:rPr/>
        <w:t>it</w:t>
      </w:r>
      <w:r>
        <w:rPr>
          <w:spacing w:val="-31"/>
        </w:rPr>
        <w:t> </w:t>
      </w:r>
      <w:r>
        <w:rPr/>
        <w:t>considered due</w:t>
      </w:r>
      <w:r>
        <w:rPr>
          <w:spacing w:val="-22"/>
        </w:rPr>
        <w:t> </w:t>
      </w:r>
      <w:r>
        <w:rPr/>
        <w:t>under</w:t>
      </w:r>
      <w:r>
        <w:rPr>
          <w:spacing w:val="-21"/>
        </w:rPr>
        <w:t> </w:t>
      </w:r>
      <w:r>
        <w:rPr/>
        <w:t>the</w:t>
      </w:r>
      <w:r>
        <w:rPr>
          <w:spacing w:val="-22"/>
        </w:rPr>
        <w:t> </w:t>
      </w:r>
      <w:r>
        <w:rPr/>
        <w:t>policy,</w:t>
      </w:r>
      <w:r>
        <w:rPr>
          <w:spacing w:val="-25"/>
        </w:rPr>
        <w:t> </w:t>
      </w:r>
      <w:r>
        <w:rPr/>
        <w:t>an</w:t>
      </w:r>
      <w:r>
        <w:rPr>
          <w:spacing w:val="-21"/>
        </w:rPr>
        <w:t> </w:t>
      </w:r>
      <w:r>
        <w:rPr/>
        <w:t>award</w:t>
      </w:r>
      <w:r>
        <w:rPr>
          <w:spacing w:val="-23"/>
        </w:rPr>
        <w:t> </w:t>
      </w:r>
      <w:r>
        <w:rPr/>
        <w:t>of</w:t>
      </w:r>
      <w:r>
        <w:rPr>
          <w:spacing w:val="-21"/>
        </w:rPr>
        <w:t> </w:t>
      </w:r>
      <w:r>
        <w:rPr/>
        <w:t>a</w:t>
      </w:r>
      <w:r>
        <w:rPr>
          <w:spacing w:val="-22"/>
        </w:rPr>
        <w:t> </w:t>
      </w:r>
      <w:r>
        <w:rPr/>
        <w:t>penalty</w:t>
      </w:r>
      <w:r>
        <w:rPr>
          <w:spacing w:val="-24"/>
        </w:rPr>
        <w:t> </w:t>
      </w:r>
      <w:r>
        <w:rPr/>
        <w:t>of twice the actual damage </w:t>
      </w:r>
      <w:r>
        <w:rPr>
          <w:spacing w:val="3"/>
        </w:rPr>
        <w:t>is</w:t>
      </w:r>
      <w:r>
        <w:rPr>
          <w:spacing w:val="-12"/>
        </w:rPr>
        <w:t> </w:t>
      </w:r>
      <w:r>
        <w:rPr/>
        <w:t>appropriate.</w:t>
      </w:r>
      <w:r>
        <w:rPr>
          <w:vertAlign w:val="superscript"/>
        </w:rPr>
        <w:t>571</w:t>
      </w:r>
    </w:p>
    <w:p>
      <w:pPr>
        <w:pStyle w:val="BodyText"/>
        <w:spacing w:before="1"/>
      </w:pPr>
    </w:p>
    <w:p>
      <w:pPr>
        <w:pStyle w:val="BodyText"/>
        <w:spacing w:line="242" w:lineRule="auto"/>
        <w:ind w:left="3100" w:right="3197" w:firstLine="720"/>
        <w:jc w:val="both"/>
      </w:pPr>
      <w:r>
        <w:rPr/>
        <w:t>The terms of an insurance policy determine the date from which the coverage payment is due as well as when interest is</w:t>
      </w:r>
      <w:r>
        <w:rPr>
          <w:spacing w:val="-22"/>
        </w:rPr>
        <w:t> </w:t>
      </w:r>
      <w:r>
        <w:rPr/>
        <w:t>due on the amounts payable. Thus, if an</w:t>
      </w:r>
      <w:r>
        <w:rPr>
          <w:spacing w:val="-30"/>
        </w:rPr>
        <w:t> </w:t>
      </w:r>
      <w:r>
        <w:rPr/>
        <w:t>insurance policy</w:t>
      </w:r>
      <w:r>
        <w:rPr>
          <w:spacing w:val="-21"/>
        </w:rPr>
        <w:t> </w:t>
      </w:r>
      <w:r>
        <w:rPr/>
        <w:t>provided</w:t>
      </w:r>
      <w:r>
        <w:rPr>
          <w:spacing w:val="-18"/>
        </w:rPr>
        <w:t> </w:t>
      </w:r>
      <w:r>
        <w:rPr/>
        <w:t>that</w:t>
      </w:r>
      <w:r>
        <w:rPr>
          <w:spacing w:val="-18"/>
        </w:rPr>
        <w:t> </w:t>
      </w:r>
      <w:r>
        <w:rPr/>
        <w:t>an</w:t>
      </w:r>
      <w:r>
        <w:rPr>
          <w:spacing w:val="-17"/>
        </w:rPr>
        <w:t> </w:t>
      </w:r>
      <w:r>
        <w:rPr/>
        <w:t>insurer</w:t>
      </w:r>
      <w:r>
        <w:rPr>
          <w:spacing w:val="-17"/>
        </w:rPr>
        <w:t> </w:t>
      </w:r>
      <w:r>
        <w:rPr/>
        <w:t>was</w:t>
      </w:r>
      <w:r>
        <w:rPr>
          <w:spacing w:val="-15"/>
        </w:rPr>
        <w:t> </w:t>
      </w:r>
      <w:r>
        <w:rPr/>
        <w:t>required</w:t>
      </w:r>
      <w:r>
        <w:rPr>
          <w:spacing w:val="-16"/>
        </w:rPr>
        <w:t> </w:t>
      </w:r>
      <w:r>
        <w:rPr/>
        <w:t>to make</w:t>
      </w:r>
      <w:r>
        <w:rPr>
          <w:spacing w:val="-20"/>
        </w:rPr>
        <w:t> </w:t>
      </w:r>
      <w:r>
        <w:rPr/>
        <w:t>payment</w:t>
      </w:r>
      <w:r>
        <w:rPr>
          <w:spacing w:val="-22"/>
        </w:rPr>
        <w:t> </w:t>
      </w:r>
      <w:r>
        <w:rPr/>
        <w:t>within</w:t>
      </w:r>
      <w:r>
        <w:rPr>
          <w:spacing w:val="-20"/>
        </w:rPr>
        <w:t> </w:t>
      </w:r>
      <w:r>
        <w:rPr/>
        <w:t>thirty</w:t>
      </w:r>
      <w:r>
        <w:rPr>
          <w:spacing w:val="-23"/>
        </w:rPr>
        <w:t> </w:t>
      </w:r>
      <w:r>
        <w:rPr/>
        <w:t>days</w:t>
      </w:r>
      <w:r>
        <w:rPr>
          <w:spacing w:val="-19"/>
        </w:rPr>
        <w:t> </w:t>
      </w:r>
      <w:r>
        <w:rPr/>
        <w:t>after</w:t>
      </w:r>
      <w:r>
        <w:rPr>
          <w:spacing w:val="-20"/>
        </w:rPr>
        <w:t> </w:t>
      </w:r>
      <w:r>
        <w:rPr/>
        <w:t>the</w:t>
      </w:r>
      <w:r>
        <w:rPr>
          <w:spacing w:val="-18"/>
        </w:rPr>
        <w:t> </w:t>
      </w:r>
      <w:r>
        <w:rPr/>
        <w:t>filing of an appraisal award, then as long as the policy language is complied with, the insured is</w:t>
      </w:r>
      <w:r>
        <w:rPr>
          <w:spacing w:val="-23"/>
        </w:rPr>
        <w:t> </w:t>
      </w:r>
      <w:r>
        <w:rPr/>
        <w:t>not</w:t>
      </w:r>
      <w:r>
        <w:rPr>
          <w:spacing w:val="-23"/>
        </w:rPr>
        <w:t> </w:t>
      </w:r>
      <w:r>
        <w:rPr/>
        <w:t>entitled</w:t>
      </w:r>
      <w:r>
        <w:rPr>
          <w:spacing w:val="-23"/>
        </w:rPr>
        <w:t> </w:t>
      </w:r>
      <w:r>
        <w:rPr/>
        <w:t>to</w:t>
      </w:r>
      <w:r>
        <w:rPr>
          <w:spacing w:val="-22"/>
        </w:rPr>
        <w:t> </w:t>
      </w:r>
      <w:r>
        <w:rPr/>
        <w:t>pre-judgment</w:t>
      </w:r>
      <w:r>
        <w:rPr>
          <w:spacing w:val="-26"/>
        </w:rPr>
        <w:t> </w:t>
      </w:r>
      <w:r>
        <w:rPr/>
        <w:t>interest</w:t>
      </w:r>
      <w:r>
        <w:rPr>
          <w:spacing w:val="-27"/>
        </w:rPr>
        <w:t> </w:t>
      </w:r>
      <w:r>
        <w:rPr/>
        <w:t>from</w:t>
      </w:r>
      <w:r>
        <w:rPr>
          <w:spacing w:val="-23"/>
        </w:rPr>
        <w:t> </w:t>
      </w:r>
      <w:r>
        <w:rPr/>
        <w:t>the date its property was</w:t>
      </w:r>
      <w:r>
        <w:rPr>
          <w:spacing w:val="-8"/>
        </w:rPr>
        <w:t> </w:t>
      </w:r>
      <w:r>
        <w:rPr/>
        <w:t>damaged.</w:t>
      </w:r>
      <w:r>
        <w:rPr>
          <w:vertAlign w:val="superscript"/>
        </w:rPr>
        <w:t>572</w:t>
      </w:r>
    </w:p>
    <w:p>
      <w:pPr>
        <w:pStyle w:val="BodyText"/>
        <w:spacing w:before="11"/>
        <w:rPr>
          <w:sz w:val="25"/>
        </w:rPr>
      </w:pPr>
    </w:p>
    <w:p>
      <w:pPr>
        <w:pStyle w:val="BodyText"/>
        <w:spacing w:line="242" w:lineRule="auto"/>
        <w:ind w:left="3100" w:right="3197" w:firstLine="720"/>
        <w:jc w:val="both"/>
      </w:pPr>
      <w:r>
        <w:rPr/>
        <w:t>The District Court of Appeal of Florida clarified the issue in its decision </w:t>
      </w:r>
      <w:r>
        <w:rPr>
          <w:u w:val="single"/>
        </w:rPr>
        <w:t>Jugo v.</w:t>
      </w:r>
    </w:p>
    <w:p>
      <w:pPr>
        <w:pStyle w:val="BodyText"/>
        <w:spacing w:before="10"/>
        <w:rPr>
          <w:sz w:val="29"/>
        </w:rPr>
      </w:pPr>
      <w:r>
        <w:rPr/>
        <w:pict>
          <v:shape style="position:absolute;margin-left:162pt;margin-top:20.689848pt;width:143.9pt;height:.1pt;mso-position-horizontal-relative:page;mso-position-vertical-relative:paragraph;z-index:-251461632;mso-wrap-distance-left:0;mso-wrap-distance-right:0" coordorigin="3240,414" coordsize="2878,0" path="m3240,414l6118,414e" filled="false" stroked="true" strokeweight=".84pt" strokecolor="#000000">
            <v:path arrowok="t"/>
            <v:stroke dashstyle="solid"/>
            <w10:wrap type="topAndBottom"/>
          </v:shape>
        </w:pict>
      </w:r>
    </w:p>
    <w:p>
      <w:pPr>
        <w:pStyle w:val="ListParagraph"/>
        <w:numPr>
          <w:ilvl w:val="0"/>
          <w:numId w:val="12"/>
        </w:numPr>
        <w:tabs>
          <w:tab w:pos="2994" w:val="left" w:leader="none"/>
        </w:tabs>
        <w:spacing w:line="244" w:lineRule="auto" w:before="140" w:after="0"/>
        <w:ind w:left="2740" w:right="2842" w:firstLine="0"/>
        <w:jc w:val="both"/>
        <w:rPr>
          <w:sz w:val="18"/>
        </w:rPr>
      </w:pPr>
      <w:r>
        <w:rPr>
          <w:sz w:val="18"/>
          <w:u w:val="single"/>
        </w:rPr>
        <w:t>Corriveau,</w:t>
      </w:r>
      <w:r>
        <w:rPr>
          <w:spacing w:val="-6"/>
          <w:sz w:val="18"/>
          <w:u w:val="single"/>
        </w:rPr>
        <w:t> </w:t>
      </w:r>
      <w:r>
        <w:rPr>
          <w:sz w:val="18"/>
          <w:u w:val="single"/>
        </w:rPr>
        <w:t>et</w:t>
      </w:r>
      <w:r>
        <w:rPr>
          <w:spacing w:val="-6"/>
          <w:sz w:val="18"/>
          <w:u w:val="single"/>
        </w:rPr>
        <w:t> </w:t>
      </w:r>
      <w:r>
        <w:rPr>
          <w:sz w:val="18"/>
          <w:u w:val="single"/>
        </w:rPr>
        <w:t>al</w:t>
      </w:r>
      <w:r>
        <w:rPr>
          <w:spacing w:val="-7"/>
          <w:sz w:val="18"/>
          <w:u w:val="single"/>
        </w:rPr>
        <w:t> </w:t>
      </w:r>
      <w:r>
        <w:rPr>
          <w:sz w:val="18"/>
          <w:u w:val="single"/>
        </w:rPr>
        <w:t>v.</w:t>
      </w:r>
      <w:r>
        <w:rPr>
          <w:spacing w:val="-5"/>
          <w:sz w:val="18"/>
          <w:u w:val="single"/>
        </w:rPr>
        <w:t> </w:t>
      </w:r>
      <w:r>
        <w:rPr>
          <w:sz w:val="18"/>
          <w:u w:val="single"/>
        </w:rPr>
        <w:t>Aetna</w:t>
      </w:r>
      <w:r>
        <w:rPr>
          <w:spacing w:val="-8"/>
          <w:sz w:val="18"/>
          <w:u w:val="single"/>
        </w:rPr>
        <w:t> </w:t>
      </w:r>
      <w:r>
        <w:rPr>
          <w:sz w:val="18"/>
          <w:u w:val="single"/>
        </w:rPr>
        <w:t>Cas.</w:t>
      </w:r>
      <w:r>
        <w:rPr>
          <w:spacing w:val="-7"/>
          <w:sz w:val="18"/>
          <w:u w:val="single"/>
        </w:rPr>
        <w:t> </w:t>
      </w:r>
      <w:r>
        <w:rPr>
          <w:sz w:val="18"/>
          <w:u w:val="single"/>
        </w:rPr>
        <w:t>&amp;</w:t>
      </w:r>
      <w:r>
        <w:rPr>
          <w:spacing w:val="-8"/>
          <w:sz w:val="18"/>
          <w:u w:val="single"/>
        </w:rPr>
        <w:t> </w:t>
      </w:r>
      <w:r>
        <w:rPr>
          <w:sz w:val="18"/>
          <w:u w:val="single"/>
        </w:rPr>
        <w:t>Sur.</w:t>
      </w:r>
      <w:r>
        <w:rPr>
          <w:spacing w:val="-5"/>
          <w:sz w:val="18"/>
          <w:u w:val="single"/>
        </w:rPr>
        <w:t> </w:t>
      </w:r>
      <w:r>
        <w:rPr>
          <w:sz w:val="18"/>
          <w:u w:val="single"/>
        </w:rPr>
        <w:t>Co.</w:t>
      </w:r>
      <w:r>
        <w:rPr>
          <w:sz w:val="18"/>
        </w:rPr>
        <w:t>,</w:t>
      </w:r>
      <w:r>
        <w:rPr>
          <w:spacing w:val="-5"/>
          <w:sz w:val="18"/>
        </w:rPr>
        <w:t> </w:t>
      </w:r>
      <w:r>
        <w:rPr>
          <w:sz w:val="18"/>
        </w:rPr>
        <w:t>1996</w:t>
      </w:r>
      <w:r>
        <w:rPr>
          <w:spacing w:val="-7"/>
          <w:sz w:val="18"/>
        </w:rPr>
        <w:t> </w:t>
      </w:r>
      <w:r>
        <w:rPr>
          <w:sz w:val="18"/>
        </w:rPr>
        <w:t>WL</w:t>
      </w:r>
      <w:r>
        <w:rPr>
          <w:spacing w:val="-8"/>
          <w:sz w:val="18"/>
        </w:rPr>
        <w:t> </w:t>
      </w:r>
      <w:r>
        <w:rPr>
          <w:sz w:val="18"/>
        </w:rPr>
        <w:t>156109</w:t>
      </w:r>
      <w:r>
        <w:rPr>
          <w:spacing w:val="-7"/>
          <w:sz w:val="18"/>
        </w:rPr>
        <w:t> </w:t>
      </w:r>
      <w:r>
        <w:rPr>
          <w:sz w:val="18"/>
        </w:rPr>
        <w:t>(Conn.</w:t>
      </w:r>
      <w:r>
        <w:rPr>
          <w:spacing w:val="-3"/>
          <w:sz w:val="18"/>
        </w:rPr>
        <w:t> </w:t>
      </w:r>
      <w:r>
        <w:rPr>
          <w:sz w:val="18"/>
        </w:rPr>
        <w:t>Super.</w:t>
      </w:r>
      <w:r>
        <w:rPr>
          <w:spacing w:val="-5"/>
          <w:sz w:val="18"/>
        </w:rPr>
        <w:t> </w:t>
      </w:r>
      <w:r>
        <w:rPr>
          <w:sz w:val="18"/>
        </w:rPr>
        <w:t>Ct.</w:t>
      </w:r>
      <w:r>
        <w:rPr>
          <w:spacing w:val="-5"/>
          <w:sz w:val="18"/>
        </w:rPr>
        <w:t> </w:t>
      </w:r>
      <w:r>
        <w:rPr>
          <w:sz w:val="18"/>
        </w:rPr>
        <w:t>1996)</w:t>
      </w:r>
      <w:r>
        <w:rPr>
          <w:spacing w:val="-6"/>
          <w:sz w:val="18"/>
        </w:rPr>
        <w:t> </w:t>
      </w:r>
      <w:r>
        <w:rPr>
          <w:sz w:val="18"/>
        </w:rPr>
        <w:t>(It has been held that this deadline is strictly enforced); </w:t>
      </w:r>
      <w:r>
        <w:rPr>
          <w:sz w:val="18"/>
          <w:u w:val="single"/>
        </w:rPr>
        <w:t>Vail v. American Way Homes</w:t>
      </w:r>
      <w:r>
        <w:rPr>
          <w:sz w:val="18"/>
        </w:rPr>
        <w:t>, 181Conn.</w:t>
      </w:r>
      <w:r>
        <w:rPr>
          <w:spacing w:val="8"/>
          <w:sz w:val="18"/>
        </w:rPr>
        <w:t> </w:t>
      </w:r>
      <w:r>
        <w:rPr>
          <w:sz w:val="18"/>
        </w:rPr>
        <w:t>449,</w:t>
      </w:r>
      <w:r>
        <w:rPr>
          <w:spacing w:val="6"/>
          <w:sz w:val="18"/>
        </w:rPr>
        <w:t> </w:t>
      </w:r>
      <w:r>
        <w:rPr>
          <w:sz w:val="18"/>
        </w:rPr>
        <w:t>435</w:t>
      </w:r>
      <w:r>
        <w:rPr>
          <w:spacing w:val="8"/>
          <w:sz w:val="18"/>
        </w:rPr>
        <w:t> </w:t>
      </w:r>
      <w:r>
        <w:rPr>
          <w:sz w:val="18"/>
        </w:rPr>
        <w:t>A.2d</w:t>
      </w:r>
      <w:r>
        <w:rPr>
          <w:spacing w:val="9"/>
          <w:sz w:val="18"/>
        </w:rPr>
        <w:t> </w:t>
      </w:r>
      <w:r>
        <w:rPr>
          <w:sz w:val="18"/>
        </w:rPr>
        <w:t>982</w:t>
      </w:r>
      <w:r>
        <w:rPr>
          <w:spacing w:val="8"/>
          <w:sz w:val="18"/>
        </w:rPr>
        <w:t> </w:t>
      </w:r>
      <w:r>
        <w:rPr>
          <w:sz w:val="18"/>
        </w:rPr>
        <w:t>(1980);</w:t>
      </w:r>
      <w:r>
        <w:rPr>
          <w:spacing w:val="8"/>
          <w:sz w:val="18"/>
        </w:rPr>
        <w:t> </w:t>
      </w:r>
      <w:r>
        <w:rPr>
          <w:sz w:val="18"/>
          <w:u w:val="single"/>
        </w:rPr>
        <w:t>Kilby</w:t>
      </w:r>
      <w:r>
        <w:rPr>
          <w:spacing w:val="8"/>
          <w:sz w:val="18"/>
          <w:u w:val="single"/>
        </w:rPr>
        <w:t> </w:t>
      </w:r>
      <w:r>
        <w:rPr>
          <w:sz w:val="18"/>
          <w:u w:val="single"/>
        </w:rPr>
        <w:t>v.</w:t>
      </w:r>
      <w:r>
        <w:rPr>
          <w:spacing w:val="12"/>
          <w:sz w:val="18"/>
          <w:u w:val="single"/>
        </w:rPr>
        <w:t> </w:t>
      </w:r>
      <w:r>
        <w:rPr>
          <w:sz w:val="18"/>
          <w:u w:val="single"/>
        </w:rPr>
        <w:t>St.</w:t>
      </w:r>
      <w:r>
        <w:rPr>
          <w:spacing w:val="13"/>
          <w:sz w:val="18"/>
          <w:u w:val="single"/>
        </w:rPr>
        <w:t> </w:t>
      </w:r>
      <w:r>
        <w:rPr>
          <w:sz w:val="18"/>
          <w:u w:val="single"/>
        </w:rPr>
        <w:t>Paul</w:t>
      </w:r>
      <w:r>
        <w:rPr>
          <w:spacing w:val="6"/>
          <w:sz w:val="18"/>
          <w:u w:val="single"/>
        </w:rPr>
        <w:t> </w:t>
      </w:r>
      <w:r>
        <w:rPr>
          <w:sz w:val="18"/>
          <w:u w:val="single"/>
        </w:rPr>
        <w:t>Ins.</w:t>
      </w:r>
      <w:r>
        <w:rPr>
          <w:spacing w:val="8"/>
          <w:sz w:val="18"/>
          <w:u w:val="single"/>
        </w:rPr>
        <w:t> </w:t>
      </w:r>
      <w:r>
        <w:rPr>
          <w:sz w:val="18"/>
          <w:u w:val="single"/>
        </w:rPr>
        <w:t>Co.</w:t>
      </w:r>
      <w:r>
        <w:rPr>
          <w:sz w:val="18"/>
        </w:rPr>
        <w:t>,</w:t>
      </w:r>
      <w:r>
        <w:rPr>
          <w:spacing w:val="7"/>
          <w:sz w:val="18"/>
        </w:rPr>
        <w:t> </w:t>
      </w:r>
      <w:r>
        <w:rPr>
          <w:sz w:val="18"/>
        </w:rPr>
        <w:t>29</w:t>
      </w:r>
      <w:r>
        <w:rPr>
          <w:spacing w:val="8"/>
          <w:sz w:val="18"/>
        </w:rPr>
        <w:t> </w:t>
      </w:r>
      <w:r>
        <w:rPr>
          <w:sz w:val="18"/>
        </w:rPr>
        <w:t>Conn.</w:t>
      </w:r>
      <w:r>
        <w:rPr>
          <w:spacing w:val="9"/>
          <w:sz w:val="18"/>
        </w:rPr>
        <w:t> </w:t>
      </w:r>
      <w:r>
        <w:rPr>
          <w:sz w:val="18"/>
        </w:rPr>
        <w:t>Supp.</w:t>
      </w:r>
      <w:r>
        <w:rPr>
          <w:spacing w:val="6"/>
          <w:sz w:val="18"/>
        </w:rPr>
        <w:t> </w:t>
      </w:r>
      <w:r>
        <w:rPr>
          <w:sz w:val="18"/>
        </w:rPr>
        <w:t>22,</w:t>
      </w:r>
      <w:r>
        <w:rPr>
          <w:spacing w:val="8"/>
          <w:sz w:val="18"/>
        </w:rPr>
        <w:t> </w:t>
      </w:r>
      <w:r>
        <w:rPr>
          <w:sz w:val="18"/>
        </w:rPr>
        <w:t>269</w:t>
      </w:r>
    </w:p>
    <w:p>
      <w:pPr>
        <w:spacing w:line="207" w:lineRule="exact" w:before="0"/>
        <w:ind w:left="2740" w:right="0" w:firstLine="0"/>
        <w:jc w:val="both"/>
        <w:rPr>
          <w:rFonts w:ascii="Times New Roman"/>
          <w:sz w:val="18"/>
        </w:rPr>
      </w:pPr>
      <w:r>
        <w:rPr>
          <w:rFonts w:ascii="Times New Roman"/>
          <w:sz w:val="18"/>
        </w:rPr>
        <w:t>A.2d 295 (1970).</w:t>
      </w:r>
    </w:p>
    <w:p>
      <w:pPr>
        <w:pStyle w:val="ListParagraph"/>
        <w:numPr>
          <w:ilvl w:val="0"/>
          <w:numId w:val="12"/>
        </w:numPr>
        <w:tabs>
          <w:tab w:pos="3015" w:val="left" w:leader="none"/>
        </w:tabs>
        <w:spacing w:line="247" w:lineRule="exact" w:before="0" w:after="0"/>
        <w:ind w:left="3014" w:right="0" w:hanging="275"/>
        <w:jc w:val="both"/>
        <w:rPr>
          <w:sz w:val="18"/>
        </w:rPr>
      </w:pPr>
      <w:r>
        <w:rPr>
          <w:sz w:val="18"/>
          <w:u w:val="single"/>
        </w:rPr>
        <w:t>Farber v. American National Prop. &amp; Cas. Co.</w:t>
      </w:r>
      <w:r>
        <w:rPr>
          <w:sz w:val="18"/>
        </w:rPr>
        <w:t>, 2008 WL 5159207 (La. App. 3</w:t>
      </w:r>
      <w:r>
        <w:rPr>
          <w:spacing w:val="1"/>
          <w:sz w:val="18"/>
        </w:rPr>
        <w:t> </w:t>
      </w:r>
      <w:r>
        <w:rPr>
          <w:sz w:val="18"/>
        </w:rPr>
        <w:t>Cir.).</w:t>
      </w:r>
    </w:p>
    <w:p>
      <w:pPr>
        <w:spacing w:line="248" w:lineRule="exact" w:before="0"/>
        <w:ind w:left="2740" w:right="0" w:firstLine="0"/>
        <w:jc w:val="both"/>
        <w:rPr>
          <w:rFonts w:ascii="Times New Roman" w:hAnsi="Times New Roman"/>
          <w:sz w:val="18"/>
        </w:rPr>
      </w:pPr>
      <w:r>
        <w:rPr>
          <w:rFonts w:ascii="Times New Roman" w:hAnsi="Times New Roman"/>
          <w:position w:val="10"/>
          <w:sz w:val="14"/>
        </w:rPr>
        <w:t>572</w:t>
      </w:r>
      <w:r>
        <w:rPr>
          <w:rFonts w:ascii="Times New Roman" w:hAnsi="Times New Roman"/>
          <w:i/>
          <w:sz w:val="18"/>
        </w:rPr>
        <w:t>See </w:t>
      </w:r>
      <w:r>
        <w:rPr>
          <w:rFonts w:ascii="Times New Roman" w:hAnsi="Times New Roman"/>
          <w:sz w:val="18"/>
          <w:u w:val="single"/>
        </w:rPr>
        <w:t>Ellie’s 50's Diner, Inc. v. Citizens Prop. Ins. Corp.</w:t>
      </w:r>
      <w:r>
        <w:rPr>
          <w:rFonts w:ascii="Times New Roman" w:hAnsi="Times New Roman"/>
          <w:sz w:val="18"/>
        </w:rPr>
        <w:t>, 54 So.3d 1081, 36 Fla. L. Weekly</w:t>
      </w:r>
    </w:p>
    <w:p>
      <w:pPr>
        <w:spacing w:line="244" w:lineRule="auto" w:before="5"/>
        <w:ind w:left="2740" w:right="2845" w:firstLine="0"/>
        <w:jc w:val="both"/>
        <w:rPr>
          <w:rFonts w:ascii="Times New Roman"/>
          <w:sz w:val="18"/>
        </w:rPr>
      </w:pPr>
      <w:r>
        <w:rPr>
          <w:rFonts w:ascii="Times New Roman"/>
          <w:sz w:val="18"/>
        </w:rPr>
        <w:t>D</w:t>
      </w:r>
      <w:r>
        <w:rPr>
          <w:rFonts w:ascii="Times New Roman"/>
          <w:spacing w:val="-10"/>
          <w:sz w:val="18"/>
        </w:rPr>
        <w:t> </w:t>
      </w:r>
      <w:r>
        <w:rPr>
          <w:rFonts w:ascii="Times New Roman"/>
          <w:sz w:val="18"/>
        </w:rPr>
        <w:t>449</w:t>
      </w:r>
      <w:r>
        <w:rPr>
          <w:rFonts w:ascii="Times New Roman"/>
          <w:spacing w:val="31"/>
          <w:sz w:val="18"/>
        </w:rPr>
        <w:t> </w:t>
      </w:r>
      <w:r>
        <w:rPr>
          <w:rFonts w:ascii="Times New Roman"/>
          <w:sz w:val="18"/>
        </w:rPr>
        <w:t>(Fla..</w:t>
      </w:r>
      <w:r>
        <w:rPr>
          <w:rFonts w:ascii="Times New Roman"/>
          <w:spacing w:val="-7"/>
          <w:sz w:val="18"/>
        </w:rPr>
        <w:t> </w:t>
      </w:r>
      <w:r>
        <w:rPr>
          <w:rFonts w:ascii="Times New Roman"/>
          <w:sz w:val="18"/>
        </w:rPr>
        <w:t>4</w:t>
      </w:r>
      <w:r>
        <w:rPr>
          <w:rFonts w:ascii="Times New Roman"/>
          <w:position w:val="7"/>
          <w:sz w:val="10"/>
        </w:rPr>
        <w:t>th</w:t>
      </w:r>
      <w:r>
        <w:rPr>
          <w:rFonts w:ascii="Times New Roman"/>
          <w:spacing w:val="15"/>
          <w:position w:val="7"/>
          <w:sz w:val="10"/>
        </w:rPr>
        <w:t> </w:t>
      </w:r>
      <w:r>
        <w:rPr>
          <w:rFonts w:ascii="Times New Roman"/>
          <w:sz w:val="18"/>
        </w:rPr>
        <w:t>DCA</w:t>
      </w:r>
      <w:r>
        <w:rPr>
          <w:rFonts w:ascii="Times New Roman"/>
          <w:spacing w:val="-15"/>
          <w:sz w:val="18"/>
        </w:rPr>
        <w:t> </w:t>
      </w:r>
      <w:r>
        <w:rPr>
          <w:rFonts w:ascii="Times New Roman"/>
          <w:sz w:val="18"/>
        </w:rPr>
        <w:t>2011)</w:t>
      </w:r>
      <w:r>
        <w:rPr>
          <w:rFonts w:ascii="Times New Roman"/>
          <w:spacing w:val="-11"/>
          <w:sz w:val="18"/>
        </w:rPr>
        <w:t> </w:t>
      </w:r>
      <w:r>
        <w:rPr>
          <w:rFonts w:ascii="Times New Roman"/>
          <w:sz w:val="18"/>
        </w:rPr>
        <w:t>;</w:t>
      </w:r>
      <w:r>
        <w:rPr>
          <w:rFonts w:ascii="Times New Roman"/>
          <w:spacing w:val="-11"/>
          <w:sz w:val="18"/>
        </w:rPr>
        <w:t> </w:t>
      </w:r>
      <w:r>
        <w:rPr>
          <w:rFonts w:ascii="Times New Roman"/>
          <w:i/>
          <w:sz w:val="18"/>
        </w:rPr>
        <w:t>see</w:t>
      </w:r>
      <w:r>
        <w:rPr>
          <w:rFonts w:ascii="Times New Roman"/>
          <w:i/>
          <w:spacing w:val="-13"/>
          <w:sz w:val="18"/>
        </w:rPr>
        <w:t> </w:t>
      </w:r>
      <w:r>
        <w:rPr>
          <w:rFonts w:ascii="Times New Roman"/>
          <w:i/>
          <w:sz w:val="18"/>
        </w:rPr>
        <w:t>also</w:t>
      </w:r>
      <w:r>
        <w:rPr>
          <w:rFonts w:ascii="Times New Roman"/>
          <w:i/>
          <w:spacing w:val="-10"/>
          <w:sz w:val="18"/>
        </w:rPr>
        <w:t> </w:t>
      </w:r>
      <w:r>
        <w:rPr>
          <w:rFonts w:ascii="Times New Roman"/>
          <w:sz w:val="18"/>
          <w:u w:val="single"/>
        </w:rPr>
        <w:t>Citizens</w:t>
      </w:r>
      <w:r>
        <w:rPr>
          <w:rFonts w:ascii="Times New Roman"/>
          <w:spacing w:val="-13"/>
          <w:sz w:val="18"/>
          <w:u w:val="single"/>
        </w:rPr>
        <w:t> </w:t>
      </w:r>
      <w:r>
        <w:rPr>
          <w:rFonts w:ascii="Times New Roman"/>
          <w:sz w:val="18"/>
          <w:u w:val="single"/>
        </w:rPr>
        <w:t>Prop.</w:t>
      </w:r>
      <w:r>
        <w:rPr>
          <w:rFonts w:ascii="Times New Roman"/>
          <w:spacing w:val="-10"/>
          <w:sz w:val="18"/>
          <w:u w:val="single"/>
        </w:rPr>
        <w:t> </w:t>
      </w:r>
      <w:r>
        <w:rPr>
          <w:rFonts w:ascii="Times New Roman"/>
          <w:sz w:val="18"/>
          <w:u w:val="single"/>
        </w:rPr>
        <w:t>Ins.</w:t>
      </w:r>
      <w:r>
        <w:rPr>
          <w:rFonts w:ascii="Times New Roman"/>
          <w:spacing w:val="-11"/>
          <w:sz w:val="18"/>
          <w:u w:val="single"/>
        </w:rPr>
        <w:t> </w:t>
      </w:r>
      <w:r>
        <w:rPr>
          <w:rFonts w:ascii="Times New Roman"/>
          <w:sz w:val="18"/>
          <w:u w:val="single"/>
        </w:rPr>
        <w:t>Corp.</w:t>
      </w:r>
      <w:r>
        <w:rPr>
          <w:rFonts w:ascii="Times New Roman"/>
          <w:spacing w:val="-10"/>
          <w:sz w:val="18"/>
          <w:u w:val="single"/>
        </w:rPr>
        <w:t> </w:t>
      </w:r>
      <w:r>
        <w:rPr>
          <w:rFonts w:ascii="Times New Roman"/>
          <w:sz w:val="18"/>
          <w:u w:val="single"/>
        </w:rPr>
        <w:t>v.</w:t>
      </w:r>
      <w:r>
        <w:rPr>
          <w:rFonts w:ascii="Times New Roman"/>
          <w:spacing w:val="-11"/>
          <w:sz w:val="18"/>
          <w:u w:val="single"/>
        </w:rPr>
        <w:t> </w:t>
      </w:r>
      <w:r>
        <w:rPr>
          <w:rFonts w:ascii="Times New Roman"/>
          <w:sz w:val="18"/>
          <w:u w:val="single"/>
        </w:rPr>
        <w:t>Mallett</w:t>
      </w:r>
      <w:r>
        <w:rPr>
          <w:rFonts w:ascii="Times New Roman"/>
          <w:i/>
          <w:sz w:val="18"/>
        </w:rPr>
        <w:t>,</w:t>
      </w:r>
      <w:r>
        <w:rPr>
          <w:rFonts w:ascii="Times New Roman"/>
          <w:i/>
          <w:spacing w:val="-8"/>
          <w:sz w:val="18"/>
        </w:rPr>
        <w:t> </w:t>
      </w:r>
      <w:r>
        <w:rPr>
          <w:rFonts w:ascii="Times New Roman"/>
          <w:sz w:val="18"/>
        </w:rPr>
        <w:t>7</w:t>
      </w:r>
      <w:r>
        <w:rPr>
          <w:rFonts w:ascii="Times New Roman"/>
          <w:spacing w:val="-7"/>
          <w:sz w:val="18"/>
        </w:rPr>
        <w:t> </w:t>
      </w:r>
      <w:r>
        <w:rPr>
          <w:rFonts w:ascii="Times New Roman"/>
          <w:sz w:val="18"/>
        </w:rPr>
        <w:t>So.3d</w:t>
      </w:r>
      <w:r>
        <w:rPr>
          <w:rFonts w:ascii="Times New Roman"/>
          <w:spacing w:val="-8"/>
          <w:sz w:val="18"/>
        </w:rPr>
        <w:t> </w:t>
      </w:r>
      <w:r>
        <w:rPr>
          <w:rFonts w:ascii="Times New Roman"/>
          <w:sz w:val="18"/>
        </w:rPr>
        <w:t>552</w:t>
      </w:r>
      <w:r>
        <w:rPr>
          <w:rFonts w:ascii="Times New Roman"/>
          <w:spacing w:val="-7"/>
          <w:sz w:val="18"/>
        </w:rPr>
        <w:t> </w:t>
      </w:r>
      <w:r>
        <w:rPr>
          <w:rFonts w:ascii="Times New Roman"/>
          <w:sz w:val="18"/>
        </w:rPr>
        <w:t>(Fla. 1</w:t>
      </w:r>
      <w:r>
        <w:rPr>
          <w:rFonts w:ascii="Times New Roman"/>
          <w:position w:val="7"/>
          <w:sz w:val="10"/>
        </w:rPr>
        <w:t>st </w:t>
      </w:r>
      <w:r>
        <w:rPr>
          <w:rFonts w:ascii="Times New Roman"/>
          <w:sz w:val="18"/>
        </w:rPr>
        <w:t>DCA 2009); </w:t>
      </w:r>
      <w:r>
        <w:rPr>
          <w:rFonts w:ascii="Times New Roman"/>
          <w:sz w:val="18"/>
          <w:u w:val="single"/>
        </w:rPr>
        <w:t>Lumbermens Mut. Cas. Co. v. Percefull</w:t>
      </w:r>
      <w:r>
        <w:rPr>
          <w:rFonts w:ascii="Times New Roman"/>
          <w:sz w:val="18"/>
        </w:rPr>
        <w:t>, 653 So.2d 389 (Fla.1995); </w:t>
      </w:r>
      <w:r>
        <w:rPr>
          <w:rFonts w:ascii="Times New Roman"/>
          <w:sz w:val="18"/>
          <w:u w:val="single"/>
        </w:rPr>
        <w:t>Sunshine State Ins. Co. v. Davide</w:t>
      </w:r>
      <w:r>
        <w:rPr>
          <w:rFonts w:ascii="Times New Roman"/>
          <w:sz w:val="18"/>
        </w:rPr>
        <w:t>, 15 So.3d 749 (Fla.3d DCA 2009); </w:t>
      </w:r>
      <w:r>
        <w:rPr>
          <w:rFonts w:ascii="Times New Roman"/>
          <w:sz w:val="18"/>
          <w:u w:val="single"/>
        </w:rPr>
        <w:t>Allstate Ins. Co. v.</w:t>
      </w:r>
      <w:r>
        <w:rPr>
          <w:rFonts w:ascii="Times New Roman"/>
          <w:sz w:val="18"/>
        </w:rPr>
        <w:t> </w:t>
      </w:r>
      <w:r>
        <w:rPr>
          <w:rFonts w:ascii="Times New Roman"/>
          <w:sz w:val="18"/>
          <w:u w:val="single"/>
        </w:rPr>
        <w:t>Blanco</w:t>
      </w:r>
      <w:r>
        <w:rPr>
          <w:rFonts w:ascii="Times New Roman"/>
          <w:sz w:val="18"/>
        </w:rPr>
        <w:t>, 791 So.2d 515, 26 Fla. L. Weekly D1737 (Fla.3d DCA 2001).</w:t>
      </w:r>
    </w:p>
    <w:p>
      <w:pPr>
        <w:spacing w:after="0" w:line="244" w:lineRule="auto"/>
        <w:jc w:val="both"/>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3100" w:right="3196"/>
        <w:jc w:val="both"/>
      </w:pPr>
      <w:bookmarkStart w:name="Law and Procedure 266" w:id="84"/>
      <w:bookmarkEnd w:id="84"/>
      <w:r>
        <w:rPr/>
      </w:r>
      <w:r>
        <w:rPr>
          <w:u w:val="single"/>
        </w:rPr>
        <w:t>American Security </w:t>
      </w:r>
      <w:r>
        <w:rPr>
          <w:spacing w:val="2"/>
          <w:u w:val="single"/>
        </w:rPr>
        <w:t>Ins. </w:t>
      </w:r>
      <w:r>
        <w:rPr>
          <w:u w:val="single"/>
        </w:rPr>
        <w:t>Co.</w:t>
      </w:r>
      <w:r>
        <w:rPr>
          <w:vertAlign w:val="superscript"/>
        </w:rPr>
        <w:t>573</w:t>
      </w:r>
      <w:r>
        <w:rPr>
          <w:vertAlign w:val="baseline"/>
        </w:rPr>
        <w:t> </w:t>
      </w:r>
      <w:r>
        <w:rPr>
          <w:spacing w:val="3"/>
          <w:vertAlign w:val="baseline"/>
        </w:rPr>
        <w:t>In </w:t>
      </w:r>
      <w:r>
        <w:rPr>
          <w:u w:val="single"/>
          <w:vertAlign w:val="baseline"/>
        </w:rPr>
        <w:t>Jugo</w:t>
      </w:r>
      <w:r>
        <w:rPr>
          <w:vertAlign w:val="baseline"/>
        </w:rPr>
        <w:t>, </w:t>
      </w:r>
      <w:r>
        <w:rPr>
          <w:spacing w:val="-12"/>
          <w:vertAlign w:val="baseline"/>
        </w:rPr>
        <w:t>the </w:t>
      </w:r>
      <w:r>
        <w:rPr>
          <w:vertAlign w:val="baseline"/>
        </w:rPr>
        <w:t>insured</w:t>
      </w:r>
      <w:r>
        <w:rPr>
          <w:spacing w:val="-35"/>
          <w:vertAlign w:val="baseline"/>
        </w:rPr>
        <w:t> </w:t>
      </w:r>
      <w:r>
        <w:rPr>
          <w:vertAlign w:val="baseline"/>
        </w:rPr>
        <w:t>was</w:t>
      </w:r>
      <w:r>
        <w:rPr>
          <w:spacing w:val="-33"/>
          <w:vertAlign w:val="baseline"/>
        </w:rPr>
        <w:t> </w:t>
      </w:r>
      <w:r>
        <w:rPr>
          <w:vertAlign w:val="baseline"/>
        </w:rPr>
        <w:t>paid</w:t>
      </w:r>
      <w:r>
        <w:rPr>
          <w:spacing w:val="-33"/>
          <w:vertAlign w:val="baseline"/>
        </w:rPr>
        <w:t> </w:t>
      </w:r>
      <w:r>
        <w:rPr>
          <w:vertAlign w:val="baseline"/>
        </w:rPr>
        <w:t>$47,000</w:t>
      </w:r>
      <w:r>
        <w:rPr>
          <w:spacing w:val="-33"/>
          <w:vertAlign w:val="baseline"/>
        </w:rPr>
        <w:t> </w:t>
      </w:r>
      <w:r>
        <w:rPr>
          <w:vertAlign w:val="baseline"/>
        </w:rPr>
        <w:t>toward</w:t>
      </w:r>
      <w:r>
        <w:rPr>
          <w:spacing w:val="-34"/>
          <w:vertAlign w:val="baseline"/>
        </w:rPr>
        <w:t> </w:t>
      </w:r>
      <w:r>
        <w:rPr>
          <w:vertAlign w:val="baseline"/>
        </w:rPr>
        <w:t>the</w:t>
      </w:r>
      <w:r>
        <w:rPr>
          <w:spacing w:val="-33"/>
          <w:vertAlign w:val="baseline"/>
        </w:rPr>
        <w:t> </w:t>
      </w:r>
      <w:r>
        <w:rPr>
          <w:vertAlign w:val="baseline"/>
        </w:rPr>
        <w:t>amount</w:t>
      </w:r>
      <w:r>
        <w:rPr>
          <w:spacing w:val="-35"/>
          <w:vertAlign w:val="baseline"/>
        </w:rPr>
        <w:t> </w:t>
      </w:r>
      <w:r>
        <w:rPr>
          <w:vertAlign w:val="baseline"/>
        </w:rPr>
        <w:t>of loss but more was requested by the insured. After appraisal, the insured was awarded an additional $71,000 and the insured moved </w:t>
      </w:r>
      <w:r>
        <w:rPr>
          <w:spacing w:val="-4"/>
          <w:vertAlign w:val="baseline"/>
        </w:rPr>
        <w:t>for </w:t>
      </w:r>
      <w:r>
        <w:rPr>
          <w:vertAlign w:val="baseline"/>
        </w:rPr>
        <w:t>pre-judgment</w:t>
      </w:r>
      <w:r>
        <w:rPr>
          <w:spacing w:val="-34"/>
          <w:vertAlign w:val="baseline"/>
        </w:rPr>
        <w:t> </w:t>
      </w:r>
      <w:r>
        <w:rPr>
          <w:vertAlign w:val="baseline"/>
        </w:rPr>
        <w:t>interest</w:t>
      </w:r>
      <w:r>
        <w:rPr>
          <w:spacing w:val="-32"/>
          <w:vertAlign w:val="baseline"/>
        </w:rPr>
        <w:t> </w:t>
      </w:r>
      <w:r>
        <w:rPr>
          <w:vertAlign w:val="baseline"/>
        </w:rPr>
        <w:t>from</w:t>
      </w:r>
      <w:r>
        <w:rPr>
          <w:spacing w:val="-31"/>
          <w:vertAlign w:val="baseline"/>
        </w:rPr>
        <w:t> </w:t>
      </w:r>
      <w:r>
        <w:rPr>
          <w:vertAlign w:val="baseline"/>
        </w:rPr>
        <w:t>the</w:t>
      </w:r>
      <w:r>
        <w:rPr>
          <w:spacing w:val="-30"/>
          <w:vertAlign w:val="baseline"/>
        </w:rPr>
        <w:t> </w:t>
      </w:r>
      <w:r>
        <w:rPr>
          <w:vertAlign w:val="baseline"/>
        </w:rPr>
        <w:t>date</w:t>
      </w:r>
      <w:r>
        <w:rPr>
          <w:spacing w:val="-31"/>
          <w:vertAlign w:val="baseline"/>
        </w:rPr>
        <w:t> </w:t>
      </w:r>
      <w:r>
        <w:rPr>
          <w:vertAlign w:val="baseline"/>
        </w:rPr>
        <w:t>of</w:t>
      </w:r>
      <w:r>
        <w:rPr>
          <w:spacing w:val="-30"/>
          <w:vertAlign w:val="baseline"/>
        </w:rPr>
        <w:t> </w:t>
      </w:r>
      <w:r>
        <w:rPr>
          <w:vertAlign w:val="baseline"/>
        </w:rPr>
        <w:t>loss.</w:t>
      </w:r>
      <w:r>
        <w:rPr>
          <w:spacing w:val="8"/>
          <w:vertAlign w:val="baseline"/>
        </w:rPr>
        <w:t> </w:t>
      </w:r>
      <w:r>
        <w:rPr>
          <w:vertAlign w:val="baseline"/>
        </w:rPr>
        <w:t>The court denied the insured’s request and explained</w:t>
      </w:r>
      <w:r>
        <w:rPr>
          <w:spacing w:val="-37"/>
          <w:vertAlign w:val="baseline"/>
        </w:rPr>
        <w:t> </w:t>
      </w:r>
      <w:r>
        <w:rPr>
          <w:vertAlign w:val="baseline"/>
        </w:rPr>
        <w:t>when</w:t>
      </w:r>
      <w:r>
        <w:rPr>
          <w:spacing w:val="-36"/>
          <w:vertAlign w:val="baseline"/>
        </w:rPr>
        <w:t> </w:t>
      </w:r>
      <w:r>
        <w:rPr>
          <w:vertAlign w:val="baseline"/>
        </w:rPr>
        <w:t>pre-judgment</w:t>
      </w:r>
      <w:r>
        <w:rPr>
          <w:spacing w:val="-36"/>
          <w:vertAlign w:val="baseline"/>
        </w:rPr>
        <w:t> </w:t>
      </w:r>
      <w:r>
        <w:rPr>
          <w:vertAlign w:val="baseline"/>
        </w:rPr>
        <w:t>interest</w:t>
      </w:r>
      <w:r>
        <w:rPr>
          <w:spacing w:val="-38"/>
          <w:vertAlign w:val="baseline"/>
        </w:rPr>
        <w:t> </w:t>
      </w:r>
      <w:r>
        <w:rPr>
          <w:spacing w:val="-3"/>
          <w:vertAlign w:val="baseline"/>
        </w:rPr>
        <w:t>from</w:t>
      </w:r>
      <w:r>
        <w:rPr>
          <w:spacing w:val="-38"/>
          <w:vertAlign w:val="baseline"/>
        </w:rPr>
        <w:t> </w:t>
      </w:r>
      <w:r>
        <w:rPr>
          <w:vertAlign w:val="baseline"/>
        </w:rPr>
        <w:t>the date of loss would be appropriate. </w:t>
      </w:r>
      <w:r>
        <w:rPr>
          <w:spacing w:val="2"/>
          <w:vertAlign w:val="baseline"/>
        </w:rPr>
        <w:t>In </w:t>
      </w:r>
      <w:r>
        <w:rPr>
          <w:vertAlign w:val="baseline"/>
        </w:rPr>
        <w:t>cases where the insurer denied coverage for all or any</w:t>
      </w:r>
      <w:r>
        <w:rPr>
          <w:spacing w:val="-27"/>
          <w:vertAlign w:val="baseline"/>
        </w:rPr>
        <w:t> </w:t>
      </w:r>
      <w:r>
        <w:rPr>
          <w:vertAlign w:val="baseline"/>
        </w:rPr>
        <w:t>part</w:t>
      </w:r>
      <w:r>
        <w:rPr>
          <w:spacing w:val="-27"/>
          <w:vertAlign w:val="baseline"/>
        </w:rPr>
        <w:t> </w:t>
      </w:r>
      <w:r>
        <w:rPr>
          <w:vertAlign w:val="baseline"/>
        </w:rPr>
        <w:t>of</w:t>
      </w:r>
      <w:r>
        <w:rPr>
          <w:spacing w:val="-26"/>
          <w:vertAlign w:val="baseline"/>
        </w:rPr>
        <w:t> </w:t>
      </w:r>
      <w:r>
        <w:rPr>
          <w:vertAlign w:val="baseline"/>
        </w:rPr>
        <w:t>the</w:t>
      </w:r>
      <w:r>
        <w:rPr>
          <w:spacing w:val="-26"/>
          <w:vertAlign w:val="baseline"/>
        </w:rPr>
        <w:t> </w:t>
      </w:r>
      <w:r>
        <w:rPr>
          <w:vertAlign w:val="baseline"/>
        </w:rPr>
        <w:t>insured’s</w:t>
      </w:r>
      <w:r>
        <w:rPr>
          <w:spacing w:val="-28"/>
          <w:vertAlign w:val="baseline"/>
        </w:rPr>
        <w:t> </w:t>
      </w:r>
      <w:r>
        <w:rPr>
          <w:vertAlign w:val="baseline"/>
        </w:rPr>
        <w:t>initial</w:t>
      </w:r>
      <w:r>
        <w:rPr>
          <w:spacing w:val="-28"/>
          <w:vertAlign w:val="baseline"/>
        </w:rPr>
        <w:t> </w:t>
      </w:r>
      <w:r>
        <w:rPr>
          <w:vertAlign w:val="baseline"/>
        </w:rPr>
        <w:t>claim,</w:t>
      </w:r>
      <w:r>
        <w:rPr>
          <w:spacing w:val="-28"/>
          <w:vertAlign w:val="baseline"/>
        </w:rPr>
        <w:t> </w:t>
      </w:r>
      <w:r>
        <w:rPr>
          <w:vertAlign w:val="baseline"/>
        </w:rPr>
        <w:t>an</w:t>
      </w:r>
      <w:r>
        <w:rPr>
          <w:spacing w:val="-26"/>
          <w:vertAlign w:val="baseline"/>
        </w:rPr>
        <w:t> </w:t>
      </w:r>
      <w:r>
        <w:rPr>
          <w:vertAlign w:val="baseline"/>
        </w:rPr>
        <w:t>insured </w:t>
      </w:r>
      <w:r>
        <w:rPr>
          <w:spacing w:val="-3"/>
          <w:vertAlign w:val="baseline"/>
        </w:rPr>
        <w:t>would</w:t>
      </w:r>
      <w:r>
        <w:rPr>
          <w:spacing w:val="-33"/>
          <w:vertAlign w:val="baseline"/>
        </w:rPr>
        <w:t> </w:t>
      </w:r>
      <w:r>
        <w:rPr>
          <w:vertAlign w:val="baseline"/>
        </w:rPr>
        <w:t>be</w:t>
      </w:r>
      <w:r>
        <w:rPr>
          <w:spacing w:val="-33"/>
          <w:vertAlign w:val="baseline"/>
        </w:rPr>
        <w:t> </w:t>
      </w:r>
      <w:r>
        <w:rPr>
          <w:vertAlign w:val="baseline"/>
        </w:rPr>
        <w:t>entitled</w:t>
      </w:r>
      <w:r>
        <w:rPr>
          <w:spacing w:val="-33"/>
          <w:vertAlign w:val="baseline"/>
        </w:rPr>
        <w:t> </w:t>
      </w:r>
      <w:r>
        <w:rPr>
          <w:vertAlign w:val="baseline"/>
        </w:rPr>
        <w:t>to</w:t>
      </w:r>
      <w:r>
        <w:rPr>
          <w:spacing w:val="-33"/>
          <w:vertAlign w:val="baseline"/>
        </w:rPr>
        <w:t> </w:t>
      </w:r>
      <w:r>
        <w:rPr>
          <w:vertAlign w:val="baseline"/>
        </w:rPr>
        <w:t>pre-judgment</w:t>
      </w:r>
      <w:r>
        <w:rPr>
          <w:spacing w:val="-34"/>
          <w:vertAlign w:val="baseline"/>
        </w:rPr>
        <w:t> </w:t>
      </w:r>
      <w:r>
        <w:rPr>
          <w:vertAlign w:val="baseline"/>
        </w:rPr>
        <w:t>interest</w:t>
      </w:r>
      <w:r>
        <w:rPr>
          <w:spacing w:val="-37"/>
          <w:vertAlign w:val="baseline"/>
        </w:rPr>
        <w:t> </w:t>
      </w:r>
      <w:r>
        <w:rPr>
          <w:spacing w:val="-3"/>
          <w:vertAlign w:val="baseline"/>
        </w:rPr>
        <w:t>from </w:t>
      </w:r>
      <w:r>
        <w:rPr>
          <w:vertAlign w:val="baseline"/>
        </w:rPr>
        <w:t>the date of the loss. </w:t>
      </w:r>
      <w:r>
        <w:rPr>
          <w:spacing w:val="3"/>
          <w:vertAlign w:val="baseline"/>
        </w:rPr>
        <w:t>In </w:t>
      </w:r>
      <w:r>
        <w:rPr>
          <w:vertAlign w:val="baseline"/>
        </w:rPr>
        <w:t>cases where the</w:t>
      </w:r>
      <w:r>
        <w:rPr>
          <w:spacing w:val="-39"/>
          <w:vertAlign w:val="baseline"/>
        </w:rPr>
        <w:t> </w:t>
      </w:r>
      <w:r>
        <w:rPr>
          <w:vertAlign w:val="baseline"/>
        </w:rPr>
        <w:t>insurer admits coverage but disputes the amount of the covered loss, however, the insured is not entitled</w:t>
      </w:r>
      <w:r>
        <w:rPr>
          <w:spacing w:val="-21"/>
          <w:vertAlign w:val="baseline"/>
        </w:rPr>
        <w:t> </w:t>
      </w:r>
      <w:r>
        <w:rPr>
          <w:vertAlign w:val="baseline"/>
        </w:rPr>
        <w:t>to</w:t>
      </w:r>
      <w:r>
        <w:rPr>
          <w:spacing w:val="-21"/>
          <w:vertAlign w:val="baseline"/>
        </w:rPr>
        <w:t> </w:t>
      </w:r>
      <w:r>
        <w:rPr>
          <w:vertAlign w:val="baseline"/>
        </w:rPr>
        <w:t>pre-judgment</w:t>
      </w:r>
      <w:r>
        <w:rPr>
          <w:spacing w:val="-22"/>
          <w:vertAlign w:val="baseline"/>
        </w:rPr>
        <w:t> </w:t>
      </w:r>
      <w:r>
        <w:rPr>
          <w:vertAlign w:val="baseline"/>
        </w:rPr>
        <w:t>interest</w:t>
      </w:r>
      <w:r>
        <w:rPr>
          <w:spacing w:val="-23"/>
          <w:vertAlign w:val="baseline"/>
        </w:rPr>
        <w:t> </w:t>
      </w:r>
      <w:r>
        <w:rPr>
          <w:vertAlign w:val="baseline"/>
        </w:rPr>
        <w:t>from</w:t>
      </w:r>
      <w:r>
        <w:rPr>
          <w:spacing w:val="-24"/>
          <w:vertAlign w:val="baseline"/>
        </w:rPr>
        <w:t> </w:t>
      </w:r>
      <w:r>
        <w:rPr>
          <w:vertAlign w:val="baseline"/>
        </w:rPr>
        <w:t>the</w:t>
      </w:r>
      <w:r>
        <w:rPr>
          <w:spacing w:val="-24"/>
          <w:vertAlign w:val="baseline"/>
        </w:rPr>
        <w:t> </w:t>
      </w:r>
      <w:r>
        <w:rPr>
          <w:vertAlign w:val="baseline"/>
        </w:rPr>
        <w:t>date of the loss, absent some contract provision to the</w:t>
      </w:r>
      <w:r>
        <w:rPr>
          <w:spacing w:val="-2"/>
          <w:vertAlign w:val="baseline"/>
        </w:rPr>
        <w:t> </w:t>
      </w:r>
      <w:r>
        <w:rPr>
          <w:vertAlign w:val="baseline"/>
        </w:rPr>
        <w:t>contrary.</w:t>
      </w:r>
    </w:p>
    <w:p>
      <w:pPr>
        <w:pStyle w:val="BodyText"/>
        <w:spacing w:before="8"/>
        <w:rPr>
          <w:sz w:val="25"/>
        </w:rPr>
      </w:pPr>
    </w:p>
    <w:p>
      <w:pPr>
        <w:pStyle w:val="BodyText"/>
        <w:spacing w:line="242" w:lineRule="auto" w:before="1"/>
        <w:ind w:left="3100" w:right="3199" w:firstLine="720"/>
        <w:jc w:val="both"/>
      </w:pPr>
      <w:r>
        <w:rPr/>
        <w:t>In Louisiana, it has been held that an insurer’s failure to pay amounts purportedly undisputed during the appraisal process was not arbitrary or capricious.</w:t>
      </w:r>
      <w:r>
        <w:rPr>
          <w:vertAlign w:val="superscript"/>
        </w:rPr>
        <w:t>574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r>
        <w:rPr/>
        <w:pict>
          <v:shape style="position:absolute;margin-left:162pt;margin-top:19.48834pt;width:143.9pt;height:.1pt;mso-position-horizontal-relative:page;mso-position-vertical-relative:paragraph;z-index:-251460608;mso-wrap-distance-left:0;mso-wrap-distance-right:0" coordorigin="3240,390" coordsize="2878,0" path="m3240,390l6118,390e" filled="false" stroked="true" strokeweight=".84pt" strokecolor="#000000">
            <v:path arrowok="t"/>
            <v:stroke dashstyle="solid"/>
            <w10:wrap type="topAndBottom"/>
          </v:shape>
        </w:pict>
      </w:r>
    </w:p>
    <w:p>
      <w:pPr>
        <w:pStyle w:val="BodyText"/>
        <w:spacing w:before="4"/>
        <w:rPr>
          <w:sz w:val="10"/>
        </w:rPr>
      </w:pPr>
    </w:p>
    <w:p>
      <w:pPr>
        <w:spacing w:before="71"/>
        <w:ind w:left="2740" w:right="0" w:firstLine="0"/>
        <w:jc w:val="left"/>
        <w:rPr>
          <w:rFonts w:ascii="Times New Roman"/>
          <w:sz w:val="18"/>
        </w:rPr>
      </w:pPr>
      <w:r>
        <w:rPr>
          <w:rFonts w:ascii="Times New Roman"/>
          <w:position w:val="10"/>
          <w:sz w:val="14"/>
        </w:rPr>
        <w:t>573 </w:t>
      </w:r>
      <w:r>
        <w:rPr>
          <w:rFonts w:ascii="Times New Roman"/>
          <w:sz w:val="18"/>
        </w:rPr>
        <w:t>56 So.3d 94 (Fla.3d DCA 2011).</w:t>
      </w:r>
    </w:p>
    <w:p>
      <w:pPr>
        <w:pStyle w:val="ListParagraph"/>
        <w:numPr>
          <w:ilvl w:val="0"/>
          <w:numId w:val="13"/>
        </w:numPr>
        <w:tabs>
          <w:tab w:pos="3015" w:val="left" w:leader="none"/>
        </w:tabs>
        <w:spacing w:line="240" w:lineRule="auto" w:before="14" w:after="0"/>
        <w:ind w:left="3014" w:right="0" w:hanging="275"/>
        <w:jc w:val="left"/>
        <w:rPr>
          <w:sz w:val="18"/>
        </w:rPr>
      </w:pPr>
      <w:r>
        <w:rPr>
          <w:sz w:val="18"/>
          <w:u w:val="single"/>
        </w:rPr>
        <w:t>Long v. American Security Ins. Co.</w:t>
      </w:r>
      <w:r>
        <w:rPr>
          <w:sz w:val="18"/>
        </w:rPr>
        <w:t>, 52 So.3d 260, 2010-0026 (La.Ct. App.</w:t>
      </w:r>
      <w:r>
        <w:rPr>
          <w:spacing w:val="-2"/>
          <w:sz w:val="18"/>
        </w:rPr>
        <w:t> </w:t>
      </w:r>
      <w:r>
        <w:rPr>
          <w:sz w:val="18"/>
        </w:rPr>
        <w:t>1995).</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91" w:val="left" w:leader="none"/>
          <w:tab w:pos="3892" w:val="left" w:leader="none"/>
        </w:tabs>
        <w:spacing w:line="240" w:lineRule="auto" w:before="42" w:after="0"/>
        <w:ind w:left="3891" w:right="0" w:hanging="792"/>
        <w:jc w:val="left"/>
        <w:rPr>
          <w:rFonts w:ascii="Century Gothic"/>
          <w:sz w:val="26"/>
        </w:rPr>
      </w:pPr>
      <w:bookmarkStart w:name="Law and Procedure 267" w:id="85"/>
      <w:bookmarkEnd w:id="85"/>
      <w:r>
        <w:rPr/>
      </w:r>
      <w:bookmarkStart w:name="Law and Procedure 267" w:id="86"/>
      <w:bookmarkEnd w:id="86"/>
      <w:r>
        <w:rPr>
          <w:rFonts w:ascii="Century Gothic"/>
          <w:sz w:val="26"/>
        </w:rPr>
        <w:t>T</w:t>
      </w:r>
      <w:r>
        <w:rPr>
          <w:rFonts w:ascii="Century Gothic"/>
          <w:sz w:val="26"/>
        </w:rPr>
        <w:t>IME </w:t>
      </w:r>
      <w:r>
        <w:rPr>
          <w:rFonts w:ascii="Century Gothic"/>
          <w:spacing w:val="-3"/>
          <w:sz w:val="26"/>
        </w:rPr>
        <w:t>TO </w:t>
      </w:r>
      <w:r>
        <w:rPr>
          <w:rFonts w:ascii="Century Gothic"/>
          <w:sz w:val="26"/>
        </w:rPr>
        <w:t>BRING SUIT</w:t>
      </w:r>
    </w:p>
    <w:p>
      <w:pPr>
        <w:pStyle w:val="BodyText"/>
        <w:spacing w:before="5"/>
      </w:pPr>
    </w:p>
    <w:p>
      <w:pPr>
        <w:pStyle w:val="BodyText"/>
        <w:spacing w:line="242" w:lineRule="auto"/>
        <w:ind w:left="3100" w:right="3198" w:firstLine="720"/>
        <w:jc w:val="both"/>
      </w:pPr>
      <w:r>
        <w:rPr/>
        <w:t>Most</w:t>
      </w:r>
      <w:r>
        <w:rPr>
          <w:spacing w:val="-18"/>
        </w:rPr>
        <w:t> </w:t>
      </w:r>
      <w:r>
        <w:rPr/>
        <w:t>property</w:t>
      </w:r>
      <w:r>
        <w:rPr>
          <w:spacing w:val="-20"/>
        </w:rPr>
        <w:t> </w:t>
      </w:r>
      <w:r>
        <w:rPr/>
        <w:t>insurance</w:t>
      </w:r>
      <w:r>
        <w:rPr>
          <w:spacing w:val="-15"/>
        </w:rPr>
        <w:t> </w:t>
      </w:r>
      <w:r>
        <w:rPr/>
        <w:t>policies</w:t>
      </w:r>
      <w:r>
        <w:rPr>
          <w:spacing w:val="-17"/>
        </w:rPr>
        <w:t> </w:t>
      </w:r>
      <w:r>
        <w:rPr/>
        <w:t>contain a suit limitations provision which limits the amount of time an insured has to commence litigation against the carrier should that become necessary. </w:t>
      </w:r>
      <w:r>
        <w:rPr>
          <w:spacing w:val="3"/>
        </w:rPr>
        <w:t>In </w:t>
      </w:r>
      <w:r>
        <w:rPr/>
        <w:t>most states, this issue is also regulated by statute or regulation which mandate a minimum amount of time within which the insured has to bring suit. Typically, this provision is contained in the amendatory endorsement</w:t>
      </w:r>
      <w:r>
        <w:rPr>
          <w:spacing w:val="-27"/>
        </w:rPr>
        <w:t> </w:t>
      </w:r>
      <w:r>
        <w:rPr/>
        <w:t>mandated</w:t>
      </w:r>
      <w:r>
        <w:rPr>
          <w:spacing w:val="-25"/>
        </w:rPr>
        <w:t> </w:t>
      </w:r>
      <w:r>
        <w:rPr/>
        <w:t>in</w:t>
      </w:r>
      <w:r>
        <w:rPr>
          <w:spacing w:val="-25"/>
        </w:rPr>
        <w:t> </w:t>
      </w:r>
      <w:r>
        <w:rPr/>
        <w:t>most</w:t>
      </w:r>
      <w:r>
        <w:rPr>
          <w:spacing w:val="-28"/>
        </w:rPr>
        <w:t> </w:t>
      </w:r>
      <w:r>
        <w:rPr/>
        <w:t>states.</w:t>
      </w:r>
      <w:r>
        <w:rPr>
          <w:spacing w:val="17"/>
        </w:rPr>
        <w:t> </w:t>
      </w:r>
      <w:r>
        <w:rPr>
          <w:spacing w:val="3"/>
        </w:rPr>
        <w:t>It</w:t>
      </w:r>
      <w:r>
        <w:rPr>
          <w:spacing w:val="-26"/>
        </w:rPr>
        <w:t> </w:t>
      </w:r>
      <w:r>
        <w:rPr/>
        <w:t>is</w:t>
      </w:r>
      <w:r>
        <w:rPr>
          <w:spacing w:val="-23"/>
        </w:rPr>
        <w:t> </w:t>
      </w:r>
      <w:r>
        <w:rPr>
          <w:spacing w:val="-4"/>
        </w:rPr>
        <w:t>not </w:t>
      </w:r>
      <w:r>
        <w:rPr/>
        <w:t>unusual for the insured to have as little as one year</w:t>
      </w:r>
      <w:r>
        <w:rPr>
          <w:vertAlign w:val="superscript"/>
        </w:rPr>
        <w:t>575</w:t>
      </w:r>
      <w:r>
        <w:rPr>
          <w:spacing w:val="-35"/>
          <w:vertAlign w:val="baseline"/>
        </w:rPr>
        <w:t> </w:t>
      </w:r>
      <w:r>
        <w:rPr>
          <w:vertAlign w:val="baseline"/>
        </w:rPr>
        <w:t>to</w:t>
      </w:r>
      <w:r>
        <w:rPr>
          <w:spacing w:val="-33"/>
          <w:vertAlign w:val="baseline"/>
        </w:rPr>
        <w:t> </w:t>
      </w:r>
      <w:r>
        <w:rPr>
          <w:vertAlign w:val="baseline"/>
        </w:rPr>
        <w:t>commence</w:t>
      </w:r>
      <w:r>
        <w:rPr>
          <w:spacing w:val="-33"/>
          <w:vertAlign w:val="baseline"/>
        </w:rPr>
        <w:t> </w:t>
      </w:r>
      <w:r>
        <w:rPr>
          <w:vertAlign w:val="baseline"/>
        </w:rPr>
        <w:t>litigation,</w:t>
      </w:r>
      <w:r>
        <w:rPr>
          <w:spacing w:val="-35"/>
          <w:vertAlign w:val="baseline"/>
        </w:rPr>
        <w:t> </w:t>
      </w:r>
      <w:r>
        <w:rPr>
          <w:vertAlign w:val="baseline"/>
        </w:rPr>
        <w:t>although</w:t>
      </w:r>
      <w:r>
        <w:rPr>
          <w:spacing w:val="-30"/>
          <w:vertAlign w:val="baseline"/>
        </w:rPr>
        <w:t> </w:t>
      </w:r>
      <w:r>
        <w:rPr>
          <w:spacing w:val="-10"/>
          <w:vertAlign w:val="baseline"/>
        </w:rPr>
        <w:t>many </w:t>
      </w:r>
      <w:r>
        <w:rPr>
          <w:vertAlign w:val="baseline"/>
        </w:rPr>
        <w:t>states permit </w:t>
      </w:r>
      <w:r>
        <w:rPr>
          <w:spacing w:val="-3"/>
          <w:vertAlign w:val="baseline"/>
        </w:rPr>
        <w:t>two </w:t>
      </w:r>
      <w:r>
        <w:rPr>
          <w:vertAlign w:val="baseline"/>
        </w:rPr>
        <w:t>years.</w:t>
      </w:r>
      <w:r>
        <w:rPr>
          <w:vertAlign w:val="superscript"/>
        </w:rPr>
        <w:t>576</w:t>
      </w:r>
      <w:r>
        <w:rPr>
          <w:vertAlign w:val="baseline"/>
        </w:rPr>
        <w:t> Other states </w:t>
      </w:r>
      <w:r>
        <w:rPr>
          <w:spacing w:val="-7"/>
          <w:vertAlign w:val="baseline"/>
        </w:rPr>
        <w:t>permit </w:t>
      </w:r>
      <w:r>
        <w:rPr>
          <w:vertAlign w:val="baseline"/>
        </w:rPr>
        <w:t>a one year period but toll it from the date of notice of claim until claim denial.</w:t>
      </w:r>
      <w:r>
        <w:rPr>
          <w:vertAlign w:val="superscript"/>
        </w:rPr>
        <w:t>577</w:t>
      </w:r>
      <w:r>
        <w:rPr>
          <w:vertAlign w:val="baseline"/>
        </w:rPr>
        <w:t> </w:t>
      </w:r>
      <w:r>
        <w:rPr>
          <w:spacing w:val="-5"/>
          <w:vertAlign w:val="baseline"/>
        </w:rPr>
        <w:t>Florida </w:t>
      </w:r>
      <w:r>
        <w:rPr>
          <w:vertAlign w:val="baseline"/>
        </w:rPr>
        <w:t>permits 5</w:t>
      </w:r>
      <w:r>
        <w:rPr>
          <w:spacing w:val="-3"/>
          <w:vertAlign w:val="baseline"/>
        </w:rPr>
        <w:t> </w:t>
      </w:r>
      <w:r>
        <w:rPr>
          <w:vertAlign w:val="baseline"/>
        </w:rPr>
        <w:t>years.</w:t>
      </w:r>
    </w:p>
    <w:p>
      <w:pPr>
        <w:pStyle w:val="BodyText"/>
        <w:spacing w:before="9"/>
        <w:rPr>
          <w:sz w:val="25"/>
        </w:rPr>
      </w:pPr>
    </w:p>
    <w:p>
      <w:pPr>
        <w:pStyle w:val="BodyText"/>
        <w:spacing w:line="242" w:lineRule="auto"/>
        <w:ind w:left="3100" w:right="3196" w:firstLine="720"/>
        <w:jc w:val="both"/>
      </w:pPr>
      <w:r>
        <w:rPr>
          <w:spacing w:val="2"/>
        </w:rPr>
        <w:t>As </w:t>
      </w:r>
      <w:r>
        <w:rPr/>
        <w:t>the road toward the final adjustment or</w:t>
      </w:r>
      <w:r>
        <w:rPr>
          <w:spacing w:val="-22"/>
        </w:rPr>
        <w:t> </w:t>
      </w:r>
      <w:r>
        <w:rPr/>
        <w:t>appraisal</w:t>
      </w:r>
      <w:r>
        <w:rPr>
          <w:spacing w:val="-20"/>
        </w:rPr>
        <w:t> </w:t>
      </w:r>
      <w:r>
        <w:rPr/>
        <w:t>award</w:t>
      </w:r>
      <w:r>
        <w:rPr>
          <w:spacing w:val="-22"/>
        </w:rPr>
        <w:t> </w:t>
      </w:r>
      <w:r>
        <w:rPr/>
        <w:t>can</w:t>
      </w:r>
      <w:r>
        <w:rPr>
          <w:spacing w:val="-21"/>
        </w:rPr>
        <w:t> </w:t>
      </w:r>
      <w:r>
        <w:rPr/>
        <w:t>be</w:t>
      </w:r>
      <w:r>
        <w:rPr>
          <w:spacing w:val="-21"/>
        </w:rPr>
        <w:t> </w:t>
      </w:r>
      <w:r>
        <w:rPr/>
        <w:t>a</w:t>
      </w:r>
      <w:r>
        <w:rPr>
          <w:spacing w:val="-19"/>
        </w:rPr>
        <w:t> </w:t>
      </w:r>
      <w:r>
        <w:rPr/>
        <w:t>long</w:t>
      </w:r>
      <w:r>
        <w:rPr>
          <w:spacing w:val="-17"/>
        </w:rPr>
        <w:t> </w:t>
      </w:r>
      <w:r>
        <w:rPr/>
        <w:t>and</w:t>
      </w:r>
      <w:r>
        <w:rPr>
          <w:spacing w:val="-19"/>
        </w:rPr>
        <w:t> </w:t>
      </w:r>
      <w:r>
        <w:rPr/>
        <w:t>winding one,</w:t>
      </w:r>
      <w:r>
        <w:rPr>
          <w:spacing w:val="-23"/>
        </w:rPr>
        <w:t> </w:t>
      </w:r>
      <w:r>
        <w:rPr/>
        <w:t>the</w:t>
      </w:r>
      <w:r>
        <w:rPr>
          <w:spacing w:val="-20"/>
        </w:rPr>
        <w:t> </w:t>
      </w:r>
      <w:r>
        <w:rPr/>
        <w:t>insured</w:t>
      </w:r>
      <w:r>
        <w:rPr>
          <w:spacing w:val="-20"/>
        </w:rPr>
        <w:t> </w:t>
      </w:r>
      <w:r>
        <w:rPr/>
        <w:t>and</w:t>
      </w:r>
      <w:r>
        <w:rPr>
          <w:spacing w:val="-19"/>
        </w:rPr>
        <w:t> </w:t>
      </w:r>
      <w:r>
        <w:rPr/>
        <w:t>his</w:t>
      </w:r>
      <w:r>
        <w:rPr>
          <w:spacing w:val="-22"/>
        </w:rPr>
        <w:t> </w:t>
      </w:r>
      <w:r>
        <w:rPr/>
        <w:t>representatives</w:t>
      </w:r>
      <w:r>
        <w:rPr>
          <w:spacing w:val="-21"/>
        </w:rPr>
        <w:t> </w:t>
      </w:r>
      <w:r>
        <w:rPr/>
        <w:t>should always</w:t>
      </w:r>
      <w:r>
        <w:rPr>
          <w:spacing w:val="-20"/>
        </w:rPr>
        <w:t> </w:t>
      </w:r>
      <w:r>
        <w:rPr/>
        <w:t>be</w:t>
      </w:r>
      <w:r>
        <w:rPr>
          <w:spacing w:val="-17"/>
        </w:rPr>
        <w:t> </w:t>
      </w:r>
      <w:r>
        <w:rPr/>
        <w:t>mindful</w:t>
      </w:r>
      <w:r>
        <w:rPr>
          <w:spacing w:val="-16"/>
        </w:rPr>
        <w:t> </w:t>
      </w:r>
      <w:r>
        <w:rPr/>
        <w:t>of</w:t>
      </w:r>
      <w:r>
        <w:rPr>
          <w:spacing w:val="-16"/>
        </w:rPr>
        <w:t> </w:t>
      </w:r>
      <w:r>
        <w:rPr/>
        <w:t>this</w:t>
      </w:r>
      <w:r>
        <w:rPr>
          <w:spacing w:val="-17"/>
        </w:rPr>
        <w:t> </w:t>
      </w:r>
      <w:r>
        <w:rPr/>
        <w:t>deadline,</w:t>
      </w:r>
      <w:r>
        <w:rPr>
          <w:spacing w:val="-19"/>
        </w:rPr>
        <w:t> </w:t>
      </w:r>
      <w:r>
        <w:rPr/>
        <w:t>taking</w:t>
      </w:r>
      <w:r>
        <w:rPr>
          <w:spacing w:val="-16"/>
        </w:rPr>
        <w:t> </w:t>
      </w:r>
      <w:r>
        <w:rPr/>
        <w:t>care to diary the date significantly in advance of the</w:t>
      </w:r>
      <w:r>
        <w:rPr>
          <w:spacing w:val="43"/>
        </w:rPr>
        <w:t> </w:t>
      </w:r>
      <w:r>
        <w:rPr/>
        <w:t>deadline</w:t>
      </w:r>
      <w:r>
        <w:rPr>
          <w:spacing w:val="46"/>
        </w:rPr>
        <w:t> </w:t>
      </w:r>
      <w:r>
        <w:rPr/>
        <w:t>in</w:t>
      </w:r>
      <w:r>
        <w:rPr>
          <w:spacing w:val="44"/>
        </w:rPr>
        <w:t> </w:t>
      </w:r>
      <w:r>
        <w:rPr/>
        <w:t>order</w:t>
      </w:r>
      <w:r>
        <w:rPr>
          <w:spacing w:val="41"/>
        </w:rPr>
        <w:t> </w:t>
      </w:r>
      <w:r>
        <w:rPr/>
        <w:t>to</w:t>
      </w:r>
      <w:r>
        <w:rPr>
          <w:spacing w:val="45"/>
        </w:rPr>
        <w:t> </w:t>
      </w:r>
      <w:r>
        <w:rPr/>
        <w:t>either</w:t>
      </w:r>
      <w:r>
        <w:rPr>
          <w:spacing w:val="42"/>
        </w:rPr>
        <w:t> </w:t>
      </w:r>
      <w:r>
        <w:rPr/>
        <w:t>get</w:t>
      </w:r>
      <w:r>
        <w:rPr>
          <w:spacing w:val="42"/>
        </w:rPr>
        <w:t> </w:t>
      </w:r>
      <w:r>
        <w:rPr/>
        <w:t>a</w:t>
      </w:r>
      <w:r>
        <w:rPr>
          <w:spacing w:val="45"/>
        </w:rPr>
        <w:t> </w:t>
      </w:r>
      <w:r>
        <w:rPr/>
        <w:t>formal</w:t>
      </w:r>
    </w:p>
    <w:p>
      <w:pPr>
        <w:pStyle w:val="BodyText"/>
        <w:spacing w:before="2"/>
      </w:pPr>
      <w:r>
        <w:rPr/>
        <w:pict>
          <v:shape style="position:absolute;margin-left:162pt;margin-top:18.461494pt;width:143.9pt;height:.1pt;mso-position-horizontal-relative:page;mso-position-vertical-relative:paragraph;z-index:-251459584;mso-wrap-distance-left:0;mso-wrap-distance-right:0" coordorigin="3240,369" coordsize="2878,0" path="m3240,369l6118,36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3020" w:val="left" w:leader="none"/>
        </w:tabs>
        <w:spacing w:line="247" w:lineRule="auto" w:before="71" w:after="0"/>
        <w:ind w:left="2740" w:right="2841" w:firstLine="0"/>
        <w:jc w:val="both"/>
        <w:rPr>
          <w:sz w:val="18"/>
        </w:rPr>
      </w:pPr>
      <w:r>
        <w:rPr>
          <w:sz w:val="18"/>
        </w:rPr>
        <w:t>Records, Ariz. Rev. Stat. §20-153 (2003); Standard Fire Policy, Idaho Code §41-201 (2002); Standard Fire Policy, Ill. Comp. Stat. Ann. 215 5/397 (West 2003); Standard Fire Policy</w:t>
      </w:r>
      <w:r>
        <w:rPr>
          <w:spacing w:val="-20"/>
          <w:sz w:val="18"/>
        </w:rPr>
        <w:t> </w:t>
      </w:r>
      <w:r>
        <w:rPr>
          <w:sz w:val="18"/>
        </w:rPr>
        <w:t>Required;</w:t>
      </w:r>
      <w:r>
        <w:rPr>
          <w:spacing w:val="-16"/>
          <w:sz w:val="18"/>
        </w:rPr>
        <w:t> </w:t>
      </w:r>
      <w:r>
        <w:rPr>
          <w:sz w:val="18"/>
        </w:rPr>
        <w:t>Exceptions,</w:t>
      </w:r>
      <w:r>
        <w:rPr>
          <w:spacing w:val="-16"/>
          <w:sz w:val="18"/>
        </w:rPr>
        <w:t> </w:t>
      </w:r>
      <w:r>
        <w:rPr>
          <w:sz w:val="18"/>
        </w:rPr>
        <w:t>Me.</w:t>
      </w:r>
      <w:r>
        <w:rPr>
          <w:spacing w:val="-16"/>
          <w:sz w:val="18"/>
        </w:rPr>
        <w:t> </w:t>
      </w:r>
      <w:r>
        <w:rPr>
          <w:sz w:val="18"/>
        </w:rPr>
        <w:t>Rev.</w:t>
      </w:r>
      <w:r>
        <w:rPr>
          <w:spacing w:val="-15"/>
          <w:sz w:val="18"/>
        </w:rPr>
        <w:t> </w:t>
      </w:r>
      <w:r>
        <w:rPr>
          <w:sz w:val="18"/>
        </w:rPr>
        <w:t>Stat.</w:t>
      </w:r>
      <w:r>
        <w:rPr>
          <w:spacing w:val="-15"/>
          <w:sz w:val="18"/>
        </w:rPr>
        <w:t> </w:t>
      </w:r>
      <w:r>
        <w:rPr>
          <w:sz w:val="18"/>
        </w:rPr>
        <w:t>Ann.</w:t>
      </w:r>
      <w:r>
        <w:rPr>
          <w:spacing w:val="-16"/>
          <w:sz w:val="18"/>
        </w:rPr>
        <w:t> </w:t>
      </w:r>
      <w:r>
        <w:rPr>
          <w:sz w:val="18"/>
        </w:rPr>
        <w:t>Tit.</w:t>
      </w:r>
      <w:r>
        <w:rPr>
          <w:spacing w:val="-14"/>
          <w:sz w:val="18"/>
        </w:rPr>
        <w:t> </w:t>
      </w:r>
      <w:r>
        <w:rPr>
          <w:sz w:val="18"/>
        </w:rPr>
        <w:t>24-A</w:t>
      </w:r>
      <w:r>
        <w:rPr>
          <w:spacing w:val="-19"/>
          <w:sz w:val="18"/>
        </w:rPr>
        <w:t> </w:t>
      </w:r>
      <w:r>
        <w:rPr>
          <w:sz w:val="18"/>
        </w:rPr>
        <w:t>§3002</w:t>
      </w:r>
      <w:r>
        <w:rPr>
          <w:spacing w:val="-16"/>
          <w:sz w:val="18"/>
        </w:rPr>
        <w:t> </w:t>
      </w:r>
      <w:r>
        <w:rPr>
          <w:sz w:val="18"/>
        </w:rPr>
        <w:t>(West</w:t>
      </w:r>
      <w:r>
        <w:rPr>
          <w:spacing w:val="-17"/>
          <w:sz w:val="18"/>
        </w:rPr>
        <w:t> </w:t>
      </w:r>
      <w:r>
        <w:rPr>
          <w:sz w:val="18"/>
        </w:rPr>
        <w:t>2003);</w:t>
      </w:r>
      <w:r>
        <w:rPr>
          <w:spacing w:val="-16"/>
          <w:sz w:val="18"/>
        </w:rPr>
        <w:t> </w:t>
      </w:r>
      <w:r>
        <w:rPr>
          <w:sz w:val="18"/>
        </w:rPr>
        <w:t>Fire</w:t>
      </w:r>
      <w:r>
        <w:rPr>
          <w:spacing w:val="-16"/>
          <w:sz w:val="18"/>
        </w:rPr>
        <w:t> </w:t>
      </w:r>
      <w:r>
        <w:rPr>
          <w:sz w:val="18"/>
        </w:rPr>
        <w:t>Policy; Standard</w:t>
      </w:r>
      <w:r>
        <w:rPr>
          <w:spacing w:val="-3"/>
          <w:sz w:val="18"/>
        </w:rPr>
        <w:t> </w:t>
      </w:r>
      <w:r>
        <w:rPr>
          <w:sz w:val="18"/>
        </w:rPr>
        <w:t>Form,</w:t>
      </w:r>
      <w:r>
        <w:rPr>
          <w:spacing w:val="-2"/>
          <w:sz w:val="18"/>
        </w:rPr>
        <w:t> </w:t>
      </w:r>
      <w:r>
        <w:rPr>
          <w:sz w:val="18"/>
        </w:rPr>
        <w:t>Mass.</w:t>
      </w:r>
      <w:r>
        <w:rPr>
          <w:spacing w:val="-3"/>
          <w:sz w:val="18"/>
        </w:rPr>
        <w:t> </w:t>
      </w:r>
      <w:r>
        <w:rPr>
          <w:sz w:val="18"/>
        </w:rPr>
        <w:t>Gen.</w:t>
      </w:r>
      <w:r>
        <w:rPr>
          <w:spacing w:val="-2"/>
          <w:sz w:val="18"/>
        </w:rPr>
        <w:t> </w:t>
      </w:r>
      <w:r>
        <w:rPr>
          <w:sz w:val="18"/>
        </w:rPr>
        <w:t>Laws</w:t>
      </w:r>
      <w:r>
        <w:rPr>
          <w:spacing w:val="-4"/>
          <w:sz w:val="18"/>
        </w:rPr>
        <w:t> </w:t>
      </w:r>
      <w:r>
        <w:rPr>
          <w:sz w:val="18"/>
        </w:rPr>
        <w:t>Ann.</w:t>
      </w:r>
      <w:r>
        <w:rPr>
          <w:spacing w:val="-2"/>
          <w:sz w:val="18"/>
        </w:rPr>
        <w:t> </w:t>
      </w:r>
      <w:r>
        <w:rPr>
          <w:sz w:val="18"/>
        </w:rPr>
        <w:t>Ch.</w:t>
      </w:r>
      <w:r>
        <w:rPr>
          <w:spacing w:val="-3"/>
          <w:sz w:val="18"/>
        </w:rPr>
        <w:t> </w:t>
      </w:r>
      <w:r>
        <w:rPr>
          <w:sz w:val="18"/>
        </w:rPr>
        <w:t>175,</w:t>
      </w:r>
      <w:r>
        <w:rPr>
          <w:spacing w:val="-2"/>
          <w:sz w:val="18"/>
        </w:rPr>
        <w:t> </w:t>
      </w:r>
      <w:r>
        <w:rPr>
          <w:sz w:val="18"/>
        </w:rPr>
        <w:t>§99</w:t>
      </w:r>
      <w:r>
        <w:rPr>
          <w:spacing w:val="-3"/>
          <w:sz w:val="18"/>
        </w:rPr>
        <w:t> </w:t>
      </w:r>
      <w:r>
        <w:rPr>
          <w:sz w:val="18"/>
        </w:rPr>
        <w:t>(West</w:t>
      </w:r>
      <w:r>
        <w:rPr>
          <w:spacing w:val="-4"/>
          <w:sz w:val="18"/>
        </w:rPr>
        <w:t> </w:t>
      </w:r>
      <w:r>
        <w:rPr>
          <w:sz w:val="18"/>
        </w:rPr>
        <w:t>2003);</w:t>
      </w:r>
      <w:r>
        <w:rPr>
          <w:spacing w:val="-2"/>
          <w:sz w:val="18"/>
        </w:rPr>
        <w:t> </w:t>
      </w:r>
      <w:r>
        <w:rPr>
          <w:sz w:val="18"/>
        </w:rPr>
        <w:t>Punishment</w:t>
      </w:r>
      <w:r>
        <w:rPr>
          <w:spacing w:val="-3"/>
          <w:sz w:val="18"/>
        </w:rPr>
        <w:t> </w:t>
      </w:r>
      <w:r>
        <w:rPr>
          <w:sz w:val="18"/>
        </w:rPr>
        <w:t>for</w:t>
      </w:r>
      <w:r>
        <w:rPr>
          <w:spacing w:val="-2"/>
          <w:sz w:val="18"/>
        </w:rPr>
        <w:t> </w:t>
      </w:r>
      <w:r>
        <w:rPr>
          <w:sz w:val="18"/>
        </w:rPr>
        <w:t>Issuing Fire</w:t>
      </w:r>
      <w:r>
        <w:rPr>
          <w:spacing w:val="-7"/>
          <w:sz w:val="18"/>
        </w:rPr>
        <w:t> </w:t>
      </w:r>
      <w:r>
        <w:rPr>
          <w:sz w:val="18"/>
        </w:rPr>
        <w:t>Policies</w:t>
      </w:r>
      <w:r>
        <w:rPr>
          <w:spacing w:val="-8"/>
          <w:sz w:val="18"/>
        </w:rPr>
        <w:t> </w:t>
      </w:r>
      <w:r>
        <w:rPr>
          <w:sz w:val="18"/>
        </w:rPr>
        <w:t>Contrary</w:t>
      </w:r>
      <w:r>
        <w:rPr>
          <w:spacing w:val="-10"/>
          <w:sz w:val="18"/>
        </w:rPr>
        <w:t> </w:t>
      </w:r>
      <w:r>
        <w:rPr>
          <w:sz w:val="18"/>
        </w:rPr>
        <w:t>to</w:t>
      </w:r>
      <w:r>
        <w:rPr>
          <w:spacing w:val="-6"/>
          <w:sz w:val="18"/>
        </w:rPr>
        <w:t> </w:t>
      </w:r>
      <w:r>
        <w:rPr>
          <w:sz w:val="18"/>
        </w:rPr>
        <w:t>Law,</w:t>
      </w:r>
      <w:r>
        <w:rPr>
          <w:spacing w:val="-5"/>
          <w:sz w:val="18"/>
        </w:rPr>
        <w:t> </w:t>
      </w:r>
      <w:r>
        <w:rPr>
          <w:sz w:val="18"/>
        </w:rPr>
        <w:t>N.C.</w:t>
      </w:r>
      <w:r>
        <w:rPr>
          <w:spacing w:val="-9"/>
          <w:sz w:val="18"/>
        </w:rPr>
        <w:t> </w:t>
      </w:r>
      <w:r>
        <w:rPr>
          <w:sz w:val="18"/>
        </w:rPr>
        <w:t>Gen.</w:t>
      </w:r>
      <w:r>
        <w:rPr>
          <w:spacing w:val="-8"/>
          <w:sz w:val="18"/>
        </w:rPr>
        <w:t> </w:t>
      </w:r>
      <w:r>
        <w:rPr>
          <w:sz w:val="18"/>
        </w:rPr>
        <w:t>Stat.</w:t>
      </w:r>
      <w:r>
        <w:rPr>
          <w:spacing w:val="-9"/>
          <w:sz w:val="18"/>
        </w:rPr>
        <w:t> </w:t>
      </w:r>
      <w:r>
        <w:rPr>
          <w:sz w:val="18"/>
        </w:rPr>
        <w:t>§58-43-35</w:t>
      </w:r>
      <w:r>
        <w:rPr>
          <w:spacing w:val="-5"/>
          <w:sz w:val="18"/>
        </w:rPr>
        <w:t> </w:t>
      </w:r>
      <w:r>
        <w:rPr>
          <w:sz w:val="18"/>
        </w:rPr>
        <w:t>(2003);</w:t>
      </w:r>
      <w:r>
        <w:rPr>
          <w:spacing w:val="-7"/>
          <w:sz w:val="18"/>
        </w:rPr>
        <w:t> </w:t>
      </w:r>
      <w:r>
        <w:rPr>
          <w:sz w:val="18"/>
        </w:rPr>
        <w:t>Penalty</w:t>
      </w:r>
      <w:r>
        <w:rPr>
          <w:spacing w:val="-11"/>
          <w:sz w:val="18"/>
        </w:rPr>
        <w:t> </w:t>
      </w:r>
      <w:r>
        <w:rPr>
          <w:sz w:val="18"/>
        </w:rPr>
        <w:t>for</w:t>
      </w:r>
      <w:r>
        <w:rPr>
          <w:spacing w:val="-9"/>
          <w:sz w:val="18"/>
        </w:rPr>
        <w:t> </w:t>
      </w:r>
      <w:r>
        <w:rPr>
          <w:sz w:val="18"/>
        </w:rPr>
        <w:t>Issuing</w:t>
      </w:r>
      <w:r>
        <w:rPr>
          <w:spacing w:val="-7"/>
          <w:sz w:val="18"/>
        </w:rPr>
        <w:t> </w:t>
      </w:r>
      <w:r>
        <w:rPr>
          <w:sz w:val="18"/>
        </w:rPr>
        <w:t>Other than Standard Fire Policies, 40 Pa. Cons. Stat. §637</w:t>
      </w:r>
      <w:r>
        <w:rPr>
          <w:spacing w:val="6"/>
          <w:sz w:val="18"/>
        </w:rPr>
        <w:t> </w:t>
      </w:r>
      <w:r>
        <w:rPr>
          <w:sz w:val="18"/>
        </w:rPr>
        <w:t>(2000).</w:t>
      </w:r>
    </w:p>
    <w:p>
      <w:pPr>
        <w:pStyle w:val="ListParagraph"/>
        <w:numPr>
          <w:ilvl w:val="0"/>
          <w:numId w:val="13"/>
        </w:numPr>
        <w:tabs>
          <w:tab w:pos="3015" w:val="left" w:leader="none"/>
        </w:tabs>
        <w:spacing w:line="267" w:lineRule="exact" w:before="0" w:after="0"/>
        <w:ind w:left="3014" w:right="0" w:hanging="275"/>
        <w:jc w:val="both"/>
        <w:rPr>
          <w:sz w:val="18"/>
        </w:rPr>
      </w:pPr>
      <w:r>
        <w:rPr>
          <w:i/>
          <w:sz w:val="18"/>
        </w:rPr>
        <w:t>See e.g</w:t>
      </w:r>
      <w:r>
        <w:rPr>
          <w:sz w:val="18"/>
        </w:rPr>
        <w:t>., N.Y. Ins. Law</w:t>
      </w:r>
      <w:r>
        <w:rPr>
          <w:spacing w:val="-4"/>
          <w:sz w:val="18"/>
        </w:rPr>
        <w:t> </w:t>
      </w:r>
      <w:r>
        <w:rPr>
          <w:sz w:val="18"/>
        </w:rPr>
        <w:t>§3404.</w:t>
      </w:r>
    </w:p>
    <w:p>
      <w:pPr>
        <w:pStyle w:val="ListParagraph"/>
        <w:numPr>
          <w:ilvl w:val="0"/>
          <w:numId w:val="13"/>
        </w:numPr>
        <w:tabs>
          <w:tab w:pos="3015" w:val="left" w:leader="none"/>
        </w:tabs>
        <w:spacing w:line="240" w:lineRule="auto" w:before="14" w:after="0"/>
        <w:ind w:left="3014" w:right="0" w:hanging="275"/>
        <w:jc w:val="both"/>
        <w:rPr>
          <w:sz w:val="18"/>
        </w:rPr>
      </w:pPr>
      <w:r>
        <w:rPr>
          <w:sz w:val="18"/>
        </w:rPr>
        <w:t>Furnishing Proofs of Loss, N.J. Stat. Ann. 17:36-6 (West</w:t>
      </w:r>
      <w:r>
        <w:rPr>
          <w:spacing w:val="-5"/>
          <w:sz w:val="18"/>
        </w:rPr>
        <w:t> </w:t>
      </w:r>
      <w:r>
        <w:rPr>
          <w:sz w:val="18"/>
        </w:rPr>
        <w:t>2003).</w:t>
      </w:r>
    </w:p>
    <w:p>
      <w:pPr>
        <w:spacing w:after="0" w:line="240" w:lineRule="auto"/>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68" w:id="87"/>
      <w:bookmarkEnd w:id="87"/>
      <w:r>
        <w:rPr/>
      </w:r>
      <w:r>
        <w:rPr/>
        <w:t>written</w:t>
      </w:r>
      <w:r>
        <w:rPr>
          <w:spacing w:val="-12"/>
        </w:rPr>
        <w:t> </w:t>
      </w:r>
      <w:r>
        <w:rPr/>
        <w:t>extension</w:t>
      </w:r>
      <w:r>
        <w:rPr>
          <w:spacing w:val="-11"/>
        </w:rPr>
        <w:t> </w:t>
      </w:r>
      <w:r>
        <w:rPr/>
        <w:t>from</w:t>
      </w:r>
      <w:r>
        <w:rPr>
          <w:spacing w:val="-10"/>
        </w:rPr>
        <w:t> </w:t>
      </w:r>
      <w:r>
        <w:rPr/>
        <w:t>someone</w:t>
      </w:r>
      <w:r>
        <w:rPr>
          <w:spacing w:val="-9"/>
        </w:rPr>
        <w:t> </w:t>
      </w:r>
      <w:r>
        <w:rPr/>
        <w:t>in</w:t>
      </w:r>
      <w:r>
        <w:rPr>
          <w:spacing w:val="-11"/>
        </w:rPr>
        <w:t> </w:t>
      </w:r>
      <w:r>
        <w:rPr/>
        <w:t>authority</w:t>
      </w:r>
      <w:r>
        <w:rPr>
          <w:spacing w:val="-14"/>
        </w:rPr>
        <w:t> </w:t>
      </w:r>
      <w:r>
        <w:rPr/>
        <w:t>at the</w:t>
      </w:r>
      <w:r>
        <w:rPr>
          <w:spacing w:val="-13"/>
        </w:rPr>
        <w:t> </w:t>
      </w:r>
      <w:r>
        <w:rPr/>
        <w:t>carrier</w:t>
      </w:r>
      <w:r>
        <w:rPr>
          <w:spacing w:val="-15"/>
        </w:rPr>
        <w:t> </w:t>
      </w:r>
      <w:r>
        <w:rPr/>
        <w:t>or</w:t>
      </w:r>
      <w:r>
        <w:rPr>
          <w:spacing w:val="-14"/>
        </w:rPr>
        <w:t> </w:t>
      </w:r>
      <w:r>
        <w:rPr/>
        <w:t>to</w:t>
      </w:r>
      <w:r>
        <w:rPr>
          <w:spacing w:val="-12"/>
        </w:rPr>
        <w:t> </w:t>
      </w:r>
      <w:r>
        <w:rPr/>
        <w:t>take</w:t>
      </w:r>
      <w:r>
        <w:rPr>
          <w:spacing w:val="-14"/>
        </w:rPr>
        <w:t> </w:t>
      </w:r>
      <w:r>
        <w:rPr/>
        <w:t>steps</w:t>
      </w:r>
      <w:r>
        <w:rPr>
          <w:spacing w:val="-12"/>
        </w:rPr>
        <w:t> </w:t>
      </w:r>
      <w:r>
        <w:rPr/>
        <w:t>to</w:t>
      </w:r>
      <w:r>
        <w:rPr>
          <w:spacing w:val="-12"/>
        </w:rPr>
        <w:t> </w:t>
      </w:r>
      <w:r>
        <w:rPr/>
        <w:t>toll</w:t>
      </w:r>
      <w:r>
        <w:rPr>
          <w:spacing w:val="-12"/>
        </w:rPr>
        <w:t> </w:t>
      </w:r>
      <w:r>
        <w:rPr/>
        <w:t>the</w:t>
      </w:r>
      <w:r>
        <w:rPr>
          <w:spacing w:val="-13"/>
        </w:rPr>
        <w:t> </w:t>
      </w:r>
      <w:r>
        <w:rPr/>
        <w:t>running</w:t>
      </w:r>
      <w:r>
        <w:rPr>
          <w:spacing w:val="-13"/>
        </w:rPr>
        <w:t> </w:t>
      </w:r>
      <w:r>
        <w:rPr/>
        <w:t>of the limitation period by filing suit, filing a summons or by taking whatever procedural step is necessary in the local jurisdiction to preserve the right to</w:t>
      </w:r>
      <w:r>
        <w:rPr>
          <w:spacing w:val="-6"/>
        </w:rPr>
        <w:t> </w:t>
      </w:r>
      <w:r>
        <w:rPr/>
        <w:t>sue.</w:t>
      </w:r>
    </w:p>
    <w:p>
      <w:pPr>
        <w:pStyle w:val="BodyText"/>
      </w:pPr>
    </w:p>
    <w:p>
      <w:pPr>
        <w:pStyle w:val="BodyText"/>
        <w:spacing w:line="242" w:lineRule="auto"/>
        <w:ind w:left="3100" w:right="3197" w:firstLine="720"/>
        <w:jc w:val="both"/>
      </w:pPr>
      <w:r>
        <w:rPr/>
        <w:t>The parties should never presume that merely</w:t>
      </w:r>
      <w:r>
        <w:rPr>
          <w:spacing w:val="-29"/>
        </w:rPr>
        <w:t> </w:t>
      </w:r>
      <w:r>
        <w:rPr/>
        <w:t>because</w:t>
      </w:r>
      <w:r>
        <w:rPr>
          <w:spacing w:val="-23"/>
        </w:rPr>
        <w:t> </w:t>
      </w:r>
      <w:r>
        <w:rPr/>
        <w:t>negotiations</w:t>
      </w:r>
      <w:r>
        <w:rPr>
          <w:spacing w:val="-27"/>
        </w:rPr>
        <w:t> </w:t>
      </w:r>
      <w:r>
        <w:rPr/>
        <w:t>are</w:t>
      </w:r>
      <w:r>
        <w:rPr>
          <w:spacing w:val="-26"/>
        </w:rPr>
        <w:t> </w:t>
      </w:r>
      <w:r>
        <w:rPr/>
        <w:t>under</w:t>
      </w:r>
      <w:r>
        <w:rPr>
          <w:spacing w:val="-27"/>
        </w:rPr>
        <w:t> </w:t>
      </w:r>
      <w:r>
        <w:rPr/>
        <w:t>way</w:t>
      </w:r>
      <w:r>
        <w:rPr>
          <w:spacing w:val="-27"/>
        </w:rPr>
        <w:t> </w:t>
      </w:r>
      <w:r>
        <w:rPr/>
        <w:t>or the appraisal process </w:t>
      </w:r>
      <w:r>
        <w:rPr>
          <w:spacing w:val="2"/>
        </w:rPr>
        <w:t>is </w:t>
      </w:r>
      <w:r>
        <w:rPr/>
        <w:t>moving forward that the</w:t>
      </w:r>
      <w:r>
        <w:rPr>
          <w:spacing w:val="-30"/>
        </w:rPr>
        <w:t> </w:t>
      </w:r>
      <w:r>
        <w:rPr/>
        <w:t>time</w:t>
      </w:r>
      <w:r>
        <w:rPr>
          <w:spacing w:val="-30"/>
        </w:rPr>
        <w:t> </w:t>
      </w:r>
      <w:r>
        <w:rPr/>
        <w:t>within</w:t>
      </w:r>
      <w:r>
        <w:rPr>
          <w:spacing w:val="-30"/>
        </w:rPr>
        <w:t> </w:t>
      </w:r>
      <w:r>
        <w:rPr/>
        <w:t>which</w:t>
      </w:r>
      <w:r>
        <w:rPr>
          <w:spacing w:val="-28"/>
        </w:rPr>
        <w:t> </w:t>
      </w:r>
      <w:r>
        <w:rPr/>
        <w:t>to</w:t>
      </w:r>
      <w:r>
        <w:rPr>
          <w:spacing w:val="-32"/>
        </w:rPr>
        <w:t> </w:t>
      </w:r>
      <w:r>
        <w:rPr/>
        <w:t>bring</w:t>
      </w:r>
      <w:r>
        <w:rPr>
          <w:spacing w:val="-30"/>
        </w:rPr>
        <w:t> </w:t>
      </w:r>
      <w:r>
        <w:rPr/>
        <w:t>suit</w:t>
      </w:r>
      <w:r>
        <w:rPr>
          <w:spacing w:val="-30"/>
        </w:rPr>
        <w:t> </w:t>
      </w:r>
      <w:r>
        <w:rPr/>
        <w:t>has</w:t>
      </w:r>
      <w:r>
        <w:rPr>
          <w:spacing w:val="-28"/>
        </w:rPr>
        <w:t> </w:t>
      </w:r>
      <w:r>
        <w:rPr/>
        <w:t>somehow been</w:t>
      </w:r>
      <w:r>
        <w:rPr>
          <w:spacing w:val="-26"/>
        </w:rPr>
        <w:t> </w:t>
      </w:r>
      <w:r>
        <w:rPr/>
        <w:t>tolled</w:t>
      </w:r>
      <w:r>
        <w:rPr>
          <w:spacing w:val="-23"/>
        </w:rPr>
        <w:t> </w:t>
      </w:r>
      <w:r>
        <w:rPr/>
        <w:t>or</w:t>
      </w:r>
      <w:r>
        <w:rPr>
          <w:spacing w:val="-23"/>
        </w:rPr>
        <w:t> </w:t>
      </w:r>
      <w:r>
        <w:rPr/>
        <w:t>is</w:t>
      </w:r>
      <w:r>
        <w:rPr>
          <w:spacing w:val="-26"/>
        </w:rPr>
        <w:t> </w:t>
      </w:r>
      <w:r>
        <w:rPr/>
        <w:t>irrelevant.</w:t>
      </w:r>
      <w:r>
        <w:rPr>
          <w:spacing w:val="-27"/>
        </w:rPr>
        <w:t> </w:t>
      </w:r>
      <w:r>
        <w:rPr/>
        <w:t>Obviously</w:t>
      </w:r>
      <w:r>
        <w:rPr>
          <w:spacing w:val="-25"/>
        </w:rPr>
        <w:t> </w:t>
      </w:r>
      <w:r>
        <w:rPr/>
        <w:t>this</w:t>
      </w:r>
      <w:r>
        <w:rPr>
          <w:spacing w:val="-25"/>
        </w:rPr>
        <w:t> </w:t>
      </w:r>
      <w:r>
        <w:rPr/>
        <w:t>would not pertain to those jurisdictions where time</w:t>
      </w:r>
      <w:r>
        <w:rPr>
          <w:spacing w:val="-37"/>
        </w:rPr>
        <w:t> </w:t>
      </w:r>
      <w:r>
        <w:rPr/>
        <w:t>to bring suit is measured from the date of the denial of the claim. However, in </w:t>
      </w:r>
      <w:r>
        <w:rPr>
          <w:spacing w:val="-4"/>
        </w:rPr>
        <w:t>other </w:t>
      </w:r>
      <w:r>
        <w:rPr/>
        <w:t>jurisdictions, care should still be taken, despite being in the midst of the appraisal process, to preserve the right to bring</w:t>
      </w:r>
      <w:r>
        <w:rPr>
          <w:spacing w:val="-7"/>
        </w:rPr>
        <w:t> </w:t>
      </w:r>
      <w:r>
        <w:rPr/>
        <w:t>suit.</w:t>
      </w:r>
    </w:p>
    <w:p>
      <w:pPr>
        <w:pStyle w:val="BodyText"/>
        <w:spacing w:before="11"/>
        <w:rPr>
          <w:sz w:val="25"/>
        </w:rPr>
      </w:pPr>
    </w:p>
    <w:p>
      <w:pPr>
        <w:pStyle w:val="BodyText"/>
        <w:spacing w:line="242" w:lineRule="auto"/>
        <w:ind w:left="3100" w:right="3199" w:firstLine="720"/>
        <w:jc w:val="both"/>
      </w:pPr>
      <w:r>
        <w:rPr/>
        <w:t>For</w:t>
      </w:r>
      <w:r>
        <w:rPr>
          <w:spacing w:val="-22"/>
        </w:rPr>
        <w:t> </w:t>
      </w:r>
      <w:r>
        <w:rPr/>
        <w:t>example,</w:t>
      </w:r>
      <w:r>
        <w:rPr>
          <w:spacing w:val="-18"/>
        </w:rPr>
        <w:t> </w:t>
      </w:r>
      <w:r>
        <w:rPr/>
        <w:t>a</w:t>
      </w:r>
      <w:r>
        <w:rPr>
          <w:spacing w:val="-17"/>
        </w:rPr>
        <w:t> </w:t>
      </w:r>
      <w:r>
        <w:rPr/>
        <w:t>Washington</w:t>
      </w:r>
      <w:r>
        <w:rPr>
          <w:spacing w:val="-16"/>
        </w:rPr>
        <w:t> </w:t>
      </w:r>
      <w:r>
        <w:rPr/>
        <w:t>court</w:t>
      </w:r>
      <w:r>
        <w:rPr>
          <w:spacing w:val="-19"/>
        </w:rPr>
        <w:t> </w:t>
      </w:r>
      <w:r>
        <w:rPr/>
        <w:t>did</w:t>
      </w:r>
      <w:r>
        <w:rPr>
          <w:spacing w:val="-18"/>
        </w:rPr>
        <w:t> </w:t>
      </w:r>
      <w:r>
        <w:rPr>
          <w:spacing w:val="-5"/>
        </w:rPr>
        <w:t>not </w:t>
      </w:r>
      <w:r>
        <w:rPr/>
        <w:t>find</w:t>
      </w:r>
      <w:r>
        <w:rPr>
          <w:spacing w:val="-34"/>
        </w:rPr>
        <w:t> </w:t>
      </w:r>
      <w:r>
        <w:rPr/>
        <w:t>a</w:t>
      </w:r>
      <w:r>
        <w:rPr>
          <w:spacing w:val="-32"/>
        </w:rPr>
        <w:t> </w:t>
      </w:r>
      <w:r>
        <w:rPr/>
        <w:t>reasonable</w:t>
      </w:r>
      <w:r>
        <w:rPr>
          <w:spacing w:val="-29"/>
        </w:rPr>
        <w:t> </w:t>
      </w:r>
      <w:r>
        <w:rPr/>
        <w:t>excuse</w:t>
      </w:r>
      <w:r>
        <w:rPr>
          <w:spacing w:val="-35"/>
        </w:rPr>
        <w:t> </w:t>
      </w:r>
      <w:r>
        <w:rPr/>
        <w:t>for</w:t>
      </w:r>
      <w:r>
        <w:rPr>
          <w:spacing w:val="-35"/>
        </w:rPr>
        <w:t> </w:t>
      </w:r>
      <w:r>
        <w:rPr/>
        <w:t>delay</w:t>
      </w:r>
      <w:r>
        <w:rPr>
          <w:spacing w:val="-33"/>
        </w:rPr>
        <w:t> </w:t>
      </w:r>
      <w:r>
        <w:rPr/>
        <w:t>for</w:t>
      </w:r>
      <w:r>
        <w:rPr>
          <w:spacing w:val="-33"/>
        </w:rPr>
        <w:t> </w:t>
      </w:r>
      <w:r>
        <w:rPr/>
        <w:t>purposes of filing an action where an insurer stopped </w:t>
      </w:r>
      <w:r>
        <w:rPr>
          <w:spacing w:val="8"/>
        </w:rPr>
        <w:t>appraisal pending </w:t>
      </w:r>
      <w:r>
        <w:rPr>
          <w:spacing w:val="5"/>
        </w:rPr>
        <w:t>the </w:t>
      </w:r>
      <w:r>
        <w:rPr>
          <w:spacing w:val="6"/>
        </w:rPr>
        <w:t>production</w:t>
      </w:r>
      <w:r>
        <w:rPr>
          <w:spacing w:val="83"/>
        </w:rPr>
        <w:t> </w:t>
      </w:r>
      <w:r>
        <w:rPr>
          <w:spacing w:val="3"/>
        </w:rPr>
        <w:t>of </w:t>
      </w:r>
      <w:r>
        <w:rPr/>
        <w:t>documents in litigation. </w:t>
      </w:r>
      <w:r>
        <w:rPr>
          <w:spacing w:val="-3"/>
        </w:rPr>
        <w:t>The </w:t>
      </w:r>
      <w:r>
        <w:rPr/>
        <w:t>court determined that appraisal could have continued without the documents sought by the insurer and </w:t>
      </w:r>
      <w:r>
        <w:rPr>
          <w:spacing w:val="-4"/>
        </w:rPr>
        <w:t>“no </w:t>
      </w:r>
      <w:r>
        <w:rPr/>
        <w:t>reasonable juror could conclude that </w:t>
      </w:r>
      <w:r>
        <w:rPr>
          <w:spacing w:val="-5"/>
        </w:rPr>
        <w:t>[the </w:t>
      </w:r>
      <w:r>
        <w:rPr/>
        <w:t>insurer]’s</w:t>
      </w:r>
      <w:r>
        <w:rPr>
          <w:spacing w:val="-22"/>
        </w:rPr>
        <w:t> </w:t>
      </w:r>
      <w:r>
        <w:rPr/>
        <w:t>actions</w:t>
      </w:r>
      <w:r>
        <w:rPr>
          <w:spacing w:val="-21"/>
        </w:rPr>
        <w:t> </w:t>
      </w:r>
      <w:r>
        <w:rPr/>
        <w:t>prevented</w:t>
      </w:r>
      <w:r>
        <w:rPr>
          <w:spacing w:val="-22"/>
        </w:rPr>
        <w:t> </w:t>
      </w:r>
      <w:r>
        <w:rPr/>
        <w:t>[the</w:t>
      </w:r>
      <w:r>
        <w:rPr>
          <w:spacing w:val="-22"/>
        </w:rPr>
        <w:t> </w:t>
      </w:r>
      <w:r>
        <w:rPr/>
        <w:t>insureds]</w:t>
      </w:r>
      <w:r>
        <w:rPr>
          <w:spacing w:val="-16"/>
        </w:rPr>
        <w:t> </w:t>
      </w:r>
      <w:r>
        <w:rPr/>
        <w:t>from timely filing suit or lured [the insured] into reasonably believing that an</w:t>
      </w:r>
      <w:r>
        <w:rPr>
          <w:spacing w:val="58"/>
        </w:rPr>
        <w:t> </w:t>
      </w:r>
      <w:r>
        <w:rPr/>
        <w:t>additional</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3100"/>
        <w:jc w:val="both"/>
      </w:pPr>
      <w:bookmarkStart w:name="Law and Procedure 269" w:id="88"/>
      <w:bookmarkEnd w:id="88"/>
      <w:r>
        <w:rPr/>
      </w:r>
      <w:r>
        <w:rPr/>
        <w:t>amount would be paid.”</w:t>
      </w:r>
      <w:r>
        <w:rPr>
          <w:vertAlign w:val="superscript"/>
        </w:rPr>
        <w:t>578</w:t>
      </w:r>
    </w:p>
    <w:p>
      <w:pPr>
        <w:pStyle w:val="BodyText"/>
        <w:spacing w:before="5"/>
      </w:pPr>
    </w:p>
    <w:p>
      <w:pPr>
        <w:pStyle w:val="BodyText"/>
        <w:spacing w:line="242" w:lineRule="auto" w:before="1"/>
        <w:ind w:left="3100" w:right="3197" w:firstLine="720"/>
        <w:jc w:val="both"/>
      </w:pPr>
      <w:r>
        <w:rPr>
          <w:spacing w:val="3"/>
        </w:rPr>
        <w:t>In </w:t>
      </w:r>
      <w:r>
        <w:rPr/>
        <w:t>Ontario, promissory estoppel was</w:t>
      </w:r>
      <w:r>
        <w:rPr>
          <w:spacing w:val="-44"/>
        </w:rPr>
        <w:t> </w:t>
      </w:r>
      <w:r>
        <w:rPr/>
        <w:t>held to preclude compliance with an otherwise required limitations period where the court observed</w:t>
      </w:r>
      <w:r>
        <w:rPr>
          <w:spacing w:val="-17"/>
        </w:rPr>
        <w:t> </w:t>
      </w:r>
      <w:r>
        <w:rPr/>
        <w:t>“an</w:t>
      </w:r>
      <w:r>
        <w:rPr>
          <w:spacing w:val="-16"/>
        </w:rPr>
        <w:t> </w:t>
      </w:r>
      <w:r>
        <w:rPr/>
        <w:t>express</w:t>
      </w:r>
      <w:r>
        <w:rPr>
          <w:spacing w:val="-18"/>
        </w:rPr>
        <w:t> </w:t>
      </w:r>
      <w:r>
        <w:rPr/>
        <w:t>admission</w:t>
      </w:r>
      <w:r>
        <w:rPr>
          <w:spacing w:val="-16"/>
        </w:rPr>
        <w:t> </w:t>
      </w:r>
      <w:r>
        <w:rPr/>
        <w:t>of</w:t>
      </w:r>
      <w:r>
        <w:rPr>
          <w:spacing w:val="-16"/>
        </w:rPr>
        <w:t> </w:t>
      </w:r>
      <w:r>
        <w:rPr/>
        <w:t>liability</w:t>
      </w:r>
      <w:r>
        <w:rPr>
          <w:spacing w:val="-19"/>
        </w:rPr>
        <w:t> </w:t>
      </w:r>
      <w:r>
        <w:rPr/>
        <w:t>and a clearly implied promise not to rely on the limitation period.” That case considered a statutory condition which required that any action against the insurer for recovery under the contract be barred unless brought within one</w:t>
      </w:r>
      <w:r>
        <w:rPr>
          <w:spacing w:val="-15"/>
        </w:rPr>
        <w:t> </w:t>
      </w:r>
      <w:r>
        <w:rPr/>
        <w:t>year</w:t>
      </w:r>
      <w:r>
        <w:rPr>
          <w:spacing w:val="-13"/>
        </w:rPr>
        <w:t> </w:t>
      </w:r>
      <w:r>
        <w:rPr/>
        <w:t>following</w:t>
      </w:r>
      <w:r>
        <w:rPr>
          <w:spacing w:val="-11"/>
        </w:rPr>
        <w:t> </w:t>
      </w:r>
      <w:r>
        <w:rPr/>
        <w:t>the</w:t>
      </w:r>
      <w:r>
        <w:rPr>
          <w:spacing w:val="-14"/>
        </w:rPr>
        <w:t> </w:t>
      </w:r>
      <w:r>
        <w:rPr/>
        <w:t>loss.</w:t>
      </w:r>
      <w:r>
        <w:rPr>
          <w:spacing w:val="-16"/>
        </w:rPr>
        <w:t> </w:t>
      </w:r>
      <w:r>
        <w:rPr/>
        <w:t>There,</w:t>
      </w:r>
      <w:r>
        <w:rPr>
          <w:spacing w:val="-17"/>
        </w:rPr>
        <w:t> </w:t>
      </w:r>
      <w:r>
        <w:rPr/>
        <w:t>a</w:t>
      </w:r>
      <w:r>
        <w:rPr>
          <w:spacing w:val="-15"/>
        </w:rPr>
        <w:t> </w:t>
      </w:r>
      <w:r>
        <w:rPr/>
        <w:t>Statement of Claim was not issued until over a year after the damage. However, letters existed to substantiate the admission of liability and the implication</w:t>
      </w:r>
      <w:r>
        <w:rPr>
          <w:spacing w:val="-32"/>
        </w:rPr>
        <w:t> </w:t>
      </w:r>
      <w:r>
        <w:rPr/>
        <w:t>that</w:t>
      </w:r>
      <w:r>
        <w:rPr>
          <w:spacing w:val="-35"/>
        </w:rPr>
        <w:t> </w:t>
      </w:r>
      <w:r>
        <w:rPr>
          <w:spacing w:val="-3"/>
        </w:rPr>
        <w:t>the</w:t>
      </w:r>
      <w:r>
        <w:rPr>
          <w:spacing w:val="-34"/>
        </w:rPr>
        <w:t> </w:t>
      </w:r>
      <w:r>
        <w:rPr/>
        <w:t>insurer</w:t>
      </w:r>
      <w:r>
        <w:rPr>
          <w:spacing w:val="-33"/>
        </w:rPr>
        <w:t> </w:t>
      </w:r>
      <w:r>
        <w:rPr/>
        <w:t>was</w:t>
      </w:r>
      <w:r>
        <w:rPr>
          <w:spacing w:val="-30"/>
        </w:rPr>
        <w:t> </w:t>
      </w:r>
      <w:r>
        <w:rPr/>
        <w:t>not</w:t>
      </w:r>
      <w:r>
        <w:rPr>
          <w:spacing w:val="-31"/>
        </w:rPr>
        <w:t> </w:t>
      </w:r>
      <w:r>
        <w:rPr/>
        <w:t>intending</w:t>
      </w:r>
      <w:r>
        <w:rPr>
          <w:spacing w:val="-30"/>
        </w:rPr>
        <w:t> </w:t>
      </w:r>
      <w:r>
        <w:rPr/>
        <w:t>to rely on the limitations</w:t>
      </w:r>
      <w:r>
        <w:rPr>
          <w:spacing w:val="-5"/>
        </w:rPr>
        <w:t> </w:t>
      </w:r>
      <w:r>
        <w:rPr/>
        <w:t>period.</w:t>
      </w:r>
      <w:r>
        <w:rPr>
          <w:vertAlign w:val="superscript"/>
        </w:rPr>
        <w:t>579</w:t>
      </w:r>
    </w:p>
    <w:p>
      <w:pPr>
        <w:pStyle w:val="BodyText"/>
        <w:spacing w:before="9"/>
        <w:rPr>
          <w:sz w:val="25"/>
        </w:rPr>
      </w:pPr>
    </w:p>
    <w:p>
      <w:pPr>
        <w:pStyle w:val="BodyText"/>
        <w:spacing w:line="242" w:lineRule="auto"/>
        <w:ind w:left="3100" w:right="3197" w:firstLine="720"/>
        <w:jc w:val="both"/>
      </w:pPr>
      <w:r>
        <w:rPr>
          <w:spacing w:val="2"/>
        </w:rPr>
        <w:t>At </w:t>
      </w:r>
      <w:r>
        <w:rPr/>
        <w:t>least one jurisdiction, </w:t>
      </w:r>
      <w:r>
        <w:rPr>
          <w:spacing w:val="-3"/>
        </w:rPr>
        <w:t>Wisconsin, </w:t>
      </w:r>
      <w:r>
        <w:rPr/>
        <w:t>provides    for    statutory    relief.       </w:t>
      </w:r>
      <w:r>
        <w:rPr>
          <w:spacing w:val="-4"/>
        </w:rPr>
        <w:t>W.S. </w:t>
      </w:r>
      <w:r>
        <w:rPr>
          <w:spacing w:val="15"/>
        </w:rPr>
        <w:t> </w:t>
      </w:r>
      <w:r>
        <w:rPr/>
        <w:t>Stat.</w:t>
      </w:r>
    </w:p>
    <w:p>
      <w:pPr>
        <w:pStyle w:val="BodyText"/>
        <w:spacing w:line="242" w:lineRule="auto"/>
        <w:ind w:left="3100" w:right="3197"/>
        <w:jc w:val="both"/>
      </w:pPr>
      <w:r>
        <w:rPr/>
        <w:t>§631.83(5)</w:t>
      </w:r>
      <w:r>
        <w:rPr>
          <w:spacing w:val="-25"/>
        </w:rPr>
        <w:t> </w:t>
      </w:r>
      <w:r>
        <w:rPr/>
        <w:t>tolls</w:t>
      </w:r>
      <w:r>
        <w:rPr>
          <w:spacing w:val="-19"/>
        </w:rPr>
        <w:t> </w:t>
      </w:r>
      <w:r>
        <w:rPr/>
        <w:t>the</w:t>
      </w:r>
      <w:r>
        <w:rPr>
          <w:spacing w:val="-24"/>
        </w:rPr>
        <w:t> </w:t>
      </w:r>
      <w:r>
        <w:rPr/>
        <w:t>statute</w:t>
      </w:r>
      <w:r>
        <w:rPr>
          <w:spacing w:val="-24"/>
        </w:rPr>
        <w:t> </w:t>
      </w:r>
      <w:r>
        <w:rPr/>
        <w:t>of</w:t>
      </w:r>
      <w:r>
        <w:rPr>
          <w:spacing w:val="-23"/>
        </w:rPr>
        <w:t> </w:t>
      </w:r>
      <w:r>
        <w:rPr/>
        <w:t>limitations</w:t>
      </w:r>
      <w:r>
        <w:rPr>
          <w:spacing w:val="-23"/>
        </w:rPr>
        <w:t> </w:t>
      </w:r>
      <w:r>
        <w:rPr/>
        <w:t>“during the period in which the parties conducted an appraisal or arbitration procedure prescribed by</w:t>
      </w:r>
      <w:r>
        <w:rPr>
          <w:spacing w:val="-9"/>
        </w:rPr>
        <w:t> </w:t>
      </w:r>
      <w:r>
        <w:rPr/>
        <w:t>the</w:t>
      </w:r>
      <w:r>
        <w:rPr>
          <w:spacing w:val="-6"/>
        </w:rPr>
        <w:t> </w:t>
      </w:r>
      <w:r>
        <w:rPr/>
        <w:t>insurance</w:t>
      </w:r>
      <w:r>
        <w:rPr>
          <w:spacing w:val="-7"/>
        </w:rPr>
        <w:t> </w:t>
      </w:r>
      <w:r>
        <w:rPr/>
        <w:t>policy</w:t>
      </w:r>
      <w:r>
        <w:rPr>
          <w:spacing w:val="-8"/>
        </w:rPr>
        <w:t> </w:t>
      </w:r>
      <w:r>
        <w:rPr/>
        <w:t>or</w:t>
      </w:r>
      <w:r>
        <w:rPr>
          <w:spacing w:val="-8"/>
        </w:rPr>
        <w:t> </w:t>
      </w:r>
      <w:r>
        <w:rPr/>
        <w:t>by</w:t>
      </w:r>
      <w:r>
        <w:rPr>
          <w:spacing w:val="-10"/>
        </w:rPr>
        <w:t> </w:t>
      </w:r>
      <w:r>
        <w:rPr/>
        <w:t>law</w:t>
      </w:r>
      <w:r>
        <w:rPr>
          <w:spacing w:val="-14"/>
        </w:rPr>
        <w:t> </w:t>
      </w:r>
      <w:r>
        <w:rPr/>
        <w:t>or</w:t>
      </w:r>
      <w:r>
        <w:rPr>
          <w:spacing w:val="-8"/>
        </w:rPr>
        <w:t> </w:t>
      </w:r>
      <w:r>
        <w:rPr/>
        <w:t>agreed</w:t>
      </w:r>
      <w:r>
        <w:rPr>
          <w:spacing w:val="-8"/>
        </w:rPr>
        <w:t> </w:t>
      </w:r>
      <w:r>
        <w:rPr/>
        <w:t>to by the parties.” Care should be taken, however,</w:t>
      </w:r>
      <w:r>
        <w:rPr>
          <w:spacing w:val="-32"/>
        </w:rPr>
        <w:t> </w:t>
      </w:r>
      <w:r>
        <w:rPr/>
        <w:t>as</w:t>
      </w:r>
      <w:r>
        <w:rPr>
          <w:spacing w:val="-29"/>
        </w:rPr>
        <w:t> </w:t>
      </w:r>
      <w:r>
        <w:rPr/>
        <w:t>an</w:t>
      </w:r>
      <w:r>
        <w:rPr>
          <w:spacing w:val="-26"/>
        </w:rPr>
        <w:t> </w:t>
      </w:r>
      <w:r>
        <w:rPr/>
        <w:t>informal</w:t>
      </w:r>
      <w:r>
        <w:rPr>
          <w:spacing w:val="-29"/>
        </w:rPr>
        <w:t> </w:t>
      </w:r>
      <w:r>
        <w:rPr/>
        <w:t>effort</w:t>
      </w:r>
      <w:r>
        <w:rPr>
          <w:spacing w:val="-31"/>
        </w:rPr>
        <w:t> </w:t>
      </w:r>
      <w:r>
        <w:rPr/>
        <w:t>of</w:t>
      </w:r>
      <w:r>
        <w:rPr>
          <w:spacing w:val="-28"/>
        </w:rPr>
        <w:t> </w:t>
      </w:r>
      <w:r>
        <w:rPr/>
        <w:t>obtaining</w:t>
      </w:r>
      <w:r>
        <w:rPr>
          <w:spacing w:val="-29"/>
        </w:rPr>
        <w:t> </w:t>
      </w:r>
      <w:r>
        <w:rPr/>
        <w:t>and comparing   cost   estimates   has   not  </w:t>
      </w:r>
      <w:r>
        <w:rPr>
          <w:spacing w:val="24"/>
        </w:rPr>
        <w:t> </w:t>
      </w:r>
      <w:r>
        <w:rPr/>
        <w:t>been</w:t>
      </w:r>
    </w:p>
    <w:p>
      <w:pPr>
        <w:pStyle w:val="BodyText"/>
        <w:rPr>
          <w:sz w:val="20"/>
        </w:rPr>
      </w:pPr>
    </w:p>
    <w:p>
      <w:pPr>
        <w:pStyle w:val="BodyText"/>
        <w:rPr>
          <w:sz w:val="20"/>
        </w:rPr>
      </w:pPr>
    </w:p>
    <w:p>
      <w:pPr>
        <w:pStyle w:val="BodyText"/>
        <w:spacing w:before="4"/>
        <w:rPr>
          <w:sz w:val="28"/>
        </w:rPr>
      </w:pPr>
      <w:r>
        <w:rPr/>
        <w:pict>
          <v:shape style="position:absolute;margin-left:162pt;margin-top:19.790293pt;width:143.9pt;height:.1pt;mso-position-horizontal-relative:page;mso-position-vertical-relative:paragraph;z-index:-251458560;mso-wrap-distance-left:0;mso-wrap-distance-right:0" coordorigin="3240,396" coordsize="2878,0" path="m3240,396l6118,396e" filled="false" stroked="true" strokeweight=".84pt" strokecolor="#000000">
            <v:path arrowok="t"/>
            <v:stroke dashstyle="solid"/>
            <w10:wrap type="topAndBottom"/>
          </v:shape>
        </w:pict>
      </w:r>
    </w:p>
    <w:p>
      <w:pPr>
        <w:pStyle w:val="ListParagraph"/>
        <w:numPr>
          <w:ilvl w:val="0"/>
          <w:numId w:val="13"/>
        </w:numPr>
        <w:tabs>
          <w:tab w:pos="3001" w:val="left" w:leader="none"/>
        </w:tabs>
        <w:spacing w:line="240" w:lineRule="auto" w:before="140" w:after="0"/>
        <w:ind w:left="3001" w:right="0" w:hanging="261"/>
        <w:jc w:val="left"/>
        <w:rPr>
          <w:sz w:val="18"/>
        </w:rPr>
      </w:pPr>
      <w:r>
        <w:rPr>
          <w:sz w:val="18"/>
          <w:u w:val="single"/>
        </w:rPr>
        <w:t>Reed v. Allstate Ins. Co.</w:t>
      </w:r>
      <w:r>
        <w:rPr>
          <w:sz w:val="18"/>
        </w:rPr>
        <w:t>, 2012 WL 527422 (W.D. Wash.</w:t>
      </w:r>
      <w:r>
        <w:rPr>
          <w:spacing w:val="-1"/>
          <w:sz w:val="18"/>
        </w:rPr>
        <w:t> </w:t>
      </w:r>
      <w:r>
        <w:rPr>
          <w:sz w:val="18"/>
        </w:rPr>
        <w:t>2012).</w:t>
      </w:r>
    </w:p>
    <w:p>
      <w:pPr>
        <w:pStyle w:val="ListParagraph"/>
        <w:numPr>
          <w:ilvl w:val="0"/>
          <w:numId w:val="13"/>
        </w:numPr>
        <w:tabs>
          <w:tab w:pos="3013" w:val="left" w:leader="none"/>
        </w:tabs>
        <w:spacing w:line="240" w:lineRule="auto" w:before="51" w:after="0"/>
        <w:ind w:left="3012" w:right="0" w:hanging="273"/>
        <w:jc w:val="left"/>
        <w:rPr>
          <w:sz w:val="18"/>
        </w:rPr>
      </w:pPr>
      <w:r>
        <w:rPr>
          <w:sz w:val="18"/>
          <w:u w:val="single"/>
        </w:rPr>
        <w:t>Feist</w:t>
      </w:r>
      <w:r>
        <w:rPr>
          <w:spacing w:val="-15"/>
          <w:sz w:val="18"/>
          <w:u w:val="single"/>
        </w:rPr>
        <w:t> </w:t>
      </w:r>
      <w:r>
        <w:rPr>
          <w:sz w:val="18"/>
          <w:u w:val="single"/>
        </w:rPr>
        <w:t>v.</w:t>
      </w:r>
      <w:r>
        <w:rPr>
          <w:spacing w:val="-14"/>
          <w:sz w:val="18"/>
          <w:u w:val="single"/>
        </w:rPr>
        <w:t> </w:t>
      </w:r>
      <w:r>
        <w:rPr>
          <w:sz w:val="18"/>
          <w:u w:val="single"/>
        </w:rPr>
        <w:t>Gore</w:t>
      </w:r>
      <w:r>
        <w:rPr>
          <w:spacing w:val="-13"/>
          <w:sz w:val="18"/>
          <w:u w:val="single"/>
        </w:rPr>
        <w:t> </w:t>
      </w:r>
      <w:r>
        <w:rPr>
          <w:sz w:val="18"/>
          <w:u w:val="single"/>
        </w:rPr>
        <w:t>Mut.</w:t>
      </w:r>
      <w:r>
        <w:rPr>
          <w:spacing w:val="-11"/>
          <w:sz w:val="18"/>
          <w:u w:val="single"/>
        </w:rPr>
        <w:t> </w:t>
      </w:r>
      <w:r>
        <w:rPr>
          <w:sz w:val="18"/>
          <w:u w:val="single"/>
        </w:rPr>
        <w:t>Ins.</w:t>
      </w:r>
      <w:r>
        <w:rPr>
          <w:spacing w:val="-11"/>
          <w:sz w:val="18"/>
          <w:u w:val="single"/>
        </w:rPr>
        <w:t> </w:t>
      </w:r>
      <w:r>
        <w:rPr>
          <w:sz w:val="18"/>
          <w:u w:val="single"/>
        </w:rPr>
        <w:t>Co.</w:t>
      </w:r>
      <w:r>
        <w:rPr>
          <w:sz w:val="18"/>
        </w:rPr>
        <w:t>,</w:t>
      </w:r>
      <w:r>
        <w:rPr>
          <w:spacing w:val="-11"/>
          <w:sz w:val="18"/>
        </w:rPr>
        <w:t> </w:t>
      </w:r>
      <w:r>
        <w:rPr>
          <w:sz w:val="18"/>
        </w:rPr>
        <w:t>(1991)</w:t>
      </w:r>
      <w:r>
        <w:rPr>
          <w:spacing w:val="-12"/>
          <w:sz w:val="18"/>
        </w:rPr>
        <w:t> </w:t>
      </w:r>
      <w:r>
        <w:rPr>
          <w:sz w:val="18"/>
        </w:rPr>
        <w:t>O.J.</w:t>
      </w:r>
      <w:r>
        <w:rPr>
          <w:spacing w:val="-11"/>
          <w:sz w:val="18"/>
        </w:rPr>
        <w:t> </w:t>
      </w:r>
      <w:r>
        <w:rPr>
          <w:sz w:val="18"/>
        </w:rPr>
        <w:t>No.</w:t>
      </w:r>
      <w:r>
        <w:rPr>
          <w:spacing w:val="-11"/>
          <w:sz w:val="18"/>
        </w:rPr>
        <w:t> </w:t>
      </w:r>
      <w:r>
        <w:rPr>
          <w:sz w:val="18"/>
        </w:rPr>
        <w:t>67,</w:t>
      </w:r>
      <w:r>
        <w:rPr>
          <w:spacing w:val="-11"/>
          <w:sz w:val="18"/>
        </w:rPr>
        <w:t> </w:t>
      </w:r>
      <w:r>
        <w:rPr>
          <w:sz w:val="18"/>
        </w:rPr>
        <w:t>25</w:t>
      </w:r>
      <w:r>
        <w:rPr>
          <w:spacing w:val="-11"/>
          <w:sz w:val="18"/>
        </w:rPr>
        <w:t> </w:t>
      </w:r>
      <w:r>
        <w:rPr>
          <w:sz w:val="18"/>
        </w:rPr>
        <w:t>A.C.W.S.</w:t>
      </w:r>
      <w:r>
        <w:rPr>
          <w:spacing w:val="-10"/>
          <w:sz w:val="18"/>
        </w:rPr>
        <w:t> </w:t>
      </w:r>
      <w:r>
        <w:rPr>
          <w:sz w:val="18"/>
        </w:rPr>
        <w:t>(3d)</w:t>
      </w:r>
      <w:r>
        <w:rPr>
          <w:spacing w:val="-12"/>
          <w:sz w:val="18"/>
        </w:rPr>
        <w:t> </w:t>
      </w:r>
      <w:r>
        <w:rPr>
          <w:sz w:val="18"/>
        </w:rPr>
        <w:t>86,</w:t>
      </w:r>
      <w:r>
        <w:rPr>
          <w:spacing w:val="-14"/>
          <w:sz w:val="18"/>
        </w:rPr>
        <w:t> </w:t>
      </w:r>
      <w:r>
        <w:rPr>
          <w:sz w:val="18"/>
        </w:rPr>
        <w:t>1991</w:t>
      </w:r>
      <w:r>
        <w:rPr>
          <w:spacing w:val="-13"/>
          <w:sz w:val="18"/>
        </w:rPr>
        <w:t> </w:t>
      </w:r>
      <w:r>
        <w:rPr>
          <w:sz w:val="18"/>
        </w:rPr>
        <w:t>CarswellOnt</w:t>
      </w:r>
    </w:p>
    <w:p>
      <w:pPr>
        <w:spacing w:before="15"/>
        <w:ind w:left="2740" w:right="0" w:firstLine="0"/>
        <w:jc w:val="left"/>
        <w:rPr>
          <w:rFonts w:ascii="Times New Roman"/>
          <w:sz w:val="18"/>
        </w:rPr>
      </w:pPr>
      <w:r>
        <w:rPr>
          <w:rFonts w:ascii="Times New Roman"/>
          <w:sz w:val="18"/>
        </w:rPr>
        <w:t>1044.</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70" w:id="89"/>
      <w:bookmarkEnd w:id="89"/>
      <w:r>
        <w:rPr/>
      </w:r>
      <w:r>
        <w:rPr/>
        <w:t>equated with actual appraisal.</w:t>
      </w:r>
      <w:r>
        <w:rPr>
          <w:vertAlign w:val="superscript"/>
        </w:rPr>
        <w:t>580</w:t>
      </w:r>
    </w:p>
    <w:p>
      <w:pPr>
        <w:pStyle w:val="BodyText"/>
        <w:spacing w:before="6"/>
      </w:pPr>
    </w:p>
    <w:p>
      <w:pPr>
        <w:pStyle w:val="BodyText"/>
        <w:spacing w:line="242" w:lineRule="auto"/>
        <w:ind w:left="3100" w:right="3199" w:firstLine="720"/>
        <w:jc w:val="both"/>
      </w:pPr>
      <w:r>
        <w:rPr>
          <w:spacing w:val="3"/>
        </w:rPr>
        <w:t>In </w:t>
      </w:r>
      <w:r>
        <w:rPr/>
        <w:t>other states, the limitations period is tolled during the time it takes to complete</w:t>
      </w:r>
      <w:r>
        <w:rPr>
          <w:spacing w:val="-25"/>
        </w:rPr>
        <w:t> </w:t>
      </w:r>
      <w:r>
        <w:rPr/>
        <w:t>the appraisal.</w:t>
      </w:r>
      <w:r>
        <w:rPr>
          <w:vertAlign w:val="superscript"/>
        </w:rPr>
        <w:t>581</w:t>
      </w:r>
    </w:p>
    <w:p>
      <w:pPr>
        <w:pStyle w:val="BodyText"/>
        <w:spacing w:before="1"/>
      </w:pPr>
    </w:p>
    <w:p>
      <w:pPr>
        <w:pStyle w:val="BodyText"/>
        <w:spacing w:line="242" w:lineRule="auto"/>
        <w:ind w:left="3100" w:right="3196" w:firstLine="720"/>
        <w:jc w:val="both"/>
      </w:pPr>
      <w:r>
        <w:rPr>
          <w:spacing w:val="-3"/>
        </w:rPr>
        <w:t>Where </w:t>
      </w:r>
      <w:r>
        <w:rPr/>
        <w:t>a Georgia insurance </w:t>
      </w:r>
      <w:r>
        <w:rPr>
          <w:spacing w:val="-3"/>
        </w:rPr>
        <w:t>policy </w:t>
      </w:r>
      <w:r>
        <w:rPr>
          <w:spacing w:val="2"/>
        </w:rPr>
        <w:t>incorporated </w:t>
      </w:r>
      <w:r>
        <w:rPr/>
        <w:t>a 12-month </w:t>
      </w:r>
      <w:r>
        <w:rPr>
          <w:spacing w:val="3"/>
        </w:rPr>
        <w:t>limitation for </w:t>
      </w:r>
      <w:r>
        <w:rPr/>
        <w:t>commencement</w:t>
      </w:r>
      <w:r>
        <w:rPr>
          <w:spacing w:val="-34"/>
        </w:rPr>
        <w:t> </w:t>
      </w:r>
      <w:r>
        <w:rPr/>
        <w:t>of</w:t>
      </w:r>
      <w:r>
        <w:rPr>
          <w:spacing w:val="-28"/>
        </w:rPr>
        <w:t> </w:t>
      </w:r>
      <w:r>
        <w:rPr/>
        <w:t>an</w:t>
      </w:r>
      <w:r>
        <w:rPr>
          <w:spacing w:val="-29"/>
        </w:rPr>
        <w:t> </w:t>
      </w:r>
      <w:r>
        <w:rPr/>
        <w:t>action,</w:t>
      </w:r>
      <w:r>
        <w:rPr>
          <w:spacing w:val="-32"/>
        </w:rPr>
        <w:t> </w:t>
      </w:r>
      <w:r>
        <w:rPr/>
        <w:t>the</w:t>
      </w:r>
      <w:r>
        <w:rPr>
          <w:spacing w:val="-30"/>
        </w:rPr>
        <w:t> </w:t>
      </w:r>
      <w:r>
        <w:rPr/>
        <w:t>court</w:t>
      </w:r>
      <w:r>
        <w:rPr>
          <w:spacing w:val="-34"/>
        </w:rPr>
        <w:t> </w:t>
      </w:r>
      <w:r>
        <w:rPr/>
        <w:t>stated that it was “well-settled that the policy period of limitation is tolled by the pendency of an appraisal proceeding.” Although that matter in particular did not involve a question of appraisal, the court found the issue pertinent, where</w:t>
      </w:r>
      <w:r>
        <w:rPr>
          <w:spacing w:val="-25"/>
        </w:rPr>
        <w:t> </w:t>
      </w:r>
      <w:r>
        <w:rPr/>
        <w:t>circumstances</w:t>
      </w:r>
      <w:r>
        <w:rPr>
          <w:spacing w:val="-24"/>
        </w:rPr>
        <w:t> </w:t>
      </w:r>
      <w:r>
        <w:rPr/>
        <w:t>involved</w:t>
      </w:r>
      <w:r>
        <w:rPr>
          <w:spacing w:val="-24"/>
        </w:rPr>
        <w:t> </w:t>
      </w:r>
      <w:r>
        <w:rPr/>
        <w:t>the</w:t>
      </w:r>
      <w:r>
        <w:rPr>
          <w:spacing w:val="-22"/>
        </w:rPr>
        <w:t> </w:t>
      </w:r>
      <w:r>
        <w:rPr/>
        <w:t>application of</w:t>
      </w:r>
      <w:r>
        <w:rPr>
          <w:spacing w:val="-22"/>
        </w:rPr>
        <w:t> </w:t>
      </w:r>
      <w:r>
        <w:rPr/>
        <w:t>the</w:t>
      </w:r>
      <w:r>
        <w:rPr>
          <w:spacing w:val="-23"/>
        </w:rPr>
        <w:t> </w:t>
      </w:r>
      <w:r>
        <w:rPr/>
        <w:t>limitations</w:t>
      </w:r>
      <w:r>
        <w:rPr>
          <w:spacing w:val="-25"/>
        </w:rPr>
        <w:t> </w:t>
      </w:r>
      <w:r>
        <w:rPr/>
        <w:t>term</w:t>
      </w:r>
      <w:r>
        <w:rPr>
          <w:spacing w:val="-26"/>
        </w:rPr>
        <w:t> </w:t>
      </w:r>
      <w:r>
        <w:rPr/>
        <w:t>to</w:t>
      </w:r>
      <w:r>
        <w:rPr>
          <w:spacing w:val="-22"/>
        </w:rPr>
        <w:t> </w:t>
      </w:r>
      <w:r>
        <w:rPr/>
        <w:t>an</w:t>
      </w:r>
      <w:r>
        <w:rPr>
          <w:spacing w:val="-22"/>
        </w:rPr>
        <w:t> </w:t>
      </w:r>
      <w:r>
        <w:rPr/>
        <w:t>insurer’s</w:t>
      </w:r>
      <w:r>
        <w:rPr>
          <w:spacing w:val="-23"/>
        </w:rPr>
        <w:t> </w:t>
      </w:r>
      <w:r>
        <w:rPr/>
        <w:t>election</w:t>
      </w:r>
      <w:r>
        <w:rPr>
          <w:spacing w:val="-22"/>
        </w:rPr>
        <w:t> </w:t>
      </w:r>
      <w:r>
        <w:rPr/>
        <w:t>to make repairs following a fire. There, the court deemed the policy limitation tolled and the action</w:t>
      </w:r>
      <w:r>
        <w:rPr>
          <w:spacing w:val="-22"/>
        </w:rPr>
        <w:t> </w:t>
      </w:r>
      <w:r>
        <w:rPr/>
        <w:t>not</w:t>
      </w:r>
      <w:r>
        <w:rPr>
          <w:spacing w:val="-23"/>
        </w:rPr>
        <w:t> </w:t>
      </w:r>
      <w:r>
        <w:rPr/>
        <w:t>barred</w:t>
      </w:r>
      <w:r>
        <w:rPr>
          <w:spacing w:val="-23"/>
        </w:rPr>
        <w:t> </w:t>
      </w:r>
      <w:r>
        <w:rPr/>
        <w:t>by</w:t>
      </w:r>
      <w:r>
        <w:rPr>
          <w:spacing w:val="-25"/>
        </w:rPr>
        <w:t> </w:t>
      </w:r>
      <w:r>
        <w:rPr/>
        <w:t>the</w:t>
      </w:r>
      <w:r>
        <w:rPr>
          <w:spacing w:val="-22"/>
        </w:rPr>
        <w:t> </w:t>
      </w:r>
      <w:r>
        <w:rPr/>
        <w:t>12-month</w:t>
      </w:r>
      <w:r>
        <w:rPr>
          <w:spacing w:val="-22"/>
        </w:rPr>
        <w:t> </w:t>
      </w:r>
      <w:r>
        <w:rPr>
          <w:spacing w:val="-4"/>
        </w:rPr>
        <w:t>limitation.</w:t>
      </w:r>
      <w:r>
        <w:rPr>
          <w:spacing w:val="-4"/>
          <w:vertAlign w:val="superscript"/>
        </w:rPr>
        <w:t>582</w:t>
      </w:r>
    </w:p>
    <w:p>
      <w:pPr>
        <w:pStyle w:val="BodyText"/>
        <w:spacing w:before="11"/>
        <w:rPr>
          <w:sz w:val="25"/>
        </w:rPr>
      </w:pPr>
    </w:p>
    <w:p>
      <w:pPr>
        <w:pStyle w:val="BodyText"/>
        <w:spacing w:line="242" w:lineRule="auto"/>
        <w:ind w:left="3100" w:right="3200" w:firstLine="720"/>
        <w:jc w:val="both"/>
      </w:pPr>
      <w:r>
        <w:rPr>
          <w:spacing w:val="2"/>
        </w:rPr>
        <w:t>An </w:t>
      </w:r>
      <w:r>
        <w:rPr/>
        <w:t>insured’s action to compel appraisal in</w:t>
      </w:r>
      <w:r>
        <w:rPr>
          <w:spacing w:val="-8"/>
        </w:rPr>
        <w:t> </w:t>
      </w:r>
      <w:r>
        <w:rPr/>
        <w:t>Florida</w:t>
      </w:r>
      <w:r>
        <w:rPr>
          <w:spacing w:val="-5"/>
        </w:rPr>
        <w:t> </w:t>
      </w:r>
      <w:r>
        <w:rPr/>
        <w:t>was</w:t>
      </w:r>
      <w:r>
        <w:rPr>
          <w:spacing w:val="-6"/>
        </w:rPr>
        <w:t> </w:t>
      </w:r>
      <w:r>
        <w:rPr/>
        <w:t>found</w:t>
      </w:r>
      <w:r>
        <w:rPr>
          <w:spacing w:val="-4"/>
        </w:rPr>
        <w:t> </w:t>
      </w:r>
      <w:r>
        <w:rPr/>
        <w:t>to</w:t>
      </w:r>
      <w:r>
        <w:rPr>
          <w:spacing w:val="-6"/>
        </w:rPr>
        <w:t> </w:t>
      </w:r>
      <w:r>
        <w:rPr/>
        <w:t>be</w:t>
      </w:r>
      <w:r>
        <w:rPr>
          <w:spacing w:val="-6"/>
        </w:rPr>
        <w:t> </w:t>
      </w:r>
      <w:r>
        <w:rPr/>
        <w:t>within</w:t>
      </w:r>
      <w:r>
        <w:rPr>
          <w:spacing w:val="-6"/>
        </w:rPr>
        <w:t> </w:t>
      </w:r>
      <w:r>
        <w:rPr/>
        <w:t>the</w:t>
      </w:r>
      <w:r>
        <w:rPr>
          <w:spacing w:val="-8"/>
        </w:rPr>
        <w:t> </w:t>
      </w:r>
      <w:r>
        <w:rPr/>
        <w:t>statute</w:t>
      </w:r>
      <w:r>
        <w:rPr>
          <w:spacing w:val="-8"/>
        </w:rPr>
        <w:t> </w:t>
      </w:r>
      <w:r>
        <w:rPr/>
        <w:t>of limitations  in light of  the rule  in  </w:t>
      </w:r>
      <w:r>
        <w:rPr>
          <w:u w:val="single"/>
        </w:rPr>
        <w:t>Romay</w:t>
      </w:r>
      <w:r>
        <w:rPr/>
        <w:t>  </w:t>
      </w:r>
      <w:r>
        <w:rPr>
          <w:spacing w:val="28"/>
        </w:rPr>
        <w:t> </w:t>
      </w:r>
      <w:r>
        <w:rPr/>
        <w:t>that</w:t>
      </w:r>
    </w:p>
    <w:p>
      <w:pPr>
        <w:pStyle w:val="BodyText"/>
        <w:rPr>
          <w:sz w:val="20"/>
        </w:rPr>
      </w:pPr>
    </w:p>
    <w:p>
      <w:pPr>
        <w:pStyle w:val="BodyText"/>
        <w:rPr>
          <w:sz w:val="17"/>
        </w:rPr>
      </w:pPr>
      <w:r>
        <w:rPr/>
        <w:pict>
          <v:shape style="position:absolute;margin-left:162pt;margin-top:12.821704pt;width:143.9pt;height:.1pt;mso-position-horizontal-relative:page;mso-position-vertical-relative:paragraph;z-index:-251457536;mso-wrap-distance-left:0;mso-wrap-distance-right:0" coordorigin="3240,256" coordsize="2878,0" path="m3240,256l6118,256e" filled="false" stroked="true" strokeweight=".84pt" strokecolor="#000000">
            <v:path arrowok="t"/>
            <v:stroke dashstyle="solid"/>
            <w10:wrap type="topAndBottom"/>
          </v:shape>
        </w:pict>
      </w:r>
    </w:p>
    <w:p>
      <w:pPr>
        <w:pStyle w:val="BodyText"/>
        <w:spacing w:before="1"/>
        <w:rPr>
          <w:sz w:val="11"/>
        </w:rPr>
      </w:pPr>
    </w:p>
    <w:p>
      <w:pPr>
        <w:pStyle w:val="ListParagraph"/>
        <w:numPr>
          <w:ilvl w:val="0"/>
          <w:numId w:val="13"/>
        </w:numPr>
        <w:tabs>
          <w:tab w:pos="3013" w:val="left" w:leader="none"/>
        </w:tabs>
        <w:spacing w:line="247" w:lineRule="auto" w:before="72" w:after="0"/>
        <w:ind w:left="2740" w:right="2845" w:firstLine="0"/>
        <w:jc w:val="both"/>
        <w:rPr>
          <w:rFonts w:ascii="Century Gothic"/>
          <w:sz w:val="18"/>
        </w:rPr>
      </w:pPr>
      <w:r>
        <w:rPr>
          <w:sz w:val="18"/>
          <w:u w:val="single"/>
        </w:rPr>
        <w:t>Weiting</w:t>
      </w:r>
      <w:r>
        <w:rPr>
          <w:spacing w:val="-12"/>
          <w:sz w:val="18"/>
          <w:u w:val="single"/>
        </w:rPr>
        <w:t> </w:t>
      </w:r>
      <w:r>
        <w:rPr>
          <w:sz w:val="18"/>
          <w:u w:val="single"/>
        </w:rPr>
        <w:t>Funeral</w:t>
      </w:r>
      <w:r>
        <w:rPr>
          <w:spacing w:val="-11"/>
          <w:sz w:val="18"/>
          <w:u w:val="single"/>
        </w:rPr>
        <w:t> </w:t>
      </w:r>
      <w:r>
        <w:rPr>
          <w:sz w:val="18"/>
          <w:u w:val="single"/>
        </w:rPr>
        <w:t>Home</w:t>
      </w:r>
      <w:r>
        <w:rPr>
          <w:spacing w:val="-10"/>
          <w:sz w:val="18"/>
          <w:u w:val="single"/>
        </w:rPr>
        <w:t> </w:t>
      </w:r>
      <w:r>
        <w:rPr>
          <w:sz w:val="18"/>
          <w:u w:val="single"/>
        </w:rPr>
        <w:t>of</w:t>
      </w:r>
      <w:r>
        <w:rPr>
          <w:spacing w:val="-12"/>
          <w:sz w:val="18"/>
          <w:u w:val="single"/>
        </w:rPr>
        <w:t> </w:t>
      </w:r>
      <w:r>
        <w:rPr>
          <w:sz w:val="18"/>
          <w:u w:val="single"/>
        </w:rPr>
        <w:t>Chilton</w:t>
      </w:r>
      <w:r>
        <w:rPr>
          <w:spacing w:val="-8"/>
          <w:sz w:val="18"/>
          <w:u w:val="single"/>
        </w:rPr>
        <w:t> </w:t>
      </w:r>
      <w:r>
        <w:rPr>
          <w:sz w:val="18"/>
          <w:u w:val="single"/>
        </w:rPr>
        <w:t>v.</w:t>
      </w:r>
      <w:r>
        <w:rPr>
          <w:spacing w:val="-10"/>
          <w:sz w:val="18"/>
          <w:u w:val="single"/>
        </w:rPr>
        <w:t> </w:t>
      </w:r>
      <w:r>
        <w:rPr>
          <w:sz w:val="18"/>
          <w:u w:val="single"/>
        </w:rPr>
        <w:t>Meridan</w:t>
      </w:r>
      <w:r>
        <w:rPr>
          <w:spacing w:val="-9"/>
          <w:sz w:val="18"/>
          <w:u w:val="single"/>
        </w:rPr>
        <w:t> </w:t>
      </w:r>
      <w:r>
        <w:rPr>
          <w:sz w:val="18"/>
          <w:u w:val="single"/>
        </w:rPr>
        <w:t>Mut.</w:t>
      </w:r>
      <w:r>
        <w:rPr>
          <w:spacing w:val="-10"/>
          <w:sz w:val="18"/>
          <w:u w:val="single"/>
        </w:rPr>
        <w:t> </w:t>
      </w:r>
      <w:r>
        <w:rPr>
          <w:sz w:val="18"/>
          <w:u w:val="single"/>
        </w:rPr>
        <w:t>Ins.</w:t>
      </w:r>
      <w:r>
        <w:rPr>
          <w:spacing w:val="-9"/>
          <w:sz w:val="18"/>
          <w:u w:val="single"/>
        </w:rPr>
        <w:t> </w:t>
      </w:r>
      <w:r>
        <w:rPr>
          <w:sz w:val="18"/>
          <w:u w:val="single"/>
        </w:rPr>
        <w:t>Co.</w:t>
      </w:r>
      <w:r>
        <w:rPr>
          <w:sz w:val="18"/>
        </w:rPr>
        <w:t>,</w:t>
      </w:r>
      <w:r>
        <w:rPr>
          <w:spacing w:val="-6"/>
          <w:sz w:val="18"/>
        </w:rPr>
        <w:t> </w:t>
      </w:r>
      <w:r>
        <w:rPr>
          <w:sz w:val="18"/>
        </w:rPr>
        <w:t>277</w:t>
      </w:r>
      <w:r>
        <w:rPr>
          <w:spacing w:val="-6"/>
          <w:sz w:val="18"/>
        </w:rPr>
        <w:t> </w:t>
      </w:r>
      <w:r>
        <w:rPr>
          <w:sz w:val="18"/>
        </w:rPr>
        <w:t>Wis</w:t>
      </w:r>
      <w:r>
        <w:rPr>
          <w:spacing w:val="-7"/>
          <w:sz w:val="18"/>
        </w:rPr>
        <w:t> </w:t>
      </w:r>
      <w:r>
        <w:rPr>
          <w:sz w:val="18"/>
        </w:rPr>
        <w:t>2d.274,</w:t>
      </w:r>
      <w:r>
        <w:rPr>
          <w:spacing w:val="-9"/>
          <w:sz w:val="18"/>
        </w:rPr>
        <w:t> </w:t>
      </w:r>
      <w:r>
        <w:rPr>
          <w:sz w:val="18"/>
        </w:rPr>
        <w:t>690</w:t>
      </w:r>
      <w:r>
        <w:rPr>
          <w:spacing w:val="-8"/>
          <w:sz w:val="18"/>
        </w:rPr>
        <w:t> </w:t>
      </w:r>
      <w:r>
        <w:rPr>
          <w:sz w:val="18"/>
        </w:rPr>
        <w:t>N.W. 2d 442, 2004 WI App. 218 (Wis. Ct. App. 2002) (informal discussions not envisioned as covered); </w:t>
      </w:r>
      <w:r>
        <w:rPr>
          <w:sz w:val="18"/>
          <w:u w:val="single"/>
        </w:rPr>
        <w:t>Viebrock v. Wisconsin Mut. Ins. Co.</w:t>
      </w:r>
      <w:r>
        <w:rPr>
          <w:sz w:val="18"/>
        </w:rPr>
        <w:t>, 329 Wis.2d 709, 200 WL 3001519 (Wis. App. 2010) </w:t>
      </w:r>
      <w:r>
        <w:rPr>
          <w:rFonts w:ascii="Century Gothic"/>
          <w:sz w:val="18"/>
        </w:rPr>
        <w:t>.</w:t>
      </w:r>
    </w:p>
    <w:p>
      <w:pPr>
        <w:pStyle w:val="BodyText"/>
        <w:spacing w:before="9"/>
        <w:rPr>
          <w:sz w:val="16"/>
        </w:rPr>
      </w:pPr>
    </w:p>
    <w:p>
      <w:pPr>
        <w:pStyle w:val="ListParagraph"/>
        <w:numPr>
          <w:ilvl w:val="0"/>
          <w:numId w:val="13"/>
        </w:numPr>
        <w:tabs>
          <w:tab w:pos="3022" w:val="left" w:leader="none"/>
        </w:tabs>
        <w:spacing w:line="240" w:lineRule="auto" w:before="72" w:after="0"/>
        <w:ind w:left="3022" w:right="0" w:hanging="282"/>
        <w:jc w:val="left"/>
        <w:rPr>
          <w:sz w:val="18"/>
        </w:rPr>
      </w:pPr>
      <w:r>
        <w:rPr>
          <w:sz w:val="18"/>
        </w:rPr>
        <w:t>See,</w:t>
      </w:r>
      <w:r>
        <w:rPr>
          <w:spacing w:val="7"/>
          <w:sz w:val="18"/>
        </w:rPr>
        <w:t> </w:t>
      </w:r>
      <w:r>
        <w:rPr>
          <w:sz w:val="18"/>
        </w:rPr>
        <w:t>e.g.</w:t>
      </w:r>
      <w:r>
        <w:rPr>
          <w:spacing w:val="8"/>
          <w:sz w:val="18"/>
        </w:rPr>
        <w:t> </w:t>
      </w:r>
      <w:r>
        <w:rPr>
          <w:sz w:val="18"/>
          <w:u w:val="single"/>
        </w:rPr>
        <w:t>Southern</w:t>
      </w:r>
      <w:r>
        <w:rPr>
          <w:spacing w:val="8"/>
          <w:sz w:val="18"/>
          <w:u w:val="single"/>
        </w:rPr>
        <w:t> </w:t>
      </w:r>
      <w:r>
        <w:rPr>
          <w:sz w:val="18"/>
          <w:u w:val="single"/>
        </w:rPr>
        <w:t>General</w:t>
      </w:r>
      <w:r>
        <w:rPr>
          <w:spacing w:val="6"/>
          <w:sz w:val="18"/>
          <w:u w:val="single"/>
        </w:rPr>
        <w:t> </w:t>
      </w:r>
      <w:r>
        <w:rPr>
          <w:sz w:val="18"/>
          <w:u w:val="single"/>
        </w:rPr>
        <w:t>Ins.</w:t>
      </w:r>
      <w:r>
        <w:rPr>
          <w:spacing w:val="8"/>
          <w:sz w:val="18"/>
          <w:u w:val="single"/>
        </w:rPr>
        <w:t> </w:t>
      </w:r>
      <w:r>
        <w:rPr>
          <w:sz w:val="18"/>
          <w:u w:val="single"/>
        </w:rPr>
        <w:t>Co.</w:t>
      </w:r>
      <w:r>
        <w:rPr>
          <w:spacing w:val="8"/>
          <w:sz w:val="18"/>
          <w:u w:val="single"/>
        </w:rPr>
        <w:t> </w:t>
      </w:r>
      <w:r>
        <w:rPr>
          <w:sz w:val="18"/>
          <w:u w:val="single"/>
        </w:rPr>
        <w:t>v.</w:t>
      </w:r>
      <w:r>
        <w:rPr>
          <w:spacing w:val="8"/>
          <w:sz w:val="18"/>
          <w:u w:val="single"/>
        </w:rPr>
        <w:t> </w:t>
      </w:r>
      <w:r>
        <w:rPr>
          <w:sz w:val="18"/>
          <w:u w:val="single"/>
        </w:rPr>
        <w:t>Kent</w:t>
      </w:r>
      <w:r>
        <w:rPr>
          <w:sz w:val="18"/>
        </w:rPr>
        <w:t>,</w:t>
      </w:r>
      <w:r>
        <w:rPr>
          <w:spacing w:val="8"/>
          <w:sz w:val="18"/>
        </w:rPr>
        <w:t> </w:t>
      </w:r>
      <w:r>
        <w:rPr>
          <w:sz w:val="18"/>
        </w:rPr>
        <w:t>187</w:t>
      </w:r>
      <w:r>
        <w:rPr>
          <w:spacing w:val="8"/>
          <w:sz w:val="18"/>
        </w:rPr>
        <w:t> </w:t>
      </w:r>
      <w:r>
        <w:rPr>
          <w:sz w:val="18"/>
        </w:rPr>
        <w:t>Ga.</w:t>
      </w:r>
      <w:r>
        <w:rPr>
          <w:spacing w:val="13"/>
          <w:sz w:val="18"/>
        </w:rPr>
        <w:t> </w:t>
      </w:r>
      <w:r>
        <w:rPr>
          <w:sz w:val="18"/>
        </w:rPr>
        <w:t>App.</w:t>
      </w:r>
      <w:r>
        <w:rPr>
          <w:spacing w:val="8"/>
          <w:sz w:val="18"/>
        </w:rPr>
        <w:t> </w:t>
      </w:r>
      <w:r>
        <w:rPr>
          <w:sz w:val="18"/>
        </w:rPr>
        <w:t>496,</w:t>
      </w:r>
      <w:r>
        <w:rPr>
          <w:spacing w:val="7"/>
          <w:sz w:val="18"/>
        </w:rPr>
        <w:t> </w:t>
      </w:r>
      <w:r>
        <w:rPr>
          <w:sz w:val="18"/>
        </w:rPr>
        <w:t>499,</w:t>
      </w:r>
      <w:r>
        <w:rPr>
          <w:spacing w:val="9"/>
          <w:sz w:val="18"/>
        </w:rPr>
        <w:t> </w:t>
      </w:r>
      <w:r>
        <w:rPr>
          <w:sz w:val="18"/>
        </w:rPr>
        <w:t>370</w:t>
      </w:r>
      <w:r>
        <w:rPr>
          <w:spacing w:val="9"/>
          <w:sz w:val="18"/>
        </w:rPr>
        <w:t> </w:t>
      </w:r>
      <w:r>
        <w:rPr>
          <w:sz w:val="18"/>
        </w:rPr>
        <w:t>S.E.2d</w:t>
      </w:r>
      <w:r>
        <w:rPr>
          <w:spacing w:val="9"/>
          <w:sz w:val="18"/>
        </w:rPr>
        <w:t> </w:t>
      </w:r>
      <w:r>
        <w:rPr>
          <w:sz w:val="18"/>
        </w:rPr>
        <w:t>663</w:t>
      </w:r>
    </w:p>
    <w:p>
      <w:pPr>
        <w:spacing w:before="19"/>
        <w:ind w:left="2740" w:right="0" w:firstLine="0"/>
        <w:jc w:val="left"/>
        <w:rPr>
          <w:rFonts w:ascii="Times New Roman"/>
          <w:sz w:val="18"/>
        </w:rPr>
      </w:pPr>
      <w:r>
        <w:rPr>
          <w:rFonts w:ascii="Times New Roman"/>
          <w:sz w:val="18"/>
        </w:rPr>
        <w:t>(1988); </w:t>
      </w:r>
      <w:r>
        <w:rPr>
          <w:rFonts w:ascii="Times New Roman"/>
          <w:sz w:val="18"/>
          <w:u w:val="single"/>
        </w:rPr>
        <w:t>Nat. Union Fire Ins. Co. v. Ozburn</w:t>
      </w:r>
      <w:r>
        <w:rPr>
          <w:rFonts w:ascii="Times New Roman"/>
          <w:sz w:val="18"/>
        </w:rPr>
        <w:t>, 57 Ga.App. 90, 92, 194 S.E. 756 (Ga. Ct. App.</w:t>
      </w:r>
    </w:p>
    <w:p>
      <w:pPr>
        <w:spacing w:line="178" w:lineRule="exact" w:before="4"/>
        <w:ind w:left="2740" w:right="0" w:firstLine="0"/>
        <w:jc w:val="left"/>
        <w:rPr>
          <w:rFonts w:ascii="Times New Roman"/>
          <w:sz w:val="18"/>
        </w:rPr>
      </w:pPr>
      <w:r>
        <w:rPr>
          <w:rFonts w:ascii="Times New Roman"/>
          <w:sz w:val="18"/>
        </w:rPr>
        <w:t>1937).</w:t>
      </w:r>
    </w:p>
    <w:p>
      <w:pPr>
        <w:pStyle w:val="ListParagraph"/>
        <w:numPr>
          <w:ilvl w:val="0"/>
          <w:numId w:val="13"/>
        </w:numPr>
        <w:tabs>
          <w:tab w:pos="2956" w:val="left" w:leader="none"/>
        </w:tabs>
        <w:spacing w:line="240" w:lineRule="exact" w:before="0" w:after="0"/>
        <w:ind w:left="2956" w:right="0" w:hanging="216"/>
        <w:jc w:val="left"/>
        <w:rPr>
          <w:sz w:val="18"/>
        </w:rPr>
      </w:pPr>
      <w:r>
        <w:rPr>
          <w:sz w:val="18"/>
          <w:u w:val="single"/>
        </w:rPr>
        <w:t> Zappa v. Allstate Ins. Co.</w:t>
      </w:r>
      <w:r>
        <w:rPr>
          <w:sz w:val="18"/>
        </w:rPr>
        <w:t>, 162 S.E.2d 911 (Ga. Ct. App.</w:t>
      </w:r>
      <w:r>
        <w:rPr>
          <w:spacing w:val="3"/>
          <w:sz w:val="18"/>
        </w:rPr>
        <w:t> </w:t>
      </w:r>
      <w:r>
        <w:rPr>
          <w:sz w:val="18"/>
        </w:rPr>
        <w:t>1968).</w:t>
      </w:r>
    </w:p>
    <w:p>
      <w:pPr>
        <w:spacing w:after="0" w:line="240"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71" w:id="90"/>
      <w:bookmarkEnd w:id="90"/>
      <w:r>
        <w:rPr/>
      </w:r>
      <w:r>
        <w:rPr/>
        <w:t>appraisal could not be compelled until conditions precedent to appraisal had been performed</w:t>
      </w:r>
      <w:r>
        <w:rPr>
          <w:spacing w:val="-16"/>
        </w:rPr>
        <w:t> </w:t>
      </w:r>
      <w:r>
        <w:rPr/>
        <w:t>by</w:t>
      </w:r>
      <w:r>
        <w:rPr>
          <w:spacing w:val="-18"/>
        </w:rPr>
        <w:t> </w:t>
      </w:r>
      <w:r>
        <w:rPr/>
        <w:t>the</w:t>
      </w:r>
      <w:r>
        <w:rPr>
          <w:spacing w:val="-16"/>
        </w:rPr>
        <w:t> </w:t>
      </w:r>
      <w:r>
        <w:rPr/>
        <w:t>insured.</w:t>
      </w:r>
      <w:r>
        <w:rPr>
          <w:spacing w:val="-17"/>
        </w:rPr>
        <w:t> </w:t>
      </w:r>
      <w:r>
        <w:rPr>
          <w:spacing w:val="3"/>
        </w:rPr>
        <w:t>In</w:t>
      </w:r>
      <w:r>
        <w:rPr>
          <w:spacing w:val="-14"/>
        </w:rPr>
        <w:t> </w:t>
      </w:r>
      <w:r>
        <w:rPr/>
        <w:t>finding</w:t>
      </w:r>
      <w:r>
        <w:rPr>
          <w:spacing w:val="-12"/>
        </w:rPr>
        <w:t> </w:t>
      </w:r>
      <w:r>
        <w:rPr/>
        <w:t>the</w:t>
      </w:r>
      <w:r>
        <w:rPr>
          <w:spacing w:val="-15"/>
        </w:rPr>
        <w:t> </w:t>
      </w:r>
      <w:r>
        <w:rPr/>
        <w:t>action timely,</w:t>
      </w:r>
      <w:r>
        <w:rPr>
          <w:spacing w:val="-21"/>
        </w:rPr>
        <w:t> </w:t>
      </w:r>
      <w:r>
        <w:rPr/>
        <w:t>the</w:t>
      </w:r>
      <w:r>
        <w:rPr>
          <w:spacing w:val="-18"/>
        </w:rPr>
        <w:t> </w:t>
      </w:r>
      <w:r>
        <w:rPr/>
        <w:t>court</w:t>
      </w:r>
      <w:r>
        <w:rPr>
          <w:spacing w:val="-22"/>
        </w:rPr>
        <w:t> </w:t>
      </w:r>
      <w:r>
        <w:rPr/>
        <w:t>recognized</w:t>
      </w:r>
      <w:r>
        <w:rPr>
          <w:spacing w:val="-18"/>
        </w:rPr>
        <w:t> </w:t>
      </w:r>
      <w:r>
        <w:rPr/>
        <w:t>that</w:t>
      </w:r>
      <w:r>
        <w:rPr>
          <w:spacing w:val="-18"/>
        </w:rPr>
        <w:t> </w:t>
      </w:r>
      <w:r>
        <w:rPr/>
        <w:t>“an</w:t>
      </w:r>
      <w:r>
        <w:rPr>
          <w:spacing w:val="-18"/>
        </w:rPr>
        <w:t> </w:t>
      </w:r>
      <w:r>
        <w:rPr/>
        <w:t>action</w:t>
      </w:r>
      <w:r>
        <w:rPr>
          <w:spacing w:val="-17"/>
        </w:rPr>
        <w:t> </w:t>
      </w:r>
      <w:r>
        <w:rPr/>
        <w:t>to compel appraisal does not accrue until the policy conditions precedent have </w:t>
      </w:r>
      <w:r>
        <w:rPr>
          <w:spacing w:val="-4"/>
        </w:rPr>
        <w:t>been </w:t>
      </w:r>
      <w:r>
        <w:rPr/>
        <w:t>performed or waived, and appraisal is then refused.”</w:t>
      </w:r>
      <w:r>
        <w:rPr>
          <w:spacing w:val="-18"/>
        </w:rPr>
        <w:t> </w:t>
      </w:r>
      <w:r>
        <w:rPr/>
        <w:t>There,</w:t>
      </w:r>
      <w:r>
        <w:rPr>
          <w:spacing w:val="-20"/>
        </w:rPr>
        <w:t> </w:t>
      </w:r>
      <w:r>
        <w:rPr/>
        <w:t>it</w:t>
      </w:r>
      <w:r>
        <w:rPr>
          <w:spacing w:val="-19"/>
        </w:rPr>
        <w:t> </w:t>
      </w:r>
      <w:r>
        <w:rPr/>
        <w:t>stated</w:t>
      </w:r>
      <w:r>
        <w:rPr>
          <w:spacing w:val="-16"/>
        </w:rPr>
        <w:t> </w:t>
      </w:r>
      <w:r>
        <w:rPr/>
        <w:t>the</w:t>
      </w:r>
      <w:r>
        <w:rPr>
          <w:spacing w:val="-15"/>
        </w:rPr>
        <w:t> </w:t>
      </w:r>
      <w:r>
        <w:rPr/>
        <w:t>statute</w:t>
      </w:r>
      <w:r>
        <w:rPr>
          <w:spacing w:val="-16"/>
        </w:rPr>
        <w:t> </w:t>
      </w:r>
      <w:r>
        <w:rPr/>
        <w:t>could</w:t>
      </w:r>
      <w:r>
        <w:rPr>
          <w:spacing w:val="-15"/>
        </w:rPr>
        <w:t> </w:t>
      </w:r>
      <w:r>
        <w:rPr/>
        <w:t>only have</w:t>
      </w:r>
      <w:r>
        <w:rPr>
          <w:spacing w:val="-22"/>
        </w:rPr>
        <w:t> </w:t>
      </w:r>
      <w:r>
        <w:rPr/>
        <w:t>begun</w:t>
      </w:r>
      <w:r>
        <w:rPr>
          <w:spacing w:val="-19"/>
        </w:rPr>
        <w:t> </w:t>
      </w:r>
      <w:r>
        <w:rPr/>
        <w:t>to</w:t>
      </w:r>
      <w:r>
        <w:rPr>
          <w:spacing w:val="-21"/>
        </w:rPr>
        <w:t> </w:t>
      </w:r>
      <w:r>
        <w:rPr/>
        <w:t>run</w:t>
      </w:r>
      <w:r>
        <w:rPr>
          <w:spacing w:val="-19"/>
        </w:rPr>
        <w:t> </w:t>
      </w:r>
      <w:r>
        <w:rPr/>
        <w:t>when</w:t>
      </w:r>
      <w:r>
        <w:rPr>
          <w:spacing w:val="-21"/>
        </w:rPr>
        <w:t> </w:t>
      </w:r>
      <w:r>
        <w:rPr/>
        <w:t>the</w:t>
      </w:r>
      <w:r>
        <w:rPr>
          <w:spacing w:val="-21"/>
        </w:rPr>
        <w:t> </w:t>
      </w:r>
      <w:r>
        <w:rPr/>
        <w:t>insured</w:t>
      </w:r>
      <w:r>
        <w:rPr>
          <w:spacing w:val="-22"/>
        </w:rPr>
        <w:t> </w:t>
      </w:r>
      <w:r>
        <w:rPr/>
        <w:t>offered</w:t>
      </w:r>
      <w:r>
        <w:rPr>
          <w:spacing w:val="-21"/>
        </w:rPr>
        <w:t> </w:t>
      </w:r>
      <w:r>
        <w:rPr/>
        <w:t>to perform conditions precedent and such performance was refused by the insurer, both of which had occurred consistently with the action taken by the</w:t>
      </w:r>
      <w:r>
        <w:rPr>
          <w:spacing w:val="-6"/>
        </w:rPr>
        <w:t> </w:t>
      </w:r>
      <w:r>
        <w:rPr/>
        <w:t>insured.</w:t>
      </w:r>
      <w:r>
        <w:rPr>
          <w:vertAlign w:val="superscript"/>
        </w:rPr>
        <w:t>583</w:t>
      </w:r>
    </w:p>
    <w:p>
      <w:pPr>
        <w:pStyle w:val="BodyText"/>
        <w:spacing w:before="10"/>
        <w:rPr>
          <w:sz w:val="25"/>
        </w:rPr>
      </w:pPr>
    </w:p>
    <w:p>
      <w:pPr>
        <w:pStyle w:val="BodyText"/>
        <w:spacing w:line="242" w:lineRule="auto"/>
        <w:ind w:left="3100" w:right="3195" w:firstLine="720"/>
        <w:jc w:val="both"/>
      </w:pPr>
      <w:r>
        <w:rPr>
          <w:spacing w:val="3"/>
        </w:rPr>
        <w:t>In </w:t>
      </w:r>
      <w:r>
        <w:rPr/>
        <w:t>a perfect world it would not be necessary to discuss the suit provision of the policy, as one of the fundamentals of the appraisal process is litigation avoidance. However, in the very imperfect world of insurance, preserving the right to bring suit is</w:t>
      </w:r>
      <w:r>
        <w:rPr>
          <w:spacing w:val="-20"/>
        </w:rPr>
        <w:t> </w:t>
      </w:r>
      <w:r>
        <w:rPr/>
        <w:t>a strategic imperative in order to motivate both parties</w:t>
      </w:r>
      <w:r>
        <w:rPr>
          <w:spacing w:val="-14"/>
        </w:rPr>
        <w:t> </w:t>
      </w:r>
      <w:r>
        <w:rPr/>
        <w:t>to</w:t>
      </w:r>
      <w:r>
        <w:rPr>
          <w:spacing w:val="-12"/>
        </w:rPr>
        <w:t> </w:t>
      </w:r>
      <w:r>
        <w:rPr/>
        <w:t>see</w:t>
      </w:r>
      <w:r>
        <w:rPr>
          <w:spacing w:val="-14"/>
        </w:rPr>
        <w:t> </w:t>
      </w:r>
      <w:r>
        <w:rPr/>
        <w:t>the</w:t>
      </w:r>
      <w:r>
        <w:rPr>
          <w:spacing w:val="-13"/>
        </w:rPr>
        <w:t> </w:t>
      </w:r>
      <w:r>
        <w:rPr/>
        <w:t>appraisal</w:t>
      </w:r>
      <w:r>
        <w:rPr>
          <w:spacing w:val="-13"/>
        </w:rPr>
        <w:t> </w:t>
      </w:r>
      <w:r>
        <w:rPr/>
        <w:t>process</w:t>
      </w:r>
      <w:r>
        <w:rPr>
          <w:spacing w:val="-13"/>
        </w:rPr>
        <w:t> </w:t>
      </w:r>
      <w:r>
        <w:rPr/>
        <w:t>through</w:t>
      </w:r>
      <w:r>
        <w:rPr>
          <w:spacing w:val="-13"/>
        </w:rPr>
        <w:t> </w:t>
      </w:r>
      <w:r>
        <w:rPr/>
        <w:t>to a</w:t>
      </w:r>
      <w:r>
        <w:rPr>
          <w:spacing w:val="-11"/>
        </w:rPr>
        <w:t> </w:t>
      </w:r>
      <w:r>
        <w:rPr/>
        <w:t>conclusion</w:t>
      </w:r>
      <w:r>
        <w:rPr>
          <w:spacing w:val="-10"/>
        </w:rPr>
        <w:t> </w:t>
      </w:r>
      <w:r>
        <w:rPr/>
        <w:t>in</w:t>
      </w:r>
      <w:r>
        <w:rPr>
          <w:spacing w:val="-11"/>
        </w:rPr>
        <w:t> </w:t>
      </w:r>
      <w:r>
        <w:rPr/>
        <w:t>a</w:t>
      </w:r>
      <w:r>
        <w:rPr>
          <w:spacing w:val="-8"/>
        </w:rPr>
        <w:t> </w:t>
      </w:r>
      <w:r>
        <w:rPr/>
        <w:t>fair</w:t>
      </w:r>
      <w:r>
        <w:rPr>
          <w:spacing w:val="-10"/>
        </w:rPr>
        <w:t> </w:t>
      </w:r>
      <w:r>
        <w:rPr/>
        <w:t>and</w:t>
      </w:r>
      <w:r>
        <w:rPr>
          <w:spacing w:val="-8"/>
        </w:rPr>
        <w:t> </w:t>
      </w:r>
      <w:r>
        <w:rPr/>
        <w:t>reasonable</w:t>
      </w:r>
      <w:r>
        <w:rPr>
          <w:spacing w:val="-7"/>
        </w:rPr>
        <w:t> </w:t>
      </w:r>
      <w:r>
        <w:rPr/>
        <w:t>manner. Litigation</w:t>
      </w:r>
      <w:r>
        <w:rPr>
          <w:spacing w:val="-24"/>
        </w:rPr>
        <w:t> </w:t>
      </w:r>
      <w:r>
        <w:rPr/>
        <w:t>may</w:t>
      </w:r>
      <w:r>
        <w:rPr>
          <w:spacing w:val="-28"/>
        </w:rPr>
        <w:t> </w:t>
      </w:r>
      <w:r>
        <w:rPr/>
        <w:t>be</w:t>
      </w:r>
      <w:r>
        <w:rPr>
          <w:spacing w:val="-26"/>
        </w:rPr>
        <w:t> </w:t>
      </w:r>
      <w:r>
        <w:rPr/>
        <w:t>necessary</w:t>
      </w:r>
      <w:r>
        <w:rPr>
          <w:spacing w:val="-29"/>
        </w:rPr>
        <w:t> </w:t>
      </w:r>
      <w:r>
        <w:rPr/>
        <w:t>in</w:t>
      </w:r>
      <w:r>
        <w:rPr>
          <w:spacing w:val="-27"/>
        </w:rPr>
        <w:t> </w:t>
      </w:r>
      <w:r>
        <w:rPr/>
        <w:t>order</w:t>
      </w:r>
      <w:r>
        <w:rPr>
          <w:spacing w:val="-27"/>
        </w:rPr>
        <w:t> </w:t>
      </w:r>
      <w:r>
        <w:rPr/>
        <w:t>to</w:t>
      </w:r>
      <w:r>
        <w:rPr>
          <w:spacing w:val="-23"/>
        </w:rPr>
        <w:t> </w:t>
      </w:r>
      <w:r>
        <w:rPr/>
        <w:t>compel appraisal where it has been improperly avoided, or to enforce an award where payment has not been made against it, to appoint an umpire or disqualify an</w:t>
      </w:r>
      <w:r>
        <w:rPr>
          <w:spacing w:val="16"/>
        </w:rPr>
        <w:t> </w:t>
      </w:r>
      <w:r>
        <w:rPr/>
        <w:t>appraiser</w:t>
      </w:r>
    </w:p>
    <w:p>
      <w:pPr>
        <w:pStyle w:val="BodyText"/>
        <w:spacing w:before="10"/>
        <w:rPr>
          <w:sz w:val="18"/>
        </w:rPr>
      </w:pPr>
      <w:r>
        <w:rPr/>
        <w:pict>
          <v:shape style="position:absolute;margin-left:162pt;margin-top:13.967651pt;width:143.9pt;height:.1pt;mso-position-horizontal-relative:page;mso-position-vertical-relative:paragraph;z-index:-251456512;mso-wrap-distance-left:0;mso-wrap-distance-right:0" coordorigin="3240,279" coordsize="2878,0" path="m3240,279l6118,279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13"/>
        </w:numPr>
        <w:tabs>
          <w:tab w:pos="3037" w:val="left" w:leader="none"/>
        </w:tabs>
        <w:spacing w:line="252" w:lineRule="auto" w:before="80" w:after="0"/>
        <w:ind w:left="2740" w:right="2843" w:firstLine="0"/>
        <w:jc w:val="both"/>
        <w:rPr>
          <w:sz w:val="18"/>
        </w:rPr>
      </w:pPr>
      <w:r>
        <w:rPr>
          <w:sz w:val="18"/>
          <w:u w:val="single"/>
        </w:rPr>
        <w:t>Chimerakis v. Sentry Ins. Mut. Co.</w:t>
      </w:r>
      <w:r>
        <w:rPr>
          <w:sz w:val="18"/>
        </w:rPr>
        <w:t>, 804 So.2d 476, Fla. L. Weekly D 2843 (Fla. 3d DCA</w:t>
      </w:r>
      <w:r>
        <w:rPr>
          <w:spacing w:val="-8"/>
          <w:sz w:val="18"/>
        </w:rPr>
        <w:t> </w:t>
      </w:r>
      <w:r>
        <w:rPr>
          <w:sz w:val="18"/>
        </w:rPr>
        <w:t>2001),</w:t>
      </w:r>
      <w:r>
        <w:rPr>
          <w:spacing w:val="-4"/>
          <w:sz w:val="18"/>
        </w:rPr>
        <w:t> </w:t>
      </w:r>
      <w:r>
        <w:rPr>
          <w:sz w:val="18"/>
        </w:rPr>
        <w:t>citing</w:t>
      </w:r>
      <w:r>
        <w:rPr>
          <w:spacing w:val="-7"/>
          <w:sz w:val="18"/>
        </w:rPr>
        <w:t> </w:t>
      </w:r>
      <w:r>
        <w:rPr>
          <w:sz w:val="18"/>
          <w:u w:val="single"/>
        </w:rPr>
        <w:t>United</w:t>
      </w:r>
      <w:r>
        <w:rPr>
          <w:spacing w:val="-3"/>
          <w:sz w:val="18"/>
          <w:u w:val="single"/>
        </w:rPr>
        <w:t> </w:t>
      </w:r>
      <w:r>
        <w:rPr>
          <w:sz w:val="18"/>
          <w:u w:val="single"/>
        </w:rPr>
        <w:t>States</w:t>
      </w:r>
      <w:r>
        <w:rPr>
          <w:spacing w:val="-5"/>
          <w:sz w:val="18"/>
          <w:u w:val="single"/>
        </w:rPr>
        <w:t> </w:t>
      </w:r>
      <w:r>
        <w:rPr>
          <w:sz w:val="18"/>
          <w:u w:val="single"/>
        </w:rPr>
        <w:t>Fid.</w:t>
      </w:r>
      <w:r>
        <w:rPr>
          <w:spacing w:val="-4"/>
          <w:sz w:val="18"/>
          <w:u w:val="single"/>
        </w:rPr>
        <w:t> </w:t>
      </w:r>
      <w:r>
        <w:rPr>
          <w:sz w:val="18"/>
          <w:u w:val="single"/>
        </w:rPr>
        <w:t>&amp;</w:t>
      </w:r>
      <w:r>
        <w:rPr>
          <w:spacing w:val="-7"/>
          <w:sz w:val="18"/>
          <w:u w:val="single"/>
        </w:rPr>
        <w:t> </w:t>
      </w:r>
      <w:r>
        <w:rPr>
          <w:sz w:val="18"/>
          <w:u w:val="single"/>
        </w:rPr>
        <w:t>Guar.</w:t>
      </w:r>
      <w:r>
        <w:rPr>
          <w:spacing w:val="-5"/>
          <w:sz w:val="18"/>
          <w:u w:val="single"/>
        </w:rPr>
        <w:t> </w:t>
      </w:r>
      <w:r>
        <w:rPr>
          <w:sz w:val="18"/>
          <w:u w:val="single"/>
        </w:rPr>
        <w:t>Co.</w:t>
      </w:r>
      <w:r>
        <w:rPr>
          <w:spacing w:val="-5"/>
          <w:sz w:val="18"/>
          <w:u w:val="single"/>
        </w:rPr>
        <w:t> </w:t>
      </w:r>
      <w:r>
        <w:rPr>
          <w:sz w:val="18"/>
          <w:u w:val="single"/>
        </w:rPr>
        <w:t>v.</w:t>
      </w:r>
      <w:r>
        <w:rPr>
          <w:spacing w:val="-4"/>
          <w:sz w:val="18"/>
          <w:u w:val="single"/>
        </w:rPr>
        <w:t> </w:t>
      </w:r>
      <w:r>
        <w:rPr>
          <w:sz w:val="18"/>
          <w:u w:val="single"/>
        </w:rPr>
        <w:t>Romay</w:t>
      </w:r>
      <w:r>
        <w:rPr>
          <w:sz w:val="18"/>
        </w:rPr>
        <w:t>,</w:t>
      </w:r>
      <w:r>
        <w:rPr>
          <w:spacing w:val="-2"/>
          <w:sz w:val="18"/>
        </w:rPr>
        <w:t> </w:t>
      </w:r>
      <w:r>
        <w:rPr>
          <w:sz w:val="18"/>
        </w:rPr>
        <w:t>744</w:t>
      </w:r>
      <w:r>
        <w:rPr>
          <w:spacing w:val="-2"/>
          <w:sz w:val="18"/>
        </w:rPr>
        <w:t> </w:t>
      </w:r>
      <w:r>
        <w:rPr>
          <w:sz w:val="18"/>
        </w:rPr>
        <w:t>So.2d</w:t>
      </w:r>
      <w:r>
        <w:rPr>
          <w:spacing w:val="-3"/>
          <w:sz w:val="18"/>
        </w:rPr>
        <w:t> </w:t>
      </w:r>
      <w:r>
        <w:rPr>
          <w:sz w:val="18"/>
        </w:rPr>
        <w:t>467</w:t>
      </w:r>
      <w:r>
        <w:rPr>
          <w:spacing w:val="-5"/>
          <w:sz w:val="18"/>
        </w:rPr>
        <w:t> </w:t>
      </w:r>
      <w:r>
        <w:rPr>
          <w:sz w:val="18"/>
        </w:rPr>
        <w:t>(Fla.</w:t>
      </w:r>
      <w:r>
        <w:rPr>
          <w:spacing w:val="-4"/>
          <w:sz w:val="18"/>
        </w:rPr>
        <w:t> </w:t>
      </w:r>
      <w:r>
        <w:rPr>
          <w:sz w:val="18"/>
        </w:rPr>
        <w:t>3d</w:t>
      </w:r>
      <w:r>
        <w:rPr>
          <w:spacing w:val="-3"/>
          <w:sz w:val="18"/>
        </w:rPr>
        <w:t> </w:t>
      </w:r>
      <w:r>
        <w:rPr>
          <w:sz w:val="18"/>
        </w:rPr>
        <w:t>DCA 1999).</w:t>
      </w:r>
    </w:p>
    <w:p>
      <w:pPr>
        <w:spacing w:after="0" w:line="252" w:lineRule="auto"/>
        <w:jc w:val="both"/>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jc w:val="both"/>
      </w:pPr>
      <w:bookmarkStart w:name="Law and Procedure 272" w:id="91"/>
      <w:bookmarkEnd w:id="91"/>
      <w:r>
        <w:rPr/>
      </w:r>
      <w:r>
        <w:rPr/>
        <w:t>for good cause shown. If the right to sue has been dissipated, what recourse would the insured have upon the insurer denying coverage after its receipt of an unfavorable award?</w:t>
      </w:r>
    </w:p>
    <w:p>
      <w:pPr>
        <w:pStyle w:val="BodyText"/>
      </w:pPr>
    </w:p>
    <w:p>
      <w:pPr>
        <w:pStyle w:val="BodyText"/>
        <w:spacing w:line="242" w:lineRule="auto" w:before="1"/>
        <w:ind w:left="3100" w:right="3196" w:firstLine="720"/>
        <w:jc w:val="both"/>
      </w:pPr>
      <w:r>
        <w:rPr/>
        <w:t>Nevertheless,</w:t>
      </w:r>
      <w:r>
        <w:rPr>
          <w:spacing w:val="-22"/>
        </w:rPr>
        <w:t> </w:t>
      </w:r>
      <w:r>
        <w:rPr/>
        <w:t>for</w:t>
      </w:r>
      <w:r>
        <w:rPr>
          <w:spacing w:val="-24"/>
        </w:rPr>
        <w:t> </w:t>
      </w:r>
      <w:r>
        <w:rPr/>
        <w:t>those</w:t>
      </w:r>
      <w:r>
        <w:rPr>
          <w:spacing w:val="-20"/>
        </w:rPr>
        <w:t> </w:t>
      </w:r>
      <w:r>
        <w:rPr/>
        <w:t>caught</w:t>
      </w:r>
      <w:r>
        <w:rPr>
          <w:spacing w:val="-20"/>
        </w:rPr>
        <w:t> </w:t>
      </w:r>
      <w:r>
        <w:rPr/>
        <w:t>unwary</w:t>
      </w:r>
      <w:r>
        <w:rPr>
          <w:spacing w:val="-22"/>
        </w:rPr>
        <w:t> </w:t>
      </w:r>
      <w:r>
        <w:rPr/>
        <w:t>or unprepared and where the time to bring suit has passed, courts should be loathe to reap</w:t>
      </w:r>
      <w:r>
        <w:rPr>
          <w:spacing w:val="-23"/>
        </w:rPr>
        <w:t> </w:t>
      </w:r>
      <w:r>
        <w:rPr/>
        <w:t>a forfeiture on the insured on a technical failure to toll the running of the suit provision. However,</w:t>
      </w:r>
      <w:r>
        <w:rPr>
          <w:spacing w:val="-23"/>
        </w:rPr>
        <w:t> </w:t>
      </w:r>
      <w:r>
        <w:rPr/>
        <w:t>should</w:t>
      </w:r>
      <w:r>
        <w:rPr>
          <w:spacing w:val="-18"/>
        </w:rPr>
        <w:t> </w:t>
      </w:r>
      <w:r>
        <w:rPr/>
        <w:t>simple</w:t>
      </w:r>
      <w:r>
        <w:rPr>
          <w:spacing w:val="-20"/>
        </w:rPr>
        <w:t> </w:t>
      </w:r>
      <w:r>
        <w:rPr/>
        <w:t>equity</w:t>
      </w:r>
      <w:r>
        <w:rPr>
          <w:spacing w:val="-23"/>
        </w:rPr>
        <w:t> </w:t>
      </w:r>
      <w:r>
        <w:rPr/>
        <w:t>and</w:t>
      </w:r>
      <w:r>
        <w:rPr>
          <w:spacing w:val="-20"/>
        </w:rPr>
        <w:t> </w:t>
      </w:r>
      <w:r>
        <w:rPr/>
        <w:t>fairness</w:t>
      </w:r>
      <w:r>
        <w:rPr>
          <w:spacing w:val="-20"/>
        </w:rPr>
        <w:t> </w:t>
      </w:r>
      <w:r>
        <w:rPr/>
        <w:t>not be</w:t>
      </w:r>
      <w:r>
        <w:rPr>
          <w:spacing w:val="-7"/>
        </w:rPr>
        <w:t> </w:t>
      </w:r>
      <w:r>
        <w:rPr/>
        <w:t>sufficient</w:t>
      </w:r>
      <w:r>
        <w:rPr>
          <w:spacing w:val="-8"/>
        </w:rPr>
        <w:t> </w:t>
      </w:r>
      <w:r>
        <w:rPr/>
        <w:t>to</w:t>
      </w:r>
      <w:r>
        <w:rPr>
          <w:spacing w:val="-6"/>
        </w:rPr>
        <w:t> </w:t>
      </w:r>
      <w:r>
        <w:rPr/>
        <w:t>save</w:t>
      </w:r>
      <w:r>
        <w:rPr>
          <w:spacing w:val="-7"/>
        </w:rPr>
        <w:t> </w:t>
      </w:r>
      <w:r>
        <w:rPr/>
        <w:t>the</w:t>
      </w:r>
      <w:r>
        <w:rPr>
          <w:spacing w:val="-6"/>
        </w:rPr>
        <w:t> </w:t>
      </w:r>
      <w:r>
        <w:rPr/>
        <w:t>insured,</w:t>
      </w:r>
      <w:r>
        <w:rPr>
          <w:spacing w:val="-9"/>
        </w:rPr>
        <w:t> </w:t>
      </w:r>
      <w:r>
        <w:rPr/>
        <w:t>and</w:t>
      </w:r>
      <w:r>
        <w:rPr>
          <w:spacing w:val="-5"/>
        </w:rPr>
        <w:t> </w:t>
      </w:r>
      <w:r>
        <w:rPr/>
        <w:t>it</w:t>
      </w:r>
      <w:r>
        <w:rPr>
          <w:spacing w:val="-11"/>
        </w:rPr>
        <w:t> </w:t>
      </w:r>
      <w:r>
        <w:rPr/>
        <w:t>often</w:t>
      </w:r>
      <w:r>
        <w:rPr>
          <w:spacing w:val="-6"/>
        </w:rPr>
        <w:t> </w:t>
      </w:r>
      <w:r>
        <w:rPr/>
        <w:t>is not, the insured’s salvation may be found in their ability to bring suit on the appraisal agreement or award itself should the carrier refuse to proceed to a conclusion of the appraisal or to pay the award upon its issuance.</w:t>
      </w:r>
    </w:p>
    <w:p>
      <w:pPr>
        <w:pStyle w:val="BodyText"/>
        <w:spacing w:before="10"/>
        <w:rPr>
          <w:sz w:val="25"/>
        </w:rPr>
      </w:pPr>
    </w:p>
    <w:p>
      <w:pPr>
        <w:pStyle w:val="BodyText"/>
        <w:spacing w:line="242" w:lineRule="auto"/>
        <w:ind w:left="3100" w:right="3197" w:firstLine="720"/>
        <w:jc w:val="both"/>
      </w:pPr>
      <w:r>
        <w:rPr/>
        <w:t>The appraisal agreement, hopefully in writing,</w:t>
      </w:r>
      <w:r>
        <w:rPr>
          <w:spacing w:val="42"/>
        </w:rPr>
        <w:t> </w:t>
      </w:r>
      <w:r>
        <w:rPr/>
        <w:t>is</w:t>
      </w:r>
      <w:r>
        <w:rPr>
          <w:spacing w:val="-14"/>
        </w:rPr>
        <w:t> </w:t>
      </w:r>
      <w:r>
        <w:rPr/>
        <w:t>binding</w:t>
      </w:r>
      <w:r>
        <w:rPr>
          <w:spacing w:val="-12"/>
        </w:rPr>
        <w:t> </w:t>
      </w:r>
      <w:r>
        <w:rPr/>
        <w:t>as</w:t>
      </w:r>
      <w:r>
        <w:rPr>
          <w:spacing w:val="-13"/>
        </w:rPr>
        <w:t> </w:t>
      </w:r>
      <w:r>
        <w:rPr/>
        <w:t>a</w:t>
      </w:r>
      <w:r>
        <w:rPr>
          <w:spacing w:val="-14"/>
        </w:rPr>
        <w:t> </w:t>
      </w:r>
      <w:r>
        <w:rPr/>
        <w:t>contract</w:t>
      </w:r>
      <w:r>
        <w:rPr>
          <w:spacing w:val="-16"/>
        </w:rPr>
        <w:t> </w:t>
      </w:r>
      <w:r>
        <w:rPr/>
        <w:t>in</w:t>
      </w:r>
      <w:r>
        <w:rPr>
          <w:spacing w:val="-16"/>
        </w:rPr>
        <w:t> </w:t>
      </w:r>
      <w:r>
        <w:rPr/>
        <w:t>its</w:t>
      </w:r>
      <w:r>
        <w:rPr>
          <w:spacing w:val="-16"/>
        </w:rPr>
        <w:t> </w:t>
      </w:r>
      <w:r>
        <w:rPr/>
        <w:t>own</w:t>
      </w:r>
      <w:r>
        <w:rPr>
          <w:spacing w:val="-14"/>
        </w:rPr>
        <w:t> </w:t>
      </w:r>
      <w:r>
        <w:rPr/>
        <w:t>right. This</w:t>
      </w:r>
      <w:r>
        <w:rPr>
          <w:spacing w:val="-26"/>
        </w:rPr>
        <w:t> </w:t>
      </w:r>
      <w:r>
        <w:rPr/>
        <w:t>would,</w:t>
      </w:r>
      <w:r>
        <w:rPr>
          <w:spacing w:val="-25"/>
        </w:rPr>
        <w:t> </w:t>
      </w:r>
      <w:r>
        <w:rPr/>
        <w:t>in</w:t>
      </w:r>
      <w:r>
        <w:rPr>
          <w:spacing w:val="-23"/>
        </w:rPr>
        <w:t> </w:t>
      </w:r>
      <w:r>
        <w:rPr/>
        <w:t>theory,</w:t>
      </w:r>
      <w:r>
        <w:rPr>
          <w:spacing w:val="-26"/>
        </w:rPr>
        <w:t> </w:t>
      </w:r>
      <w:r>
        <w:rPr/>
        <w:t>be</w:t>
      </w:r>
      <w:r>
        <w:rPr>
          <w:spacing w:val="-25"/>
        </w:rPr>
        <w:t> </w:t>
      </w:r>
      <w:r>
        <w:rPr/>
        <w:t>subject</w:t>
      </w:r>
      <w:r>
        <w:rPr>
          <w:spacing w:val="-28"/>
        </w:rPr>
        <w:t> </w:t>
      </w:r>
      <w:r>
        <w:rPr/>
        <w:t>to</w:t>
      </w:r>
      <w:r>
        <w:rPr>
          <w:spacing w:val="-25"/>
        </w:rPr>
        <w:t> </w:t>
      </w:r>
      <w:r>
        <w:rPr/>
        <w:t>the</w:t>
      </w:r>
      <w:r>
        <w:rPr>
          <w:spacing w:val="-26"/>
        </w:rPr>
        <w:t> </w:t>
      </w:r>
      <w:r>
        <w:rPr/>
        <w:t>statutory period for bringing suit for breach of contract in the local jurisdiction without regard to the policy</w:t>
      </w:r>
      <w:r>
        <w:rPr>
          <w:spacing w:val="-24"/>
        </w:rPr>
        <w:t> </w:t>
      </w:r>
      <w:r>
        <w:rPr/>
        <w:t>time</w:t>
      </w:r>
      <w:r>
        <w:rPr>
          <w:spacing w:val="-21"/>
        </w:rPr>
        <w:t> </w:t>
      </w:r>
      <w:r>
        <w:rPr/>
        <w:t>period</w:t>
      </w:r>
      <w:r>
        <w:rPr>
          <w:spacing w:val="-20"/>
        </w:rPr>
        <w:t> </w:t>
      </w:r>
      <w:r>
        <w:rPr/>
        <w:t>as</w:t>
      </w:r>
      <w:r>
        <w:rPr>
          <w:spacing w:val="-21"/>
        </w:rPr>
        <w:t> </w:t>
      </w:r>
      <w:r>
        <w:rPr/>
        <w:t>the</w:t>
      </w:r>
      <w:r>
        <w:rPr>
          <w:spacing w:val="-23"/>
        </w:rPr>
        <w:t> </w:t>
      </w:r>
      <w:r>
        <w:rPr/>
        <w:t>suit</w:t>
      </w:r>
      <w:r>
        <w:rPr>
          <w:spacing w:val="-26"/>
        </w:rPr>
        <w:t> </w:t>
      </w:r>
      <w:r>
        <w:rPr/>
        <w:t>is</w:t>
      </w:r>
      <w:r>
        <w:rPr>
          <w:spacing w:val="-22"/>
        </w:rPr>
        <w:t> </w:t>
      </w:r>
      <w:r>
        <w:rPr/>
        <w:t>not</w:t>
      </w:r>
      <w:r>
        <w:rPr>
          <w:spacing w:val="-23"/>
        </w:rPr>
        <w:t> </w:t>
      </w:r>
      <w:r>
        <w:rPr/>
        <w:t>premised</w:t>
      </w:r>
      <w:r>
        <w:rPr>
          <w:spacing w:val="-22"/>
        </w:rPr>
        <w:t> </w:t>
      </w:r>
      <w:r>
        <w:rPr/>
        <w:t>on breach of the policy, but on the appraisal agreement.</w:t>
      </w:r>
    </w:p>
    <w:p>
      <w:pPr>
        <w:pStyle w:val="BodyText"/>
      </w:pPr>
    </w:p>
    <w:p>
      <w:pPr>
        <w:pStyle w:val="BodyText"/>
        <w:spacing w:line="242" w:lineRule="auto"/>
        <w:ind w:left="3100" w:right="3198" w:firstLine="720"/>
        <w:jc w:val="both"/>
      </w:pPr>
      <w:r>
        <w:rPr/>
        <w:t>Ongoing</w:t>
      </w:r>
      <w:r>
        <w:rPr>
          <w:spacing w:val="-44"/>
        </w:rPr>
        <w:t> </w:t>
      </w:r>
      <w:r>
        <w:rPr/>
        <w:t>discussions</w:t>
      </w:r>
      <w:r>
        <w:rPr>
          <w:spacing w:val="-43"/>
        </w:rPr>
        <w:t> </w:t>
      </w:r>
      <w:r>
        <w:rPr/>
        <w:t>between</w:t>
      </w:r>
      <w:r>
        <w:rPr>
          <w:spacing w:val="-43"/>
        </w:rPr>
        <w:t> </w:t>
      </w:r>
      <w:r>
        <w:rPr/>
        <w:t>the</w:t>
      </w:r>
      <w:r>
        <w:rPr>
          <w:spacing w:val="-42"/>
        </w:rPr>
        <w:t> </w:t>
      </w:r>
      <w:r>
        <w:rPr/>
        <w:t>insured and</w:t>
      </w:r>
      <w:r>
        <w:rPr>
          <w:spacing w:val="-24"/>
        </w:rPr>
        <w:t> </w:t>
      </w:r>
      <w:r>
        <w:rPr/>
        <w:t>its</w:t>
      </w:r>
      <w:r>
        <w:rPr>
          <w:spacing w:val="-25"/>
        </w:rPr>
        <w:t> </w:t>
      </w:r>
      <w:r>
        <w:rPr/>
        <w:t>insurer</w:t>
      </w:r>
      <w:r>
        <w:rPr>
          <w:spacing w:val="-26"/>
        </w:rPr>
        <w:t> </w:t>
      </w:r>
      <w:r>
        <w:rPr/>
        <w:t>did</w:t>
      </w:r>
      <w:r>
        <w:rPr>
          <w:spacing w:val="-24"/>
        </w:rPr>
        <w:t> </w:t>
      </w:r>
      <w:r>
        <w:rPr/>
        <w:t>not</w:t>
      </w:r>
      <w:r>
        <w:rPr>
          <w:spacing w:val="-25"/>
        </w:rPr>
        <w:t> </w:t>
      </w:r>
      <w:r>
        <w:rPr/>
        <w:t>serve</w:t>
      </w:r>
      <w:r>
        <w:rPr>
          <w:spacing w:val="-25"/>
        </w:rPr>
        <w:t> </w:t>
      </w:r>
      <w:r>
        <w:rPr/>
        <w:t>to</w:t>
      </w:r>
      <w:r>
        <w:rPr>
          <w:spacing w:val="-24"/>
        </w:rPr>
        <w:t> </w:t>
      </w:r>
      <w:r>
        <w:rPr/>
        <w:t>toll</w:t>
      </w:r>
      <w:r>
        <w:rPr>
          <w:spacing w:val="-23"/>
        </w:rPr>
        <w:t> </w:t>
      </w:r>
      <w:r>
        <w:rPr/>
        <w:t>the</w:t>
      </w:r>
      <w:r>
        <w:rPr>
          <w:spacing w:val="-24"/>
        </w:rPr>
        <w:t> </w:t>
      </w:r>
      <w:r>
        <w:rPr/>
        <w:t>running</w:t>
      </w:r>
      <w:r>
        <w:rPr>
          <w:spacing w:val="-23"/>
        </w:rPr>
        <w:t> </w:t>
      </w:r>
      <w:r>
        <w:rPr/>
        <w:t>of the</w:t>
      </w:r>
      <w:r>
        <w:rPr>
          <w:spacing w:val="28"/>
        </w:rPr>
        <w:t> </w:t>
      </w:r>
      <w:r>
        <w:rPr/>
        <w:t>statute</w:t>
      </w:r>
      <w:r>
        <w:rPr>
          <w:spacing w:val="28"/>
        </w:rPr>
        <w:t> </w:t>
      </w:r>
      <w:r>
        <w:rPr/>
        <w:t>of</w:t>
      </w:r>
      <w:r>
        <w:rPr>
          <w:spacing w:val="30"/>
        </w:rPr>
        <w:t> </w:t>
      </w:r>
      <w:r>
        <w:rPr/>
        <w:t>limitations</w:t>
      </w:r>
      <w:r>
        <w:rPr>
          <w:spacing w:val="29"/>
        </w:rPr>
        <w:t> </w:t>
      </w:r>
      <w:r>
        <w:rPr/>
        <w:t>even</w:t>
      </w:r>
      <w:r>
        <w:rPr>
          <w:spacing w:val="29"/>
        </w:rPr>
        <w:t> </w:t>
      </w:r>
      <w:r>
        <w:rPr/>
        <w:t>in</w:t>
      </w:r>
      <w:r>
        <w:rPr>
          <w:spacing w:val="29"/>
        </w:rPr>
        <w:t> </w:t>
      </w:r>
      <w:r>
        <w:rPr/>
        <w:t>a</w:t>
      </w:r>
      <w:r>
        <w:rPr>
          <w:spacing w:val="28"/>
        </w:rPr>
        <w:t> </w:t>
      </w:r>
      <w:r>
        <w:rPr/>
        <w:t>state</w:t>
      </w:r>
      <w:r>
        <w:rPr>
          <w:spacing w:val="34"/>
        </w:rPr>
        <w:t> </w:t>
      </w:r>
      <w:r>
        <w:rPr/>
        <w:t>that</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200"/>
        <w:jc w:val="both"/>
      </w:pPr>
      <w:bookmarkStart w:name="Law and Procedure 273" w:id="92"/>
      <w:bookmarkEnd w:id="92"/>
      <w:r>
        <w:rPr/>
      </w:r>
      <w:r>
        <w:rPr/>
        <w:t>tolls the running of the statute where an appraisal</w:t>
      </w:r>
      <w:r>
        <w:rPr>
          <w:spacing w:val="-21"/>
        </w:rPr>
        <w:t> </w:t>
      </w:r>
      <w:r>
        <w:rPr/>
        <w:t>agreement</w:t>
      </w:r>
      <w:r>
        <w:rPr>
          <w:spacing w:val="-25"/>
        </w:rPr>
        <w:t> </w:t>
      </w:r>
      <w:r>
        <w:rPr/>
        <w:t>is</w:t>
      </w:r>
      <w:r>
        <w:rPr>
          <w:spacing w:val="-19"/>
        </w:rPr>
        <w:t> </w:t>
      </w:r>
      <w:r>
        <w:rPr/>
        <w:t>entered</w:t>
      </w:r>
      <w:r>
        <w:rPr>
          <w:spacing w:val="-19"/>
        </w:rPr>
        <w:t> </w:t>
      </w:r>
      <w:r>
        <w:rPr/>
        <w:t>into</w:t>
      </w:r>
      <w:r>
        <w:rPr>
          <w:spacing w:val="-19"/>
        </w:rPr>
        <w:t> </w:t>
      </w:r>
      <w:r>
        <w:rPr/>
        <w:t>where</w:t>
      </w:r>
      <w:r>
        <w:rPr>
          <w:spacing w:val="-19"/>
        </w:rPr>
        <w:t> </w:t>
      </w:r>
      <w:r>
        <w:rPr/>
        <w:t>the parties efforts never ripened into an actual agreement.</w:t>
      </w:r>
      <w:r>
        <w:rPr>
          <w:vertAlign w:val="superscript"/>
        </w:rPr>
        <w:t>584</w:t>
      </w:r>
    </w:p>
    <w:p>
      <w:pPr>
        <w:pStyle w:val="BodyText"/>
        <w:spacing w:before="11"/>
        <w:rPr>
          <w:sz w:val="24"/>
        </w:rPr>
      </w:pPr>
    </w:p>
    <w:p>
      <w:pPr>
        <w:pStyle w:val="BodyText"/>
        <w:spacing w:line="242" w:lineRule="auto" w:before="1"/>
        <w:ind w:left="3100" w:right="3197" w:firstLine="720"/>
        <w:jc w:val="both"/>
      </w:pPr>
      <w:r>
        <w:rPr>
          <w:spacing w:val="3"/>
        </w:rPr>
        <w:t>In</w:t>
      </w:r>
      <w:r>
        <w:rPr>
          <w:spacing w:val="-12"/>
        </w:rPr>
        <w:t> </w:t>
      </w:r>
      <w:r>
        <w:rPr/>
        <w:t>the</w:t>
      </w:r>
      <w:r>
        <w:rPr>
          <w:spacing w:val="-11"/>
        </w:rPr>
        <w:t> </w:t>
      </w:r>
      <w:r>
        <w:rPr/>
        <w:t>state</w:t>
      </w:r>
      <w:r>
        <w:rPr>
          <w:spacing w:val="-12"/>
        </w:rPr>
        <w:t> </w:t>
      </w:r>
      <w:r>
        <w:rPr/>
        <w:t>of</w:t>
      </w:r>
      <w:r>
        <w:rPr>
          <w:spacing w:val="-10"/>
        </w:rPr>
        <w:t> </w:t>
      </w:r>
      <w:r>
        <w:rPr/>
        <w:t>California</w:t>
      </w:r>
      <w:r>
        <w:rPr>
          <w:spacing w:val="-8"/>
        </w:rPr>
        <w:t> </w:t>
      </w:r>
      <w:r>
        <w:rPr/>
        <w:t>it</w:t>
      </w:r>
      <w:r>
        <w:rPr>
          <w:spacing w:val="-11"/>
        </w:rPr>
        <w:t> </w:t>
      </w:r>
      <w:r>
        <w:rPr/>
        <w:t>has</w:t>
      </w:r>
      <w:r>
        <w:rPr>
          <w:spacing w:val="-9"/>
        </w:rPr>
        <w:t> </w:t>
      </w:r>
      <w:r>
        <w:rPr/>
        <w:t>been</w:t>
      </w:r>
      <w:r>
        <w:rPr>
          <w:spacing w:val="-9"/>
        </w:rPr>
        <w:t> </w:t>
      </w:r>
      <w:r>
        <w:rPr/>
        <w:t>held that the Doctrine of Equitable Tolling did not operate to suspend the statute of limitations during an appraisal proceeding where the insured had numerous </w:t>
      </w:r>
      <w:r>
        <w:rPr>
          <w:spacing w:val="2"/>
        </w:rPr>
        <w:t>opportunities </w:t>
      </w:r>
      <w:r>
        <w:rPr/>
        <w:t>to conclude that the carrier had breached the contract of insurance and that</w:t>
      </w:r>
      <w:r>
        <w:rPr>
          <w:spacing w:val="-38"/>
        </w:rPr>
        <w:t> </w:t>
      </w:r>
      <w:r>
        <w:rPr/>
        <w:t>circumstances did not show an “unjust technical forfeiture” </w:t>
      </w:r>
      <w:r>
        <w:rPr>
          <w:spacing w:val="12"/>
        </w:rPr>
        <w:t>nor </w:t>
      </w:r>
      <w:r>
        <w:rPr>
          <w:spacing w:val="10"/>
        </w:rPr>
        <w:t>was </w:t>
      </w:r>
      <w:r>
        <w:rPr>
          <w:spacing w:val="8"/>
        </w:rPr>
        <w:t>an </w:t>
      </w:r>
      <w:r>
        <w:rPr>
          <w:spacing w:val="14"/>
        </w:rPr>
        <w:t>absence </w:t>
      </w:r>
      <w:r>
        <w:rPr>
          <w:spacing w:val="8"/>
        </w:rPr>
        <w:t>of </w:t>
      </w:r>
      <w:r>
        <w:rPr>
          <w:spacing w:val="15"/>
        </w:rPr>
        <w:t>prejudice </w:t>
      </w:r>
      <w:r>
        <w:rPr/>
        <w:t>established.</w:t>
      </w:r>
      <w:r>
        <w:rPr>
          <w:vertAlign w:val="superscript"/>
        </w:rPr>
        <w:t>585</w:t>
      </w:r>
    </w:p>
    <w:p>
      <w:pPr>
        <w:pStyle w:val="BodyText"/>
        <w:spacing w:before="11"/>
        <w:rPr>
          <w:sz w:val="25"/>
        </w:rPr>
      </w:pPr>
    </w:p>
    <w:p>
      <w:pPr>
        <w:pStyle w:val="BodyText"/>
        <w:spacing w:line="242" w:lineRule="auto"/>
        <w:ind w:left="3100" w:right="3197" w:firstLine="720"/>
        <w:jc w:val="both"/>
      </w:pPr>
      <w:r>
        <w:rPr>
          <w:spacing w:val="3"/>
        </w:rPr>
        <w:t>In </w:t>
      </w:r>
      <w:r>
        <w:rPr/>
        <w:t>those states which have either a statutory mechanism for enforcement of insurance appraisal awards or which equate appraisal with arbitration and provide for statutory enforcement through an arbitration mechanism, the statutes themselves would provide the statutory cause of </w:t>
      </w:r>
      <w:r>
        <w:rPr>
          <w:spacing w:val="-5"/>
        </w:rPr>
        <w:t>action.</w:t>
      </w:r>
      <w:r>
        <w:rPr>
          <w:spacing w:val="-5"/>
          <w:vertAlign w:val="superscript"/>
        </w:rPr>
        <w:t>586</w:t>
      </w:r>
      <w:r>
        <w:rPr>
          <w:spacing w:val="-5"/>
          <w:vertAlign w:val="baseline"/>
        </w:rPr>
        <w:t> </w:t>
      </w:r>
      <w:r>
        <w:rPr>
          <w:vertAlign w:val="baseline"/>
        </w:rPr>
        <w:t>Theoretically, such a statutory cause of</w:t>
      </w:r>
      <w:r>
        <w:rPr>
          <w:spacing w:val="-34"/>
          <w:vertAlign w:val="baseline"/>
        </w:rPr>
        <w:t> </w:t>
      </w:r>
      <w:r>
        <w:rPr>
          <w:vertAlign w:val="baseline"/>
        </w:rPr>
        <w:t>action would</w:t>
      </w:r>
      <w:r>
        <w:rPr>
          <w:spacing w:val="-26"/>
          <w:vertAlign w:val="baseline"/>
        </w:rPr>
        <w:t> </w:t>
      </w:r>
      <w:r>
        <w:rPr>
          <w:vertAlign w:val="baseline"/>
        </w:rPr>
        <w:t>not</w:t>
      </w:r>
      <w:r>
        <w:rPr>
          <w:spacing w:val="-29"/>
          <w:vertAlign w:val="baseline"/>
        </w:rPr>
        <w:t> </w:t>
      </w:r>
      <w:r>
        <w:rPr>
          <w:vertAlign w:val="baseline"/>
        </w:rPr>
        <w:t>be</w:t>
      </w:r>
      <w:r>
        <w:rPr>
          <w:spacing w:val="-25"/>
          <w:vertAlign w:val="baseline"/>
        </w:rPr>
        <w:t> </w:t>
      </w:r>
      <w:r>
        <w:rPr>
          <w:vertAlign w:val="baseline"/>
        </w:rPr>
        <w:t>subject</w:t>
      </w:r>
      <w:r>
        <w:rPr>
          <w:spacing w:val="-30"/>
          <w:vertAlign w:val="baseline"/>
        </w:rPr>
        <w:t> </w:t>
      </w:r>
      <w:r>
        <w:rPr>
          <w:vertAlign w:val="baseline"/>
        </w:rPr>
        <w:t>to</w:t>
      </w:r>
      <w:r>
        <w:rPr>
          <w:spacing w:val="-27"/>
          <w:vertAlign w:val="baseline"/>
        </w:rPr>
        <w:t> </w:t>
      </w:r>
      <w:r>
        <w:rPr>
          <w:vertAlign w:val="baseline"/>
        </w:rPr>
        <w:t>the</w:t>
      </w:r>
      <w:r>
        <w:rPr>
          <w:spacing w:val="-29"/>
          <w:vertAlign w:val="baseline"/>
        </w:rPr>
        <w:t> </w:t>
      </w:r>
      <w:r>
        <w:rPr>
          <w:vertAlign w:val="baseline"/>
        </w:rPr>
        <w:t>contractual</w:t>
      </w:r>
      <w:r>
        <w:rPr>
          <w:spacing w:val="-26"/>
          <w:vertAlign w:val="baseline"/>
        </w:rPr>
        <w:t> </w:t>
      </w:r>
      <w:r>
        <w:rPr>
          <w:vertAlign w:val="baseline"/>
        </w:rPr>
        <w:t>period of limitations found </w:t>
      </w:r>
      <w:r>
        <w:rPr>
          <w:spacing w:val="3"/>
          <w:vertAlign w:val="baseline"/>
        </w:rPr>
        <w:t>in </w:t>
      </w:r>
      <w:r>
        <w:rPr>
          <w:vertAlign w:val="baseline"/>
        </w:rPr>
        <w:t>the</w:t>
      </w:r>
      <w:r>
        <w:rPr>
          <w:spacing w:val="-9"/>
          <w:vertAlign w:val="baseline"/>
        </w:rPr>
        <w:t> </w:t>
      </w:r>
      <w:r>
        <w:rPr>
          <w:vertAlign w:val="baseline"/>
        </w:rPr>
        <w:t>policy.</w:t>
      </w:r>
    </w:p>
    <w:p>
      <w:pPr>
        <w:pStyle w:val="BodyText"/>
        <w:rPr>
          <w:sz w:val="20"/>
        </w:rPr>
      </w:pPr>
    </w:p>
    <w:p>
      <w:pPr>
        <w:pStyle w:val="BodyText"/>
        <w:spacing w:before="3"/>
        <w:rPr>
          <w:sz w:val="21"/>
        </w:rPr>
      </w:pPr>
      <w:r>
        <w:rPr/>
        <w:pict>
          <v:shape style="position:absolute;margin-left:162pt;margin-top:15.466963pt;width:143.9pt;height:.1pt;mso-position-horizontal-relative:page;mso-position-vertical-relative:paragraph;z-index:-251455488;mso-wrap-distance-left:0;mso-wrap-distance-right:0" coordorigin="3240,309" coordsize="2878,0" path="m3240,309l6118,30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3008" w:val="left" w:leader="none"/>
        </w:tabs>
        <w:spacing w:line="261" w:lineRule="auto" w:before="71" w:after="0"/>
        <w:ind w:left="2740" w:right="2847" w:firstLine="0"/>
        <w:jc w:val="left"/>
        <w:rPr>
          <w:sz w:val="18"/>
        </w:rPr>
      </w:pPr>
      <w:r>
        <w:rPr>
          <w:sz w:val="18"/>
          <w:u w:val="single"/>
        </w:rPr>
        <w:t>Wieting</w:t>
      </w:r>
      <w:r>
        <w:rPr>
          <w:spacing w:val="-8"/>
          <w:sz w:val="18"/>
          <w:u w:val="single"/>
        </w:rPr>
        <w:t> </w:t>
      </w:r>
      <w:r>
        <w:rPr>
          <w:sz w:val="18"/>
          <w:u w:val="single"/>
        </w:rPr>
        <w:t>Funeral</w:t>
      </w:r>
      <w:r>
        <w:rPr>
          <w:spacing w:val="-8"/>
          <w:sz w:val="18"/>
          <w:u w:val="single"/>
        </w:rPr>
        <w:t> </w:t>
      </w:r>
      <w:r>
        <w:rPr>
          <w:sz w:val="18"/>
          <w:u w:val="single"/>
        </w:rPr>
        <w:t>Home</w:t>
      </w:r>
      <w:r>
        <w:rPr>
          <w:spacing w:val="-7"/>
          <w:sz w:val="18"/>
          <w:u w:val="single"/>
        </w:rPr>
        <w:t> </w:t>
      </w:r>
      <w:r>
        <w:rPr>
          <w:sz w:val="18"/>
          <w:u w:val="single"/>
        </w:rPr>
        <w:t>of</w:t>
      </w:r>
      <w:r>
        <w:rPr>
          <w:spacing w:val="-9"/>
          <w:sz w:val="18"/>
          <w:u w:val="single"/>
        </w:rPr>
        <w:t> </w:t>
      </w:r>
      <w:r>
        <w:rPr>
          <w:sz w:val="18"/>
          <w:u w:val="single"/>
        </w:rPr>
        <w:t>Chilton,</w:t>
      </w:r>
      <w:r>
        <w:rPr>
          <w:spacing w:val="-8"/>
          <w:sz w:val="18"/>
          <w:u w:val="single"/>
        </w:rPr>
        <w:t> </w:t>
      </w:r>
      <w:r>
        <w:rPr>
          <w:sz w:val="18"/>
          <w:u w:val="single"/>
        </w:rPr>
        <w:t>Inc.</w:t>
      </w:r>
      <w:r>
        <w:rPr>
          <w:spacing w:val="-5"/>
          <w:sz w:val="18"/>
          <w:u w:val="single"/>
        </w:rPr>
        <w:t> </w:t>
      </w:r>
      <w:r>
        <w:rPr>
          <w:sz w:val="18"/>
          <w:u w:val="single"/>
        </w:rPr>
        <w:t>v.</w:t>
      </w:r>
      <w:r>
        <w:rPr>
          <w:spacing w:val="-6"/>
          <w:sz w:val="18"/>
          <w:u w:val="single"/>
        </w:rPr>
        <w:t> </w:t>
      </w:r>
      <w:r>
        <w:rPr>
          <w:sz w:val="18"/>
          <w:u w:val="single"/>
        </w:rPr>
        <w:t>Meridian</w:t>
      </w:r>
      <w:r>
        <w:rPr>
          <w:spacing w:val="-9"/>
          <w:sz w:val="18"/>
          <w:u w:val="single"/>
        </w:rPr>
        <w:t> </w:t>
      </w:r>
      <w:r>
        <w:rPr>
          <w:sz w:val="18"/>
          <w:u w:val="single"/>
        </w:rPr>
        <w:t>Mut.</w:t>
      </w:r>
      <w:r>
        <w:rPr>
          <w:spacing w:val="-8"/>
          <w:sz w:val="18"/>
          <w:u w:val="single"/>
        </w:rPr>
        <w:t> </w:t>
      </w:r>
      <w:r>
        <w:rPr>
          <w:sz w:val="18"/>
          <w:u w:val="single"/>
        </w:rPr>
        <w:t>Ins.</w:t>
      </w:r>
      <w:r>
        <w:rPr>
          <w:spacing w:val="-7"/>
          <w:sz w:val="18"/>
          <w:u w:val="single"/>
        </w:rPr>
        <w:t> </w:t>
      </w:r>
      <w:r>
        <w:rPr>
          <w:sz w:val="18"/>
          <w:u w:val="single"/>
        </w:rPr>
        <w:t>Co.</w:t>
      </w:r>
      <w:r>
        <w:rPr>
          <w:sz w:val="18"/>
        </w:rPr>
        <w:t>,</w:t>
      </w:r>
      <w:r>
        <w:rPr>
          <w:spacing w:val="-5"/>
          <w:sz w:val="18"/>
        </w:rPr>
        <w:t> </w:t>
      </w:r>
      <w:r>
        <w:rPr>
          <w:sz w:val="18"/>
        </w:rPr>
        <w:t>277</w:t>
      </w:r>
      <w:r>
        <w:rPr>
          <w:spacing w:val="-6"/>
          <w:sz w:val="18"/>
        </w:rPr>
        <w:t> </w:t>
      </w:r>
      <w:r>
        <w:rPr>
          <w:sz w:val="18"/>
        </w:rPr>
        <w:t>Wis.2d</w:t>
      </w:r>
      <w:r>
        <w:rPr>
          <w:spacing w:val="-6"/>
          <w:sz w:val="18"/>
        </w:rPr>
        <w:t> </w:t>
      </w:r>
      <w:r>
        <w:rPr>
          <w:sz w:val="18"/>
        </w:rPr>
        <w:t>274,</w:t>
      </w:r>
      <w:r>
        <w:rPr>
          <w:spacing w:val="-5"/>
          <w:sz w:val="18"/>
        </w:rPr>
        <w:t> </w:t>
      </w:r>
      <w:r>
        <w:rPr>
          <w:sz w:val="18"/>
        </w:rPr>
        <w:t>690 N.W.2d 442 (Ct. of App., 2004); </w:t>
      </w:r>
      <w:r>
        <w:rPr>
          <w:i/>
          <w:sz w:val="18"/>
        </w:rPr>
        <w:t>See </w:t>
      </w:r>
      <w:r>
        <w:rPr>
          <w:sz w:val="18"/>
        </w:rPr>
        <w:t>W.S.A. 631.83</w:t>
      </w:r>
      <w:r>
        <w:rPr>
          <w:spacing w:val="-3"/>
          <w:sz w:val="18"/>
        </w:rPr>
        <w:t> </w:t>
      </w:r>
      <w:r>
        <w:rPr>
          <w:sz w:val="18"/>
        </w:rPr>
        <w:t>(5).</w:t>
      </w:r>
    </w:p>
    <w:p>
      <w:pPr>
        <w:pStyle w:val="ListParagraph"/>
        <w:numPr>
          <w:ilvl w:val="0"/>
          <w:numId w:val="13"/>
        </w:numPr>
        <w:tabs>
          <w:tab w:pos="3008" w:val="left" w:leader="none"/>
        </w:tabs>
        <w:spacing w:line="228" w:lineRule="exact" w:before="0" w:after="0"/>
        <w:ind w:left="3007" w:right="0" w:hanging="268"/>
        <w:jc w:val="left"/>
        <w:rPr>
          <w:sz w:val="18"/>
        </w:rPr>
      </w:pPr>
      <w:r>
        <w:rPr>
          <w:sz w:val="18"/>
          <w:u w:val="single"/>
        </w:rPr>
        <w:t>Bostonian</w:t>
      </w:r>
      <w:r>
        <w:rPr>
          <w:spacing w:val="-6"/>
          <w:sz w:val="18"/>
          <w:u w:val="single"/>
        </w:rPr>
        <w:t> </w:t>
      </w:r>
      <w:r>
        <w:rPr>
          <w:sz w:val="18"/>
          <w:u w:val="single"/>
        </w:rPr>
        <w:t>v.</w:t>
      </w:r>
      <w:r>
        <w:rPr>
          <w:spacing w:val="-6"/>
          <w:sz w:val="18"/>
          <w:u w:val="single"/>
        </w:rPr>
        <w:t> </w:t>
      </w:r>
      <w:r>
        <w:rPr>
          <w:sz w:val="18"/>
          <w:u w:val="single"/>
        </w:rPr>
        <w:t>California</w:t>
      </w:r>
      <w:r>
        <w:rPr>
          <w:spacing w:val="-7"/>
          <w:sz w:val="18"/>
          <w:u w:val="single"/>
        </w:rPr>
        <w:t> </w:t>
      </w:r>
      <w:r>
        <w:rPr>
          <w:sz w:val="18"/>
          <w:u w:val="single"/>
        </w:rPr>
        <w:t>Fair</w:t>
      </w:r>
      <w:r>
        <w:rPr>
          <w:spacing w:val="-8"/>
          <w:sz w:val="18"/>
          <w:u w:val="single"/>
        </w:rPr>
        <w:t> </w:t>
      </w:r>
      <w:r>
        <w:rPr>
          <w:sz w:val="18"/>
          <w:u w:val="single"/>
        </w:rPr>
        <w:t>Plan</w:t>
      </w:r>
      <w:r>
        <w:rPr>
          <w:spacing w:val="-7"/>
          <w:sz w:val="18"/>
          <w:u w:val="single"/>
        </w:rPr>
        <w:t> </w:t>
      </w:r>
      <w:r>
        <w:rPr>
          <w:sz w:val="18"/>
          <w:u w:val="single"/>
        </w:rPr>
        <w:t>Ass’n,</w:t>
      </w:r>
      <w:r>
        <w:rPr>
          <w:spacing w:val="-6"/>
          <w:sz w:val="18"/>
        </w:rPr>
        <w:t> </w:t>
      </w:r>
      <w:r>
        <w:rPr>
          <w:sz w:val="18"/>
        </w:rPr>
        <w:t>2003</w:t>
      </w:r>
      <w:r>
        <w:rPr>
          <w:spacing w:val="-8"/>
          <w:sz w:val="18"/>
        </w:rPr>
        <w:t> </w:t>
      </w:r>
      <w:r>
        <w:rPr>
          <w:sz w:val="18"/>
        </w:rPr>
        <w:t>WL</w:t>
      </w:r>
      <w:r>
        <w:rPr>
          <w:spacing w:val="-13"/>
          <w:sz w:val="18"/>
        </w:rPr>
        <w:t> </w:t>
      </w:r>
      <w:r>
        <w:rPr>
          <w:sz w:val="18"/>
        </w:rPr>
        <w:t>22009361</w:t>
      </w:r>
      <w:r>
        <w:rPr>
          <w:spacing w:val="-6"/>
          <w:sz w:val="18"/>
        </w:rPr>
        <w:t> </w:t>
      </w:r>
      <w:r>
        <w:rPr>
          <w:sz w:val="18"/>
        </w:rPr>
        <w:t>(Cal.</w:t>
      </w:r>
      <w:r>
        <w:rPr>
          <w:spacing w:val="-6"/>
          <w:sz w:val="18"/>
        </w:rPr>
        <w:t> </w:t>
      </w:r>
      <w:r>
        <w:rPr>
          <w:sz w:val="18"/>
        </w:rPr>
        <w:t>App.2d</w:t>
      </w:r>
      <w:r>
        <w:rPr>
          <w:spacing w:val="-6"/>
          <w:sz w:val="18"/>
        </w:rPr>
        <w:t> </w:t>
      </w:r>
      <w:r>
        <w:rPr>
          <w:sz w:val="18"/>
        </w:rPr>
        <w:t>Dist,</w:t>
      </w:r>
      <w:r>
        <w:rPr>
          <w:spacing w:val="-7"/>
          <w:sz w:val="18"/>
        </w:rPr>
        <w:t> </w:t>
      </w:r>
      <w:r>
        <w:rPr>
          <w:sz w:val="18"/>
        </w:rPr>
        <w:t>2003).</w:t>
      </w:r>
    </w:p>
    <w:p>
      <w:pPr>
        <w:pStyle w:val="ListParagraph"/>
        <w:numPr>
          <w:ilvl w:val="0"/>
          <w:numId w:val="13"/>
        </w:numPr>
        <w:tabs>
          <w:tab w:pos="3013" w:val="left" w:leader="none"/>
        </w:tabs>
        <w:spacing w:line="248" w:lineRule="exact" w:before="0" w:after="0"/>
        <w:ind w:left="3012" w:right="0" w:hanging="273"/>
        <w:jc w:val="left"/>
        <w:rPr>
          <w:sz w:val="18"/>
        </w:rPr>
      </w:pPr>
      <w:r>
        <w:rPr>
          <w:sz w:val="18"/>
        </w:rPr>
        <w:t>See</w:t>
      </w:r>
      <w:r>
        <w:rPr>
          <w:spacing w:val="11"/>
          <w:sz w:val="18"/>
        </w:rPr>
        <w:t> </w:t>
      </w:r>
      <w:r>
        <w:rPr>
          <w:sz w:val="18"/>
          <w:u w:val="single"/>
        </w:rPr>
        <w:t>Dupree</w:t>
      </w:r>
      <w:r>
        <w:rPr>
          <w:spacing w:val="11"/>
          <w:sz w:val="18"/>
          <w:u w:val="single"/>
        </w:rPr>
        <w:t> </w:t>
      </w:r>
      <w:r>
        <w:rPr>
          <w:sz w:val="18"/>
          <w:u w:val="single"/>
        </w:rPr>
        <w:t>v.</w:t>
      </w:r>
      <w:r>
        <w:rPr>
          <w:spacing w:val="12"/>
          <w:sz w:val="18"/>
          <w:u w:val="single"/>
        </w:rPr>
        <w:t> </w:t>
      </w:r>
      <w:r>
        <w:rPr>
          <w:sz w:val="18"/>
          <w:u w:val="single"/>
        </w:rPr>
        <w:t>Auto-Owners</w:t>
      </w:r>
      <w:r>
        <w:rPr>
          <w:spacing w:val="12"/>
          <w:sz w:val="18"/>
          <w:u w:val="single"/>
        </w:rPr>
        <w:t> </w:t>
      </w:r>
      <w:r>
        <w:rPr>
          <w:sz w:val="18"/>
          <w:u w:val="single"/>
        </w:rPr>
        <w:t>Ins.</w:t>
      </w:r>
      <w:r>
        <w:rPr>
          <w:spacing w:val="12"/>
          <w:sz w:val="18"/>
          <w:u w:val="single"/>
        </w:rPr>
        <w:t> </w:t>
      </w:r>
      <w:r>
        <w:rPr>
          <w:sz w:val="18"/>
          <w:u w:val="single"/>
        </w:rPr>
        <w:t>Co.</w:t>
      </w:r>
      <w:r>
        <w:rPr>
          <w:sz w:val="18"/>
        </w:rPr>
        <w:t>,</w:t>
      </w:r>
      <w:r>
        <w:rPr>
          <w:spacing w:val="13"/>
          <w:sz w:val="18"/>
        </w:rPr>
        <w:t> </w:t>
      </w:r>
      <w:r>
        <w:rPr>
          <w:sz w:val="18"/>
        </w:rPr>
        <w:t>2013</w:t>
      </w:r>
      <w:r>
        <w:rPr>
          <w:spacing w:val="13"/>
          <w:sz w:val="18"/>
        </w:rPr>
        <w:t> </w:t>
      </w:r>
      <w:r>
        <w:rPr>
          <w:sz w:val="18"/>
        </w:rPr>
        <w:t>WL</w:t>
      </w:r>
      <w:r>
        <w:rPr>
          <w:spacing w:val="11"/>
          <w:sz w:val="18"/>
        </w:rPr>
        <w:t> </w:t>
      </w:r>
      <w:r>
        <w:rPr>
          <w:sz w:val="18"/>
        </w:rPr>
        <w:t>3766580</w:t>
      </w:r>
      <w:r>
        <w:rPr>
          <w:spacing w:val="12"/>
          <w:sz w:val="18"/>
        </w:rPr>
        <w:t> </w:t>
      </w:r>
      <w:r>
        <w:rPr>
          <w:sz w:val="18"/>
        </w:rPr>
        <w:t>(Mich.</w:t>
      </w:r>
      <w:r>
        <w:rPr>
          <w:spacing w:val="16"/>
          <w:sz w:val="18"/>
        </w:rPr>
        <w:t> </w:t>
      </w:r>
      <w:r>
        <w:rPr>
          <w:sz w:val="18"/>
        </w:rPr>
        <w:t>Ct.</w:t>
      </w:r>
      <w:r>
        <w:rPr>
          <w:spacing w:val="18"/>
          <w:sz w:val="18"/>
        </w:rPr>
        <w:t> </w:t>
      </w:r>
      <w:r>
        <w:rPr>
          <w:sz w:val="18"/>
        </w:rPr>
        <w:t>App.</w:t>
      </w:r>
      <w:r>
        <w:rPr>
          <w:spacing w:val="14"/>
          <w:sz w:val="18"/>
        </w:rPr>
        <w:t> </w:t>
      </w:r>
      <w:r>
        <w:rPr>
          <w:sz w:val="18"/>
        </w:rPr>
        <w:t>2013)</w:t>
      </w:r>
      <w:r>
        <w:rPr>
          <w:spacing w:val="12"/>
          <w:sz w:val="18"/>
        </w:rPr>
        <w:t> </w:t>
      </w:r>
      <w:r>
        <w:rPr>
          <w:sz w:val="18"/>
        </w:rPr>
        <w:t>(in</w:t>
      </w:r>
    </w:p>
    <w:p>
      <w:pPr>
        <w:spacing w:line="244" w:lineRule="auto" w:before="4"/>
        <w:ind w:left="2740" w:right="3191" w:firstLine="0"/>
        <w:jc w:val="left"/>
        <w:rPr>
          <w:rFonts w:ascii="Times New Roman" w:hAnsi="Times New Roman"/>
          <w:sz w:val="18"/>
        </w:rPr>
      </w:pPr>
      <w:r>
        <w:rPr>
          <w:rFonts w:ascii="Times New Roman" w:hAnsi="Times New Roman"/>
          <w:sz w:val="18"/>
        </w:rPr>
        <w:t>Michigan, the statutory time period in which to challenge an arbitration, and thus an appraisal, is six years; MCL §500.2833(1)(m).</w:t>
      </w:r>
    </w:p>
    <w:p>
      <w:pPr>
        <w:spacing w:after="0" w:line="244" w:lineRule="auto"/>
        <w:jc w:val="left"/>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firstLine="720"/>
        <w:jc w:val="both"/>
      </w:pPr>
      <w:bookmarkStart w:name="Law and Procedure 274" w:id="93"/>
      <w:bookmarkEnd w:id="93"/>
      <w:r>
        <w:rPr/>
      </w:r>
      <w:r>
        <w:rPr>
          <w:spacing w:val="3"/>
        </w:rPr>
        <w:t>In </w:t>
      </w:r>
      <w:r>
        <w:rPr>
          <w:u w:val="single"/>
        </w:rPr>
        <w:t>Vaubel Farms, Inc. v. Shelby Farmer’s</w:t>
      </w:r>
      <w:r>
        <w:rPr/>
        <w:t> </w:t>
      </w:r>
      <w:r>
        <w:rPr>
          <w:u w:val="single"/>
        </w:rPr>
        <w:t>Mut. Ins. Co.</w:t>
      </w:r>
      <w:r>
        <w:rPr/>
        <w:t>,</w:t>
      </w:r>
      <w:r>
        <w:rPr>
          <w:vertAlign w:val="superscript"/>
        </w:rPr>
        <w:t>587</w:t>
      </w:r>
      <w:r>
        <w:rPr>
          <w:vertAlign w:val="baseline"/>
        </w:rPr>
        <w:t> it was held that a </w:t>
      </w:r>
      <w:r>
        <w:rPr>
          <w:spacing w:val="-4"/>
          <w:vertAlign w:val="baseline"/>
        </w:rPr>
        <w:t>contractual </w:t>
      </w:r>
      <w:r>
        <w:rPr>
          <w:vertAlign w:val="baseline"/>
        </w:rPr>
        <w:t>two-year period of limitation for the insured to file</w:t>
      </w:r>
      <w:r>
        <w:rPr>
          <w:spacing w:val="-9"/>
          <w:vertAlign w:val="baseline"/>
        </w:rPr>
        <w:t> </w:t>
      </w:r>
      <w:r>
        <w:rPr>
          <w:vertAlign w:val="baseline"/>
        </w:rPr>
        <w:t>suit</w:t>
      </w:r>
      <w:r>
        <w:rPr>
          <w:spacing w:val="-10"/>
          <w:vertAlign w:val="baseline"/>
        </w:rPr>
        <w:t> </w:t>
      </w:r>
      <w:r>
        <w:rPr>
          <w:vertAlign w:val="baseline"/>
        </w:rPr>
        <w:t>contained</w:t>
      </w:r>
      <w:r>
        <w:rPr>
          <w:spacing w:val="-9"/>
          <w:vertAlign w:val="baseline"/>
        </w:rPr>
        <w:t> </w:t>
      </w:r>
      <w:r>
        <w:rPr>
          <w:vertAlign w:val="baseline"/>
        </w:rPr>
        <w:t>within</w:t>
      </w:r>
      <w:r>
        <w:rPr>
          <w:spacing w:val="-10"/>
          <w:vertAlign w:val="baseline"/>
        </w:rPr>
        <w:t> </w:t>
      </w:r>
      <w:r>
        <w:rPr>
          <w:vertAlign w:val="baseline"/>
        </w:rPr>
        <w:t>a</w:t>
      </w:r>
      <w:r>
        <w:rPr>
          <w:spacing w:val="-9"/>
          <w:vertAlign w:val="baseline"/>
        </w:rPr>
        <w:t> </w:t>
      </w:r>
      <w:r>
        <w:rPr>
          <w:vertAlign w:val="baseline"/>
        </w:rPr>
        <w:t>property</w:t>
      </w:r>
      <w:r>
        <w:rPr>
          <w:spacing w:val="-12"/>
          <w:vertAlign w:val="baseline"/>
        </w:rPr>
        <w:t> </w:t>
      </w:r>
      <w:r>
        <w:rPr>
          <w:vertAlign w:val="baseline"/>
        </w:rPr>
        <w:t>policy</w:t>
      </w:r>
      <w:r>
        <w:rPr>
          <w:spacing w:val="-12"/>
          <w:vertAlign w:val="baseline"/>
        </w:rPr>
        <w:t> </w:t>
      </w:r>
      <w:r>
        <w:rPr>
          <w:vertAlign w:val="baseline"/>
        </w:rPr>
        <w:t>was inapplicable</w:t>
      </w:r>
      <w:r>
        <w:rPr>
          <w:spacing w:val="-37"/>
          <w:vertAlign w:val="baseline"/>
        </w:rPr>
        <w:t> </w:t>
      </w:r>
      <w:r>
        <w:rPr>
          <w:vertAlign w:val="baseline"/>
        </w:rPr>
        <w:t>to</w:t>
      </w:r>
      <w:r>
        <w:rPr>
          <w:spacing w:val="-35"/>
          <w:vertAlign w:val="baseline"/>
        </w:rPr>
        <w:t> </w:t>
      </w:r>
      <w:r>
        <w:rPr>
          <w:vertAlign w:val="baseline"/>
        </w:rPr>
        <w:t>an</w:t>
      </w:r>
      <w:r>
        <w:rPr>
          <w:spacing w:val="-35"/>
          <w:vertAlign w:val="baseline"/>
        </w:rPr>
        <w:t> </w:t>
      </w:r>
      <w:r>
        <w:rPr>
          <w:vertAlign w:val="baseline"/>
        </w:rPr>
        <w:t>appraisal/arbitration</w:t>
      </w:r>
      <w:r>
        <w:rPr>
          <w:spacing w:val="-34"/>
          <w:vertAlign w:val="baseline"/>
        </w:rPr>
        <w:t> </w:t>
      </w:r>
      <w:r>
        <w:rPr>
          <w:spacing w:val="-3"/>
          <w:vertAlign w:val="baseline"/>
        </w:rPr>
        <w:t>sought </w:t>
      </w:r>
      <w:r>
        <w:rPr>
          <w:vertAlign w:val="baseline"/>
        </w:rPr>
        <w:t>by</w:t>
      </w:r>
      <w:r>
        <w:rPr>
          <w:spacing w:val="-11"/>
          <w:vertAlign w:val="baseline"/>
        </w:rPr>
        <w:t> </w:t>
      </w:r>
      <w:r>
        <w:rPr>
          <w:vertAlign w:val="baseline"/>
        </w:rPr>
        <w:t>the</w:t>
      </w:r>
      <w:r>
        <w:rPr>
          <w:spacing w:val="-8"/>
          <w:vertAlign w:val="baseline"/>
        </w:rPr>
        <w:t> </w:t>
      </w:r>
      <w:r>
        <w:rPr>
          <w:vertAlign w:val="baseline"/>
        </w:rPr>
        <w:t>insured</w:t>
      </w:r>
      <w:r>
        <w:rPr>
          <w:spacing w:val="-10"/>
          <w:vertAlign w:val="baseline"/>
        </w:rPr>
        <w:t> </w:t>
      </w:r>
      <w:r>
        <w:rPr>
          <w:vertAlign w:val="baseline"/>
        </w:rPr>
        <w:t>approximately</w:t>
      </w:r>
      <w:r>
        <w:rPr>
          <w:spacing w:val="-11"/>
          <w:vertAlign w:val="baseline"/>
        </w:rPr>
        <w:t> </w:t>
      </w:r>
      <w:r>
        <w:rPr>
          <w:vertAlign w:val="baseline"/>
        </w:rPr>
        <w:t>three</w:t>
      </w:r>
      <w:r>
        <w:rPr>
          <w:spacing w:val="-10"/>
          <w:vertAlign w:val="baseline"/>
        </w:rPr>
        <w:t> </w:t>
      </w:r>
      <w:r>
        <w:rPr>
          <w:vertAlign w:val="baseline"/>
        </w:rPr>
        <w:t>years</w:t>
      </w:r>
      <w:r>
        <w:rPr>
          <w:spacing w:val="-9"/>
          <w:vertAlign w:val="baseline"/>
        </w:rPr>
        <w:t> </w:t>
      </w:r>
      <w:r>
        <w:rPr>
          <w:vertAlign w:val="baseline"/>
        </w:rPr>
        <w:t>after the</w:t>
      </w:r>
      <w:r>
        <w:rPr>
          <w:spacing w:val="-18"/>
          <w:vertAlign w:val="baseline"/>
        </w:rPr>
        <w:t> </w:t>
      </w:r>
      <w:r>
        <w:rPr>
          <w:vertAlign w:val="baseline"/>
        </w:rPr>
        <w:t>loss</w:t>
      </w:r>
      <w:r>
        <w:rPr>
          <w:spacing w:val="-14"/>
          <w:vertAlign w:val="baseline"/>
        </w:rPr>
        <w:t> </w:t>
      </w:r>
      <w:r>
        <w:rPr>
          <w:vertAlign w:val="baseline"/>
        </w:rPr>
        <w:t>stating</w:t>
      </w:r>
      <w:r>
        <w:rPr>
          <w:spacing w:val="-14"/>
          <w:vertAlign w:val="baseline"/>
        </w:rPr>
        <w:t> </w:t>
      </w:r>
      <w:r>
        <w:rPr>
          <w:vertAlign w:val="baseline"/>
        </w:rPr>
        <w:t>that</w:t>
      </w:r>
      <w:r>
        <w:rPr>
          <w:spacing w:val="-16"/>
          <w:vertAlign w:val="baseline"/>
        </w:rPr>
        <w:t> </w:t>
      </w:r>
      <w:r>
        <w:rPr>
          <w:vertAlign w:val="baseline"/>
        </w:rPr>
        <w:t>arbitration</w:t>
      </w:r>
      <w:r>
        <w:rPr>
          <w:spacing w:val="-17"/>
          <w:vertAlign w:val="baseline"/>
        </w:rPr>
        <w:t> </w:t>
      </w:r>
      <w:r>
        <w:rPr>
          <w:vertAlign w:val="baseline"/>
        </w:rPr>
        <w:t>was</w:t>
      </w:r>
      <w:r>
        <w:rPr>
          <w:spacing w:val="-17"/>
          <w:vertAlign w:val="baseline"/>
        </w:rPr>
        <w:t> </w:t>
      </w:r>
      <w:r>
        <w:rPr>
          <w:vertAlign w:val="baseline"/>
        </w:rPr>
        <w:t>not</w:t>
      </w:r>
      <w:r>
        <w:rPr>
          <w:spacing w:val="-18"/>
          <w:vertAlign w:val="baseline"/>
        </w:rPr>
        <w:t> </w:t>
      </w:r>
      <w:r>
        <w:rPr>
          <w:vertAlign w:val="baseline"/>
        </w:rPr>
        <w:t>a</w:t>
      </w:r>
      <w:r>
        <w:rPr>
          <w:spacing w:val="-17"/>
          <w:vertAlign w:val="baseline"/>
        </w:rPr>
        <w:t> </w:t>
      </w:r>
      <w:r>
        <w:rPr>
          <w:vertAlign w:val="baseline"/>
        </w:rPr>
        <w:t>“suit”. The court explained that such a statutory proceeding is summarily reviewable and enforceable by statute rather than by suit on the award. The court determined that because the insured’s enforcement of the award was not subject to the two-year</w:t>
      </w:r>
      <w:r>
        <w:rPr>
          <w:spacing w:val="-30"/>
          <w:vertAlign w:val="baseline"/>
        </w:rPr>
        <w:t> </w:t>
      </w:r>
      <w:r>
        <w:rPr>
          <w:vertAlign w:val="baseline"/>
        </w:rPr>
        <w:t>period of</w:t>
      </w:r>
      <w:r>
        <w:rPr>
          <w:spacing w:val="-11"/>
          <w:vertAlign w:val="baseline"/>
        </w:rPr>
        <w:t> </w:t>
      </w:r>
      <w:r>
        <w:rPr>
          <w:vertAlign w:val="baseline"/>
        </w:rPr>
        <w:t>limitations,</w:t>
      </w:r>
      <w:r>
        <w:rPr>
          <w:spacing w:val="-13"/>
          <w:vertAlign w:val="baseline"/>
        </w:rPr>
        <w:t> </w:t>
      </w:r>
      <w:r>
        <w:rPr>
          <w:vertAlign w:val="baseline"/>
        </w:rPr>
        <w:t>his</w:t>
      </w:r>
      <w:r>
        <w:rPr>
          <w:spacing w:val="-12"/>
          <w:vertAlign w:val="baseline"/>
        </w:rPr>
        <w:t> </w:t>
      </w:r>
      <w:r>
        <w:rPr>
          <w:vertAlign w:val="baseline"/>
        </w:rPr>
        <w:t>demand</w:t>
      </w:r>
      <w:r>
        <w:rPr>
          <w:spacing w:val="-11"/>
          <w:vertAlign w:val="baseline"/>
        </w:rPr>
        <w:t> </w:t>
      </w:r>
      <w:r>
        <w:rPr>
          <w:vertAlign w:val="baseline"/>
        </w:rPr>
        <w:t>was</w:t>
      </w:r>
      <w:r>
        <w:rPr>
          <w:spacing w:val="-9"/>
          <w:vertAlign w:val="baseline"/>
        </w:rPr>
        <w:t> </w:t>
      </w:r>
      <w:r>
        <w:rPr>
          <w:vertAlign w:val="baseline"/>
        </w:rPr>
        <w:t>subject</w:t>
      </w:r>
      <w:r>
        <w:rPr>
          <w:spacing w:val="-14"/>
          <w:vertAlign w:val="baseline"/>
        </w:rPr>
        <w:t> </w:t>
      </w:r>
      <w:r>
        <w:rPr>
          <w:vertAlign w:val="baseline"/>
        </w:rPr>
        <w:t>solely</w:t>
      </w:r>
      <w:r>
        <w:rPr>
          <w:spacing w:val="-12"/>
          <w:vertAlign w:val="baseline"/>
        </w:rPr>
        <w:t> </w:t>
      </w:r>
      <w:r>
        <w:rPr>
          <w:vertAlign w:val="baseline"/>
        </w:rPr>
        <w:t>to the general 6-year statute of</w:t>
      </w:r>
      <w:r>
        <w:rPr>
          <w:spacing w:val="-11"/>
          <w:vertAlign w:val="baseline"/>
        </w:rPr>
        <w:t> </w:t>
      </w:r>
      <w:r>
        <w:rPr>
          <w:vertAlign w:val="baseline"/>
        </w:rPr>
        <w:t>limitations.</w:t>
      </w:r>
    </w:p>
    <w:p>
      <w:pPr>
        <w:pStyle w:val="BodyText"/>
        <w:spacing w:before="4"/>
        <w:rPr>
          <w:sz w:val="22"/>
        </w:rPr>
      </w:pPr>
    </w:p>
    <w:p>
      <w:pPr>
        <w:pStyle w:val="BodyText"/>
        <w:spacing w:line="242" w:lineRule="auto" w:before="42"/>
        <w:ind w:left="3100" w:right="3199" w:firstLine="720"/>
        <w:jc w:val="both"/>
      </w:pPr>
      <w:r>
        <w:rPr/>
        <w:t>However,</w:t>
      </w:r>
      <w:r>
        <w:rPr>
          <w:spacing w:val="-29"/>
        </w:rPr>
        <w:t> </w:t>
      </w:r>
      <w:r>
        <w:rPr/>
        <w:t>the</w:t>
      </w:r>
      <w:r>
        <w:rPr>
          <w:spacing w:val="-27"/>
        </w:rPr>
        <w:t> </w:t>
      </w:r>
      <w:r>
        <w:rPr>
          <w:u w:val="single"/>
        </w:rPr>
        <w:t>Vaubel</w:t>
      </w:r>
      <w:r>
        <w:rPr>
          <w:spacing w:val="-24"/>
        </w:rPr>
        <w:t> </w:t>
      </w:r>
      <w:r>
        <w:rPr/>
        <w:t>holding</w:t>
      </w:r>
      <w:r>
        <w:rPr>
          <w:spacing w:val="-28"/>
        </w:rPr>
        <w:t> </w:t>
      </w:r>
      <w:r>
        <w:rPr/>
        <w:t>was</w:t>
      </w:r>
      <w:r>
        <w:rPr>
          <w:spacing w:val="-27"/>
        </w:rPr>
        <w:t> </w:t>
      </w:r>
      <w:r>
        <w:rPr/>
        <w:t>limited in 2007 when the Court of Appeals in Minnesota distinguished a policy which refers to</w:t>
      </w:r>
      <w:r>
        <w:rPr>
          <w:spacing w:val="-21"/>
        </w:rPr>
        <w:t> </w:t>
      </w:r>
      <w:r>
        <w:rPr/>
        <w:t>“appraisal”</w:t>
      </w:r>
      <w:r>
        <w:rPr>
          <w:spacing w:val="-22"/>
        </w:rPr>
        <w:t> </w:t>
      </w:r>
      <w:r>
        <w:rPr/>
        <w:t>and</w:t>
      </w:r>
      <w:r>
        <w:rPr>
          <w:spacing w:val="-21"/>
        </w:rPr>
        <w:t> </w:t>
      </w:r>
      <w:r>
        <w:rPr/>
        <w:t>not</w:t>
      </w:r>
      <w:r>
        <w:rPr>
          <w:spacing w:val="-22"/>
        </w:rPr>
        <w:t> </w:t>
      </w:r>
      <w:r>
        <w:rPr/>
        <w:t>arbitration</w:t>
      </w:r>
      <w:r>
        <w:rPr>
          <w:spacing w:val="-22"/>
        </w:rPr>
        <w:t> </w:t>
      </w:r>
      <w:r>
        <w:rPr/>
        <w:t>and</w:t>
      </w:r>
      <w:r>
        <w:rPr>
          <w:spacing w:val="-21"/>
        </w:rPr>
        <w:t> </w:t>
      </w:r>
      <w:r>
        <w:rPr/>
        <w:t>in</w:t>
      </w:r>
      <w:r>
        <w:rPr>
          <w:spacing w:val="-21"/>
        </w:rPr>
        <w:t> </w:t>
      </w:r>
      <w:r>
        <w:rPr/>
        <w:t>which the carrier retains the right to deny a claim after the</w:t>
      </w:r>
      <w:r>
        <w:rPr>
          <w:spacing w:val="-5"/>
        </w:rPr>
        <w:t> </w:t>
      </w:r>
      <w:r>
        <w:rPr/>
        <w:t>award.</w:t>
      </w:r>
      <w:r>
        <w:rPr>
          <w:vertAlign w:val="superscript"/>
        </w:rPr>
        <w:t>588</w:t>
      </w:r>
    </w:p>
    <w:p>
      <w:pPr>
        <w:pStyle w:val="BodyText"/>
      </w:pPr>
    </w:p>
    <w:p>
      <w:pPr>
        <w:pStyle w:val="BodyText"/>
        <w:spacing w:line="242" w:lineRule="auto" w:before="1"/>
        <w:ind w:left="3100" w:right="3199" w:firstLine="720"/>
        <w:jc w:val="both"/>
      </w:pPr>
      <w:r>
        <w:rPr>
          <w:spacing w:val="3"/>
        </w:rPr>
        <w:t>In</w:t>
      </w:r>
      <w:r>
        <w:rPr>
          <w:spacing w:val="-20"/>
        </w:rPr>
        <w:t> </w:t>
      </w:r>
      <w:r>
        <w:rPr/>
        <w:t>Utah,</w:t>
      </w:r>
      <w:r>
        <w:rPr>
          <w:spacing w:val="-23"/>
        </w:rPr>
        <w:t> </w:t>
      </w:r>
      <w:r>
        <w:rPr/>
        <w:t>tolling</w:t>
      </w:r>
      <w:r>
        <w:rPr>
          <w:spacing w:val="-19"/>
        </w:rPr>
        <w:t> </w:t>
      </w:r>
      <w:r>
        <w:rPr/>
        <w:t>of</w:t>
      </w:r>
      <w:r>
        <w:rPr>
          <w:spacing w:val="-18"/>
        </w:rPr>
        <w:t> </w:t>
      </w:r>
      <w:r>
        <w:rPr/>
        <w:t>the</w:t>
      </w:r>
      <w:r>
        <w:rPr>
          <w:spacing w:val="-20"/>
        </w:rPr>
        <w:t> </w:t>
      </w:r>
      <w:r>
        <w:rPr/>
        <w:t>statute</w:t>
      </w:r>
      <w:r>
        <w:rPr>
          <w:spacing w:val="-20"/>
        </w:rPr>
        <w:t> </w:t>
      </w:r>
      <w:r>
        <w:rPr/>
        <w:t>of</w:t>
      </w:r>
      <w:r>
        <w:rPr>
          <w:spacing w:val="-21"/>
        </w:rPr>
        <w:t> </w:t>
      </w:r>
      <w:r>
        <w:rPr/>
        <w:t>limitations for</w:t>
      </w:r>
      <w:r>
        <w:rPr>
          <w:spacing w:val="-22"/>
        </w:rPr>
        <w:t> </w:t>
      </w:r>
      <w:r>
        <w:rPr/>
        <w:t>purposes</w:t>
      </w:r>
      <w:r>
        <w:rPr>
          <w:spacing w:val="-19"/>
        </w:rPr>
        <w:t> </w:t>
      </w:r>
      <w:r>
        <w:rPr/>
        <w:t>of</w:t>
      </w:r>
      <w:r>
        <w:rPr>
          <w:spacing w:val="-21"/>
        </w:rPr>
        <w:t> </w:t>
      </w:r>
      <w:r>
        <w:rPr/>
        <w:t>a</w:t>
      </w:r>
      <w:r>
        <w:rPr>
          <w:spacing w:val="-18"/>
        </w:rPr>
        <w:t> </w:t>
      </w:r>
      <w:r>
        <w:rPr/>
        <w:t>lawsuit</w:t>
      </w:r>
      <w:r>
        <w:rPr>
          <w:spacing w:val="-20"/>
        </w:rPr>
        <w:t> </w:t>
      </w:r>
      <w:r>
        <w:rPr/>
        <w:t>has</w:t>
      </w:r>
      <w:r>
        <w:rPr>
          <w:spacing w:val="-17"/>
        </w:rPr>
        <w:t> </w:t>
      </w:r>
      <w:r>
        <w:rPr/>
        <w:t>been</w:t>
      </w:r>
      <w:r>
        <w:rPr>
          <w:spacing w:val="-19"/>
        </w:rPr>
        <w:t> </w:t>
      </w:r>
      <w:r>
        <w:rPr/>
        <w:t>examined</w:t>
      </w:r>
      <w:r>
        <w:rPr>
          <w:spacing w:val="-21"/>
        </w:rPr>
        <w:t> </w:t>
      </w:r>
      <w:r>
        <w:rPr/>
        <w:t>in the context of Utah Code Ann. 1953 §31A-21- 313(5), a statute which provides that the limitations term is “‘tolled during the period in which the parties conduct an appraisal</w:t>
      </w:r>
      <w:r>
        <w:rPr>
          <w:spacing w:val="32"/>
        </w:rPr>
        <w:t> </w:t>
      </w:r>
      <w:r>
        <w:rPr>
          <w:spacing w:val="-6"/>
        </w:rPr>
        <w:t>or</w:t>
      </w:r>
    </w:p>
    <w:p>
      <w:pPr>
        <w:pStyle w:val="BodyText"/>
        <w:rPr>
          <w:sz w:val="20"/>
        </w:rPr>
      </w:pPr>
    </w:p>
    <w:p>
      <w:pPr>
        <w:pStyle w:val="BodyText"/>
        <w:spacing w:before="5"/>
        <w:rPr>
          <w:sz w:val="10"/>
        </w:rPr>
      </w:pPr>
      <w:r>
        <w:rPr/>
        <w:pict>
          <v:shape style="position:absolute;margin-left:162pt;margin-top:8.797055pt;width:143.9pt;height:.1pt;mso-position-horizontal-relative:page;mso-position-vertical-relative:paragraph;z-index:-251454464;mso-wrap-distance-left:0;mso-wrap-distance-right:0" coordorigin="3240,176" coordsize="2878,0" path="m3240,176l6118,176e" filled="false" stroked="true" strokeweight=".84pt" strokecolor="#000000">
            <v:path arrowok="t"/>
            <v:stroke dashstyle="solid"/>
            <w10:wrap type="topAndBottom"/>
          </v:shape>
        </w:pict>
      </w:r>
    </w:p>
    <w:p>
      <w:pPr>
        <w:pStyle w:val="BodyText"/>
        <w:spacing w:before="4"/>
        <w:rPr>
          <w:sz w:val="10"/>
        </w:rPr>
      </w:pPr>
    </w:p>
    <w:p>
      <w:pPr>
        <w:spacing w:before="71"/>
        <w:ind w:left="2740" w:right="0" w:firstLine="0"/>
        <w:jc w:val="left"/>
        <w:rPr>
          <w:rFonts w:ascii="Times New Roman"/>
          <w:sz w:val="18"/>
        </w:rPr>
      </w:pPr>
      <w:r>
        <w:rPr>
          <w:rFonts w:ascii="Times New Roman"/>
          <w:position w:val="10"/>
          <w:sz w:val="14"/>
        </w:rPr>
        <w:t>587 </w:t>
      </w:r>
      <w:r>
        <w:rPr>
          <w:rFonts w:ascii="Times New Roman"/>
          <w:sz w:val="18"/>
        </w:rPr>
        <w:t>679 N.W.2d 407 (Minn. App. 2004).</w:t>
      </w:r>
    </w:p>
    <w:p>
      <w:pPr>
        <w:pStyle w:val="ListParagraph"/>
        <w:numPr>
          <w:ilvl w:val="0"/>
          <w:numId w:val="14"/>
        </w:numPr>
        <w:tabs>
          <w:tab w:pos="3015" w:val="left" w:leader="none"/>
        </w:tabs>
        <w:spacing w:line="240" w:lineRule="auto" w:before="14" w:after="0"/>
        <w:ind w:left="3014" w:right="0" w:hanging="275"/>
        <w:jc w:val="left"/>
        <w:rPr>
          <w:sz w:val="18"/>
        </w:rPr>
      </w:pPr>
      <w:r>
        <w:rPr>
          <w:sz w:val="18"/>
          <w:u w:val="single"/>
        </w:rPr>
        <w:t>Johnson v. Mutual Service Cas. Ins. Co</w:t>
      </w:r>
      <w:r>
        <w:rPr>
          <w:sz w:val="18"/>
        </w:rPr>
        <w:t>., 732 N.W.2d 340 (Ct. of App. Minn.</w:t>
      </w:r>
      <w:r>
        <w:rPr>
          <w:spacing w:val="3"/>
          <w:sz w:val="18"/>
        </w:rPr>
        <w:t> </w:t>
      </w:r>
      <w:r>
        <w:rPr>
          <w:sz w:val="18"/>
        </w:rPr>
        <w:t>2007).</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75" w:id="94"/>
      <w:bookmarkEnd w:id="94"/>
      <w:r>
        <w:rPr/>
      </w:r>
      <w:r>
        <w:rPr/>
        <w:t>arbitration...procedure prescribed by the insurance</w:t>
      </w:r>
      <w:r>
        <w:rPr>
          <w:spacing w:val="-12"/>
        </w:rPr>
        <w:t> </w:t>
      </w:r>
      <w:r>
        <w:rPr/>
        <w:t>policy.’”</w:t>
      </w:r>
      <w:r>
        <w:rPr>
          <w:spacing w:val="-13"/>
        </w:rPr>
        <w:t> </w:t>
      </w:r>
      <w:r>
        <w:rPr>
          <w:spacing w:val="3"/>
        </w:rPr>
        <w:t>In</w:t>
      </w:r>
      <w:r>
        <w:rPr>
          <w:spacing w:val="-13"/>
        </w:rPr>
        <w:t> </w:t>
      </w:r>
      <w:r>
        <w:rPr/>
        <w:t>that</w:t>
      </w:r>
      <w:r>
        <w:rPr>
          <w:spacing w:val="-11"/>
        </w:rPr>
        <w:t> </w:t>
      </w:r>
      <w:r>
        <w:rPr/>
        <w:t>case,</w:t>
      </w:r>
      <w:r>
        <w:rPr>
          <w:spacing w:val="-12"/>
        </w:rPr>
        <w:t> </w:t>
      </w:r>
      <w:r>
        <w:rPr/>
        <w:t>the</w:t>
      </w:r>
      <w:r>
        <w:rPr>
          <w:spacing w:val="-12"/>
        </w:rPr>
        <w:t> </w:t>
      </w:r>
      <w:r>
        <w:rPr/>
        <w:t>court</w:t>
      </w:r>
      <w:r>
        <w:rPr>
          <w:spacing w:val="-12"/>
        </w:rPr>
        <w:t> </w:t>
      </w:r>
      <w:r>
        <w:rPr/>
        <w:t>held that</w:t>
      </w:r>
      <w:r>
        <w:rPr>
          <w:spacing w:val="-12"/>
        </w:rPr>
        <w:t> </w:t>
      </w:r>
      <w:r>
        <w:rPr/>
        <w:t>the</w:t>
      </w:r>
      <w:r>
        <w:rPr>
          <w:spacing w:val="-12"/>
        </w:rPr>
        <w:t> </w:t>
      </w:r>
      <w:r>
        <w:rPr/>
        <w:t>date</w:t>
      </w:r>
      <w:r>
        <w:rPr>
          <w:spacing w:val="-12"/>
        </w:rPr>
        <w:t> </w:t>
      </w:r>
      <w:r>
        <w:rPr/>
        <w:t>that</w:t>
      </w:r>
      <w:r>
        <w:rPr>
          <w:spacing w:val="-12"/>
        </w:rPr>
        <w:t> </w:t>
      </w:r>
      <w:r>
        <w:rPr/>
        <w:t>a</w:t>
      </w:r>
      <w:r>
        <w:rPr>
          <w:spacing w:val="-11"/>
        </w:rPr>
        <w:t> </w:t>
      </w:r>
      <w:r>
        <w:rPr/>
        <w:t>party</w:t>
      </w:r>
      <w:r>
        <w:rPr>
          <w:spacing w:val="-14"/>
        </w:rPr>
        <w:t> </w:t>
      </w:r>
      <w:r>
        <w:rPr/>
        <w:t>had</w:t>
      </w:r>
      <w:r>
        <w:rPr>
          <w:spacing w:val="-8"/>
        </w:rPr>
        <w:t> </w:t>
      </w:r>
      <w:r>
        <w:rPr/>
        <w:t>made</w:t>
      </w:r>
      <w:r>
        <w:rPr>
          <w:spacing w:val="-10"/>
        </w:rPr>
        <w:t> </w:t>
      </w:r>
      <w:r>
        <w:rPr/>
        <w:t>a</w:t>
      </w:r>
      <w:r>
        <w:rPr>
          <w:spacing w:val="-10"/>
        </w:rPr>
        <w:t> </w:t>
      </w:r>
      <w:r>
        <w:rPr/>
        <w:t>written demand for appraisal of the loss constituted the event which triggered appraisal pursuant to the policy and thus the beginning of the tolling period. </w:t>
      </w:r>
      <w:r>
        <w:rPr>
          <w:spacing w:val="3"/>
        </w:rPr>
        <w:t>It </w:t>
      </w:r>
      <w:r>
        <w:rPr/>
        <w:t>declined to accept </w:t>
      </w:r>
      <w:r>
        <w:rPr>
          <w:spacing w:val="-4"/>
        </w:rPr>
        <w:t>the</w:t>
      </w:r>
      <w:r>
        <w:rPr>
          <w:spacing w:val="63"/>
        </w:rPr>
        <w:t> </w:t>
      </w:r>
      <w:r>
        <w:rPr/>
        <w:t>interpretation of the statute under which the tolling</w:t>
      </w:r>
      <w:r>
        <w:rPr>
          <w:spacing w:val="-23"/>
        </w:rPr>
        <w:t> </w:t>
      </w:r>
      <w:r>
        <w:rPr/>
        <w:t>period</w:t>
      </w:r>
      <w:r>
        <w:rPr>
          <w:spacing w:val="-20"/>
        </w:rPr>
        <w:t> </w:t>
      </w:r>
      <w:r>
        <w:rPr/>
        <w:t>would</w:t>
      </w:r>
      <w:r>
        <w:rPr>
          <w:spacing w:val="-20"/>
        </w:rPr>
        <w:t> </w:t>
      </w:r>
      <w:r>
        <w:rPr/>
        <w:t>begin</w:t>
      </w:r>
      <w:r>
        <w:rPr>
          <w:spacing w:val="-22"/>
        </w:rPr>
        <w:t> </w:t>
      </w:r>
      <w:r>
        <w:rPr/>
        <w:t>when</w:t>
      </w:r>
      <w:r>
        <w:rPr>
          <w:spacing w:val="-23"/>
        </w:rPr>
        <w:t> </w:t>
      </w:r>
      <w:r>
        <w:rPr/>
        <w:t>appraisal</w:t>
      </w:r>
      <w:r>
        <w:rPr>
          <w:spacing w:val="-21"/>
        </w:rPr>
        <w:t> </w:t>
      </w:r>
      <w:r>
        <w:rPr/>
        <w:t>was conducted.</w:t>
      </w:r>
      <w:r>
        <w:rPr>
          <w:vertAlign w:val="superscript"/>
        </w:rPr>
        <w:t>589</w:t>
      </w:r>
    </w:p>
    <w:p>
      <w:pPr>
        <w:pStyle w:val="BodyText"/>
        <w:spacing w:before="11"/>
        <w:rPr>
          <w:sz w:val="25"/>
        </w:rPr>
      </w:pPr>
    </w:p>
    <w:p>
      <w:pPr>
        <w:pStyle w:val="BodyText"/>
        <w:spacing w:line="242" w:lineRule="auto"/>
        <w:ind w:left="3100" w:right="3199" w:firstLine="720"/>
        <w:jc w:val="both"/>
      </w:pPr>
      <w:r>
        <w:rPr/>
        <w:t>Prudence and diligence would </w:t>
      </w:r>
      <w:r>
        <w:rPr>
          <w:spacing w:val="-3"/>
        </w:rPr>
        <w:t>dictate </w:t>
      </w:r>
      <w:r>
        <w:rPr/>
        <w:t>dealing with this issue ahead of time, either with</w:t>
      </w:r>
      <w:r>
        <w:rPr>
          <w:spacing w:val="-21"/>
        </w:rPr>
        <w:t> </w:t>
      </w:r>
      <w:r>
        <w:rPr/>
        <w:t>a</w:t>
      </w:r>
      <w:r>
        <w:rPr>
          <w:spacing w:val="-20"/>
        </w:rPr>
        <w:t> </w:t>
      </w:r>
      <w:r>
        <w:rPr/>
        <w:t>formal</w:t>
      </w:r>
      <w:r>
        <w:rPr>
          <w:spacing w:val="-20"/>
        </w:rPr>
        <w:t> </w:t>
      </w:r>
      <w:r>
        <w:rPr/>
        <w:t>extension</w:t>
      </w:r>
      <w:r>
        <w:rPr>
          <w:spacing w:val="-17"/>
        </w:rPr>
        <w:t> </w:t>
      </w:r>
      <w:r>
        <w:rPr/>
        <w:t>or</w:t>
      </w:r>
      <w:r>
        <w:rPr>
          <w:spacing w:val="-20"/>
        </w:rPr>
        <w:t> </w:t>
      </w:r>
      <w:r>
        <w:rPr/>
        <w:t>by</w:t>
      </w:r>
      <w:r>
        <w:rPr>
          <w:spacing w:val="-20"/>
        </w:rPr>
        <w:t> </w:t>
      </w:r>
      <w:r>
        <w:rPr/>
        <w:t>including</w:t>
      </w:r>
      <w:r>
        <w:rPr>
          <w:spacing w:val="-21"/>
        </w:rPr>
        <w:t> </w:t>
      </w:r>
      <w:r>
        <w:rPr/>
        <w:t>a</w:t>
      </w:r>
      <w:r>
        <w:rPr>
          <w:spacing w:val="-20"/>
        </w:rPr>
        <w:t> </w:t>
      </w:r>
      <w:r>
        <w:rPr/>
        <w:t>tolling provision within an appraisal agreement to avoid any ambiguity or</w:t>
      </w:r>
      <w:r>
        <w:rPr>
          <w:spacing w:val="-7"/>
        </w:rPr>
        <w:t> </w:t>
      </w:r>
      <w:r>
        <w:rPr/>
        <w:t>conflict.</w:t>
      </w:r>
      <w:r>
        <w:rPr>
          <w:vertAlign w:val="superscript"/>
        </w:rPr>
        <w:t>590</w:t>
      </w:r>
    </w:p>
    <w:p>
      <w:pPr>
        <w:pStyle w:val="BodyText"/>
        <w:spacing w:before="1"/>
      </w:pPr>
    </w:p>
    <w:p>
      <w:pPr>
        <w:pStyle w:val="BodyText"/>
        <w:spacing w:line="242" w:lineRule="auto"/>
        <w:ind w:left="3100" w:right="3196" w:firstLine="720"/>
        <w:jc w:val="both"/>
      </w:pPr>
      <w:r>
        <w:rPr>
          <w:spacing w:val="4"/>
        </w:rPr>
        <w:t>It </w:t>
      </w:r>
      <w:r>
        <w:rPr/>
        <w:t>has been held that where a fire </w:t>
      </w:r>
      <w:r>
        <w:rPr>
          <w:spacing w:val="2"/>
        </w:rPr>
        <w:t>policy </w:t>
      </w:r>
      <w:r>
        <w:rPr/>
        <w:t>provides that no action shall be commenced more than a certain number of months after the fire and also that no action shall be brought until 60 days after an award by appraisers, the provisions are to be construed as meaning that in the event of appraisal,</w:t>
      </w:r>
      <w:r>
        <w:rPr>
          <w:spacing w:val="-17"/>
        </w:rPr>
        <w:t> </w:t>
      </w:r>
      <w:r>
        <w:rPr/>
        <w:t>the time to sue is extended until 60 days after an award. However absent any reason for the extension growing out of the appraisal, the action must be brought within the statutorily prescribed time or the policy, whichever</w:t>
      </w:r>
      <w:r>
        <w:rPr>
          <w:spacing w:val="17"/>
        </w:rPr>
        <w:t> </w:t>
      </w:r>
      <w:r>
        <w:rPr/>
        <w:t>is</w:t>
      </w:r>
    </w:p>
    <w:p>
      <w:pPr>
        <w:pStyle w:val="BodyText"/>
        <w:spacing w:before="11"/>
        <w:rPr>
          <w:sz w:val="18"/>
        </w:rPr>
      </w:pPr>
      <w:r>
        <w:rPr/>
        <w:pict>
          <v:shape style="position:absolute;margin-left:162pt;margin-top:14.008686pt;width:143.9pt;height:.1pt;mso-position-horizontal-relative:page;mso-position-vertical-relative:paragraph;z-index:-251453440;mso-wrap-distance-left:0;mso-wrap-distance-right:0" coordorigin="3240,280" coordsize="2878,0" path="m3240,280l6118,280e" filled="false" stroked="true" strokeweight=".84pt" strokecolor="#000000">
            <v:path arrowok="t"/>
            <v:stroke dashstyle="solid"/>
            <w10:wrap type="topAndBottom"/>
          </v:shape>
        </w:pict>
      </w:r>
    </w:p>
    <w:p>
      <w:pPr>
        <w:pStyle w:val="ListParagraph"/>
        <w:numPr>
          <w:ilvl w:val="0"/>
          <w:numId w:val="14"/>
        </w:numPr>
        <w:tabs>
          <w:tab w:pos="2991" w:val="left" w:leader="none"/>
        </w:tabs>
        <w:spacing w:line="244" w:lineRule="auto" w:before="140" w:after="0"/>
        <w:ind w:left="2740" w:right="2847" w:firstLine="0"/>
        <w:jc w:val="left"/>
        <w:rPr>
          <w:sz w:val="18"/>
        </w:rPr>
      </w:pPr>
      <w:r>
        <w:rPr>
          <w:sz w:val="18"/>
          <w:u w:val="single"/>
        </w:rPr>
        <w:t>Stone</w:t>
      </w:r>
      <w:r>
        <w:rPr>
          <w:spacing w:val="-10"/>
          <w:sz w:val="18"/>
          <w:u w:val="single"/>
        </w:rPr>
        <w:t> </w:t>
      </w:r>
      <w:r>
        <w:rPr>
          <w:sz w:val="18"/>
          <w:u w:val="single"/>
        </w:rPr>
        <w:t>Flood</w:t>
      </w:r>
      <w:r>
        <w:rPr>
          <w:spacing w:val="-8"/>
          <w:sz w:val="18"/>
          <w:u w:val="single"/>
        </w:rPr>
        <w:t> </w:t>
      </w:r>
      <w:r>
        <w:rPr>
          <w:sz w:val="18"/>
          <w:u w:val="single"/>
        </w:rPr>
        <w:t>and</w:t>
      </w:r>
      <w:r>
        <w:rPr>
          <w:spacing w:val="-7"/>
          <w:sz w:val="18"/>
          <w:u w:val="single"/>
        </w:rPr>
        <w:t> </w:t>
      </w:r>
      <w:r>
        <w:rPr>
          <w:sz w:val="18"/>
          <w:u w:val="single"/>
        </w:rPr>
        <w:t>Fire</w:t>
      </w:r>
      <w:r>
        <w:rPr>
          <w:spacing w:val="-10"/>
          <w:sz w:val="18"/>
          <w:u w:val="single"/>
        </w:rPr>
        <w:t> </w:t>
      </w:r>
      <w:r>
        <w:rPr>
          <w:sz w:val="18"/>
          <w:u w:val="single"/>
        </w:rPr>
        <w:t>Restoration,</w:t>
      </w:r>
      <w:r>
        <w:rPr>
          <w:spacing w:val="-9"/>
          <w:sz w:val="18"/>
          <w:u w:val="single"/>
        </w:rPr>
        <w:t> </w:t>
      </w:r>
      <w:r>
        <w:rPr>
          <w:sz w:val="18"/>
          <w:u w:val="single"/>
        </w:rPr>
        <w:t>Inc.</w:t>
      </w:r>
      <w:r>
        <w:rPr>
          <w:spacing w:val="-9"/>
          <w:sz w:val="18"/>
          <w:u w:val="single"/>
        </w:rPr>
        <w:t> </w:t>
      </w:r>
      <w:r>
        <w:rPr>
          <w:sz w:val="18"/>
          <w:u w:val="single"/>
        </w:rPr>
        <w:t>v.</w:t>
      </w:r>
      <w:r>
        <w:rPr>
          <w:spacing w:val="-9"/>
          <w:sz w:val="18"/>
          <w:u w:val="single"/>
        </w:rPr>
        <w:t> </w:t>
      </w:r>
      <w:r>
        <w:rPr>
          <w:sz w:val="18"/>
          <w:u w:val="single"/>
        </w:rPr>
        <w:t>Safeco</w:t>
      </w:r>
      <w:r>
        <w:rPr>
          <w:spacing w:val="-11"/>
          <w:sz w:val="18"/>
          <w:u w:val="single"/>
        </w:rPr>
        <w:t> </w:t>
      </w:r>
      <w:r>
        <w:rPr>
          <w:sz w:val="18"/>
          <w:u w:val="single"/>
        </w:rPr>
        <w:t>Ins.</w:t>
      </w:r>
      <w:r>
        <w:rPr>
          <w:spacing w:val="-8"/>
          <w:sz w:val="18"/>
          <w:u w:val="single"/>
        </w:rPr>
        <w:t> </w:t>
      </w:r>
      <w:r>
        <w:rPr>
          <w:sz w:val="18"/>
          <w:u w:val="single"/>
        </w:rPr>
        <w:t>Co.</w:t>
      </w:r>
      <w:r>
        <w:rPr>
          <w:spacing w:val="-9"/>
          <w:sz w:val="18"/>
          <w:u w:val="single"/>
        </w:rPr>
        <w:t> </w:t>
      </w:r>
      <w:r>
        <w:rPr>
          <w:sz w:val="18"/>
          <w:u w:val="single"/>
        </w:rPr>
        <w:t>of</w:t>
      </w:r>
      <w:r>
        <w:rPr>
          <w:spacing w:val="-12"/>
          <w:sz w:val="18"/>
          <w:u w:val="single"/>
        </w:rPr>
        <w:t> </w:t>
      </w:r>
      <w:r>
        <w:rPr>
          <w:sz w:val="18"/>
          <w:u w:val="single"/>
        </w:rPr>
        <w:t>America</w:t>
      </w:r>
      <w:r>
        <w:rPr>
          <w:sz w:val="18"/>
        </w:rPr>
        <w:t>,</w:t>
      </w:r>
      <w:r>
        <w:rPr>
          <w:spacing w:val="-11"/>
          <w:sz w:val="18"/>
        </w:rPr>
        <w:t> </w:t>
      </w:r>
      <w:r>
        <w:rPr>
          <w:sz w:val="18"/>
        </w:rPr>
        <w:t>268</w:t>
      </w:r>
      <w:r>
        <w:rPr>
          <w:spacing w:val="-11"/>
          <w:sz w:val="18"/>
        </w:rPr>
        <w:t> </w:t>
      </w:r>
      <w:r>
        <w:rPr>
          <w:sz w:val="18"/>
        </w:rPr>
        <w:t>P.3d</w:t>
      </w:r>
      <w:r>
        <w:rPr>
          <w:spacing w:val="-8"/>
          <w:sz w:val="18"/>
        </w:rPr>
        <w:t> </w:t>
      </w:r>
      <w:r>
        <w:rPr>
          <w:sz w:val="18"/>
        </w:rPr>
        <w:t>170,</w:t>
      </w:r>
      <w:r>
        <w:rPr>
          <w:spacing w:val="-8"/>
          <w:sz w:val="18"/>
        </w:rPr>
        <w:t> </w:t>
      </w:r>
      <w:r>
        <w:rPr>
          <w:sz w:val="18"/>
        </w:rPr>
        <w:t>699 Utah Adv. Rep. 72, 2011 Ut. 83 (Utah</w:t>
      </w:r>
      <w:r>
        <w:rPr>
          <w:spacing w:val="3"/>
          <w:sz w:val="18"/>
        </w:rPr>
        <w:t> </w:t>
      </w:r>
      <w:r>
        <w:rPr>
          <w:sz w:val="18"/>
        </w:rPr>
        <w:t>2011).</w:t>
      </w:r>
    </w:p>
    <w:p>
      <w:pPr>
        <w:pStyle w:val="ListParagraph"/>
        <w:numPr>
          <w:ilvl w:val="0"/>
          <w:numId w:val="14"/>
        </w:numPr>
        <w:tabs>
          <w:tab w:pos="3015" w:val="left" w:leader="none"/>
        </w:tabs>
        <w:spacing w:line="265" w:lineRule="exact" w:before="0" w:after="0"/>
        <w:ind w:left="3014" w:right="0" w:hanging="275"/>
        <w:jc w:val="left"/>
        <w:rPr>
          <w:sz w:val="18"/>
        </w:rPr>
      </w:pPr>
      <w:r>
        <w:rPr>
          <w:sz w:val="18"/>
        </w:rPr>
        <w:t>See Appendix A, Form</w:t>
      </w:r>
      <w:r>
        <w:rPr>
          <w:spacing w:val="-6"/>
          <w:sz w:val="18"/>
        </w:rPr>
        <w:t> </w:t>
      </w:r>
      <w:r>
        <w:rPr>
          <w:sz w:val="18"/>
        </w:rPr>
        <w:t>I[A].</w:t>
      </w:r>
    </w:p>
    <w:p>
      <w:pPr>
        <w:spacing w:after="0" w:line="265"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76" w:id="95"/>
      <w:bookmarkEnd w:id="95"/>
      <w:r>
        <w:rPr/>
      </w:r>
      <w:r>
        <w:rPr/>
        <w:t>greater.</w:t>
      </w:r>
      <w:r>
        <w:rPr>
          <w:vertAlign w:val="superscript"/>
        </w:rPr>
        <w:t>591</w:t>
      </w:r>
    </w:p>
    <w:p>
      <w:pPr>
        <w:pStyle w:val="BodyText"/>
        <w:spacing w:before="6"/>
      </w:pPr>
    </w:p>
    <w:p>
      <w:pPr>
        <w:pStyle w:val="BodyText"/>
        <w:spacing w:line="242" w:lineRule="auto"/>
        <w:ind w:left="3100" w:right="3198" w:firstLine="720"/>
        <w:jc w:val="both"/>
      </w:pPr>
      <w:r>
        <w:rPr>
          <w:spacing w:val="3"/>
        </w:rPr>
        <w:t>It</w:t>
      </w:r>
      <w:r>
        <w:rPr>
          <w:spacing w:val="-8"/>
        </w:rPr>
        <w:t> </w:t>
      </w:r>
      <w:r>
        <w:rPr/>
        <w:t>has</w:t>
      </w:r>
      <w:r>
        <w:rPr>
          <w:spacing w:val="-7"/>
        </w:rPr>
        <w:t> </w:t>
      </w:r>
      <w:r>
        <w:rPr/>
        <w:t>been</w:t>
      </w:r>
      <w:r>
        <w:rPr>
          <w:spacing w:val="-8"/>
        </w:rPr>
        <w:t> </w:t>
      </w:r>
      <w:r>
        <w:rPr/>
        <w:t>held</w:t>
      </w:r>
      <w:r>
        <w:rPr>
          <w:spacing w:val="-7"/>
        </w:rPr>
        <w:t> </w:t>
      </w:r>
      <w:r>
        <w:rPr/>
        <w:t>that</w:t>
      </w:r>
      <w:r>
        <w:rPr>
          <w:spacing w:val="-10"/>
        </w:rPr>
        <w:t> </w:t>
      </w:r>
      <w:r>
        <w:rPr/>
        <w:t>an</w:t>
      </w:r>
      <w:r>
        <w:rPr>
          <w:spacing w:val="-7"/>
        </w:rPr>
        <w:t> </w:t>
      </w:r>
      <w:r>
        <w:rPr/>
        <w:t>insured’s</w:t>
      </w:r>
      <w:r>
        <w:rPr>
          <w:spacing w:val="-6"/>
        </w:rPr>
        <w:t> </w:t>
      </w:r>
      <w:r>
        <w:rPr/>
        <w:t>action seeking to enforce the appraisal provision (as distinct from an appraisal agreement) was a “legal</w:t>
      </w:r>
      <w:r>
        <w:rPr>
          <w:spacing w:val="-30"/>
        </w:rPr>
        <w:t> </w:t>
      </w:r>
      <w:r>
        <w:rPr/>
        <w:t>action”</w:t>
      </w:r>
      <w:r>
        <w:rPr>
          <w:spacing w:val="-31"/>
        </w:rPr>
        <w:t> </w:t>
      </w:r>
      <w:r>
        <w:rPr/>
        <w:t>under</w:t>
      </w:r>
      <w:r>
        <w:rPr>
          <w:spacing w:val="-29"/>
        </w:rPr>
        <w:t> </w:t>
      </w:r>
      <w:r>
        <w:rPr/>
        <w:t>the</w:t>
      </w:r>
      <w:r>
        <w:rPr>
          <w:spacing w:val="-29"/>
        </w:rPr>
        <w:t> </w:t>
      </w:r>
      <w:r>
        <w:rPr/>
        <w:t>policy,</w:t>
      </w:r>
      <w:r>
        <w:rPr>
          <w:spacing w:val="-31"/>
        </w:rPr>
        <w:t> </w:t>
      </w:r>
      <w:r>
        <w:rPr/>
        <w:t>such</w:t>
      </w:r>
      <w:r>
        <w:rPr>
          <w:spacing w:val="-28"/>
        </w:rPr>
        <w:t> </w:t>
      </w:r>
      <w:r>
        <w:rPr/>
        <w:t>that</w:t>
      </w:r>
      <w:r>
        <w:rPr>
          <w:spacing w:val="-32"/>
        </w:rPr>
        <w:t> </w:t>
      </w:r>
      <w:r>
        <w:rPr/>
        <w:t>it</w:t>
      </w:r>
      <w:r>
        <w:rPr>
          <w:spacing w:val="-33"/>
        </w:rPr>
        <w:t> </w:t>
      </w:r>
      <w:r>
        <w:rPr/>
        <w:t>was subject to the policy’s limitations clause requiring suit be brought “within 2 years after the date on which the direct physical loss or damage</w:t>
      </w:r>
      <w:r>
        <w:rPr>
          <w:spacing w:val="-2"/>
        </w:rPr>
        <w:t> </w:t>
      </w:r>
      <w:r>
        <w:rPr/>
        <w:t>occurred.”</w:t>
      </w:r>
      <w:r>
        <w:rPr>
          <w:vertAlign w:val="superscript"/>
        </w:rPr>
        <w:t>592</w:t>
      </w:r>
    </w:p>
    <w:p>
      <w:pPr>
        <w:pStyle w:val="BodyText"/>
        <w:spacing w:before="12"/>
        <w:rPr>
          <w:sz w:val="25"/>
        </w:rPr>
      </w:pPr>
    </w:p>
    <w:p>
      <w:pPr>
        <w:pStyle w:val="BodyText"/>
        <w:spacing w:line="242" w:lineRule="auto"/>
        <w:ind w:left="3100" w:right="3199" w:firstLine="720"/>
        <w:jc w:val="both"/>
      </w:pPr>
      <w:r>
        <w:rPr/>
        <w:t>In Wisconsin, a statute tolling the limitations period while the parties are conducting an appraisal prescribed by an insurance policy or by law and agreed to by the parties protects the insured under these circumstances.</w:t>
      </w:r>
      <w:r>
        <w:rPr>
          <w:vertAlign w:val="superscript"/>
        </w:rPr>
        <w:t>593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4"/>
        </w:rPr>
      </w:pPr>
      <w:r>
        <w:rPr/>
        <w:pict>
          <v:shape style="position:absolute;margin-left:162pt;margin-top:17.505762pt;width:143.9pt;height:.1pt;mso-position-horizontal-relative:page;mso-position-vertical-relative:paragraph;z-index:-251452416;mso-wrap-distance-left:0;mso-wrap-distance-right:0" coordorigin="3240,350" coordsize="2878,0" path="m3240,350l6118,350e" filled="false" stroked="true" strokeweight=".84pt" strokecolor="#000000">
            <v:path arrowok="t"/>
            <v:stroke dashstyle="solid"/>
            <w10:wrap type="topAndBottom"/>
          </v:shape>
        </w:pict>
      </w:r>
    </w:p>
    <w:p>
      <w:pPr>
        <w:pStyle w:val="ListParagraph"/>
        <w:numPr>
          <w:ilvl w:val="0"/>
          <w:numId w:val="14"/>
        </w:numPr>
        <w:tabs>
          <w:tab w:pos="3001" w:val="left" w:leader="none"/>
        </w:tabs>
        <w:spacing w:line="269" w:lineRule="exact" w:before="140" w:after="0"/>
        <w:ind w:left="3001" w:right="0" w:hanging="261"/>
        <w:jc w:val="left"/>
        <w:rPr>
          <w:sz w:val="18"/>
        </w:rPr>
      </w:pPr>
      <w:r>
        <w:rPr>
          <w:sz w:val="18"/>
          <w:u w:val="single"/>
        </w:rPr>
        <w:t>Williams v. German Ins. Co.</w:t>
      </w:r>
      <w:r>
        <w:rPr>
          <w:sz w:val="18"/>
        </w:rPr>
        <w:t>, 90 A.D. 413, 86 N.Y.S. 98 (4</w:t>
      </w:r>
      <w:r>
        <w:rPr>
          <w:position w:val="7"/>
          <w:sz w:val="10"/>
        </w:rPr>
        <w:t>th </w:t>
      </w:r>
      <w:r>
        <w:rPr>
          <w:sz w:val="18"/>
        </w:rPr>
        <w:t>Dept.</w:t>
      </w:r>
      <w:r>
        <w:rPr>
          <w:spacing w:val="1"/>
          <w:sz w:val="18"/>
        </w:rPr>
        <w:t> </w:t>
      </w:r>
      <w:r>
        <w:rPr>
          <w:sz w:val="18"/>
        </w:rPr>
        <w:t>1904).</w:t>
      </w:r>
    </w:p>
    <w:p>
      <w:pPr>
        <w:pStyle w:val="ListParagraph"/>
        <w:numPr>
          <w:ilvl w:val="0"/>
          <w:numId w:val="14"/>
        </w:numPr>
        <w:tabs>
          <w:tab w:pos="3013" w:val="left" w:leader="none"/>
        </w:tabs>
        <w:spacing w:line="269" w:lineRule="exact" w:before="0" w:after="0"/>
        <w:ind w:left="3012" w:right="0" w:hanging="273"/>
        <w:jc w:val="left"/>
        <w:rPr>
          <w:sz w:val="18"/>
        </w:rPr>
      </w:pPr>
      <w:r>
        <w:rPr>
          <w:sz w:val="18"/>
          <w:u w:val="single"/>
        </w:rPr>
        <w:t>National</w:t>
      </w:r>
      <w:r>
        <w:rPr>
          <w:spacing w:val="-4"/>
          <w:sz w:val="18"/>
          <w:u w:val="single"/>
        </w:rPr>
        <w:t> </w:t>
      </w:r>
      <w:r>
        <w:rPr>
          <w:sz w:val="18"/>
          <w:u w:val="single"/>
        </w:rPr>
        <w:t>Refrigeration,</w:t>
      </w:r>
      <w:r>
        <w:rPr>
          <w:spacing w:val="-3"/>
          <w:sz w:val="18"/>
          <w:u w:val="single"/>
        </w:rPr>
        <w:t> </w:t>
      </w:r>
      <w:r>
        <w:rPr>
          <w:sz w:val="18"/>
          <w:u w:val="single"/>
        </w:rPr>
        <w:t>Inc.</w:t>
      </w:r>
      <w:r>
        <w:rPr>
          <w:spacing w:val="-2"/>
          <w:sz w:val="18"/>
          <w:u w:val="single"/>
        </w:rPr>
        <w:t> </w:t>
      </w:r>
      <w:r>
        <w:rPr>
          <w:sz w:val="18"/>
          <w:u w:val="single"/>
        </w:rPr>
        <w:t>v.</w:t>
      </w:r>
      <w:r>
        <w:rPr>
          <w:spacing w:val="-4"/>
          <w:sz w:val="18"/>
          <w:u w:val="single"/>
        </w:rPr>
        <w:t> </w:t>
      </w:r>
      <w:r>
        <w:rPr>
          <w:sz w:val="18"/>
          <w:u w:val="single"/>
        </w:rPr>
        <w:t>Travelers</w:t>
      </w:r>
      <w:r>
        <w:rPr>
          <w:spacing w:val="-6"/>
          <w:sz w:val="18"/>
          <w:u w:val="single"/>
        </w:rPr>
        <w:t> </w:t>
      </w:r>
      <w:r>
        <w:rPr>
          <w:sz w:val="18"/>
          <w:u w:val="single"/>
        </w:rPr>
        <w:t>Ind.</w:t>
      </w:r>
      <w:r>
        <w:rPr>
          <w:spacing w:val="-4"/>
          <w:sz w:val="18"/>
          <w:u w:val="single"/>
        </w:rPr>
        <w:t> </w:t>
      </w:r>
      <w:r>
        <w:rPr>
          <w:sz w:val="18"/>
          <w:u w:val="single"/>
        </w:rPr>
        <w:t>Co.,</w:t>
      </w:r>
      <w:r>
        <w:rPr>
          <w:spacing w:val="-3"/>
          <w:sz w:val="18"/>
          <w:u w:val="single"/>
        </w:rPr>
        <w:t> </w:t>
      </w:r>
      <w:r>
        <w:rPr>
          <w:sz w:val="18"/>
          <w:u w:val="single"/>
        </w:rPr>
        <w:t>of</w:t>
      </w:r>
      <w:r>
        <w:rPr>
          <w:spacing w:val="-7"/>
          <w:sz w:val="18"/>
          <w:u w:val="single"/>
        </w:rPr>
        <w:t> </w:t>
      </w:r>
      <w:r>
        <w:rPr>
          <w:sz w:val="18"/>
          <w:u w:val="single"/>
        </w:rPr>
        <w:t>America</w:t>
      </w:r>
      <w:r>
        <w:rPr>
          <w:sz w:val="18"/>
        </w:rPr>
        <w:t>,</w:t>
      </w:r>
      <w:r>
        <w:rPr>
          <w:spacing w:val="-7"/>
          <w:sz w:val="18"/>
        </w:rPr>
        <w:t> </w:t>
      </w:r>
      <w:r>
        <w:rPr>
          <w:sz w:val="18"/>
        </w:rPr>
        <w:t>947</w:t>
      </w:r>
      <w:r>
        <w:rPr>
          <w:spacing w:val="-1"/>
          <w:sz w:val="18"/>
        </w:rPr>
        <w:t> </w:t>
      </w:r>
      <w:r>
        <w:rPr>
          <w:sz w:val="18"/>
        </w:rPr>
        <w:t>A.2d</w:t>
      </w:r>
      <w:r>
        <w:rPr>
          <w:spacing w:val="-1"/>
          <w:sz w:val="18"/>
        </w:rPr>
        <w:t> </w:t>
      </w:r>
      <w:r>
        <w:rPr>
          <w:sz w:val="18"/>
        </w:rPr>
        <w:t>906</w:t>
      </w:r>
      <w:r>
        <w:rPr>
          <w:spacing w:val="-2"/>
          <w:sz w:val="18"/>
        </w:rPr>
        <w:t> </w:t>
      </w:r>
      <w:r>
        <w:rPr>
          <w:sz w:val="18"/>
        </w:rPr>
        <w:t>(Sup.</w:t>
      </w:r>
      <w:r>
        <w:rPr>
          <w:spacing w:val="-2"/>
          <w:sz w:val="18"/>
        </w:rPr>
        <w:t> </w:t>
      </w:r>
      <w:r>
        <w:rPr>
          <w:sz w:val="18"/>
        </w:rPr>
        <w:t>Ct.,</w:t>
      </w:r>
    </w:p>
    <w:p>
      <w:pPr>
        <w:spacing w:line="244" w:lineRule="auto" w:before="19"/>
        <w:ind w:left="2740" w:right="2842" w:firstLine="0"/>
        <w:jc w:val="both"/>
        <w:rPr>
          <w:rFonts w:ascii="Times New Roman" w:hAnsi="Times New Roman"/>
          <w:sz w:val="18"/>
        </w:rPr>
      </w:pPr>
      <w:r>
        <w:rPr>
          <w:rFonts w:ascii="Times New Roman" w:hAnsi="Times New Roman"/>
          <w:sz w:val="18"/>
        </w:rPr>
        <w:t>R.I.</w:t>
      </w:r>
      <w:r>
        <w:rPr>
          <w:rFonts w:ascii="Times New Roman" w:hAnsi="Times New Roman"/>
          <w:spacing w:val="-11"/>
          <w:sz w:val="18"/>
        </w:rPr>
        <w:t> </w:t>
      </w:r>
      <w:r>
        <w:rPr>
          <w:rFonts w:ascii="Times New Roman" w:hAnsi="Times New Roman"/>
          <w:sz w:val="18"/>
        </w:rPr>
        <w:t>2008);</w:t>
      </w:r>
      <w:r>
        <w:rPr>
          <w:rFonts w:ascii="Times New Roman" w:hAnsi="Times New Roman"/>
          <w:spacing w:val="-10"/>
          <w:sz w:val="18"/>
        </w:rPr>
        <w:t> </w:t>
      </w:r>
      <w:r>
        <w:rPr>
          <w:rFonts w:ascii="Times New Roman" w:hAnsi="Times New Roman"/>
          <w:sz w:val="18"/>
          <w:u w:val="single"/>
        </w:rPr>
        <w:t>Marjam</w:t>
      </w:r>
      <w:r>
        <w:rPr>
          <w:rFonts w:ascii="Times New Roman" w:hAnsi="Times New Roman"/>
          <w:spacing w:val="-15"/>
          <w:sz w:val="18"/>
          <w:u w:val="single"/>
        </w:rPr>
        <w:t> </w:t>
      </w:r>
      <w:r>
        <w:rPr>
          <w:rFonts w:ascii="Times New Roman" w:hAnsi="Times New Roman"/>
          <w:sz w:val="18"/>
          <w:u w:val="single"/>
        </w:rPr>
        <w:t>Supply</w:t>
      </w:r>
      <w:r>
        <w:rPr>
          <w:rFonts w:ascii="Times New Roman" w:hAnsi="Times New Roman"/>
          <w:spacing w:val="-16"/>
          <w:sz w:val="18"/>
          <w:u w:val="single"/>
        </w:rPr>
        <w:t> </w:t>
      </w:r>
      <w:r>
        <w:rPr>
          <w:rFonts w:ascii="Times New Roman" w:hAnsi="Times New Roman"/>
          <w:sz w:val="18"/>
          <w:u w:val="single"/>
        </w:rPr>
        <w:t>Co.,</w:t>
      </w:r>
      <w:r>
        <w:rPr>
          <w:rFonts w:ascii="Times New Roman" w:hAnsi="Times New Roman"/>
          <w:spacing w:val="-10"/>
          <w:sz w:val="18"/>
          <w:u w:val="single"/>
        </w:rPr>
        <w:t> </w:t>
      </w:r>
      <w:r>
        <w:rPr>
          <w:rFonts w:ascii="Times New Roman" w:hAnsi="Times New Roman"/>
          <w:sz w:val="18"/>
          <w:u w:val="single"/>
        </w:rPr>
        <w:t>Inc.</w:t>
      </w:r>
      <w:r>
        <w:rPr>
          <w:rFonts w:ascii="Times New Roman" w:hAnsi="Times New Roman"/>
          <w:spacing w:val="-12"/>
          <w:sz w:val="18"/>
          <w:u w:val="single"/>
        </w:rPr>
        <w:t> </w:t>
      </w:r>
      <w:r>
        <w:rPr>
          <w:rFonts w:ascii="Times New Roman" w:hAnsi="Times New Roman"/>
          <w:sz w:val="18"/>
          <w:u w:val="single"/>
        </w:rPr>
        <w:t>v.</w:t>
      </w:r>
      <w:r>
        <w:rPr>
          <w:rFonts w:ascii="Times New Roman" w:hAnsi="Times New Roman"/>
          <w:spacing w:val="-10"/>
          <w:sz w:val="18"/>
          <w:u w:val="single"/>
        </w:rPr>
        <w:t> </w:t>
      </w:r>
      <w:r>
        <w:rPr>
          <w:rFonts w:ascii="Times New Roman" w:hAnsi="Times New Roman"/>
          <w:sz w:val="18"/>
          <w:u w:val="single"/>
        </w:rPr>
        <w:t>Hartford</w:t>
      </w:r>
      <w:r>
        <w:rPr>
          <w:rFonts w:ascii="Times New Roman" w:hAnsi="Times New Roman"/>
          <w:spacing w:val="-12"/>
          <w:sz w:val="18"/>
          <w:u w:val="single"/>
        </w:rPr>
        <w:t> </w:t>
      </w:r>
      <w:r>
        <w:rPr>
          <w:rFonts w:ascii="Times New Roman" w:hAnsi="Times New Roman"/>
          <w:sz w:val="18"/>
          <w:u w:val="single"/>
        </w:rPr>
        <w:t>Steam</w:t>
      </w:r>
      <w:r>
        <w:rPr>
          <w:rFonts w:ascii="Times New Roman" w:hAnsi="Times New Roman"/>
          <w:spacing w:val="-16"/>
          <w:sz w:val="18"/>
          <w:u w:val="single"/>
        </w:rPr>
        <w:t> </w:t>
      </w:r>
      <w:r>
        <w:rPr>
          <w:rFonts w:ascii="Times New Roman" w:hAnsi="Times New Roman"/>
          <w:sz w:val="18"/>
          <w:u w:val="single"/>
        </w:rPr>
        <w:t>Boiler</w:t>
      </w:r>
      <w:r>
        <w:rPr>
          <w:rFonts w:ascii="Times New Roman" w:hAnsi="Times New Roman"/>
          <w:spacing w:val="-12"/>
          <w:sz w:val="18"/>
          <w:u w:val="single"/>
        </w:rPr>
        <w:t> </w:t>
      </w:r>
      <w:r>
        <w:rPr>
          <w:rFonts w:ascii="Times New Roman" w:hAnsi="Times New Roman"/>
          <w:sz w:val="18"/>
          <w:u w:val="single"/>
        </w:rPr>
        <w:t>Inspecting</w:t>
      </w:r>
      <w:r>
        <w:rPr>
          <w:rFonts w:ascii="Times New Roman" w:hAnsi="Times New Roman"/>
          <w:spacing w:val="-11"/>
          <w:sz w:val="18"/>
          <w:u w:val="single"/>
        </w:rPr>
        <w:t> </w:t>
      </w:r>
      <w:r>
        <w:rPr>
          <w:rFonts w:ascii="Times New Roman" w:hAnsi="Times New Roman"/>
          <w:sz w:val="18"/>
          <w:u w:val="single"/>
        </w:rPr>
        <w:t>and</w:t>
      </w:r>
      <w:r>
        <w:rPr>
          <w:rFonts w:ascii="Times New Roman" w:hAnsi="Times New Roman"/>
          <w:spacing w:val="-9"/>
          <w:sz w:val="18"/>
          <w:u w:val="single"/>
        </w:rPr>
        <w:t> </w:t>
      </w:r>
      <w:r>
        <w:rPr>
          <w:rFonts w:ascii="Times New Roman" w:hAnsi="Times New Roman"/>
          <w:sz w:val="18"/>
          <w:u w:val="single"/>
        </w:rPr>
        <w:t>Ins.</w:t>
      </w:r>
      <w:r>
        <w:rPr>
          <w:rFonts w:ascii="Times New Roman" w:hAnsi="Times New Roman"/>
          <w:spacing w:val="-8"/>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7"/>
          <w:sz w:val="18"/>
        </w:rPr>
        <w:t> </w:t>
      </w:r>
      <w:r>
        <w:rPr>
          <w:rFonts w:ascii="Times New Roman" w:hAnsi="Times New Roman"/>
          <w:sz w:val="18"/>
        </w:rPr>
        <w:t>2012 WL 2477963 </w:t>
      </w:r>
      <w:r>
        <w:rPr>
          <w:rFonts w:ascii="Times New Roman" w:hAnsi="Times New Roman"/>
          <w:spacing w:val="2"/>
          <w:sz w:val="18"/>
        </w:rPr>
        <w:t>(Conn. </w:t>
      </w:r>
      <w:r>
        <w:rPr>
          <w:rFonts w:ascii="Times New Roman" w:hAnsi="Times New Roman"/>
          <w:sz w:val="18"/>
        </w:rPr>
        <w:t>Super. Ct. 2012) (12 month policy provision prevented action to compel</w:t>
      </w:r>
      <w:r>
        <w:rPr>
          <w:rFonts w:ascii="Times New Roman" w:hAnsi="Times New Roman"/>
          <w:spacing w:val="-12"/>
          <w:sz w:val="18"/>
        </w:rPr>
        <w:t> </w:t>
      </w:r>
      <w:r>
        <w:rPr>
          <w:rFonts w:ascii="Times New Roman" w:hAnsi="Times New Roman"/>
          <w:sz w:val="18"/>
        </w:rPr>
        <w:t>arbitration/appraisal</w:t>
      </w:r>
      <w:r>
        <w:rPr>
          <w:rFonts w:ascii="Times New Roman" w:hAnsi="Times New Roman"/>
          <w:spacing w:val="-13"/>
          <w:sz w:val="18"/>
        </w:rPr>
        <w:t> </w:t>
      </w:r>
      <w:r>
        <w:rPr>
          <w:rFonts w:ascii="Times New Roman" w:hAnsi="Times New Roman"/>
          <w:sz w:val="18"/>
        </w:rPr>
        <w:t>in</w:t>
      </w:r>
      <w:r>
        <w:rPr>
          <w:rFonts w:ascii="Times New Roman" w:hAnsi="Times New Roman"/>
          <w:spacing w:val="-10"/>
          <w:sz w:val="18"/>
        </w:rPr>
        <w:t> </w:t>
      </w:r>
      <w:r>
        <w:rPr>
          <w:rFonts w:ascii="Times New Roman" w:hAnsi="Times New Roman"/>
          <w:sz w:val="18"/>
        </w:rPr>
        <w:t>Connecticut);</w:t>
      </w:r>
      <w:r>
        <w:rPr>
          <w:rFonts w:ascii="Times New Roman" w:hAnsi="Times New Roman"/>
          <w:spacing w:val="-9"/>
          <w:sz w:val="18"/>
        </w:rPr>
        <w:t> </w:t>
      </w:r>
      <w:r>
        <w:rPr>
          <w:rFonts w:ascii="Times New Roman" w:hAnsi="Times New Roman"/>
          <w:sz w:val="18"/>
          <w:u w:val="single"/>
        </w:rPr>
        <w:t>Musleh</w:t>
      </w:r>
      <w:r>
        <w:rPr>
          <w:rFonts w:ascii="Times New Roman" w:hAnsi="Times New Roman"/>
          <w:spacing w:val="-8"/>
          <w:sz w:val="18"/>
          <w:u w:val="single"/>
        </w:rPr>
        <w:t> </w:t>
      </w:r>
      <w:r>
        <w:rPr>
          <w:rFonts w:ascii="Times New Roman" w:hAnsi="Times New Roman"/>
          <w:sz w:val="18"/>
          <w:u w:val="single"/>
        </w:rPr>
        <w:t>v.</w:t>
      </w:r>
      <w:r>
        <w:rPr>
          <w:rFonts w:ascii="Times New Roman" w:hAnsi="Times New Roman"/>
          <w:spacing w:val="-9"/>
          <w:sz w:val="18"/>
          <w:u w:val="single"/>
        </w:rPr>
        <w:t> </w:t>
      </w:r>
      <w:r>
        <w:rPr>
          <w:rFonts w:ascii="Times New Roman" w:hAnsi="Times New Roman"/>
          <w:sz w:val="18"/>
          <w:u w:val="single"/>
        </w:rPr>
        <w:t>State</w:t>
      </w:r>
      <w:r>
        <w:rPr>
          <w:rFonts w:ascii="Times New Roman" w:hAnsi="Times New Roman"/>
          <w:spacing w:val="-9"/>
          <w:sz w:val="18"/>
          <w:u w:val="single"/>
        </w:rPr>
        <w:t> </w:t>
      </w:r>
      <w:r>
        <w:rPr>
          <w:rFonts w:ascii="Times New Roman" w:hAnsi="Times New Roman"/>
          <w:sz w:val="18"/>
          <w:u w:val="single"/>
        </w:rPr>
        <w:t>Farm</w:t>
      </w:r>
      <w:r>
        <w:rPr>
          <w:rFonts w:ascii="Times New Roman" w:hAnsi="Times New Roman"/>
          <w:spacing w:val="-14"/>
          <w:sz w:val="18"/>
          <w:u w:val="single"/>
        </w:rPr>
        <w:t> </w:t>
      </w:r>
      <w:r>
        <w:rPr>
          <w:rFonts w:ascii="Times New Roman" w:hAnsi="Times New Roman"/>
          <w:sz w:val="18"/>
          <w:u w:val="single"/>
        </w:rPr>
        <w:t>Fire</w:t>
      </w:r>
      <w:r>
        <w:rPr>
          <w:rFonts w:ascii="Times New Roman" w:hAnsi="Times New Roman"/>
          <w:spacing w:val="-8"/>
          <w:sz w:val="18"/>
          <w:u w:val="single"/>
        </w:rPr>
        <w:t> </w:t>
      </w:r>
      <w:r>
        <w:rPr>
          <w:rFonts w:ascii="Times New Roman" w:hAnsi="Times New Roman"/>
          <w:sz w:val="18"/>
          <w:u w:val="single"/>
        </w:rPr>
        <w:t>and</w:t>
      </w:r>
      <w:r>
        <w:rPr>
          <w:rFonts w:ascii="Times New Roman" w:hAnsi="Times New Roman"/>
          <w:spacing w:val="-8"/>
          <w:sz w:val="18"/>
          <w:u w:val="single"/>
        </w:rPr>
        <w:t> </w:t>
      </w:r>
      <w:r>
        <w:rPr>
          <w:rFonts w:ascii="Times New Roman" w:hAnsi="Times New Roman"/>
          <w:sz w:val="18"/>
          <w:u w:val="single"/>
        </w:rPr>
        <w:t>Cas.</w:t>
      </w:r>
      <w:r>
        <w:rPr>
          <w:rFonts w:ascii="Times New Roman" w:hAnsi="Times New Roman"/>
          <w:spacing w:val="-10"/>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8"/>
          <w:sz w:val="18"/>
        </w:rPr>
        <w:t> </w:t>
      </w:r>
      <w:r>
        <w:rPr>
          <w:rFonts w:ascii="Times New Roman" w:hAnsi="Times New Roman"/>
          <w:sz w:val="18"/>
        </w:rPr>
        <w:t>2012 WL 5493588 (E.D. Mich. 2012) (carrier does not owe insured any coverage because the insured’s breach of contract claim is time -barred. Therefore, the insurer was entitled to a grant of summary judgment on the insured’s claim to a statutory</w:t>
      </w:r>
      <w:r>
        <w:rPr>
          <w:rFonts w:ascii="Times New Roman" w:hAnsi="Times New Roman"/>
          <w:spacing w:val="-18"/>
          <w:sz w:val="18"/>
        </w:rPr>
        <w:t> </w:t>
      </w:r>
      <w:r>
        <w:rPr>
          <w:rFonts w:ascii="Times New Roman" w:hAnsi="Times New Roman"/>
          <w:sz w:val="18"/>
        </w:rPr>
        <w:t>appraisal.).</w:t>
      </w:r>
    </w:p>
    <w:p>
      <w:pPr>
        <w:spacing w:line="278" w:lineRule="exact" w:before="0"/>
        <w:ind w:left="2740" w:right="0" w:firstLine="0"/>
        <w:jc w:val="left"/>
        <w:rPr>
          <w:rFonts w:ascii="Times New Roman"/>
          <w:sz w:val="24"/>
        </w:rPr>
      </w:pPr>
      <w:r>
        <w:rPr>
          <w:rFonts w:ascii="Times New Roman"/>
          <w:position w:val="10"/>
          <w:sz w:val="14"/>
        </w:rPr>
        <w:t>593 </w:t>
      </w:r>
      <w:r>
        <w:rPr>
          <w:rFonts w:ascii="Times New Roman"/>
          <w:sz w:val="18"/>
        </w:rPr>
        <w:t>W.S.A. 631.83(5)</w:t>
      </w:r>
      <w:r>
        <w:rPr>
          <w:rFonts w:ascii="Times New Roman"/>
          <w:sz w:val="24"/>
        </w:rPr>
        <w:t>.</w:t>
      </w:r>
    </w:p>
    <w:p>
      <w:pPr>
        <w:spacing w:after="0" w:line="278" w:lineRule="exact"/>
        <w:jc w:val="left"/>
        <w:rPr>
          <w:rFonts w:ascii="Times New Roman"/>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91" w:val="left" w:leader="none"/>
          <w:tab w:pos="3892" w:val="left" w:leader="none"/>
        </w:tabs>
        <w:spacing w:line="240" w:lineRule="auto" w:before="42" w:after="0"/>
        <w:ind w:left="3891" w:right="0" w:hanging="792"/>
        <w:jc w:val="left"/>
        <w:rPr>
          <w:rFonts w:ascii="Century Gothic"/>
          <w:sz w:val="26"/>
        </w:rPr>
      </w:pPr>
      <w:bookmarkStart w:name="Law and Procedure 277" w:id="96"/>
      <w:bookmarkEnd w:id="96"/>
      <w:r>
        <w:rPr/>
      </w:r>
      <w:bookmarkStart w:name="Law and Procedure 277" w:id="97"/>
      <w:bookmarkEnd w:id="97"/>
      <w:r>
        <w:rPr>
          <w:rFonts w:ascii="Century Gothic"/>
          <w:sz w:val="26"/>
        </w:rPr>
        <w:t>COMPE</w:t>
      </w:r>
      <w:r>
        <w:rPr>
          <w:rFonts w:ascii="Century Gothic"/>
          <w:sz w:val="26"/>
        </w:rPr>
        <w:t>TING</w:t>
      </w:r>
      <w:r>
        <w:rPr>
          <w:rFonts w:ascii="Century Gothic"/>
          <w:spacing w:val="-2"/>
          <w:sz w:val="26"/>
        </w:rPr>
        <w:t> </w:t>
      </w:r>
      <w:r>
        <w:rPr>
          <w:rFonts w:ascii="Century Gothic"/>
          <w:sz w:val="26"/>
        </w:rPr>
        <w:t>DEMANDS</w:t>
      </w:r>
    </w:p>
    <w:p>
      <w:pPr>
        <w:pStyle w:val="BodyText"/>
        <w:spacing w:before="5"/>
      </w:pPr>
    </w:p>
    <w:p>
      <w:pPr>
        <w:pStyle w:val="BodyText"/>
        <w:spacing w:line="242" w:lineRule="auto"/>
        <w:ind w:left="3100" w:right="3196" w:firstLine="720"/>
        <w:jc w:val="both"/>
      </w:pPr>
      <w:r>
        <w:rPr>
          <w:spacing w:val="9"/>
        </w:rPr>
        <w:t>Policy </w:t>
      </w:r>
      <w:r>
        <w:rPr>
          <w:spacing w:val="8"/>
        </w:rPr>
        <w:t>conditions </w:t>
      </w:r>
      <w:r>
        <w:rPr>
          <w:spacing w:val="7"/>
        </w:rPr>
        <w:t>such </w:t>
      </w:r>
      <w:r>
        <w:rPr>
          <w:spacing w:val="5"/>
        </w:rPr>
        <w:t>as </w:t>
      </w:r>
      <w:r>
        <w:rPr>
          <w:spacing w:val="7"/>
        </w:rPr>
        <w:t>the </w:t>
      </w:r>
      <w:r>
        <w:rPr/>
        <w:t>requirements to </w:t>
      </w:r>
      <w:r>
        <w:rPr>
          <w:spacing w:val="2"/>
        </w:rPr>
        <w:t>file </w:t>
      </w:r>
      <w:r>
        <w:rPr/>
        <w:t>proofs of loss, testify at an examination under oath and other aspects of </w:t>
      </w:r>
      <w:r>
        <w:rPr>
          <w:spacing w:val="22"/>
        </w:rPr>
        <w:t>policy </w:t>
      </w:r>
      <w:r>
        <w:rPr>
          <w:spacing w:val="21"/>
        </w:rPr>
        <w:t>mandated </w:t>
      </w:r>
      <w:r>
        <w:rPr>
          <w:spacing w:val="22"/>
        </w:rPr>
        <w:t>cooperation </w:t>
      </w:r>
      <w:r>
        <w:rPr>
          <w:spacing w:val="17"/>
        </w:rPr>
        <w:t>are </w:t>
      </w:r>
      <w:r>
        <w:rPr/>
        <w:t>independent of the insured’s right to demand an appraisal, such that each party to the contract has an obligation to comply with</w:t>
      </w:r>
      <w:r>
        <w:rPr>
          <w:spacing w:val="-38"/>
        </w:rPr>
        <w:t> </w:t>
      </w:r>
      <w:r>
        <w:rPr/>
        <w:t>the reasonable requests of his or her counterpart while still enforcing their own demands. For example, an insured may not resist a carrier’s reasonable demand to file a proof of loss or testify at an examination under oath in an attempt to enforce a demand for an appraisal.</w:t>
      </w:r>
      <w:r>
        <w:rPr>
          <w:vertAlign w:val="superscript"/>
        </w:rPr>
        <w:t>594</w:t>
      </w:r>
      <w:r>
        <w:rPr>
          <w:spacing w:val="-1"/>
          <w:vertAlign w:val="baseline"/>
        </w:rPr>
        <w:t> </w:t>
      </w:r>
      <w:r>
        <w:rPr>
          <w:vertAlign w:val="baseline"/>
        </w:rPr>
        <w:t>The U.S. District Court sitting in </w:t>
      </w:r>
      <w:r>
        <w:rPr>
          <w:spacing w:val="-11"/>
          <w:vertAlign w:val="baseline"/>
        </w:rPr>
        <w:t>the </w:t>
      </w:r>
      <w:r>
        <w:rPr>
          <w:vertAlign w:val="baseline"/>
        </w:rPr>
        <w:t>Southern District of Florida, for example, determined that where an insurer required a proof</w:t>
      </w:r>
      <w:r>
        <w:rPr>
          <w:spacing w:val="-18"/>
          <w:vertAlign w:val="baseline"/>
        </w:rPr>
        <w:t> </w:t>
      </w:r>
      <w:r>
        <w:rPr>
          <w:vertAlign w:val="baseline"/>
        </w:rPr>
        <w:t>of</w:t>
      </w:r>
      <w:r>
        <w:rPr>
          <w:spacing w:val="-17"/>
          <w:vertAlign w:val="baseline"/>
        </w:rPr>
        <w:t> </w:t>
      </w:r>
      <w:r>
        <w:rPr>
          <w:vertAlign w:val="baseline"/>
        </w:rPr>
        <w:t>loss</w:t>
      </w:r>
      <w:r>
        <w:rPr>
          <w:spacing w:val="-17"/>
          <w:vertAlign w:val="baseline"/>
        </w:rPr>
        <w:t> </w:t>
      </w:r>
      <w:r>
        <w:rPr>
          <w:vertAlign w:val="baseline"/>
        </w:rPr>
        <w:t>and</w:t>
      </w:r>
      <w:r>
        <w:rPr>
          <w:spacing w:val="-17"/>
          <w:vertAlign w:val="baseline"/>
        </w:rPr>
        <w:t> </w:t>
      </w:r>
      <w:r>
        <w:rPr>
          <w:vertAlign w:val="baseline"/>
        </w:rPr>
        <w:t>an</w:t>
      </w:r>
      <w:r>
        <w:rPr>
          <w:spacing w:val="-21"/>
          <w:vertAlign w:val="baseline"/>
        </w:rPr>
        <w:t> </w:t>
      </w:r>
      <w:r>
        <w:rPr>
          <w:vertAlign w:val="baseline"/>
        </w:rPr>
        <w:t>examination</w:t>
      </w:r>
      <w:r>
        <w:rPr>
          <w:spacing w:val="-20"/>
          <w:vertAlign w:val="baseline"/>
        </w:rPr>
        <w:t> </w:t>
      </w:r>
      <w:r>
        <w:rPr>
          <w:vertAlign w:val="baseline"/>
        </w:rPr>
        <w:t>under</w:t>
      </w:r>
      <w:r>
        <w:rPr>
          <w:spacing w:val="-20"/>
          <w:vertAlign w:val="baseline"/>
        </w:rPr>
        <w:t> </w:t>
      </w:r>
      <w:r>
        <w:rPr>
          <w:vertAlign w:val="baseline"/>
        </w:rPr>
        <w:t>oath</w:t>
      </w:r>
      <w:r>
        <w:rPr>
          <w:spacing w:val="-18"/>
          <w:vertAlign w:val="baseline"/>
        </w:rPr>
        <w:t> </w:t>
      </w:r>
      <w:r>
        <w:rPr>
          <w:vertAlign w:val="baseline"/>
        </w:rPr>
        <w:t>in order</w:t>
      </w:r>
      <w:r>
        <w:rPr>
          <w:spacing w:val="-31"/>
          <w:vertAlign w:val="baseline"/>
        </w:rPr>
        <w:t> </w:t>
      </w:r>
      <w:r>
        <w:rPr>
          <w:vertAlign w:val="baseline"/>
        </w:rPr>
        <w:t>to</w:t>
      </w:r>
      <w:r>
        <w:rPr>
          <w:spacing w:val="-28"/>
          <w:vertAlign w:val="baseline"/>
        </w:rPr>
        <w:t> </w:t>
      </w:r>
      <w:r>
        <w:rPr>
          <w:vertAlign w:val="baseline"/>
        </w:rPr>
        <w:t>assist</w:t>
      </w:r>
      <w:r>
        <w:rPr>
          <w:spacing w:val="-34"/>
          <w:vertAlign w:val="baseline"/>
        </w:rPr>
        <w:t> </w:t>
      </w:r>
      <w:r>
        <w:rPr>
          <w:vertAlign w:val="baseline"/>
        </w:rPr>
        <w:t>in</w:t>
      </w:r>
      <w:r>
        <w:rPr>
          <w:spacing w:val="-31"/>
          <w:vertAlign w:val="baseline"/>
        </w:rPr>
        <w:t> </w:t>
      </w:r>
      <w:r>
        <w:rPr>
          <w:vertAlign w:val="baseline"/>
        </w:rPr>
        <w:t>determining</w:t>
      </w:r>
      <w:r>
        <w:rPr>
          <w:spacing w:val="-30"/>
          <w:vertAlign w:val="baseline"/>
        </w:rPr>
        <w:t> </w:t>
      </w:r>
      <w:r>
        <w:rPr>
          <w:vertAlign w:val="baseline"/>
        </w:rPr>
        <w:t>loss</w:t>
      </w:r>
      <w:r>
        <w:rPr>
          <w:spacing w:val="-27"/>
          <w:vertAlign w:val="baseline"/>
        </w:rPr>
        <w:t> </w:t>
      </w:r>
      <w:r>
        <w:rPr>
          <w:vertAlign w:val="baseline"/>
        </w:rPr>
        <w:t>and</w:t>
      </w:r>
      <w:r>
        <w:rPr>
          <w:spacing w:val="-29"/>
          <w:vertAlign w:val="baseline"/>
        </w:rPr>
        <w:t> </w:t>
      </w:r>
      <w:r>
        <w:rPr>
          <w:vertAlign w:val="baseline"/>
        </w:rPr>
        <w:t>value,</w:t>
      </w:r>
      <w:r>
        <w:rPr>
          <w:spacing w:val="-29"/>
          <w:vertAlign w:val="baseline"/>
        </w:rPr>
        <w:t> </w:t>
      </w:r>
      <w:r>
        <w:rPr>
          <w:vertAlign w:val="baseline"/>
        </w:rPr>
        <w:t>the insured was not able to obtain an appraisal until complying with those provisions of the cooperation clause. Upon a simple analysis, it would appear that this had the effect of treating the insured’s compliance as a condition precedent to the appraisal</w:t>
      </w:r>
      <w:r>
        <w:rPr>
          <w:spacing w:val="-44"/>
          <w:vertAlign w:val="baseline"/>
        </w:rPr>
        <w:t> </w:t>
      </w:r>
      <w:r>
        <w:rPr>
          <w:vertAlign w:val="baseline"/>
        </w:rPr>
        <w:t>process.</w:t>
      </w:r>
    </w:p>
    <w:p>
      <w:pPr>
        <w:pStyle w:val="BodyText"/>
        <w:spacing w:before="6"/>
        <w:rPr>
          <w:sz w:val="25"/>
        </w:rPr>
      </w:pPr>
    </w:p>
    <w:p>
      <w:pPr>
        <w:pStyle w:val="BodyText"/>
        <w:spacing w:line="242" w:lineRule="auto"/>
        <w:ind w:left="3100" w:right="3200" w:firstLine="720"/>
        <w:jc w:val="both"/>
      </w:pPr>
      <w:r>
        <w:rPr>
          <w:spacing w:val="3"/>
        </w:rPr>
        <w:t>In </w:t>
      </w:r>
      <w:r>
        <w:rPr/>
        <w:t>truth, each of these policy provisions are</w:t>
      </w:r>
      <w:r>
        <w:rPr>
          <w:spacing w:val="-31"/>
        </w:rPr>
        <w:t> </w:t>
      </w:r>
      <w:r>
        <w:rPr/>
        <w:t>actually</w:t>
      </w:r>
      <w:r>
        <w:rPr>
          <w:spacing w:val="-30"/>
        </w:rPr>
        <w:t> </w:t>
      </w:r>
      <w:r>
        <w:rPr>
          <w:spacing w:val="-3"/>
        </w:rPr>
        <w:t>concurrent</w:t>
      </w:r>
      <w:r>
        <w:rPr>
          <w:spacing w:val="-33"/>
        </w:rPr>
        <w:t> </w:t>
      </w:r>
      <w:r>
        <w:rPr/>
        <w:t>conditions</w:t>
      </w:r>
      <w:r>
        <w:rPr>
          <w:spacing w:val="-29"/>
        </w:rPr>
        <w:t> </w:t>
      </w:r>
      <w:r>
        <w:rPr/>
        <w:t>in</w:t>
      </w:r>
      <w:r>
        <w:rPr>
          <w:spacing w:val="-30"/>
        </w:rPr>
        <w:t> </w:t>
      </w:r>
      <w:r>
        <w:rPr/>
        <w:t>that</w:t>
      </w:r>
      <w:r>
        <w:rPr>
          <w:spacing w:val="-32"/>
        </w:rPr>
        <w:t> </w:t>
      </w:r>
      <w:r>
        <w:rPr/>
        <w:t>each</w:t>
      </w:r>
    </w:p>
    <w:p>
      <w:pPr>
        <w:pStyle w:val="BodyText"/>
        <w:rPr>
          <w:sz w:val="20"/>
        </w:rPr>
      </w:pPr>
    </w:p>
    <w:p>
      <w:pPr>
        <w:pStyle w:val="BodyText"/>
        <w:spacing w:before="6"/>
        <w:rPr>
          <w:sz w:val="16"/>
        </w:rPr>
      </w:pPr>
      <w:r>
        <w:rPr/>
        <w:pict>
          <v:shape style="position:absolute;margin-left:162pt;margin-top:12.517334pt;width:143.9pt;height:.1pt;mso-position-horizontal-relative:page;mso-position-vertical-relative:paragraph;z-index:-251451392;mso-wrap-distance-left:0;mso-wrap-distance-right:0" coordorigin="3240,250" coordsize="2878,0" path="m3240,250l6118,25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3003" w:val="left" w:leader="none"/>
        </w:tabs>
        <w:spacing w:line="240" w:lineRule="auto" w:before="71" w:after="0"/>
        <w:ind w:left="3002" w:right="0" w:hanging="263"/>
        <w:jc w:val="left"/>
        <w:rPr>
          <w:i/>
          <w:sz w:val="18"/>
        </w:rPr>
      </w:pPr>
      <w:r>
        <w:rPr>
          <w:sz w:val="18"/>
          <w:u w:val="single"/>
        </w:rPr>
        <w:t>Pando</w:t>
      </w:r>
      <w:r>
        <w:rPr>
          <w:spacing w:val="-11"/>
          <w:sz w:val="18"/>
          <w:u w:val="single"/>
        </w:rPr>
        <w:t> </w:t>
      </w:r>
      <w:r>
        <w:rPr>
          <w:sz w:val="18"/>
          <w:u w:val="single"/>
        </w:rPr>
        <w:t>v.</w:t>
      </w:r>
      <w:r>
        <w:rPr>
          <w:spacing w:val="-11"/>
          <w:sz w:val="18"/>
          <w:u w:val="single"/>
        </w:rPr>
        <w:t> </w:t>
      </w:r>
      <w:r>
        <w:rPr>
          <w:sz w:val="18"/>
          <w:u w:val="single"/>
        </w:rPr>
        <w:t>United</w:t>
      </w:r>
      <w:r>
        <w:rPr>
          <w:spacing w:val="-12"/>
          <w:sz w:val="18"/>
          <w:u w:val="single"/>
        </w:rPr>
        <w:t> </w:t>
      </w:r>
      <w:r>
        <w:rPr>
          <w:sz w:val="18"/>
          <w:u w:val="single"/>
        </w:rPr>
        <w:t>States</w:t>
      </w:r>
      <w:r>
        <w:rPr>
          <w:spacing w:val="-14"/>
          <w:sz w:val="18"/>
          <w:u w:val="single"/>
        </w:rPr>
        <w:t> </w:t>
      </w:r>
      <w:r>
        <w:rPr>
          <w:sz w:val="18"/>
          <w:u w:val="single"/>
        </w:rPr>
        <w:t>Fidelity</w:t>
      </w:r>
      <w:r>
        <w:rPr>
          <w:spacing w:val="-15"/>
          <w:sz w:val="18"/>
          <w:u w:val="single"/>
        </w:rPr>
        <w:t> </w:t>
      </w:r>
      <w:r>
        <w:rPr>
          <w:sz w:val="18"/>
          <w:u w:val="single"/>
        </w:rPr>
        <w:t>and</w:t>
      </w:r>
      <w:r>
        <w:rPr>
          <w:spacing w:val="-11"/>
          <w:sz w:val="18"/>
          <w:u w:val="single"/>
        </w:rPr>
        <w:t> </w:t>
      </w:r>
      <w:r>
        <w:rPr>
          <w:sz w:val="18"/>
          <w:u w:val="single"/>
        </w:rPr>
        <w:t>Guar.</w:t>
      </w:r>
      <w:r>
        <w:rPr>
          <w:spacing w:val="-12"/>
          <w:sz w:val="18"/>
          <w:u w:val="single"/>
        </w:rPr>
        <w:t> </w:t>
      </w:r>
      <w:r>
        <w:rPr>
          <w:sz w:val="18"/>
          <w:u w:val="single"/>
        </w:rPr>
        <w:t>Co.</w:t>
      </w:r>
      <w:r>
        <w:rPr>
          <w:sz w:val="18"/>
        </w:rPr>
        <w:t>,</w:t>
      </w:r>
      <w:r>
        <w:rPr>
          <w:spacing w:val="-11"/>
          <w:sz w:val="18"/>
        </w:rPr>
        <w:t> </w:t>
      </w:r>
      <w:r>
        <w:rPr>
          <w:sz w:val="18"/>
        </w:rPr>
        <w:t>1998</w:t>
      </w:r>
      <w:r>
        <w:rPr>
          <w:spacing w:val="-11"/>
          <w:sz w:val="18"/>
        </w:rPr>
        <w:t> </w:t>
      </w:r>
      <w:r>
        <w:rPr>
          <w:sz w:val="18"/>
        </w:rPr>
        <w:t>WL</w:t>
      </w:r>
      <w:r>
        <w:rPr>
          <w:spacing w:val="-13"/>
          <w:sz w:val="18"/>
        </w:rPr>
        <w:t> </w:t>
      </w:r>
      <w:r>
        <w:rPr>
          <w:sz w:val="18"/>
        </w:rPr>
        <w:t>708619</w:t>
      </w:r>
      <w:r>
        <w:rPr>
          <w:spacing w:val="-11"/>
          <w:sz w:val="18"/>
        </w:rPr>
        <w:t> </w:t>
      </w:r>
      <w:r>
        <w:rPr>
          <w:sz w:val="18"/>
        </w:rPr>
        <w:t>(S.D.</w:t>
      </w:r>
      <w:r>
        <w:rPr>
          <w:spacing w:val="-10"/>
          <w:sz w:val="18"/>
        </w:rPr>
        <w:t> </w:t>
      </w:r>
      <w:r>
        <w:rPr>
          <w:sz w:val="18"/>
        </w:rPr>
        <w:t>Fla.</w:t>
      </w:r>
      <w:r>
        <w:rPr>
          <w:spacing w:val="-11"/>
          <w:sz w:val="18"/>
        </w:rPr>
        <w:t> </w:t>
      </w:r>
      <w:r>
        <w:rPr>
          <w:sz w:val="18"/>
        </w:rPr>
        <w:t>1998),</w:t>
      </w:r>
      <w:r>
        <w:rPr>
          <w:spacing w:val="-9"/>
          <w:sz w:val="18"/>
        </w:rPr>
        <w:t> </w:t>
      </w:r>
      <w:r>
        <w:rPr>
          <w:i/>
          <w:sz w:val="18"/>
        </w:rPr>
        <w:t>aff’d,</w:t>
      </w:r>
    </w:p>
    <w:p>
      <w:pPr>
        <w:spacing w:before="19"/>
        <w:ind w:left="2740" w:right="0" w:firstLine="0"/>
        <w:jc w:val="left"/>
        <w:rPr>
          <w:rFonts w:ascii="Times New Roman"/>
          <w:sz w:val="18"/>
        </w:rPr>
      </w:pPr>
      <w:r>
        <w:rPr>
          <w:rFonts w:ascii="Times New Roman"/>
          <w:sz w:val="18"/>
        </w:rPr>
        <w:t>198 F.3d 262 (6</w:t>
      </w:r>
      <w:r>
        <w:rPr>
          <w:rFonts w:ascii="Times New Roman"/>
          <w:position w:val="7"/>
          <w:sz w:val="10"/>
        </w:rPr>
        <w:t>th </w:t>
      </w:r>
      <w:r>
        <w:rPr>
          <w:rFonts w:ascii="Times New Roman"/>
          <w:sz w:val="18"/>
        </w:rPr>
        <w:t>Cir. 1999).</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7"/>
        <w:jc w:val="both"/>
      </w:pPr>
      <w:bookmarkStart w:name="Law and Procedure 278" w:id="98"/>
      <w:bookmarkEnd w:id="98"/>
      <w:r>
        <w:rPr/>
      </w:r>
      <w:r>
        <w:rPr/>
        <w:t>must be complied with in conformity with the contract or statute and each process should proceed as contractually agreed once </w:t>
      </w:r>
      <w:r>
        <w:rPr>
          <w:spacing w:val="-3"/>
        </w:rPr>
        <w:t>their </w:t>
      </w:r>
      <w:r>
        <w:rPr/>
        <w:t>invocation</w:t>
      </w:r>
      <w:r>
        <w:rPr>
          <w:spacing w:val="-16"/>
        </w:rPr>
        <w:t> </w:t>
      </w:r>
      <w:r>
        <w:rPr/>
        <w:t>is</w:t>
      </w:r>
      <w:r>
        <w:rPr>
          <w:spacing w:val="-14"/>
        </w:rPr>
        <w:t> </w:t>
      </w:r>
      <w:r>
        <w:rPr/>
        <w:t>ripe</w:t>
      </w:r>
      <w:r>
        <w:rPr>
          <w:spacing w:val="-17"/>
        </w:rPr>
        <w:t> </w:t>
      </w:r>
      <w:r>
        <w:rPr/>
        <w:t>under</w:t>
      </w:r>
      <w:r>
        <w:rPr>
          <w:spacing w:val="-16"/>
        </w:rPr>
        <w:t> </w:t>
      </w:r>
      <w:r>
        <w:rPr/>
        <w:t>the</w:t>
      </w:r>
      <w:r>
        <w:rPr>
          <w:spacing w:val="-17"/>
        </w:rPr>
        <w:t> </w:t>
      </w:r>
      <w:r>
        <w:rPr/>
        <w:t>terms</w:t>
      </w:r>
      <w:r>
        <w:rPr>
          <w:spacing w:val="-17"/>
        </w:rPr>
        <w:t> </w:t>
      </w:r>
      <w:r>
        <w:rPr/>
        <w:t>of</w:t>
      </w:r>
      <w:r>
        <w:rPr>
          <w:spacing w:val="-15"/>
        </w:rPr>
        <w:t> </w:t>
      </w:r>
      <w:r>
        <w:rPr/>
        <w:t>the</w:t>
      </w:r>
      <w:r>
        <w:rPr>
          <w:spacing w:val="-17"/>
        </w:rPr>
        <w:t> </w:t>
      </w:r>
      <w:r>
        <w:rPr/>
        <w:t>policy.</w:t>
      </w:r>
    </w:p>
    <w:p>
      <w:pPr>
        <w:pStyle w:val="BodyText"/>
        <w:spacing w:before="1"/>
      </w:pPr>
    </w:p>
    <w:p>
      <w:pPr>
        <w:pStyle w:val="BodyText"/>
        <w:spacing w:line="242" w:lineRule="auto"/>
        <w:ind w:left="3100" w:right="3198" w:firstLine="720"/>
        <w:jc w:val="both"/>
      </w:pPr>
      <w:r>
        <w:rPr/>
        <w:t>An enlightened interpretation of the court’s ruling in </w:t>
      </w:r>
      <w:r>
        <w:rPr>
          <w:u w:val="single"/>
        </w:rPr>
        <w:t>Pando v. United States Fidelity</w:t>
      </w:r>
      <w:r>
        <w:rPr/>
        <w:t> </w:t>
      </w:r>
      <w:r>
        <w:rPr>
          <w:u w:val="single"/>
        </w:rPr>
        <w:t>&amp; Guar. Co.</w:t>
      </w:r>
      <w:r>
        <w:rPr/>
        <w:t>, is that there was not yet a ripe disagreement, making the claim unready for appraisal. The decision does not stand for the proposition that the filing of a proof and appearance at an examination under oath are true conditions precedent.</w:t>
      </w:r>
    </w:p>
    <w:p>
      <w:pPr>
        <w:pStyle w:val="BodyText"/>
      </w:pPr>
    </w:p>
    <w:p>
      <w:pPr>
        <w:pStyle w:val="BodyText"/>
        <w:spacing w:line="242" w:lineRule="auto"/>
        <w:ind w:left="3100" w:right="3200" w:firstLine="720"/>
        <w:jc w:val="both"/>
      </w:pPr>
      <w:r>
        <w:rPr/>
        <w:t>Courts</w:t>
      </w:r>
      <w:r>
        <w:rPr>
          <w:spacing w:val="-34"/>
        </w:rPr>
        <w:t> </w:t>
      </w:r>
      <w:r>
        <w:rPr/>
        <w:t>have</w:t>
      </w:r>
      <w:r>
        <w:rPr>
          <w:spacing w:val="-35"/>
        </w:rPr>
        <w:t> </w:t>
      </w:r>
      <w:r>
        <w:rPr/>
        <w:t>been</w:t>
      </w:r>
      <w:r>
        <w:rPr>
          <w:spacing w:val="-34"/>
        </w:rPr>
        <w:t> </w:t>
      </w:r>
      <w:r>
        <w:rPr/>
        <w:t>fairly</w:t>
      </w:r>
      <w:r>
        <w:rPr>
          <w:spacing w:val="-38"/>
        </w:rPr>
        <w:t> </w:t>
      </w:r>
      <w:r>
        <w:rPr/>
        <w:t>uniform</w:t>
      </w:r>
      <w:r>
        <w:rPr>
          <w:spacing w:val="-39"/>
        </w:rPr>
        <w:t> </w:t>
      </w:r>
      <w:r>
        <w:rPr/>
        <w:t>in</w:t>
      </w:r>
      <w:r>
        <w:rPr>
          <w:spacing w:val="-33"/>
        </w:rPr>
        <w:t> </w:t>
      </w:r>
      <w:r>
        <w:rPr/>
        <w:t>holding the insured to be in compliance with the cooperation clause prior to enforcing the appraisal</w:t>
      </w:r>
      <w:r>
        <w:rPr>
          <w:spacing w:val="-34"/>
        </w:rPr>
        <w:t> </w:t>
      </w:r>
      <w:r>
        <w:rPr>
          <w:spacing w:val="-3"/>
        </w:rPr>
        <w:t>provision,</w:t>
      </w:r>
      <w:r>
        <w:rPr>
          <w:spacing w:val="-36"/>
        </w:rPr>
        <w:t> </w:t>
      </w:r>
      <w:r>
        <w:rPr>
          <w:spacing w:val="-3"/>
        </w:rPr>
        <w:t>particularly</w:t>
      </w:r>
      <w:r>
        <w:rPr>
          <w:spacing w:val="-35"/>
        </w:rPr>
        <w:t> </w:t>
      </w:r>
      <w:r>
        <w:rPr/>
        <w:t>when</w:t>
      </w:r>
      <w:r>
        <w:rPr>
          <w:spacing w:val="-32"/>
        </w:rPr>
        <w:t> </w:t>
      </w:r>
      <w:r>
        <w:rPr/>
        <w:t>demands are related to a full ascertainment by the carrier of the amount of loss and actual cash value.</w:t>
      </w:r>
      <w:r>
        <w:rPr>
          <w:vertAlign w:val="superscript"/>
        </w:rPr>
        <w:t>595</w:t>
      </w:r>
      <w:r>
        <w:rPr>
          <w:vertAlign w:val="baseline"/>
        </w:rPr>
        <w:t> </w:t>
      </w:r>
      <w:r>
        <w:rPr>
          <w:spacing w:val="3"/>
          <w:vertAlign w:val="baseline"/>
        </w:rPr>
        <w:t>It </w:t>
      </w:r>
      <w:r>
        <w:rPr>
          <w:vertAlign w:val="baseline"/>
        </w:rPr>
        <w:t>is logical to conclude that</w:t>
      </w:r>
      <w:r>
        <w:rPr>
          <w:spacing w:val="26"/>
          <w:vertAlign w:val="baseline"/>
        </w:rPr>
        <w:t> </w:t>
      </w:r>
      <w:r>
        <w:rPr>
          <w:spacing w:val="-38"/>
          <w:vertAlign w:val="baseline"/>
        </w:rPr>
        <w:t>a</w:t>
      </w:r>
    </w:p>
    <w:p>
      <w:pPr>
        <w:pStyle w:val="BodyText"/>
        <w:rPr>
          <w:sz w:val="28"/>
        </w:rPr>
      </w:pPr>
      <w:r>
        <w:rPr/>
        <w:pict>
          <v:shape style="position:absolute;margin-left:162pt;margin-top:19.612486pt;width:143.9pt;height:.1pt;mso-position-horizontal-relative:page;mso-position-vertical-relative:paragraph;z-index:-251450368;mso-wrap-distance-left:0;mso-wrap-distance-right:0" coordorigin="3240,392" coordsize="2878,0" path="m3240,392l6118,392e" filled="false" stroked="true" strokeweight=".84pt" strokecolor="#000000">
            <v:path arrowok="t"/>
            <v:stroke dashstyle="solid"/>
            <w10:wrap type="topAndBottom"/>
          </v:shape>
        </w:pict>
      </w:r>
    </w:p>
    <w:p>
      <w:pPr>
        <w:pStyle w:val="ListParagraph"/>
        <w:numPr>
          <w:ilvl w:val="0"/>
          <w:numId w:val="15"/>
        </w:numPr>
        <w:tabs>
          <w:tab w:pos="2998" w:val="left" w:leader="none"/>
        </w:tabs>
        <w:spacing w:line="244" w:lineRule="auto" w:before="140" w:after="0"/>
        <w:ind w:left="2740" w:right="2839" w:firstLine="0"/>
        <w:jc w:val="both"/>
        <w:rPr>
          <w:sz w:val="18"/>
        </w:rPr>
      </w:pPr>
      <w:r>
        <w:rPr>
          <w:i/>
          <w:sz w:val="18"/>
        </w:rPr>
        <w:t>See</w:t>
      </w:r>
      <w:r>
        <w:rPr>
          <w:sz w:val="18"/>
        </w:rPr>
        <w:t>, </w:t>
      </w:r>
      <w:r>
        <w:rPr>
          <w:sz w:val="18"/>
          <w:u w:val="single"/>
        </w:rPr>
        <w:t>Jacobs v. Nationwide Mut. Fire Ins. Co.</w:t>
      </w:r>
      <w:r>
        <w:rPr>
          <w:sz w:val="18"/>
        </w:rPr>
        <w:t>, 236 F. 3d 1282 (11</w:t>
      </w:r>
      <w:r>
        <w:rPr>
          <w:position w:val="7"/>
          <w:sz w:val="10"/>
        </w:rPr>
        <w:t>th </w:t>
      </w:r>
      <w:r>
        <w:rPr>
          <w:sz w:val="18"/>
        </w:rPr>
        <w:t>Cir. 2001); </w:t>
      </w:r>
      <w:r>
        <w:rPr>
          <w:sz w:val="18"/>
          <w:u w:val="single"/>
        </w:rPr>
        <w:t>Galindo v. ARI Mut. Ins. Co.</w:t>
      </w:r>
      <w:r>
        <w:rPr>
          <w:sz w:val="18"/>
        </w:rPr>
        <w:t>, 203 F.3d 771 (11</w:t>
      </w:r>
      <w:r>
        <w:rPr>
          <w:position w:val="7"/>
          <w:sz w:val="10"/>
        </w:rPr>
        <w:t>th </w:t>
      </w:r>
      <w:r>
        <w:rPr>
          <w:sz w:val="18"/>
        </w:rPr>
        <w:t>Cir. 2000); </w:t>
      </w:r>
      <w:r>
        <w:rPr>
          <w:sz w:val="18"/>
          <w:u w:val="single"/>
        </w:rPr>
        <w:t>Ferrer v. Fid. &amp; Guar. Ins. Co.</w:t>
      </w:r>
      <w:r>
        <w:rPr>
          <w:sz w:val="18"/>
        </w:rPr>
        <w:t>, 10 F. Supp.2d 1324 (S.D. Fla. 1998); </w:t>
      </w:r>
      <w:r>
        <w:rPr>
          <w:sz w:val="18"/>
          <w:u w:val="single"/>
        </w:rPr>
        <w:t>United States Fid. &amp; Guar. Co. v. Romay</w:t>
      </w:r>
      <w:r>
        <w:rPr>
          <w:sz w:val="18"/>
        </w:rPr>
        <w:t>, 744 So.2d 467 (Fla. 3d DCA 1999). </w:t>
      </w:r>
      <w:r>
        <w:rPr>
          <w:i/>
          <w:sz w:val="18"/>
        </w:rPr>
        <w:t>See also</w:t>
      </w:r>
      <w:r>
        <w:rPr>
          <w:sz w:val="18"/>
        </w:rPr>
        <w:t>; </w:t>
      </w:r>
      <w:r>
        <w:rPr>
          <w:sz w:val="18"/>
          <w:u w:val="single"/>
        </w:rPr>
        <w:t>Terra Ind., Inc. v. Commonwealth Ins. Co. of Am.</w:t>
      </w:r>
      <w:r>
        <w:rPr>
          <w:sz w:val="18"/>
        </w:rPr>
        <w:t>, 981 F.Supp. 581 (N.D. Iowa 1997); </w:t>
      </w:r>
      <w:r>
        <w:rPr>
          <w:sz w:val="18"/>
          <w:u w:val="single"/>
        </w:rPr>
        <w:t>Ohio Farmer’s Ins. Co. v. Titus</w:t>
      </w:r>
      <w:r>
        <w:rPr>
          <w:sz w:val="18"/>
        </w:rPr>
        <w:t>, 82 Ohio St. 161, 92 N.E. 82 (1910); </w:t>
      </w:r>
      <w:r>
        <w:rPr>
          <w:sz w:val="18"/>
          <w:u w:val="single"/>
        </w:rPr>
        <w:t>Boston Ins. Co. v. A.H. Jacobson Co.</w:t>
      </w:r>
      <w:r>
        <w:rPr>
          <w:sz w:val="18"/>
        </w:rPr>
        <w:t>, 226 Minn. 479, 33 N.W.2d 602 (1948);</w:t>
      </w:r>
      <w:r>
        <w:rPr>
          <w:sz w:val="18"/>
          <w:u w:val="single"/>
        </w:rPr>
        <w:t> Insurance</w:t>
      </w:r>
      <w:r>
        <w:rPr>
          <w:spacing w:val="-13"/>
          <w:sz w:val="18"/>
          <w:u w:val="single"/>
        </w:rPr>
        <w:t> </w:t>
      </w:r>
      <w:r>
        <w:rPr>
          <w:sz w:val="18"/>
          <w:u w:val="single"/>
        </w:rPr>
        <w:t>Co.</w:t>
      </w:r>
      <w:r>
        <w:rPr>
          <w:spacing w:val="-11"/>
          <w:sz w:val="18"/>
          <w:u w:val="single"/>
        </w:rPr>
        <w:t> </w:t>
      </w:r>
      <w:r>
        <w:rPr>
          <w:sz w:val="18"/>
          <w:u w:val="single"/>
        </w:rPr>
        <w:t>of</w:t>
      </w:r>
      <w:r>
        <w:rPr>
          <w:spacing w:val="14"/>
          <w:sz w:val="18"/>
          <w:u w:val="single"/>
        </w:rPr>
        <w:t> </w:t>
      </w:r>
      <w:r>
        <w:rPr>
          <w:sz w:val="18"/>
          <w:u w:val="single"/>
        </w:rPr>
        <w:t>N.</w:t>
      </w:r>
      <w:r>
        <w:rPr>
          <w:spacing w:val="-14"/>
          <w:sz w:val="18"/>
          <w:u w:val="single"/>
        </w:rPr>
        <w:t> </w:t>
      </w:r>
      <w:r>
        <w:rPr>
          <w:sz w:val="18"/>
          <w:u w:val="single"/>
        </w:rPr>
        <w:t>A.</w:t>
      </w:r>
      <w:r>
        <w:rPr>
          <w:spacing w:val="-14"/>
          <w:sz w:val="18"/>
          <w:u w:val="single"/>
        </w:rPr>
        <w:t> </w:t>
      </w:r>
      <w:r>
        <w:rPr>
          <w:sz w:val="18"/>
          <w:u w:val="single"/>
        </w:rPr>
        <w:t>v.</w:t>
      </w:r>
      <w:r>
        <w:rPr>
          <w:spacing w:val="-13"/>
          <w:sz w:val="18"/>
          <w:u w:val="single"/>
        </w:rPr>
        <w:t> </w:t>
      </w:r>
      <w:r>
        <w:rPr>
          <w:sz w:val="18"/>
          <w:u w:val="single"/>
        </w:rPr>
        <w:t>Baker</w:t>
      </w:r>
      <w:r>
        <w:rPr>
          <w:sz w:val="18"/>
        </w:rPr>
        <w:t>,</w:t>
      </w:r>
      <w:r>
        <w:rPr>
          <w:spacing w:val="-14"/>
          <w:sz w:val="18"/>
        </w:rPr>
        <w:t> </w:t>
      </w:r>
      <w:r>
        <w:rPr>
          <w:sz w:val="18"/>
        </w:rPr>
        <w:t>84</w:t>
      </w:r>
      <w:r>
        <w:rPr>
          <w:spacing w:val="-13"/>
          <w:sz w:val="18"/>
        </w:rPr>
        <w:t> </w:t>
      </w:r>
      <w:r>
        <w:rPr>
          <w:sz w:val="18"/>
        </w:rPr>
        <w:t>Colo.</w:t>
      </w:r>
      <w:r>
        <w:rPr>
          <w:spacing w:val="-10"/>
          <w:sz w:val="18"/>
        </w:rPr>
        <w:t> </w:t>
      </w:r>
      <w:r>
        <w:rPr>
          <w:sz w:val="18"/>
        </w:rPr>
        <w:t>53,</w:t>
      </w:r>
      <w:r>
        <w:rPr>
          <w:spacing w:val="-11"/>
          <w:sz w:val="18"/>
        </w:rPr>
        <w:t> </w:t>
      </w:r>
      <w:r>
        <w:rPr>
          <w:sz w:val="18"/>
        </w:rPr>
        <w:t>268</w:t>
      </w:r>
      <w:r>
        <w:rPr>
          <w:spacing w:val="-11"/>
          <w:sz w:val="18"/>
        </w:rPr>
        <w:t> </w:t>
      </w:r>
      <w:r>
        <w:rPr>
          <w:sz w:val="18"/>
        </w:rPr>
        <w:t>P.</w:t>
      </w:r>
      <w:r>
        <w:rPr>
          <w:spacing w:val="-11"/>
          <w:sz w:val="18"/>
        </w:rPr>
        <w:t> </w:t>
      </w:r>
      <w:r>
        <w:rPr>
          <w:sz w:val="18"/>
        </w:rPr>
        <w:t>585</w:t>
      </w:r>
      <w:r>
        <w:rPr>
          <w:spacing w:val="-10"/>
          <w:sz w:val="18"/>
        </w:rPr>
        <w:t> </w:t>
      </w:r>
      <w:r>
        <w:rPr>
          <w:sz w:val="18"/>
        </w:rPr>
        <w:t>(1928);</w:t>
      </w:r>
      <w:r>
        <w:rPr>
          <w:spacing w:val="-11"/>
          <w:sz w:val="18"/>
        </w:rPr>
        <w:t> </w:t>
      </w:r>
      <w:r>
        <w:rPr>
          <w:sz w:val="18"/>
          <w:u w:val="single"/>
        </w:rPr>
        <w:t>Jersey</w:t>
      </w:r>
      <w:r>
        <w:rPr>
          <w:spacing w:val="-18"/>
          <w:sz w:val="18"/>
          <w:u w:val="single"/>
        </w:rPr>
        <w:t> </w:t>
      </w:r>
      <w:r>
        <w:rPr>
          <w:sz w:val="18"/>
          <w:u w:val="single"/>
        </w:rPr>
        <w:t>Ins.</w:t>
      </w:r>
      <w:r>
        <w:rPr>
          <w:spacing w:val="-11"/>
          <w:sz w:val="18"/>
          <w:u w:val="single"/>
        </w:rPr>
        <w:t> </w:t>
      </w:r>
      <w:r>
        <w:rPr>
          <w:sz w:val="18"/>
          <w:u w:val="single"/>
        </w:rPr>
        <w:t>Co.</w:t>
      </w:r>
      <w:r>
        <w:rPr>
          <w:spacing w:val="-11"/>
          <w:sz w:val="18"/>
          <w:u w:val="single"/>
        </w:rPr>
        <w:t> </w:t>
      </w:r>
      <w:r>
        <w:rPr>
          <w:sz w:val="18"/>
          <w:u w:val="single"/>
        </w:rPr>
        <w:t>v.</w:t>
      </w:r>
      <w:r>
        <w:rPr>
          <w:spacing w:val="-11"/>
          <w:sz w:val="18"/>
          <w:u w:val="single"/>
        </w:rPr>
        <w:t> </w:t>
      </w:r>
      <w:r>
        <w:rPr>
          <w:sz w:val="18"/>
          <w:u w:val="single"/>
        </w:rPr>
        <w:t>Roddam</w:t>
      </w:r>
      <w:r>
        <w:rPr>
          <w:sz w:val="18"/>
        </w:rPr>
        <w:t>, 256</w:t>
      </w:r>
      <w:r>
        <w:rPr>
          <w:spacing w:val="-13"/>
          <w:sz w:val="18"/>
        </w:rPr>
        <w:t> </w:t>
      </w:r>
      <w:r>
        <w:rPr>
          <w:sz w:val="18"/>
        </w:rPr>
        <w:t>Ala.</w:t>
      </w:r>
      <w:r>
        <w:rPr>
          <w:spacing w:val="-13"/>
          <w:sz w:val="18"/>
        </w:rPr>
        <w:t> </w:t>
      </w:r>
      <w:r>
        <w:rPr>
          <w:sz w:val="18"/>
        </w:rPr>
        <w:t>634,</w:t>
      </w:r>
      <w:r>
        <w:rPr>
          <w:spacing w:val="-16"/>
          <w:sz w:val="18"/>
        </w:rPr>
        <w:t> </w:t>
      </w:r>
      <w:r>
        <w:rPr>
          <w:sz w:val="18"/>
        </w:rPr>
        <w:t>56</w:t>
      </w:r>
      <w:r>
        <w:rPr>
          <w:spacing w:val="-14"/>
          <w:sz w:val="18"/>
        </w:rPr>
        <w:t> </w:t>
      </w:r>
      <w:r>
        <w:rPr>
          <w:sz w:val="18"/>
        </w:rPr>
        <w:t>So.2d</w:t>
      </w:r>
      <w:r>
        <w:rPr>
          <w:spacing w:val="-14"/>
          <w:sz w:val="18"/>
        </w:rPr>
        <w:t> </w:t>
      </w:r>
      <w:r>
        <w:rPr>
          <w:sz w:val="18"/>
        </w:rPr>
        <w:t>631</w:t>
      </w:r>
      <w:r>
        <w:rPr>
          <w:spacing w:val="-14"/>
          <w:sz w:val="18"/>
        </w:rPr>
        <w:t> </w:t>
      </w:r>
      <w:r>
        <w:rPr>
          <w:sz w:val="18"/>
        </w:rPr>
        <w:t>(1952);</w:t>
      </w:r>
      <w:r>
        <w:rPr>
          <w:spacing w:val="-15"/>
          <w:sz w:val="18"/>
        </w:rPr>
        <w:t> </w:t>
      </w:r>
      <w:r>
        <w:rPr>
          <w:sz w:val="18"/>
          <w:u w:val="single"/>
        </w:rPr>
        <w:t>Harowitz</w:t>
      </w:r>
      <w:r>
        <w:rPr>
          <w:spacing w:val="-16"/>
          <w:sz w:val="18"/>
          <w:u w:val="single"/>
        </w:rPr>
        <w:t> </w:t>
      </w:r>
      <w:r>
        <w:rPr>
          <w:sz w:val="18"/>
          <w:u w:val="single"/>
        </w:rPr>
        <w:t>v.</w:t>
      </w:r>
      <w:r>
        <w:rPr>
          <w:spacing w:val="-15"/>
          <w:sz w:val="18"/>
          <w:u w:val="single"/>
        </w:rPr>
        <w:t> </w:t>
      </w:r>
      <w:r>
        <w:rPr>
          <w:sz w:val="18"/>
          <w:u w:val="single"/>
        </w:rPr>
        <w:t>Concordia</w:t>
      </w:r>
      <w:r>
        <w:rPr>
          <w:spacing w:val="-16"/>
          <w:sz w:val="18"/>
          <w:u w:val="single"/>
        </w:rPr>
        <w:t> </w:t>
      </w:r>
      <w:r>
        <w:rPr>
          <w:sz w:val="18"/>
          <w:u w:val="single"/>
        </w:rPr>
        <w:t>Fire</w:t>
      </w:r>
      <w:r>
        <w:rPr>
          <w:spacing w:val="-16"/>
          <w:sz w:val="18"/>
          <w:u w:val="single"/>
        </w:rPr>
        <w:t> </w:t>
      </w:r>
      <w:r>
        <w:rPr>
          <w:sz w:val="18"/>
          <w:u w:val="single"/>
        </w:rPr>
        <w:t>Ins.</w:t>
      </w:r>
      <w:r>
        <w:rPr>
          <w:spacing w:val="-13"/>
          <w:sz w:val="18"/>
          <w:u w:val="single"/>
        </w:rPr>
        <w:t> </w:t>
      </w:r>
      <w:r>
        <w:rPr>
          <w:sz w:val="18"/>
          <w:u w:val="single"/>
        </w:rPr>
        <w:t>Co.</w:t>
      </w:r>
      <w:r>
        <w:rPr>
          <w:sz w:val="18"/>
        </w:rPr>
        <w:t>,</w:t>
      </w:r>
      <w:r>
        <w:rPr>
          <w:spacing w:val="-12"/>
          <w:sz w:val="18"/>
        </w:rPr>
        <w:t> </w:t>
      </w:r>
      <w:r>
        <w:rPr>
          <w:sz w:val="18"/>
        </w:rPr>
        <w:t>129</w:t>
      </w:r>
      <w:r>
        <w:rPr>
          <w:spacing w:val="-12"/>
          <w:sz w:val="18"/>
        </w:rPr>
        <w:t> </w:t>
      </w:r>
      <w:r>
        <w:rPr>
          <w:sz w:val="18"/>
        </w:rPr>
        <w:t>Tenn.</w:t>
      </w:r>
      <w:r>
        <w:rPr>
          <w:spacing w:val="-13"/>
          <w:sz w:val="18"/>
        </w:rPr>
        <w:t> </w:t>
      </w:r>
      <w:r>
        <w:rPr>
          <w:sz w:val="18"/>
        </w:rPr>
        <w:t>691,</w:t>
      </w:r>
      <w:r>
        <w:rPr>
          <w:spacing w:val="-13"/>
          <w:sz w:val="18"/>
        </w:rPr>
        <w:t> </w:t>
      </w:r>
      <w:r>
        <w:rPr>
          <w:sz w:val="18"/>
        </w:rPr>
        <w:t>168</w:t>
      </w:r>
    </w:p>
    <w:p>
      <w:pPr>
        <w:spacing w:before="1"/>
        <w:ind w:left="2740" w:right="0" w:firstLine="0"/>
        <w:jc w:val="both"/>
        <w:rPr>
          <w:rFonts w:ascii="Times New Roman"/>
          <w:sz w:val="18"/>
        </w:rPr>
      </w:pPr>
      <w:r>
        <w:rPr>
          <w:rFonts w:ascii="Times New Roman"/>
          <w:sz w:val="18"/>
        </w:rPr>
        <w:t>S.W.163 (1914); </w:t>
      </w:r>
      <w:r>
        <w:rPr>
          <w:rFonts w:ascii="Times New Roman"/>
          <w:sz w:val="18"/>
          <w:u w:val="single"/>
        </w:rPr>
        <w:t>James v. Ins. Co. of Ill</w:t>
      </w:r>
      <w:r>
        <w:rPr>
          <w:rFonts w:ascii="Times New Roman"/>
          <w:sz w:val="18"/>
        </w:rPr>
        <w:t>, 135 Mo. App. 247, 115 S.W. 478 (1909);</w:t>
      </w:r>
    </w:p>
    <w:p>
      <w:pPr>
        <w:spacing w:line="244" w:lineRule="auto" w:before="4"/>
        <w:ind w:left="2740" w:right="2845" w:firstLine="0"/>
        <w:jc w:val="both"/>
        <w:rPr>
          <w:rFonts w:ascii="Times New Roman" w:hAnsi="Times New Roman"/>
          <w:sz w:val="18"/>
        </w:rPr>
      </w:pPr>
      <w:r>
        <w:rPr>
          <w:rFonts w:ascii="Times New Roman" w:hAnsi="Times New Roman"/>
          <w:sz w:val="18"/>
          <w:u w:val="single"/>
        </w:rPr>
        <w:t>Continental</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4"/>
          <w:sz w:val="18"/>
          <w:u w:val="single"/>
        </w:rPr>
        <w:t> </w:t>
      </w:r>
      <w:r>
        <w:rPr>
          <w:rFonts w:ascii="Times New Roman" w:hAnsi="Times New Roman"/>
          <w:sz w:val="18"/>
          <w:u w:val="single"/>
        </w:rPr>
        <w:t>Co.</w:t>
      </w:r>
      <w:r>
        <w:rPr>
          <w:rFonts w:ascii="Times New Roman" w:hAnsi="Times New Roman"/>
          <w:spacing w:val="-4"/>
          <w:sz w:val="18"/>
          <w:u w:val="single"/>
        </w:rPr>
        <w:t> </w:t>
      </w:r>
      <w:r>
        <w:rPr>
          <w:rFonts w:ascii="Times New Roman" w:hAnsi="Times New Roman"/>
          <w:sz w:val="18"/>
          <w:u w:val="single"/>
        </w:rPr>
        <w:t>v.</w:t>
      </w:r>
      <w:r>
        <w:rPr>
          <w:rFonts w:ascii="Times New Roman" w:hAnsi="Times New Roman"/>
          <w:spacing w:val="-4"/>
          <w:sz w:val="18"/>
          <w:u w:val="single"/>
        </w:rPr>
        <w:t> </w:t>
      </w:r>
      <w:r>
        <w:rPr>
          <w:rFonts w:ascii="Times New Roman" w:hAnsi="Times New Roman"/>
          <w:sz w:val="18"/>
          <w:u w:val="single"/>
        </w:rPr>
        <w:t>Valladingham</w:t>
      </w:r>
      <w:r>
        <w:rPr>
          <w:rFonts w:ascii="Times New Roman" w:hAnsi="Times New Roman"/>
          <w:spacing w:val="-9"/>
          <w:sz w:val="18"/>
          <w:u w:val="single"/>
        </w:rPr>
        <w:t> </w:t>
      </w:r>
      <w:r>
        <w:rPr>
          <w:rFonts w:ascii="Times New Roman" w:hAnsi="Times New Roman"/>
          <w:sz w:val="18"/>
          <w:u w:val="single"/>
        </w:rPr>
        <w:t>&amp;</w:t>
      </w:r>
      <w:r>
        <w:rPr>
          <w:rFonts w:ascii="Times New Roman" w:hAnsi="Times New Roman"/>
          <w:spacing w:val="-4"/>
          <w:sz w:val="18"/>
          <w:u w:val="single"/>
        </w:rPr>
        <w:t> </w:t>
      </w:r>
      <w:r>
        <w:rPr>
          <w:rFonts w:ascii="Times New Roman" w:hAnsi="Times New Roman"/>
          <w:sz w:val="18"/>
          <w:u w:val="single"/>
        </w:rPr>
        <w:t>Gentry</w:t>
      </w:r>
      <w:r>
        <w:rPr>
          <w:rFonts w:ascii="Times New Roman" w:hAnsi="Times New Roman"/>
          <w:sz w:val="18"/>
        </w:rPr>
        <w:t>,</w:t>
      </w:r>
      <w:r>
        <w:rPr>
          <w:rFonts w:ascii="Times New Roman" w:hAnsi="Times New Roman"/>
          <w:spacing w:val="-4"/>
          <w:sz w:val="18"/>
        </w:rPr>
        <w:t> </w:t>
      </w:r>
      <w:r>
        <w:rPr>
          <w:rFonts w:ascii="Times New Roman" w:hAnsi="Times New Roman"/>
          <w:sz w:val="18"/>
        </w:rPr>
        <w:t>116</w:t>
      </w:r>
      <w:r>
        <w:rPr>
          <w:rFonts w:ascii="Times New Roman" w:hAnsi="Times New Roman"/>
          <w:spacing w:val="-5"/>
          <w:sz w:val="18"/>
        </w:rPr>
        <w:t> </w:t>
      </w:r>
      <w:r>
        <w:rPr>
          <w:rFonts w:ascii="Times New Roman" w:hAnsi="Times New Roman"/>
          <w:sz w:val="18"/>
        </w:rPr>
        <w:t>Ky.</w:t>
      </w:r>
      <w:r>
        <w:rPr>
          <w:rFonts w:ascii="Times New Roman" w:hAnsi="Times New Roman"/>
          <w:spacing w:val="-4"/>
          <w:sz w:val="18"/>
        </w:rPr>
        <w:t> </w:t>
      </w:r>
      <w:r>
        <w:rPr>
          <w:rFonts w:ascii="Times New Roman" w:hAnsi="Times New Roman"/>
          <w:sz w:val="18"/>
        </w:rPr>
        <w:t>287,</w:t>
      </w:r>
      <w:r>
        <w:rPr>
          <w:rFonts w:ascii="Times New Roman" w:hAnsi="Times New Roman"/>
          <w:spacing w:val="-4"/>
          <w:sz w:val="18"/>
        </w:rPr>
        <w:t> </w:t>
      </w:r>
      <w:r>
        <w:rPr>
          <w:rFonts w:ascii="Times New Roman" w:hAnsi="Times New Roman"/>
          <w:sz w:val="18"/>
        </w:rPr>
        <w:t>76</w:t>
      </w:r>
      <w:r>
        <w:rPr>
          <w:rFonts w:ascii="Times New Roman" w:hAnsi="Times New Roman"/>
          <w:spacing w:val="-3"/>
          <w:sz w:val="18"/>
        </w:rPr>
        <w:t> </w:t>
      </w:r>
      <w:r>
        <w:rPr>
          <w:rFonts w:ascii="Times New Roman" w:hAnsi="Times New Roman"/>
          <w:sz w:val="18"/>
        </w:rPr>
        <w:t>S.W.</w:t>
      </w:r>
      <w:r>
        <w:rPr>
          <w:rFonts w:ascii="Times New Roman" w:hAnsi="Times New Roman"/>
          <w:spacing w:val="-5"/>
          <w:sz w:val="18"/>
        </w:rPr>
        <w:t> </w:t>
      </w:r>
      <w:r>
        <w:rPr>
          <w:rFonts w:ascii="Times New Roman" w:hAnsi="Times New Roman"/>
          <w:sz w:val="18"/>
        </w:rPr>
        <w:t>22</w:t>
      </w:r>
      <w:r>
        <w:rPr>
          <w:rFonts w:ascii="Times New Roman" w:hAnsi="Times New Roman"/>
          <w:spacing w:val="-3"/>
          <w:sz w:val="18"/>
        </w:rPr>
        <w:t> </w:t>
      </w:r>
      <w:r>
        <w:rPr>
          <w:rFonts w:ascii="Times New Roman" w:hAnsi="Times New Roman"/>
          <w:sz w:val="18"/>
        </w:rPr>
        <w:t>(1903);</w:t>
      </w:r>
      <w:r>
        <w:rPr>
          <w:rFonts w:ascii="Times New Roman" w:hAnsi="Times New Roman"/>
          <w:spacing w:val="-4"/>
          <w:sz w:val="18"/>
        </w:rPr>
        <w:t> </w:t>
      </w:r>
      <w:r>
        <w:rPr>
          <w:rFonts w:ascii="Times New Roman" w:hAnsi="Times New Roman"/>
          <w:sz w:val="18"/>
          <w:u w:val="single"/>
        </w:rPr>
        <w:t>Citizens</w:t>
      </w:r>
      <w:r>
        <w:rPr>
          <w:rFonts w:ascii="Times New Roman" w:hAnsi="Times New Roman"/>
          <w:sz w:val="18"/>
        </w:rPr>
        <w:t> </w:t>
      </w:r>
      <w:r>
        <w:rPr>
          <w:rFonts w:ascii="Times New Roman" w:hAnsi="Times New Roman"/>
          <w:sz w:val="18"/>
          <w:u w:val="single"/>
        </w:rPr>
        <w:t>Prop.</w:t>
      </w:r>
      <w:r>
        <w:rPr>
          <w:rFonts w:ascii="Times New Roman" w:hAnsi="Times New Roman"/>
          <w:spacing w:val="-12"/>
          <w:sz w:val="18"/>
          <w:u w:val="single"/>
        </w:rPr>
        <w:t> </w:t>
      </w:r>
      <w:r>
        <w:rPr>
          <w:rFonts w:ascii="Times New Roman" w:hAnsi="Times New Roman"/>
          <w:sz w:val="18"/>
          <w:u w:val="single"/>
        </w:rPr>
        <w:t>Ins.</w:t>
      </w:r>
      <w:r>
        <w:rPr>
          <w:rFonts w:ascii="Times New Roman" w:hAnsi="Times New Roman"/>
          <w:spacing w:val="-10"/>
          <w:sz w:val="18"/>
          <w:u w:val="single"/>
        </w:rPr>
        <w:t> </w:t>
      </w:r>
      <w:r>
        <w:rPr>
          <w:rFonts w:ascii="Times New Roman" w:hAnsi="Times New Roman"/>
          <w:sz w:val="18"/>
          <w:u w:val="single"/>
        </w:rPr>
        <w:t>Corp.</w:t>
      </w:r>
      <w:r>
        <w:rPr>
          <w:rFonts w:ascii="Times New Roman" w:hAnsi="Times New Roman"/>
          <w:spacing w:val="-11"/>
          <w:sz w:val="18"/>
          <w:u w:val="single"/>
        </w:rPr>
        <w:t> </w:t>
      </w:r>
      <w:r>
        <w:rPr>
          <w:rFonts w:ascii="Times New Roman" w:hAnsi="Times New Roman"/>
          <w:sz w:val="18"/>
          <w:u w:val="single"/>
        </w:rPr>
        <w:t>v.</w:t>
      </w:r>
      <w:r>
        <w:rPr>
          <w:rFonts w:ascii="Times New Roman" w:hAnsi="Times New Roman"/>
          <w:spacing w:val="-10"/>
          <w:sz w:val="18"/>
          <w:u w:val="single"/>
        </w:rPr>
        <w:t> </w:t>
      </w:r>
      <w:r>
        <w:rPr>
          <w:rFonts w:ascii="Times New Roman" w:hAnsi="Times New Roman"/>
          <w:sz w:val="18"/>
          <w:u w:val="single"/>
        </w:rPr>
        <w:t>Admiralty</w:t>
      </w:r>
      <w:r>
        <w:rPr>
          <w:rFonts w:ascii="Times New Roman" w:hAnsi="Times New Roman"/>
          <w:spacing w:val="-15"/>
          <w:sz w:val="18"/>
          <w:u w:val="single"/>
        </w:rPr>
        <w:t> </w:t>
      </w:r>
      <w:r>
        <w:rPr>
          <w:rFonts w:ascii="Times New Roman" w:hAnsi="Times New Roman"/>
          <w:sz w:val="18"/>
          <w:u w:val="single"/>
        </w:rPr>
        <w:t>House,</w:t>
      </w:r>
      <w:r>
        <w:rPr>
          <w:rFonts w:ascii="Times New Roman" w:hAnsi="Times New Roman"/>
          <w:spacing w:val="-11"/>
          <w:sz w:val="18"/>
          <w:u w:val="single"/>
        </w:rPr>
        <w:t> </w:t>
      </w:r>
      <w:r>
        <w:rPr>
          <w:rFonts w:ascii="Times New Roman" w:hAnsi="Times New Roman"/>
          <w:sz w:val="18"/>
          <w:u w:val="single"/>
        </w:rPr>
        <w:t>Inc.</w:t>
      </w:r>
      <w:r>
        <w:rPr>
          <w:rFonts w:ascii="Times New Roman" w:hAnsi="Times New Roman"/>
          <w:sz w:val="18"/>
        </w:rPr>
        <w:t>,</w:t>
      </w:r>
      <w:r>
        <w:rPr>
          <w:rFonts w:ascii="Times New Roman" w:hAnsi="Times New Roman"/>
          <w:spacing w:val="-11"/>
          <w:sz w:val="18"/>
        </w:rPr>
        <w:t> </w:t>
      </w:r>
      <w:r>
        <w:rPr>
          <w:rFonts w:ascii="Times New Roman" w:hAnsi="Times New Roman"/>
          <w:sz w:val="18"/>
        </w:rPr>
        <w:t>2011</w:t>
      </w:r>
      <w:r>
        <w:rPr>
          <w:rFonts w:ascii="Times New Roman" w:hAnsi="Times New Roman"/>
          <w:spacing w:val="-10"/>
          <w:sz w:val="18"/>
        </w:rPr>
        <w:t> </w:t>
      </w:r>
      <w:r>
        <w:rPr>
          <w:rFonts w:ascii="Times New Roman" w:hAnsi="Times New Roman"/>
          <w:sz w:val="18"/>
        </w:rPr>
        <w:t>WL</w:t>
      </w:r>
      <w:r>
        <w:rPr>
          <w:rFonts w:ascii="Times New Roman" w:hAnsi="Times New Roman"/>
          <w:spacing w:val="-15"/>
          <w:sz w:val="18"/>
        </w:rPr>
        <w:t> </w:t>
      </w:r>
      <w:r>
        <w:rPr>
          <w:rFonts w:ascii="Times New Roman" w:hAnsi="Times New Roman"/>
          <w:sz w:val="18"/>
        </w:rPr>
        <w:t>2586344</w:t>
      </w:r>
      <w:r>
        <w:rPr>
          <w:rFonts w:ascii="Times New Roman" w:hAnsi="Times New Roman"/>
          <w:spacing w:val="-10"/>
          <w:sz w:val="18"/>
        </w:rPr>
        <w:t> </w:t>
      </w:r>
      <w:r>
        <w:rPr>
          <w:rFonts w:ascii="Times New Roman" w:hAnsi="Times New Roman"/>
          <w:sz w:val="18"/>
        </w:rPr>
        <w:t>(Fla.</w:t>
      </w:r>
      <w:r>
        <w:rPr>
          <w:rFonts w:ascii="Times New Roman" w:hAnsi="Times New Roman"/>
          <w:spacing w:val="-11"/>
          <w:sz w:val="18"/>
        </w:rPr>
        <w:t> </w:t>
      </w:r>
      <w:r>
        <w:rPr>
          <w:rFonts w:ascii="Times New Roman" w:hAnsi="Times New Roman"/>
          <w:sz w:val="18"/>
        </w:rPr>
        <w:t>2d,</w:t>
      </w:r>
      <w:r>
        <w:rPr>
          <w:rFonts w:ascii="Times New Roman" w:hAnsi="Times New Roman"/>
          <w:spacing w:val="-10"/>
          <w:sz w:val="18"/>
        </w:rPr>
        <w:t> </w:t>
      </w:r>
      <w:r>
        <w:rPr>
          <w:rFonts w:ascii="Times New Roman" w:hAnsi="Times New Roman"/>
          <w:sz w:val="18"/>
        </w:rPr>
        <w:t>DCA</w:t>
      </w:r>
      <w:r>
        <w:rPr>
          <w:rFonts w:ascii="Times New Roman" w:hAnsi="Times New Roman"/>
          <w:spacing w:val="-17"/>
          <w:sz w:val="18"/>
        </w:rPr>
        <w:t> </w:t>
      </w:r>
      <w:r>
        <w:rPr>
          <w:rFonts w:ascii="Times New Roman" w:hAnsi="Times New Roman"/>
          <w:sz w:val="18"/>
        </w:rPr>
        <w:t>2011):</w:t>
      </w:r>
      <w:r>
        <w:rPr>
          <w:rFonts w:ascii="Times New Roman" w:hAnsi="Times New Roman"/>
          <w:spacing w:val="-13"/>
          <w:sz w:val="18"/>
        </w:rPr>
        <w:t> </w:t>
      </w:r>
      <w:r>
        <w:rPr>
          <w:rFonts w:ascii="Times New Roman" w:hAnsi="Times New Roman"/>
          <w:i/>
          <w:sz w:val="18"/>
        </w:rPr>
        <w:t>But</w:t>
      </w:r>
      <w:r>
        <w:rPr>
          <w:rFonts w:ascii="Times New Roman" w:hAnsi="Times New Roman"/>
          <w:i/>
          <w:spacing w:val="-12"/>
          <w:sz w:val="18"/>
        </w:rPr>
        <w:t> </w:t>
      </w:r>
      <w:r>
        <w:rPr>
          <w:rFonts w:ascii="Times New Roman" w:hAnsi="Times New Roman"/>
          <w:i/>
          <w:sz w:val="18"/>
        </w:rPr>
        <w:t>see, </w:t>
      </w:r>
      <w:r>
        <w:rPr>
          <w:rFonts w:ascii="Times New Roman" w:hAnsi="Times New Roman"/>
          <w:sz w:val="18"/>
          <w:u w:val="single"/>
        </w:rPr>
        <w:t>Prudential-LMI</w:t>
      </w:r>
      <w:r>
        <w:rPr>
          <w:rFonts w:ascii="Times New Roman" w:hAnsi="Times New Roman"/>
          <w:spacing w:val="-9"/>
          <w:sz w:val="18"/>
          <w:u w:val="single"/>
        </w:rPr>
        <w:t> </w:t>
      </w:r>
      <w:r>
        <w:rPr>
          <w:rFonts w:ascii="Times New Roman" w:hAnsi="Times New Roman"/>
          <w:sz w:val="18"/>
          <w:u w:val="single"/>
        </w:rPr>
        <w:t>Ins.</w:t>
      </w:r>
      <w:r>
        <w:rPr>
          <w:rFonts w:ascii="Times New Roman" w:hAnsi="Times New Roman"/>
          <w:spacing w:val="-8"/>
          <w:sz w:val="18"/>
          <w:u w:val="single"/>
        </w:rPr>
        <w:t> </w:t>
      </w:r>
      <w:r>
        <w:rPr>
          <w:rFonts w:ascii="Times New Roman" w:hAnsi="Times New Roman"/>
          <w:sz w:val="18"/>
          <w:u w:val="single"/>
        </w:rPr>
        <w:t>Co.</w:t>
      </w:r>
      <w:r>
        <w:rPr>
          <w:rFonts w:ascii="Times New Roman" w:hAnsi="Times New Roman"/>
          <w:spacing w:val="-9"/>
          <w:sz w:val="18"/>
          <w:u w:val="single"/>
        </w:rPr>
        <w:t> </w:t>
      </w:r>
      <w:r>
        <w:rPr>
          <w:rFonts w:ascii="Times New Roman" w:hAnsi="Times New Roman"/>
          <w:sz w:val="18"/>
          <w:u w:val="single"/>
        </w:rPr>
        <w:t>v.</w:t>
      </w:r>
      <w:r>
        <w:rPr>
          <w:rFonts w:ascii="Times New Roman" w:hAnsi="Times New Roman"/>
          <w:spacing w:val="-8"/>
          <w:sz w:val="18"/>
          <w:u w:val="single"/>
        </w:rPr>
        <w:t> </w:t>
      </w:r>
      <w:r>
        <w:rPr>
          <w:rFonts w:ascii="Times New Roman" w:hAnsi="Times New Roman"/>
          <w:sz w:val="18"/>
          <w:u w:val="single"/>
        </w:rPr>
        <w:t>Promenade</w:t>
      </w:r>
      <w:r>
        <w:rPr>
          <w:rFonts w:ascii="Times New Roman" w:hAnsi="Times New Roman"/>
          <w:spacing w:val="-10"/>
          <w:sz w:val="18"/>
          <w:u w:val="single"/>
        </w:rPr>
        <w:t> </w:t>
      </w:r>
      <w:r>
        <w:rPr>
          <w:rFonts w:ascii="Times New Roman" w:hAnsi="Times New Roman"/>
          <w:sz w:val="18"/>
          <w:u w:val="single"/>
        </w:rPr>
        <w:t>Condo.</w:t>
      </w:r>
      <w:r>
        <w:rPr>
          <w:rFonts w:ascii="Times New Roman" w:hAnsi="Times New Roman"/>
          <w:spacing w:val="-8"/>
          <w:sz w:val="18"/>
          <w:u w:val="single"/>
        </w:rPr>
        <w:t> </w:t>
      </w:r>
      <w:r>
        <w:rPr>
          <w:rFonts w:ascii="Times New Roman" w:hAnsi="Times New Roman"/>
          <w:sz w:val="18"/>
          <w:u w:val="single"/>
        </w:rPr>
        <w:t>Ass’n</w:t>
      </w:r>
      <w:r>
        <w:rPr>
          <w:rFonts w:ascii="Times New Roman" w:hAnsi="Times New Roman"/>
          <w:sz w:val="18"/>
        </w:rPr>
        <w:t>,</w:t>
      </w:r>
      <w:r>
        <w:rPr>
          <w:rFonts w:ascii="Times New Roman" w:hAnsi="Times New Roman"/>
          <w:spacing w:val="-9"/>
          <w:sz w:val="18"/>
        </w:rPr>
        <w:t> </w:t>
      </w:r>
      <w:r>
        <w:rPr>
          <w:rFonts w:ascii="Times New Roman" w:hAnsi="Times New Roman"/>
          <w:sz w:val="18"/>
        </w:rPr>
        <w:t>No.</w:t>
      </w:r>
      <w:r>
        <w:rPr>
          <w:rFonts w:ascii="Times New Roman" w:hAnsi="Times New Roman"/>
          <w:spacing w:val="-8"/>
          <w:sz w:val="18"/>
        </w:rPr>
        <w:t> </w:t>
      </w:r>
      <w:r>
        <w:rPr>
          <w:rFonts w:ascii="Times New Roman" w:hAnsi="Times New Roman"/>
          <w:sz w:val="18"/>
        </w:rPr>
        <w:t>98-1603</w:t>
      </w:r>
      <w:r>
        <w:rPr>
          <w:rFonts w:ascii="Times New Roman" w:hAnsi="Times New Roman"/>
          <w:spacing w:val="-7"/>
          <w:sz w:val="18"/>
        </w:rPr>
        <w:t> </w:t>
      </w:r>
      <w:r>
        <w:rPr>
          <w:rFonts w:ascii="Times New Roman" w:hAnsi="Times New Roman"/>
          <w:sz w:val="18"/>
        </w:rPr>
        <w:t>(S.D.</w:t>
      </w:r>
      <w:r>
        <w:rPr>
          <w:rFonts w:ascii="Times New Roman" w:hAnsi="Times New Roman"/>
          <w:spacing w:val="-5"/>
          <w:sz w:val="18"/>
        </w:rPr>
        <w:t> </w:t>
      </w:r>
      <w:r>
        <w:rPr>
          <w:rFonts w:ascii="Times New Roman" w:hAnsi="Times New Roman"/>
          <w:sz w:val="18"/>
        </w:rPr>
        <w:t>Fla.</w:t>
      </w:r>
      <w:r>
        <w:rPr>
          <w:rFonts w:ascii="Times New Roman" w:hAnsi="Times New Roman"/>
          <w:spacing w:val="-8"/>
          <w:sz w:val="18"/>
        </w:rPr>
        <w:t> </w:t>
      </w:r>
      <w:r>
        <w:rPr>
          <w:rFonts w:ascii="Times New Roman" w:hAnsi="Times New Roman"/>
          <w:sz w:val="18"/>
        </w:rPr>
        <w:t>1998)</w:t>
      </w:r>
      <w:r>
        <w:rPr>
          <w:rFonts w:ascii="Times New Roman" w:hAnsi="Times New Roman"/>
          <w:spacing w:val="-9"/>
          <w:sz w:val="18"/>
        </w:rPr>
        <w:t> </w:t>
      </w:r>
      <w:r>
        <w:rPr>
          <w:rFonts w:ascii="Times New Roman" w:hAnsi="Times New Roman"/>
          <w:sz w:val="18"/>
        </w:rPr>
        <w:t>(ruling contrary to </w:t>
      </w:r>
      <w:r>
        <w:rPr>
          <w:rFonts w:ascii="Times New Roman" w:hAnsi="Times New Roman"/>
          <w:sz w:val="18"/>
          <w:u w:val="single"/>
        </w:rPr>
        <w:t>Ferrer</w:t>
      </w:r>
      <w:r>
        <w:rPr>
          <w:rFonts w:ascii="Times New Roman" w:hAnsi="Times New Roman"/>
          <w:sz w:val="18"/>
        </w:rPr>
        <w:t>, 10 F. Supp.2d at 1324 so as to remain consistent with </w:t>
      </w:r>
      <w:r>
        <w:rPr>
          <w:rFonts w:ascii="Times New Roman" w:hAnsi="Times New Roman"/>
          <w:sz w:val="18"/>
          <w:u w:val="single"/>
        </w:rPr>
        <w:t>Allstate Ins. Co.</w:t>
      </w:r>
      <w:r>
        <w:rPr>
          <w:rFonts w:ascii="Times New Roman" w:hAnsi="Times New Roman"/>
          <w:sz w:val="18"/>
        </w:rPr>
        <w:t> </w:t>
      </w:r>
      <w:r>
        <w:rPr>
          <w:rFonts w:ascii="Times New Roman" w:hAnsi="Times New Roman"/>
          <w:sz w:val="18"/>
          <w:u w:val="single"/>
        </w:rPr>
        <w:t>v.</w:t>
      </w:r>
      <w:r>
        <w:rPr>
          <w:rFonts w:ascii="Times New Roman" w:hAnsi="Times New Roman"/>
          <w:spacing w:val="-11"/>
          <w:sz w:val="18"/>
          <w:u w:val="single"/>
        </w:rPr>
        <w:t> </w:t>
      </w:r>
      <w:r>
        <w:rPr>
          <w:rFonts w:ascii="Times New Roman" w:hAnsi="Times New Roman"/>
          <w:sz w:val="18"/>
          <w:u w:val="single"/>
        </w:rPr>
        <w:t>Sierra</w:t>
      </w:r>
      <w:r>
        <w:rPr>
          <w:rFonts w:ascii="Times New Roman" w:hAnsi="Times New Roman"/>
          <w:sz w:val="18"/>
        </w:rPr>
        <w:t>,</w:t>
      </w:r>
      <w:r>
        <w:rPr>
          <w:rFonts w:ascii="Times New Roman" w:hAnsi="Times New Roman"/>
          <w:spacing w:val="-12"/>
          <w:sz w:val="18"/>
        </w:rPr>
        <w:t> </w:t>
      </w:r>
      <w:r>
        <w:rPr>
          <w:rFonts w:ascii="Times New Roman" w:hAnsi="Times New Roman"/>
          <w:sz w:val="18"/>
        </w:rPr>
        <w:t>705</w:t>
      </w:r>
      <w:r>
        <w:rPr>
          <w:rFonts w:ascii="Times New Roman" w:hAnsi="Times New Roman"/>
          <w:spacing w:val="-7"/>
          <w:sz w:val="18"/>
        </w:rPr>
        <w:t> </w:t>
      </w:r>
      <w:r>
        <w:rPr>
          <w:rFonts w:ascii="Times New Roman" w:hAnsi="Times New Roman"/>
          <w:sz w:val="18"/>
        </w:rPr>
        <w:t>So.2d</w:t>
      </w:r>
      <w:r>
        <w:rPr>
          <w:rFonts w:ascii="Times New Roman" w:hAnsi="Times New Roman"/>
          <w:spacing w:val="-8"/>
          <w:sz w:val="18"/>
        </w:rPr>
        <w:t> </w:t>
      </w:r>
      <w:r>
        <w:rPr>
          <w:rFonts w:ascii="Times New Roman" w:hAnsi="Times New Roman"/>
          <w:sz w:val="18"/>
        </w:rPr>
        <w:t>119</w:t>
      </w:r>
      <w:r>
        <w:rPr>
          <w:rFonts w:ascii="Times New Roman" w:hAnsi="Times New Roman"/>
          <w:spacing w:val="-9"/>
          <w:sz w:val="18"/>
        </w:rPr>
        <w:t> </w:t>
      </w:r>
      <w:r>
        <w:rPr>
          <w:rFonts w:ascii="Times New Roman" w:hAnsi="Times New Roman"/>
          <w:sz w:val="18"/>
        </w:rPr>
        <w:t>(Fla.3d</w:t>
      </w:r>
      <w:r>
        <w:rPr>
          <w:rFonts w:ascii="Times New Roman" w:hAnsi="Times New Roman"/>
          <w:spacing w:val="-7"/>
          <w:sz w:val="18"/>
        </w:rPr>
        <w:t> </w:t>
      </w:r>
      <w:r>
        <w:rPr>
          <w:rFonts w:ascii="Times New Roman" w:hAnsi="Times New Roman"/>
          <w:sz w:val="18"/>
        </w:rPr>
        <w:t>DCA</w:t>
      </w:r>
      <w:r>
        <w:rPr>
          <w:rFonts w:ascii="Times New Roman" w:hAnsi="Times New Roman"/>
          <w:spacing w:val="-16"/>
          <w:sz w:val="18"/>
        </w:rPr>
        <w:t> </w:t>
      </w:r>
      <w:r>
        <w:rPr>
          <w:rFonts w:ascii="Times New Roman" w:hAnsi="Times New Roman"/>
          <w:sz w:val="18"/>
        </w:rPr>
        <w:t>1998))</w:t>
      </w:r>
      <w:r>
        <w:rPr>
          <w:rFonts w:ascii="Times New Roman" w:hAnsi="Times New Roman"/>
          <w:spacing w:val="-12"/>
          <w:sz w:val="18"/>
        </w:rPr>
        <w:t> </w:t>
      </w:r>
      <w:r>
        <w:rPr>
          <w:rFonts w:ascii="Times New Roman" w:hAnsi="Times New Roman"/>
          <w:sz w:val="18"/>
        </w:rPr>
        <w:t>and</w:t>
      </w:r>
      <w:r>
        <w:rPr>
          <w:rFonts w:ascii="Times New Roman" w:hAnsi="Times New Roman"/>
          <w:spacing w:val="-10"/>
          <w:sz w:val="18"/>
        </w:rPr>
        <w:t> </w:t>
      </w:r>
      <w:r>
        <w:rPr>
          <w:rFonts w:ascii="Times New Roman" w:hAnsi="Times New Roman"/>
          <w:sz w:val="18"/>
          <w:u w:val="single"/>
        </w:rPr>
        <w:t>Sanchez</w:t>
      </w:r>
      <w:r>
        <w:rPr>
          <w:rFonts w:ascii="Times New Roman" w:hAnsi="Times New Roman"/>
          <w:spacing w:val="-13"/>
          <w:sz w:val="18"/>
          <w:u w:val="single"/>
        </w:rPr>
        <w:t> </w:t>
      </w:r>
      <w:r>
        <w:rPr>
          <w:rFonts w:ascii="Times New Roman" w:hAnsi="Times New Roman"/>
          <w:sz w:val="18"/>
          <w:u w:val="single"/>
        </w:rPr>
        <w:t>v.</w:t>
      </w:r>
      <w:r>
        <w:rPr>
          <w:rFonts w:ascii="Times New Roman" w:hAnsi="Times New Roman"/>
          <w:spacing w:val="-11"/>
          <w:sz w:val="18"/>
          <w:u w:val="single"/>
        </w:rPr>
        <w:t> </w:t>
      </w:r>
      <w:r>
        <w:rPr>
          <w:rFonts w:ascii="Times New Roman" w:hAnsi="Times New Roman"/>
          <w:sz w:val="18"/>
          <w:u w:val="single"/>
        </w:rPr>
        <w:t>Harbor</w:t>
      </w:r>
      <w:r>
        <w:rPr>
          <w:rFonts w:ascii="Times New Roman" w:hAnsi="Times New Roman"/>
          <w:spacing w:val="-11"/>
          <w:sz w:val="18"/>
          <w:u w:val="single"/>
        </w:rPr>
        <w:t> </w:t>
      </w:r>
      <w:r>
        <w:rPr>
          <w:rFonts w:ascii="Times New Roman" w:hAnsi="Times New Roman"/>
          <w:sz w:val="18"/>
          <w:u w:val="single"/>
        </w:rPr>
        <w:t>Specialty</w:t>
      </w:r>
      <w:r>
        <w:rPr>
          <w:rFonts w:ascii="Times New Roman" w:hAnsi="Times New Roman"/>
          <w:spacing w:val="-17"/>
          <w:sz w:val="18"/>
          <w:u w:val="single"/>
        </w:rPr>
        <w:t> </w:t>
      </w:r>
      <w:r>
        <w:rPr>
          <w:rFonts w:ascii="Times New Roman" w:hAnsi="Times New Roman"/>
          <w:sz w:val="18"/>
          <w:u w:val="single"/>
        </w:rPr>
        <w:t>Ins.</w:t>
      </w:r>
      <w:r>
        <w:rPr>
          <w:rFonts w:ascii="Times New Roman" w:hAnsi="Times New Roman"/>
          <w:spacing w:val="-12"/>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1"/>
          <w:sz w:val="18"/>
        </w:rPr>
        <w:t> </w:t>
      </w:r>
      <w:r>
        <w:rPr>
          <w:rFonts w:ascii="Times New Roman" w:hAnsi="Times New Roman"/>
          <w:sz w:val="18"/>
        </w:rPr>
        <w:t>No. 98-1365 (S.D. Fla</w:t>
      </w:r>
      <w:r>
        <w:rPr>
          <w:rFonts w:ascii="Times New Roman" w:hAnsi="Times New Roman"/>
          <w:spacing w:val="1"/>
          <w:sz w:val="18"/>
        </w:rPr>
        <w:t> </w:t>
      </w:r>
      <w:r>
        <w:rPr>
          <w:rFonts w:ascii="Times New Roman" w:hAnsi="Times New Roman"/>
          <w:sz w:val="18"/>
        </w:rPr>
        <w:t>1999).</w:t>
      </w:r>
    </w:p>
    <w:p>
      <w:pPr>
        <w:spacing w:after="0" w:line="244" w:lineRule="auto"/>
        <w:jc w:val="both"/>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1"/>
      </w:pPr>
      <w:bookmarkStart w:name="Law and Procedure 279" w:id="99"/>
      <w:bookmarkEnd w:id="99"/>
      <w:r>
        <w:rPr/>
      </w:r>
      <w:r>
        <w:rPr/>
        <w:t>reasonable understanding of the claim is a prerequisite for a true disagreement to exist.</w:t>
      </w:r>
    </w:p>
    <w:p>
      <w:pPr>
        <w:pStyle w:val="BodyText"/>
        <w:spacing w:before="1"/>
      </w:pPr>
    </w:p>
    <w:p>
      <w:pPr>
        <w:pStyle w:val="BodyText"/>
        <w:spacing w:line="242" w:lineRule="auto" w:before="1"/>
        <w:ind w:left="3100" w:right="3197" w:firstLine="720"/>
        <w:jc w:val="both"/>
      </w:pPr>
      <w:r>
        <w:rPr>
          <w:spacing w:val="3"/>
        </w:rPr>
        <w:t>It </w:t>
      </w:r>
      <w:r>
        <w:rPr/>
        <w:t>has been held that a question of fact for a jury exists where the insured refused a request for supplemental examinations </w:t>
      </w:r>
      <w:r>
        <w:rPr>
          <w:spacing w:val="-3"/>
        </w:rPr>
        <w:t>under </w:t>
      </w:r>
      <w:r>
        <w:rPr/>
        <w:t>oath claiming the request, made after the insured’s demand for appraisal, was </w:t>
      </w:r>
      <w:r>
        <w:rPr>
          <w:spacing w:val="-5"/>
        </w:rPr>
        <w:t>not </w:t>
      </w:r>
      <w:r>
        <w:rPr/>
        <w:t>reasonable in light of the fact that they had provided the carrier with all information they had regarding their claim. The matter was remanded for a trial on the issue. Should a</w:t>
      </w:r>
      <w:r>
        <w:rPr>
          <w:spacing w:val="-54"/>
        </w:rPr>
        <w:t> </w:t>
      </w:r>
      <w:r>
        <w:rPr/>
        <w:t>jury find the request for an examination was reasonable, the insured’s claim will be dismissed.</w:t>
      </w:r>
      <w:r>
        <w:rPr>
          <w:vertAlign w:val="superscript"/>
        </w:rPr>
        <w:t>596</w:t>
      </w:r>
    </w:p>
    <w:p>
      <w:pPr>
        <w:pStyle w:val="BodyText"/>
        <w:spacing w:before="10"/>
        <w:rPr>
          <w:sz w:val="25"/>
        </w:rPr>
      </w:pPr>
    </w:p>
    <w:p>
      <w:pPr>
        <w:pStyle w:val="BodyText"/>
        <w:spacing w:line="242" w:lineRule="auto"/>
        <w:ind w:left="3100" w:right="3199" w:firstLine="720"/>
        <w:jc w:val="both"/>
      </w:pPr>
      <w:r>
        <w:rPr/>
        <w:t>Under Florida law, before appraisal can be</w:t>
      </w:r>
      <w:r>
        <w:rPr>
          <w:spacing w:val="-10"/>
        </w:rPr>
        <w:t> </w:t>
      </w:r>
      <w:r>
        <w:rPr/>
        <w:t>invoked</w:t>
      </w:r>
      <w:r>
        <w:rPr>
          <w:spacing w:val="-11"/>
        </w:rPr>
        <w:t> </w:t>
      </w:r>
      <w:r>
        <w:rPr/>
        <w:t>generally</w:t>
      </w:r>
      <w:r>
        <w:rPr>
          <w:spacing w:val="-10"/>
        </w:rPr>
        <w:t> </w:t>
      </w:r>
      <w:r>
        <w:rPr/>
        <w:t>the</w:t>
      </w:r>
      <w:r>
        <w:rPr>
          <w:spacing w:val="-10"/>
        </w:rPr>
        <w:t> </w:t>
      </w:r>
      <w:r>
        <w:rPr/>
        <w:t>insured</w:t>
      </w:r>
      <w:r>
        <w:rPr>
          <w:spacing w:val="-11"/>
        </w:rPr>
        <w:t> </w:t>
      </w:r>
      <w:r>
        <w:rPr/>
        <w:t>must</w:t>
      </w:r>
      <w:r>
        <w:rPr>
          <w:spacing w:val="-10"/>
        </w:rPr>
        <w:t> </w:t>
      </w:r>
      <w:r>
        <w:rPr/>
        <w:t>comply with the policy’s post-loss conditions because such compliance enables the insurer </w:t>
      </w:r>
      <w:r>
        <w:rPr>
          <w:spacing w:val="-9"/>
        </w:rPr>
        <w:t>to </w:t>
      </w:r>
      <w:r>
        <w:rPr/>
        <w:t>investigate the insured’s claims in order to reach a ripe disagreement.</w:t>
      </w:r>
      <w:r>
        <w:rPr>
          <w:vertAlign w:val="superscript"/>
        </w:rPr>
        <w:t>597</w:t>
      </w:r>
      <w:r>
        <w:rPr>
          <w:vertAlign w:val="baseline"/>
        </w:rPr>
        <w:t> The burden </w:t>
      </w:r>
      <w:r>
        <w:rPr>
          <w:spacing w:val="-18"/>
          <w:vertAlign w:val="baseline"/>
        </w:rPr>
        <w:t>of </w:t>
      </w:r>
      <w:r>
        <w:rPr>
          <w:vertAlign w:val="baseline"/>
        </w:rPr>
        <w:t>showing prejudice suffered by the insurer due to</w:t>
      </w:r>
      <w:r>
        <w:rPr>
          <w:spacing w:val="45"/>
          <w:vertAlign w:val="baseline"/>
        </w:rPr>
        <w:t> </w:t>
      </w:r>
      <w:r>
        <w:rPr>
          <w:vertAlign w:val="baseline"/>
        </w:rPr>
        <w:t>the</w:t>
      </w:r>
      <w:r>
        <w:rPr>
          <w:spacing w:val="44"/>
          <w:vertAlign w:val="baseline"/>
        </w:rPr>
        <w:t> </w:t>
      </w:r>
      <w:r>
        <w:rPr>
          <w:vertAlign w:val="baseline"/>
        </w:rPr>
        <w:t>insured’s</w:t>
      </w:r>
      <w:r>
        <w:rPr>
          <w:spacing w:val="44"/>
          <w:vertAlign w:val="baseline"/>
        </w:rPr>
        <w:t> </w:t>
      </w:r>
      <w:r>
        <w:rPr>
          <w:vertAlign w:val="baseline"/>
        </w:rPr>
        <w:t>failure</w:t>
      </w:r>
      <w:r>
        <w:rPr>
          <w:spacing w:val="44"/>
          <w:vertAlign w:val="baseline"/>
        </w:rPr>
        <w:t> </w:t>
      </w:r>
      <w:r>
        <w:rPr>
          <w:vertAlign w:val="baseline"/>
        </w:rPr>
        <w:t>to</w:t>
      </w:r>
      <w:r>
        <w:rPr>
          <w:spacing w:val="45"/>
          <w:vertAlign w:val="baseline"/>
        </w:rPr>
        <w:t> </w:t>
      </w:r>
      <w:r>
        <w:rPr>
          <w:vertAlign w:val="baseline"/>
        </w:rPr>
        <w:t>comply</w:t>
      </w:r>
      <w:r>
        <w:rPr>
          <w:spacing w:val="43"/>
          <w:vertAlign w:val="baseline"/>
        </w:rPr>
        <w:t> </w:t>
      </w:r>
      <w:r>
        <w:rPr>
          <w:vertAlign w:val="baseline"/>
        </w:rPr>
        <w:t>with</w:t>
      </w:r>
      <w:r>
        <w:rPr>
          <w:spacing w:val="43"/>
          <w:vertAlign w:val="baseline"/>
        </w:rPr>
        <w:t> </w:t>
      </w:r>
      <w:r>
        <w:rPr>
          <w:vertAlign w:val="baseline"/>
        </w:rPr>
        <w:t>a</w:t>
      </w:r>
    </w:p>
    <w:p>
      <w:pPr>
        <w:pStyle w:val="BodyText"/>
        <w:rPr>
          <w:sz w:val="20"/>
        </w:rPr>
      </w:pPr>
    </w:p>
    <w:p>
      <w:pPr>
        <w:pStyle w:val="BodyText"/>
        <w:rPr>
          <w:sz w:val="20"/>
        </w:rPr>
      </w:pPr>
    </w:p>
    <w:p>
      <w:pPr>
        <w:pStyle w:val="BodyText"/>
        <w:spacing w:before="4"/>
        <w:rPr>
          <w:sz w:val="12"/>
        </w:rPr>
      </w:pPr>
      <w:r>
        <w:rPr/>
        <w:pict>
          <v:shape style="position:absolute;margin-left:162pt;margin-top:9.978974pt;width:143.9pt;height:.1pt;mso-position-horizontal-relative:page;mso-position-vertical-relative:paragraph;z-index:-251449344;mso-wrap-distance-left:0;mso-wrap-distance-right:0" coordorigin="3240,200" coordsize="2878,0" path="m3240,200l6118,20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3015" w:val="left" w:leader="none"/>
        </w:tabs>
        <w:spacing w:line="240" w:lineRule="auto" w:before="71" w:after="0"/>
        <w:ind w:left="3014" w:right="0" w:hanging="275"/>
        <w:jc w:val="both"/>
        <w:rPr>
          <w:sz w:val="18"/>
        </w:rPr>
      </w:pPr>
      <w:r>
        <w:rPr>
          <w:sz w:val="18"/>
          <w:u w:val="single"/>
        </w:rPr>
        <w:t>Brethren Mut. Ins. Co. v. Thomas</w:t>
      </w:r>
      <w:r>
        <w:rPr>
          <w:sz w:val="18"/>
        </w:rPr>
        <w:t>, 2006 WL 2376248 (M.D. Pa. 2006).</w:t>
      </w:r>
    </w:p>
    <w:p>
      <w:pPr>
        <w:pStyle w:val="ListParagraph"/>
        <w:numPr>
          <w:ilvl w:val="0"/>
          <w:numId w:val="15"/>
        </w:numPr>
        <w:tabs>
          <w:tab w:pos="3038" w:val="left" w:leader="none"/>
        </w:tabs>
        <w:spacing w:line="247" w:lineRule="auto" w:before="14" w:after="0"/>
        <w:ind w:left="2740" w:right="2840" w:firstLine="0"/>
        <w:jc w:val="both"/>
        <w:rPr>
          <w:sz w:val="18"/>
        </w:rPr>
      </w:pPr>
      <w:r>
        <w:rPr>
          <w:sz w:val="18"/>
          <w:u w:val="single"/>
        </w:rPr>
        <w:t>200 Leslie Condo Assn Inc. v. QBE Ins. Co.</w:t>
      </w:r>
      <w:r>
        <w:rPr>
          <w:sz w:val="18"/>
        </w:rPr>
        <w:t>, 2013 WL 4714207 (S.D. Fla. </w:t>
      </w:r>
      <w:r>
        <w:rPr>
          <w:spacing w:val="2"/>
          <w:sz w:val="18"/>
        </w:rPr>
        <w:t>2013) </w:t>
      </w:r>
      <w:r>
        <w:rPr>
          <w:sz w:val="18"/>
        </w:rPr>
        <w:t>(Insured altered a proof of loss form unreasonably and without justification by striking language</w:t>
      </w:r>
      <w:r>
        <w:rPr>
          <w:spacing w:val="-10"/>
          <w:sz w:val="18"/>
        </w:rPr>
        <w:t> </w:t>
      </w:r>
      <w:r>
        <w:rPr>
          <w:sz w:val="18"/>
        </w:rPr>
        <w:t>stating</w:t>
      </w:r>
      <w:r>
        <w:rPr>
          <w:spacing w:val="-11"/>
          <w:sz w:val="18"/>
        </w:rPr>
        <w:t> </w:t>
      </w:r>
      <w:r>
        <w:rPr>
          <w:sz w:val="18"/>
        </w:rPr>
        <w:t>that</w:t>
      </w:r>
      <w:r>
        <w:rPr>
          <w:spacing w:val="-10"/>
          <w:sz w:val="18"/>
        </w:rPr>
        <w:t> </w:t>
      </w:r>
      <w:r>
        <w:rPr>
          <w:sz w:val="18"/>
        </w:rPr>
        <w:t>“no</w:t>
      </w:r>
      <w:r>
        <w:rPr>
          <w:spacing w:val="-8"/>
          <w:sz w:val="18"/>
        </w:rPr>
        <w:t> </w:t>
      </w:r>
      <w:r>
        <w:rPr>
          <w:sz w:val="18"/>
        </w:rPr>
        <w:t>articles</w:t>
      </w:r>
      <w:r>
        <w:rPr>
          <w:spacing w:val="-11"/>
          <w:sz w:val="18"/>
        </w:rPr>
        <w:t> </w:t>
      </w:r>
      <w:r>
        <w:rPr>
          <w:sz w:val="18"/>
        </w:rPr>
        <w:t>are</w:t>
      </w:r>
      <w:r>
        <w:rPr>
          <w:spacing w:val="-11"/>
          <w:sz w:val="18"/>
        </w:rPr>
        <w:t> </w:t>
      </w:r>
      <w:r>
        <w:rPr>
          <w:sz w:val="18"/>
        </w:rPr>
        <w:t>mentioned</w:t>
      </w:r>
      <w:r>
        <w:rPr>
          <w:spacing w:val="-9"/>
          <w:sz w:val="18"/>
        </w:rPr>
        <w:t> </w:t>
      </w:r>
      <w:r>
        <w:rPr>
          <w:sz w:val="18"/>
        </w:rPr>
        <w:t>herein</w:t>
      </w:r>
      <w:r>
        <w:rPr>
          <w:spacing w:val="-9"/>
          <w:sz w:val="18"/>
        </w:rPr>
        <w:t> </w:t>
      </w:r>
      <w:r>
        <w:rPr>
          <w:sz w:val="18"/>
        </w:rPr>
        <w:t>or</w:t>
      </w:r>
      <w:r>
        <w:rPr>
          <w:spacing w:val="-13"/>
          <w:sz w:val="18"/>
        </w:rPr>
        <w:t> </w:t>
      </w:r>
      <w:r>
        <w:rPr>
          <w:sz w:val="18"/>
        </w:rPr>
        <w:t>in</w:t>
      </w:r>
      <w:r>
        <w:rPr>
          <w:spacing w:val="-10"/>
          <w:sz w:val="18"/>
        </w:rPr>
        <w:t> </w:t>
      </w:r>
      <w:r>
        <w:rPr>
          <w:sz w:val="18"/>
        </w:rPr>
        <w:t>the</w:t>
      </w:r>
      <w:r>
        <w:rPr>
          <w:spacing w:val="-13"/>
          <w:sz w:val="18"/>
        </w:rPr>
        <w:t> </w:t>
      </w:r>
      <w:r>
        <w:rPr>
          <w:sz w:val="18"/>
        </w:rPr>
        <w:t>annexed</w:t>
      </w:r>
      <w:r>
        <w:rPr>
          <w:spacing w:val="-13"/>
          <w:sz w:val="18"/>
        </w:rPr>
        <w:t> </w:t>
      </w:r>
      <w:r>
        <w:rPr>
          <w:sz w:val="18"/>
        </w:rPr>
        <w:t>schedules</w:t>
      </w:r>
      <w:r>
        <w:rPr>
          <w:spacing w:val="-13"/>
          <w:sz w:val="18"/>
        </w:rPr>
        <w:t> </w:t>
      </w:r>
      <w:r>
        <w:rPr>
          <w:sz w:val="18"/>
        </w:rPr>
        <w:t>but</w:t>
      </w:r>
      <w:r>
        <w:rPr>
          <w:spacing w:val="-9"/>
          <w:sz w:val="18"/>
        </w:rPr>
        <w:t> </w:t>
      </w:r>
      <w:r>
        <w:rPr>
          <w:sz w:val="18"/>
        </w:rPr>
        <w:t>such as were destroyed or damaged at the time of said loss and produced a current Board President who did not adequately prepare for an examination under oath and could not respond</w:t>
      </w:r>
      <w:r>
        <w:rPr>
          <w:spacing w:val="-12"/>
          <w:sz w:val="18"/>
        </w:rPr>
        <w:t> </w:t>
      </w:r>
      <w:r>
        <w:rPr>
          <w:sz w:val="18"/>
        </w:rPr>
        <w:t>to</w:t>
      </w:r>
      <w:r>
        <w:rPr>
          <w:spacing w:val="-10"/>
          <w:sz w:val="18"/>
        </w:rPr>
        <w:t> </w:t>
      </w:r>
      <w:r>
        <w:rPr>
          <w:sz w:val="18"/>
        </w:rPr>
        <w:t>the</w:t>
      </w:r>
      <w:r>
        <w:rPr>
          <w:spacing w:val="-13"/>
          <w:sz w:val="18"/>
        </w:rPr>
        <w:t> </w:t>
      </w:r>
      <w:r>
        <w:rPr>
          <w:sz w:val="18"/>
        </w:rPr>
        <w:t>insurer’s</w:t>
      </w:r>
      <w:r>
        <w:rPr>
          <w:spacing w:val="-14"/>
          <w:sz w:val="18"/>
        </w:rPr>
        <w:t> </w:t>
      </w:r>
      <w:r>
        <w:rPr>
          <w:sz w:val="18"/>
        </w:rPr>
        <w:t>inquiries.”);</w:t>
      </w:r>
      <w:r>
        <w:rPr>
          <w:spacing w:val="-12"/>
          <w:sz w:val="18"/>
        </w:rPr>
        <w:t> </w:t>
      </w:r>
      <w:r>
        <w:rPr>
          <w:sz w:val="18"/>
        </w:rPr>
        <w:t>See</w:t>
      </w:r>
      <w:r>
        <w:rPr>
          <w:spacing w:val="-13"/>
          <w:sz w:val="18"/>
        </w:rPr>
        <w:t> </w:t>
      </w:r>
      <w:r>
        <w:rPr>
          <w:sz w:val="18"/>
        </w:rPr>
        <w:t>also,</w:t>
      </w:r>
      <w:r>
        <w:rPr>
          <w:spacing w:val="-12"/>
          <w:sz w:val="18"/>
        </w:rPr>
        <w:t> </w:t>
      </w:r>
      <w:r>
        <w:rPr>
          <w:sz w:val="18"/>
          <w:u w:val="single"/>
        </w:rPr>
        <w:t>Biscayne</w:t>
      </w:r>
      <w:r>
        <w:rPr>
          <w:spacing w:val="-11"/>
          <w:sz w:val="18"/>
          <w:u w:val="single"/>
        </w:rPr>
        <w:t> </w:t>
      </w:r>
      <w:r>
        <w:rPr>
          <w:sz w:val="18"/>
          <w:u w:val="single"/>
        </w:rPr>
        <w:t>Cove</w:t>
      </w:r>
      <w:r>
        <w:rPr>
          <w:spacing w:val="-10"/>
          <w:sz w:val="18"/>
          <w:u w:val="single"/>
        </w:rPr>
        <w:t> </w:t>
      </w:r>
      <w:r>
        <w:rPr>
          <w:sz w:val="18"/>
          <w:u w:val="single"/>
        </w:rPr>
        <w:t>Condominium</w:t>
      </w:r>
      <w:r>
        <w:rPr>
          <w:spacing w:val="-14"/>
          <w:sz w:val="18"/>
          <w:u w:val="single"/>
        </w:rPr>
        <w:t> </w:t>
      </w:r>
      <w:r>
        <w:rPr>
          <w:sz w:val="18"/>
          <w:u w:val="single"/>
        </w:rPr>
        <w:t>Ass’n.</w:t>
      </w:r>
      <w:r>
        <w:rPr>
          <w:spacing w:val="-10"/>
          <w:sz w:val="18"/>
          <w:u w:val="single"/>
        </w:rPr>
        <w:t> </w:t>
      </w:r>
      <w:r>
        <w:rPr>
          <w:sz w:val="18"/>
          <w:u w:val="single"/>
        </w:rPr>
        <w:t>v.</w:t>
      </w:r>
      <w:r>
        <w:rPr>
          <w:spacing w:val="-9"/>
          <w:sz w:val="18"/>
          <w:u w:val="single"/>
        </w:rPr>
        <w:t> </w:t>
      </w:r>
      <w:r>
        <w:rPr>
          <w:sz w:val="18"/>
          <w:u w:val="single"/>
        </w:rPr>
        <w:t>QBE</w:t>
      </w:r>
    </w:p>
    <w:p>
      <w:pPr>
        <w:spacing w:before="60"/>
        <w:ind w:left="2740" w:right="0" w:firstLine="0"/>
        <w:jc w:val="both"/>
        <w:rPr>
          <w:rFonts w:ascii="Times New Roman"/>
          <w:sz w:val="18"/>
        </w:rPr>
      </w:pPr>
      <w:r>
        <w:rPr>
          <w:rFonts w:ascii="Times New Roman"/>
          <w:sz w:val="18"/>
          <w:u w:val="single"/>
        </w:rPr>
        <w:t>Ins. Co.</w:t>
      </w:r>
      <w:r>
        <w:rPr>
          <w:rFonts w:ascii="Times New Roman"/>
          <w:sz w:val="18"/>
        </w:rPr>
        <w:t>, 971 F. Supp.2d. 1121, 2013 WL4711161 (S.D. Fla. 2013)</w:t>
      </w:r>
    </w:p>
    <w:p>
      <w:pPr>
        <w:spacing w:after="0"/>
        <w:jc w:val="both"/>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80" w:id="100"/>
      <w:bookmarkEnd w:id="100"/>
      <w:r>
        <w:rPr/>
      </w:r>
      <w:r>
        <w:rPr/>
        <w:t>condition subsequent is on the insurer.</w:t>
      </w:r>
      <w:r>
        <w:rPr>
          <w:vertAlign w:val="superscript"/>
        </w:rPr>
        <w:t>598</w:t>
      </w:r>
    </w:p>
    <w:p>
      <w:pPr>
        <w:pStyle w:val="BodyText"/>
        <w:spacing w:before="6"/>
      </w:pPr>
    </w:p>
    <w:p>
      <w:pPr>
        <w:pStyle w:val="BodyText"/>
        <w:spacing w:line="242" w:lineRule="auto"/>
        <w:ind w:left="3100" w:right="3198" w:firstLine="720"/>
        <w:jc w:val="both"/>
      </w:pPr>
      <w:r>
        <w:rPr>
          <w:spacing w:val="3"/>
        </w:rPr>
        <w:t>In</w:t>
      </w:r>
      <w:r>
        <w:rPr>
          <w:spacing w:val="-22"/>
        </w:rPr>
        <w:t> </w:t>
      </w:r>
      <w:r>
        <w:rPr/>
        <w:t>Florida,</w:t>
      </w:r>
      <w:r>
        <w:rPr>
          <w:spacing w:val="-25"/>
        </w:rPr>
        <w:t> </w:t>
      </w:r>
      <w:r>
        <w:rPr/>
        <w:t>a</w:t>
      </w:r>
      <w:r>
        <w:rPr>
          <w:spacing w:val="-24"/>
        </w:rPr>
        <w:t> </w:t>
      </w:r>
      <w:r>
        <w:rPr/>
        <w:t>court</w:t>
      </w:r>
      <w:r>
        <w:rPr>
          <w:spacing w:val="-26"/>
        </w:rPr>
        <w:t> </w:t>
      </w:r>
      <w:r>
        <w:rPr/>
        <w:t>found</w:t>
      </w:r>
      <w:r>
        <w:rPr>
          <w:spacing w:val="-22"/>
        </w:rPr>
        <w:t> </w:t>
      </w:r>
      <w:r>
        <w:rPr/>
        <w:t>issues</w:t>
      </w:r>
      <w:r>
        <w:rPr>
          <w:spacing w:val="-23"/>
        </w:rPr>
        <w:t> </w:t>
      </w:r>
      <w:r>
        <w:rPr/>
        <w:t>of</w:t>
      </w:r>
      <w:r>
        <w:rPr>
          <w:spacing w:val="-23"/>
        </w:rPr>
        <w:t> </w:t>
      </w:r>
      <w:r>
        <w:rPr/>
        <w:t>material fact existed as to whether an insured had materially</w:t>
      </w:r>
      <w:r>
        <w:rPr>
          <w:spacing w:val="-32"/>
        </w:rPr>
        <w:t> </w:t>
      </w:r>
      <w:r>
        <w:rPr>
          <w:spacing w:val="-3"/>
        </w:rPr>
        <w:t>breached</w:t>
      </w:r>
      <w:r>
        <w:rPr>
          <w:spacing w:val="-36"/>
        </w:rPr>
        <w:t> </w:t>
      </w:r>
      <w:r>
        <w:rPr/>
        <w:t>policy</w:t>
      </w:r>
      <w:r>
        <w:rPr>
          <w:spacing w:val="-33"/>
        </w:rPr>
        <w:t> </w:t>
      </w:r>
      <w:r>
        <w:rPr/>
        <w:t>conditions</w:t>
      </w:r>
      <w:r>
        <w:rPr>
          <w:spacing w:val="-32"/>
        </w:rPr>
        <w:t> </w:t>
      </w:r>
      <w:r>
        <w:rPr/>
        <w:t>when</w:t>
      </w:r>
      <w:r>
        <w:rPr>
          <w:spacing w:val="-32"/>
        </w:rPr>
        <w:t> </w:t>
      </w:r>
      <w:r>
        <w:rPr/>
        <w:t>his appraiser terminated an umpire. Under those circumstances, the insured’s appraiser did so following continuous delays by the umpire in rendering a decision, an action for which the court found a lack of authority and observed other lawful alternatives. </w:t>
      </w:r>
      <w:r>
        <w:rPr>
          <w:spacing w:val="3"/>
        </w:rPr>
        <w:t>In </w:t>
      </w:r>
      <w:r>
        <w:rPr/>
        <w:t>evaluating this matter,</w:t>
      </w:r>
      <w:r>
        <w:rPr>
          <w:spacing w:val="-29"/>
        </w:rPr>
        <w:t> </w:t>
      </w:r>
      <w:r>
        <w:rPr/>
        <w:t>the</w:t>
      </w:r>
      <w:r>
        <w:rPr>
          <w:spacing w:val="-26"/>
        </w:rPr>
        <w:t> </w:t>
      </w:r>
      <w:r>
        <w:rPr/>
        <w:t>court</w:t>
      </w:r>
      <w:r>
        <w:rPr>
          <w:spacing w:val="-28"/>
        </w:rPr>
        <w:t> </w:t>
      </w:r>
      <w:r>
        <w:rPr/>
        <w:t>held</w:t>
      </w:r>
      <w:r>
        <w:rPr>
          <w:spacing w:val="-27"/>
        </w:rPr>
        <w:t> </w:t>
      </w:r>
      <w:r>
        <w:rPr/>
        <w:t>that</w:t>
      </w:r>
      <w:r>
        <w:rPr>
          <w:spacing w:val="-30"/>
        </w:rPr>
        <w:t> </w:t>
      </w:r>
      <w:r>
        <w:rPr/>
        <w:t>“an</w:t>
      </w:r>
      <w:r>
        <w:rPr>
          <w:spacing w:val="-28"/>
        </w:rPr>
        <w:t> </w:t>
      </w:r>
      <w:r>
        <w:rPr/>
        <w:t>insured’s</w:t>
      </w:r>
      <w:r>
        <w:rPr>
          <w:spacing w:val="-26"/>
        </w:rPr>
        <w:t> </w:t>
      </w:r>
      <w:r>
        <w:rPr/>
        <w:t>refusal to comply with a pre-suit condition may be a willful and material breach of an insurance contract that precludes recovery as a matter of law...however, if the insured cooperates to some degree or explains his failure to comply, whether the insured materially breached the policy remains a question for the fact finder”. </w:t>
      </w:r>
      <w:r>
        <w:rPr>
          <w:position w:val="11"/>
          <w:sz w:val="16"/>
        </w:rPr>
        <w:t>599 </w:t>
      </w:r>
      <w:r>
        <w:rPr/>
        <w:t>The court continued that in the absence of such willful disregard by an insured, “‘courts have either stayed the action or dismissed</w:t>
      </w:r>
      <w:r>
        <w:rPr>
          <w:spacing w:val="-46"/>
        </w:rPr>
        <w:t> </w:t>
      </w:r>
      <w:r>
        <w:rPr/>
        <w:t>the suit</w:t>
      </w:r>
      <w:r>
        <w:rPr>
          <w:spacing w:val="-19"/>
        </w:rPr>
        <w:t> </w:t>
      </w:r>
      <w:r>
        <w:rPr/>
        <w:t>without</w:t>
      </w:r>
      <w:r>
        <w:rPr>
          <w:spacing w:val="-18"/>
        </w:rPr>
        <w:t> </w:t>
      </w:r>
      <w:r>
        <w:rPr/>
        <w:t>prejudice</w:t>
      </w:r>
      <w:r>
        <w:rPr>
          <w:spacing w:val="-15"/>
        </w:rPr>
        <w:t> </w:t>
      </w:r>
      <w:r>
        <w:rPr/>
        <w:t>in</w:t>
      </w:r>
      <w:r>
        <w:rPr>
          <w:spacing w:val="-14"/>
        </w:rPr>
        <w:t> </w:t>
      </w:r>
      <w:r>
        <w:rPr/>
        <w:t>order</w:t>
      </w:r>
      <w:r>
        <w:rPr>
          <w:spacing w:val="-16"/>
        </w:rPr>
        <w:t> </w:t>
      </w:r>
      <w:r>
        <w:rPr/>
        <w:t>to</w:t>
      </w:r>
      <w:r>
        <w:rPr>
          <w:spacing w:val="-14"/>
        </w:rPr>
        <w:t> </w:t>
      </w:r>
      <w:r>
        <w:rPr/>
        <w:t>allow</w:t>
      </w:r>
      <w:r>
        <w:rPr>
          <w:spacing w:val="-17"/>
        </w:rPr>
        <w:t> </w:t>
      </w:r>
      <w:r>
        <w:rPr/>
        <w:t>belated compliance.’”</w:t>
      </w:r>
      <w:r>
        <w:rPr>
          <w:vertAlign w:val="superscript"/>
        </w:rPr>
        <w:t>600</w:t>
      </w:r>
      <w:r>
        <w:rPr>
          <w:spacing w:val="-32"/>
          <w:vertAlign w:val="baseline"/>
        </w:rPr>
        <w:t> </w:t>
      </w:r>
      <w:r>
        <w:rPr>
          <w:vertAlign w:val="baseline"/>
        </w:rPr>
        <w:t>Here,</w:t>
      </w:r>
      <w:r>
        <w:rPr>
          <w:spacing w:val="-28"/>
          <w:vertAlign w:val="baseline"/>
        </w:rPr>
        <w:t> </w:t>
      </w:r>
      <w:r>
        <w:rPr>
          <w:vertAlign w:val="baseline"/>
        </w:rPr>
        <w:t>the</w:t>
      </w:r>
      <w:r>
        <w:rPr>
          <w:spacing w:val="-28"/>
          <w:vertAlign w:val="baseline"/>
        </w:rPr>
        <w:t> </w:t>
      </w:r>
      <w:r>
        <w:rPr>
          <w:vertAlign w:val="baseline"/>
        </w:rPr>
        <w:t>court</w:t>
      </w:r>
      <w:r>
        <w:rPr>
          <w:spacing w:val="-29"/>
          <w:vertAlign w:val="baseline"/>
        </w:rPr>
        <w:t> </w:t>
      </w:r>
      <w:r>
        <w:rPr>
          <w:vertAlign w:val="baseline"/>
        </w:rPr>
        <w:t>found</w:t>
      </w:r>
      <w:r>
        <w:rPr>
          <w:spacing w:val="-26"/>
          <w:vertAlign w:val="baseline"/>
        </w:rPr>
        <w:t> </w:t>
      </w:r>
      <w:r>
        <w:rPr>
          <w:vertAlign w:val="baseline"/>
        </w:rPr>
        <w:t>that</w:t>
      </w:r>
      <w:r>
        <w:rPr>
          <w:spacing w:val="-28"/>
          <w:vertAlign w:val="baseline"/>
        </w:rPr>
        <w:t> </w:t>
      </w:r>
      <w:r>
        <w:rPr>
          <w:spacing w:val="-15"/>
          <w:vertAlign w:val="baseline"/>
        </w:rPr>
        <w:t>the</w:t>
      </w:r>
    </w:p>
    <w:p>
      <w:pPr>
        <w:pStyle w:val="BodyText"/>
        <w:spacing w:before="5"/>
        <w:rPr>
          <w:sz w:val="19"/>
        </w:rPr>
      </w:pPr>
      <w:r>
        <w:rPr/>
        <w:pict>
          <v:shape style="position:absolute;margin-left:162pt;margin-top:14.301572pt;width:143.9pt;height:.1pt;mso-position-horizontal-relative:page;mso-position-vertical-relative:paragraph;z-index:-251448320;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3015" w:val="left" w:leader="none"/>
        </w:tabs>
        <w:spacing w:line="240" w:lineRule="auto" w:before="71" w:after="0"/>
        <w:ind w:left="3014" w:right="0" w:hanging="275"/>
        <w:jc w:val="both"/>
        <w:rPr>
          <w:sz w:val="18"/>
        </w:rPr>
      </w:pPr>
      <w:r>
        <w:rPr>
          <w:sz w:val="18"/>
          <w:u w:val="single"/>
        </w:rPr>
        <w:t>200 Leslie Condo Assn Inc. Id</w:t>
      </w:r>
      <w:r>
        <w:rPr>
          <w:sz w:val="18"/>
        </w:rPr>
        <w:t>. at p.</w:t>
      </w:r>
      <w:r>
        <w:rPr>
          <w:spacing w:val="5"/>
          <w:sz w:val="18"/>
        </w:rPr>
        <w:t> </w:t>
      </w:r>
      <w:r>
        <w:rPr>
          <w:sz w:val="18"/>
        </w:rPr>
        <w:t>17</w:t>
      </w:r>
    </w:p>
    <w:p>
      <w:pPr>
        <w:pStyle w:val="ListParagraph"/>
        <w:numPr>
          <w:ilvl w:val="0"/>
          <w:numId w:val="15"/>
        </w:numPr>
        <w:tabs>
          <w:tab w:pos="3020" w:val="left" w:leader="none"/>
        </w:tabs>
        <w:spacing w:line="247" w:lineRule="auto" w:before="57" w:after="0"/>
        <w:ind w:left="2740" w:right="2843" w:firstLine="0"/>
        <w:jc w:val="both"/>
        <w:rPr>
          <w:sz w:val="18"/>
        </w:rPr>
      </w:pPr>
      <w:r>
        <w:rPr>
          <w:sz w:val="18"/>
          <w:u w:val="single"/>
        </w:rPr>
        <w:t>Jyurovat</w:t>
      </w:r>
      <w:r>
        <w:rPr>
          <w:spacing w:val="-5"/>
          <w:sz w:val="18"/>
          <w:u w:val="single"/>
        </w:rPr>
        <w:t> </w:t>
      </w:r>
      <w:r>
        <w:rPr>
          <w:sz w:val="18"/>
          <w:u w:val="single"/>
        </w:rPr>
        <w:t>v.</w:t>
      </w:r>
      <w:r>
        <w:rPr>
          <w:spacing w:val="-3"/>
          <w:sz w:val="18"/>
          <w:u w:val="single"/>
        </w:rPr>
        <w:t> </w:t>
      </w:r>
      <w:r>
        <w:rPr>
          <w:sz w:val="18"/>
          <w:u w:val="single"/>
        </w:rPr>
        <w:t>Universal</w:t>
      </w:r>
      <w:r>
        <w:rPr>
          <w:spacing w:val="-5"/>
          <w:sz w:val="18"/>
          <w:u w:val="single"/>
        </w:rPr>
        <w:t> </w:t>
      </w:r>
      <w:r>
        <w:rPr>
          <w:sz w:val="18"/>
          <w:u w:val="single"/>
        </w:rPr>
        <w:t>Prop.</w:t>
      </w:r>
      <w:r>
        <w:rPr>
          <w:spacing w:val="-3"/>
          <w:sz w:val="18"/>
          <w:u w:val="single"/>
        </w:rPr>
        <w:t> </w:t>
      </w:r>
      <w:r>
        <w:rPr>
          <w:sz w:val="18"/>
          <w:u w:val="single"/>
        </w:rPr>
        <w:t>&amp;</w:t>
      </w:r>
      <w:r>
        <w:rPr>
          <w:spacing w:val="-5"/>
          <w:sz w:val="18"/>
          <w:u w:val="single"/>
        </w:rPr>
        <w:t> </w:t>
      </w:r>
      <w:r>
        <w:rPr>
          <w:sz w:val="18"/>
          <w:u w:val="single"/>
        </w:rPr>
        <w:t>Cas.</w:t>
      </w:r>
      <w:r>
        <w:rPr>
          <w:spacing w:val="-7"/>
          <w:sz w:val="18"/>
          <w:u w:val="single"/>
        </w:rPr>
        <w:t> </w:t>
      </w:r>
      <w:r>
        <w:rPr>
          <w:sz w:val="18"/>
          <w:u w:val="single"/>
        </w:rPr>
        <w:t>Ins.</w:t>
      </w:r>
      <w:r>
        <w:rPr>
          <w:spacing w:val="-7"/>
          <w:sz w:val="18"/>
          <w:u w:val="single"/>
        </w:rPr>
        <w:t> </w:t>
      </w:r>
      <w:r>
        <w:rPr>
          <w:sz w:val="18"/>
          <w:u w:val="single"/>
        </w:rPr>
        <w:t>Co,</w:t>
      </w:r>
      <w:r>
        <w:rPr>
          <w:spacing w:val="-7"/>
          <w:sz w:val="18"/>
        </w:rPr>
        <w:t> </w:t>
      </w:r>
      <w:r>
        <w:rPr>
          <w:sz w:val="18"/>
        </w:rPr>
        <w:t>,</w:t>
      </w:r>
      <w:r>
        <w:rPr>
          <w:spacing w:val="-5"/>
          <w:sz w:val="18"/>
        </w:rPr>
        <w:t> </w:t>
      </w:r>
      <w:r>
        <w:rPr>
          <w:sz w:val="18"/>
        </w:rPr>
        <w:t>84</w:t>
      </w:r>
      <w:r>
        <w:rPr>
          <w:spacing w:val="-5"/>
          <w:sz w:val="18"/>
        </w:rPr>
        <w:t> </w:t>
      </w:r>
      <w:r>
        <w:rPr>
          <w:sz w:val="18"/>
        </w:rPr>
        <w:t>So.3d</w:t>
      </w:r>
      <w:r>
        <w:rPr>
          <w:spacing w:val="-5"/>
          <w:sz w:val="18"/>
        </w:rPr>
        <w:t> </w:t>
      </w:r>
      <w:r>
        <w:rPr>
          <w:sz w:val="18"/>
        </w:rPr>
        <w:t>1238,</w:t>
      </w:r>
      <w:r>
        <w:rPr>
          <w:spacing w:val="-5"/>
          <w:sz w:val="18"/>
        </w:rPr>
        <w:t> </w:t>
      </w:r>
      <w:r>
        <w:rPr>
          <w:sz w:val="18"/>
        </w:rPr>
        <w:t>1239</w:t>
      </w:r>
      <w:r>
        <w:rPr>
          <w:spacing w:val="-6"/>
          <w:sz w:val="18"/>
        </w:rPr>
        <w:t> </w:t>
      </w:r>
      <w:r>
        <w:rPr>
          <w:sz w:val="18"/>
        </w:rPr>
        <w:t>(Fla.2d</w:t>
      </w:r>
      <w:r>
        <w:rPr>
          <w:spacing w:val="-6"/>
          <w:sz w:val="18"/>
        </w:rPr>
        <w:t> </w:t>
      </w:r>
      <w:r>
        <w:rPr>
          <w:sz w:val="18"/>
        </w:rPr>
        <w:t>DCA</w:t>
      </w:r>
      <w:r>
        <w:rPr>
          <w:spacing w:val="-9"/>
          <w:sz w:val="18"/>
        </w:rPr>
        <w:t> </w:t>
      </w:r>
      <w:r>
        <w:rPr>
          <w:sz w:val="18"/>
        </w:rPr>
        <w:t>2012); </w:t>
      </w:r>
      <w:r>
        <w:rPr>
          <w:i/>
          <w:sz w:val="18"/>
        </w:rPr>
        <w:t>See</w:t>
      </w:r>
      <w:r>
        <w:rPr>
          <w:i/>
          <w:spacing w:val="-22"/>
          <w:sz w:val="18"/>
        </w:rPr>
        <w:t> </w:t>
      </w:r>
      <w:r>
        <w:rPr>
          <w:i/>
          <w:sz w:val="18"/>
        </w:rPr>
        <w:t>also</w:t>
      </w:r>
      <w:r>
        <w:rPr>
          <w:sz w:val="18"/>
        </w:rPr>
        <w:t>,</w:t>
      </w:r>
      <w:r>
        <w:rPr>
          <w:spacing w:val="-18"/>
          <w:sz w:val="18"/>
        </w:rPr>
        <w:t> </w:t>
      </w:r>
      <w:r>
        <w:rPr>
          <w:sz w:val="18"/>
          <w:u w:val="single"/>
        </w:rPr>
        <w:t>Oriole</w:t>
      </w:r>
      <w:r>
        <w:rPr>
          <w:spacing w:val="-19"/>
          <w:sz w:val="18"/>
          <w:u w:val="single"/>
        </w:rPr>
        <w:t> </w:t>
      </w:r>
      <w:r>
        <w:rPr>
          <w:sz w:val="18"/>
          <w:u w:val="single"/>
        </w:rPr>
        <w:t>Gardens</w:t>
      </w:r>
      <w:r>
        <w:rPr>
          <w:spacing w:val="-20"/>
          <w:sz w:val="18"/>
          <w:u w:val="single"/>
        </w:rPr>
        <w:t> </w:t>
      </w:r>
      <w:r>
        <w:rPr>
          <w:sz w:val="18"/>
          <w:u w:val="single"/>
        </w:rPr>
        <w:t>Condominiums,</w:t>
      </w:r>
      <w:r>
        <w:rPr>
          <w:spacing w:val="-17"/>
          <w:sz w:val="18"/>
          <w:u w:val="single"/>
        </w:rPr>
        <w:t> </w:t>
      </w:r>
      <w:r>
        <w:rPr>
          <w:sz w:val="18"/>
          <w:u w:val="single"/>
        </w:rPr>
        <w:t>III</w:t>
      </w:r>
      <w:r>
        <w:rPr>
          <w:spacing w:val="-17"/>
          <w:sz w:val="18"/>
          <w:u w:val="single"/>
        </w:rPr>
        <w:t> </w:t>
      </w:r>
      <w:r>
        <w:rPr>
          <w:sz w:val="18"/>
          <w:u w:val="single"/>
        </w:rPr>
        <w:t>v.</w:t>
      </w:r>
      <w:r>
        <w:rPr>
          <w:spacing w:val="-17"/>
          <w:sz w:val="18"/>
          <w:u w:val="single"/>
        </w:rPr>
        <w:t> </w:t>
      </w:r>
      <w:r>
        <w:rPr>
          <w:sz w:val="18"/>
          <w:u w:val="single"/>
        </w:rPr>
        <w:t>Independence</w:t>
      </w:r>
      <w:r>
        <w:rPr>
          <w:spacing w:val="-19"/>
          <w:sz w:val="18"/>
          <w:u w:val="single"/>
        </w:rPr>
        <w:t> </w:t>
      </w:r>
      <w:r>
        <w:rPr>
          <w:sz w:val="18"/>
          <w:u w:val="single"/>
        </w:rPr>
        <w:t>Cas.</w:t>
      </w:r>
      <w:r>
        <w:rPr>
          <w:spacing w:val="-17"/>
          <w:sz w:val="18"/>
          <w:u w:val="single"/>
        </w:rPr>
        <w:t> </w:t>
      </w:r>
      <w:r>
        <w:rPr>
          <w:sz w:val="18"/>
          <w:u w:val="single"/>
        </w:rPr>
        <w:t>and</w:t>
      </w:r>
      <w:r>
        <w:rPr>
          <w:spacing w:val="-15"/>
          <w:sz w:val="18"/>
          <w:u w:val="single"/>
        </w:rPr>
        <w:t> </w:t>
      </w:r>
      <w:r>
        <w:rPr>
          <w:sz w:val="18"/>
          <w:u w:val="single"/>
        </w:rPr>
        <w:t>Surety</w:t>
      </w:r>
      <w:r>
        <w:rPr>
          <w:spacing w:val="-21"/>
          <w:sz w:val="18"/>
          <w:u w:val="single"/>
        </w:rPr>
        <w:t> </w:t>
      </w:r>
      <w:r>
        <w:rPr>
          <w:sz w:val="18"/>
          <w:u w:val="single"/>
        </w:rPr>
        <w:t>Co.</w:t>
      </w:r>
      <w:r>
        <w:rPr>
          <w:sz w:val="18"/>
        </w:rPr>
        <w:t>,</w:t>
      </w:r>
      <w:r>
        <w:rPr>
          <w:spacing w:val="-16"/>
          <w:sz w:val="18"/>
        </w:rPr>
        <w:t> </w:t>
      </w:r>
      <w:r>
        <w:rPr>
          <w:sz w:val="18"/>
        </w:rPr>
        <w:t>2012</w:t>
      </w:r>
      <w:r>
        <w:rPr>
          <w:spacing w:val="-18"/>
          <w:sz w:val="18"/>
        </w:rPr>
        <w:t> </w:t>
      </w:r>
      <w:r>
        <w:rPr>
          <w:sz w:val="18"/>
        </w:rPr>
        <w:t>WL 718803</w:t>
      </w:r>
      <w:r>
        <w:rPr>
          <w:spacing w:val="-18"/>
          <w:sz w:val="18"/>
        </w:rPr>
        <w:t> </w:t>
      </w:r>
      <w:r>
        <w:rPr>
          <w:sz w:val="18"/>
        </w:rPr>
        <w:t>(S.D.Fla.</w:t>
      </w:r>
      <w:r>
        <w:rPr>
          <w:spacing w:val="-18"/>
          <w:sz w:val="18"/>
        </w:rPr>
        <w:t> </w:t>
      </w:r>
      <w:r>
        <w:rPr>
          <w:sz w:val="18"/>
        </w:rPr>
        <w:t>2012)where</w:t>
      </w:r>
      <w:r>
        <w:rPr>
          <w:spacing w:val="-20"/>
          <w:sz w:val="18"/>
        </w:rPr>
        <w:t> </w:t>
      </w:r>
      <w:r>
        <w:rPr>
          <w:sz w:val="18"/>
        </w:rPr>
        <w:t>an</w:t>
      </w:r>
      <w:r>
        <w:rPr>
          <w:spacing w:val="-19"/>
          <w:sz w:val="18"/>
        </w:rPr>
        <w:t> </w:t>
      </w:r>
      <w:r>
        <w:rPr>
          <w:sz w:val="18"/>
        </w:rPr>
        <w:t>insured’s</w:t>
      </w:r>
      <w:r>
        <w:rPr>
          <w:spacing w:val="-19"/>
          <w:sz w:val="18"/>
        </w:rPr>
        <w:t> </w:t>
      </w:r>
      <w:r>
        <w:rPr>
          <w:sz w:val="18"/>
        </w:rPr>
        <w:t>post-loss</w:t>
      </w:r>
      <w:r>
        <w:rPr>
          <w:spacing w:val="-20"/>
          <w:sz w:val="18"/>
        </w:rPr>
        <w:t> </w:t>
      </w:r>
      <w:r>
        <w:rPr>
          <w:sz w:val="18"/>
        </w:rPr>
        <w:t>obligations</w:t>
      </w:r>
      <w:r>
        <w:rPr>
          <w:spacing w:val="-20"/>
          <w:sz w:val="18"/>
        </w:rPr>
        <w:t> </w:t>
      </w:r>
      <w:r>
        <w:rPr>
          <w:sz w:val="18"/>
        </w:rPr>
        <w:t>to</w:t>
      </w:r>
      <w:r>
        <w:rPr>
          <w:spacing w:val="-15"/>
          <w:sz w:val="18"/>
        </w:rPr>
        <w:t> </w:t>
      </w:r>
      <w:r>
        <w:rPr>
          <w:sz w:val="18"/>
        </w:rPr>
        <w:t>submit</w:t>
      </w:r>
      <w:r>
        <w:rPr>
          <w:spacing w:val="-16"/>
          <w:sz w:val="18"/>
        </w:rPr>
        <w:t> </w:t>
      </w:r>
      <w:r>
        <w:rPr>
          <w:sz w:val="18"/>
        </w:rPr>
        <w:t>to</w:t>
      </w:r>
      <w:r>
        <w:rPr>
          <w:spacing w:val="-15"/>
          <w:sz w:val="18"/>
        </w:rPr>
        <w:t> </w:t>
      </w:r>
      <w:r>
        <w:rPr>
          <w:sz w:val="18"/>
        </w:rPr>
        <w:t>an</w:t>
      </w:r>
      <w:r>
        <w:rPr>
          <w:spacing w:val="-16"/>
          <w:sz w:val="18"/>
        </w:rPr>
        <w:t> </w:t>
      </w:r>
      <w:r>
        <w:rPr>
          <w:sz w:val="18"/>
        </w:rPr>
        <w:t>examination under</w:t>
      </w:r>
      <w:r>
        <w:rPr>
          <w:spacing w:val="-4"/>
          <w:sz w:val="18"/>
        </w:rPr>
        <w:t> </w:t>
      </w:r>
      <w:r>
        <w:rPr>
          <w:sz w:val="18"/>
        </w:rPr>
        <w:t>oath,</w:t>
      </w:r>
      <w:r>
        <w:rPr>
          <w:spacing w:val="-2"/>
          <w:sz w:val="18"/>
        </w:rPr>
        <w:t> </w:t>
      </w:r>
      <w:r>
        <w:rPr>
          <w:sz w:val="18"/>
        </w:rPr>
        <w:t>produce</w:t>
      </w:r>
      <w:r>
        <w:rPr>
          <w:spacing w:val="-4"/>
          <w:sz w:val="18"/>
        </w:rPr>
        <w:t> </w:t>
      </w:r>
      <w:r>
        <w:rPr>
          <w:sz w:val="18"/>
        </w:rPr>
        <w:t>and</w:t>
      </w:r>
      <w:r>
        <w:rPr>
          <w:spacing w:val="-2"/>
          <w:sz w:val="18"/>
        </w:rPr>
        <w:t> </w:t>
      </w:r>
      <w:r>
        <w:rPr>
          <w:sz w:val="18"/>
        </w:rPr>
        <w:t>disclose</w:t>
      </w:r>
      <w:r>
        <w:rPr>
          <w:spacing w:val="-3"/>
          <w:sz w:val="18"/>
        </w:rPr>
        <w:t> </w:t>
      </w:r>
      <w:r>
        <w:rPr>
          <w:sz w:val="18"/>
        </w:rPr>
        <w:t>relevant</w:t>
      </w:r>
      <w:r>
        <w:rPr>
          <w:spacing w:val="-2"/>
          <w:sz w:val="18"/>
        </w:rPr>
        <w:t> </w:t>
      </w:r>
      <w:r>
        <w:rPr>
          <w:sz w:val="18"/>
        </w:rPr>
        <w:t>documentation,</w:t>
      </w:r>
      <w:r>
        <w:rPr>
          <w:spacing w:val="-5"/>
          <w:sz w:val="18"/>
        </w:rPr>
        <w:t> </w:t>
      </w:r>
      <w:r>
        <w:rPr>
          <w:sz w:val="18"/>
        </w:rPr>
        <w:t>and</w:t>
      </w:r>
      <w:r>
        <w:rPr>
          <w:spacing w:val="-3"/>
          <w:sz w:val="18"/>
        </w:rPr>
        <w:t> </w:t>
      </w:r>
      <w:r>
        <w:rPr>
          <w:sz w:val="18"/>
        </w:rPr>
        <w:t>give</w:t>
      </w:r>
      <w:r>
        <w:rPr>
          <w:spacing w:val="-5"/>
          <w:sz w:val="18"/>
        </w:rPr>
        <w:t> </w:t>
      </w:r>
      <w:r>
        <w:rPr>
          <w:sz w:val="18"/>
        </w:rPr>
        <w:t>prompt</w:t>
      </w:r>
      <w:r>
        <w:rPr>
          <w:spacing w:val="-6"/>
          <w:sz w:val="18"/>
        </w:rPr>
        <w:t> </w:t>
      </w:r>
      <w:r>
        <w:rPr>
          <w:sz w:val="18"/>
        </w:rPr>
        <w:t>notice</w:t>
      </w:r>
      <w:r>
        <w:rPr>
          <w:spacing w:val="-5"/>
          <w:sz w:val="18"/>
        </w:rPr>
        <w:t> </w:t>
      </w:r>
      <w:r>
        <w:rPr>
          <w:sz w:val="18"/>
        </w:rPr>
        <w:t>of</w:t>
      </w:r>
      <w:r>
        <w:rPr>
          <w:spacing w:val="-7"/>
          <w:sz w:val="18"/>
        </w:rPr>
        <w:t> </w:t>
      </w:r>
      <w:r>
        <w:rPr>
          <w:sz w:val="18"/>
        </w:rPr>
        <w:t>a</w:t>
      </w:r>
      <w:r>
        <w:rPr>
          <w:spacing w:val="-4"/>
          <w:sz w:val="18"/>
        </w:rPr>
        <w:t> </w:t>
      </w:r>
      <w:r>
        <w:rPr>
          <w:sz w:val="18"/>
        </w:rPr>
        <w:t>loss were</w:t>
      </w:r>
      <w:r>
        <w:rPr>
          <w:spacing w:val="-7"/>
          <w:sz w:val="18"/>
        </w:rPr>
        <w:t> </w:t>
      </w:r>
      <w:r>
        <w:rPr>
          <w:sz w:val="18"/>
        </w:rPr>
        <w:t>deemed</w:t>
      </w:r>
      <w:r>
        <w:rPr>
          <w:spacing w:val="-5"/>
          <w:sz w:val="18"/>
        </w:rPr>
        <w:t> </w:t>
      </w:r>
      <w:r>
        <w:rPr>
          <w:sz w:val="18"/>
        </w:rPr>
        <w:t>conditions</w:t>
      </w:r>
      <w:r>
        <w:rPr>
          <w:spacing w:val="-5"/>
          <w:sz w:val="18"/>
        </w:rPr>
        <w:t> </w:t>
      </w:r>
      <w:r>
        <w:rPr>
          <w:sz w:val="18"/>
        </w:rPr>
        <w:t>precedent</w:t>
      </w:r>
      <w:r>
        <w:rPr>
          <w:spacing w:val="-5"/>
          <w:sz w:val="18"/>
        </w:rPr>
        <w:t> </w:t>
      </w:r>
      <w:r>
        <w:rPr>
          <w:sz w:val="18"/>
        </w:rPr>
        <w:t>to</w:t>
      </w:r>
      <w:r>
        <w:rPr>
          <w:spacing w:val="-4"/>
          <w:sz w:val="18"/>
        </w:rPr>
        <w:t> </w:t>
      </w:r>
      <w:r>
        <w:rPr>
          <w:sz w:val="18"/>
        </w:rPr>
        <w:t>an</w:t>
      </w:r>
      <w:r>
        <w:rPr>
          <w:spacing w:val="-4"/>
          <w:sz w:val="18"/>
        </w:rPr>
        <w:t> </w:t>
      </w:r>
      <w:r>
        <w:rPr>
          <w:sz w:val="18"/>
        </w:rPr>
        <w:t>action</w:t>
      </w:r>
      <w:r>
        <w:rPr>
          <w:spacing w:val="-4"/>
          <w:sz w:val="18"/>
        </w:rPr>
        <w:t> </w:t>
      </w:r>
      <w:r>
        <w:rPr>
          <w:sz w:val="18"/>
        </w:rPr>
        <w:t>against</w:t>
      </w:r>
      <w:r>
        <w:rPr>
          <w:spacing w:val="-6"/>
          <w:sz w:val="18"/>
        </w:rPr>
        <w:t> </w:t>
      </w:r>
      <w:r>
        <w:rPr>
          <w:sz w:val="18"/>
        </w:rPr>
        <w:t>an</w:t>
      </w:r>
      <w:r>
        <w:rPr>
          <w:spacing w:val="-4"/>
          <w:sz w:val="18"/>
        </w:rPr>
        <w:t> </w:t>
      </w:r>
      <w:r>
        <w:rPr>
          <w:sz w:val="18"/>
        </w:rPr>
        <w:t>insurer.</w:t>
      </w:r>
      <w:r>
        <w:rPr>
          <w:spacing w:val="-6"/>
          <w:sz w:val="18"/>
        </w:rPr>
        <w:t> </w:t>
      </w:r>
      <w:r>
        <w:rPr>
          <w:sz w:val="18"/>
        </w:rPr>
        <w:t>There,</w:t>
      </w:r>
      <w:r>
        <w:rPr>
          <w:spacing w:val="-8"/>
          <w:sz w:val="18"/>
        </w:rPr>
        <w:t> </w:t>
      </w:r>
      <w:r>
        <w:rPr>
          <w:sz w:val="18"/>
        </w:rPr>
        <w:t>a</w:t>
      </w:r>
      <w:r>
        <w:rPr>
          <w:spacing w:val="-6"/>
          <w:sz w:val="18"/>
        </w:rPr>
        <w:t> </w:t>
      </w:r>
      <w:r>
        <w:rPr>
          <w:sz w:val="18"/>
        </w:rPr>
        <w:t>question</w:t>
      </w:r>
      <w:r>
        <w:rPr>
          <w:spacing w:val="-4"/>
          <w:sz w:val="18"/>
        </w:rPr>
        <w:t> </w:t>
      </w:r>
      <w:r>
        <w:rPr>
          <w:sz w:val="18"/>
        </w:rPr>
        <w:t>of</w:t>
      </w:r>
      <w:r>
        <w:rPr>
          <w:spacing w:val="-7"/>
          <w:sz w:val="18"/>
        </w:rPr>
        <w:t> </w:t>
      </w:r>
      <w:r>
        <w:rPr>
          <w:sz w:val="18"/>
        </w:rPr>
        <w:t>fact was</w:t>
      </w:r>
      <w:r>
        <w:rPr>
          <w:spacing w:val="-12"/>
          <w:sz w:val="18"/>
        </w:rPr>
        <w:t> </w:t>
      </w:r>
      <w:r>
        <w:rPr>
          <w:sz w:val="18"/>
        </w:rPr>
        <w:t>found</w:t>
      </w:r>
      <w:r>
        <w:rPr>
          <w:spacing w:val="-8"/>
          <w:sz w:val="18"/>
        </w:rPr>
        <w:t> </w:t>
      </w:r>
      <w:r>
        <w:rPr>
          <w:sz w:val="18"/>
        </w:rPr>
        <w:t>as</w:t>
      </w:r>
      <w:r>
        <w:rPr>
          <w:spacing w:val="-11"/>
          <w:sz w:val="18"/>
        </w:rPr>
        <w:t> </w:t>
      </w:r>
      <w:r>
        <w:rPr>
          <w:sz w:val="18"/>
        </w:rPr>
        <w:t>to</w:t>
      </w:r>
      <w:r>
        <w:rPr>
          <w:spacing w:val="-9"/>
          <w:sz w:val="18"/>
        </w:rPr>
        <w:t> </w:t>
      </w:r>
      <w:r>
        <w:rPr>
          <w:sz w:val="18"/>
        </w:rPr>
        <w:t>each,</w:t>
      </w:r>
      <w:r>
        <w:rPr>
          <w:spacing w:val="-9"/>
          <w:sz w:val="18"/>
        </w:rPr>
        <w:t> </w:t>
      </w:r>
      <w:r>
        <w:rPr>
          <w:sz w:val="18"/>
        </w:rPr>
        <w:t>based</w:t>
      </w:r>
      <w:r>
        <w:rPr>
          <w:spacing w:val="-11"/>
          <w:sz w:val="18"/>
        </w:rPr>
        <w:t> </w:t>
      </w:r>
      <w:r>
        <w:rPr>
          <w:sz w:val="18"/>
        </w:rPr>
        <w:t>on</w:t>
      </w:r>
      <w:r>
        <w:rPr>
          <w:spacing w:val="-8"/>
          <w:sz w:val="18"/>
        </w:rPr>
        <w:t> </w:t>
      </w:r>
      <w:r>
        <w:rPr>
          <w:sz w:val="18"/>
        </w:rPr>
        <w:t>a</w:t>
      </w:r>
      <w:r>
        <w:rPr>
          <w:spacing w:val="-11"/>
          <w:sz w:val="18"/>
        </w:rPr>
        <w:t> </w:t>
      </w:r>
      <w:r>
        <w:rPr>
          <w:sz w:val="18"/>
        </w:rPr>
        <w:t>degree</w:t>
      </w:r>
      <w:r>
        <w:rPr>
          <w:spacing w:val="-11"/>
          <w:sz w:val="18"/>
        </w:rPr>
        <w:t> </w:t>
      </w:r>
      <w:r>
        <w:rPr>
          <w:sz w:val="18"/>
        </w:rPr>
        <w:t>of</w:t>
      </w:r>
      <w:r>
        <w:rPr>
          <w:spacing w:val="-12"/>
          <w:sz w:val="18"/>
        </w:rPr>
        <w:t> </w:t>
      </w:r>
      <w:r>
        <w:rPr>
          <w:sz w:val="18"/>
        </w:rPr>
        <w:t>compliance</w:t>
      </w:r>
      <w:r>
        <w:rPr>
          <w:spacing w:val="-12"/>
          <w:sz w:val="18"/>
        </w:rPr>
        <w:t> </w:t>
      </w:r>
      <w:r>
        <w:rPr>
          <w:sz w:val="18"/>
        </w:rPr>
        <w:t>by</w:t>
      </w:r>
      <w:r>
        <w:rPr>
          <w:spacing w:val="-14"/>
          <w:sz w:val="18"/>
        </w:rPr>
        <w:t> </w:t>
      </w:r>
      <w:r>
        <w:rPr>
          <w:sz w:val="18"/>
        </w:rPr>
        <w:t>the</w:t>
      </w:r>
      <w:r>
        <w:rPr>
          <w:spacing w:val="-10"/>
          <w:sz w:val="18"/>
        </w:rPr>
        <w:t> </w:t>
      </w:r>
      <w:r>
        <w:rPr>
          <w:sz w:val="18"/>
        </w:rPr>
        <w:t>insured</w:t>
      </w:r>
      <w:r>
        <w:rPr>
          <w:spacing w:val="-9"/>
          <w:sz w:val="18"/>
        </w:rPr>
        <w:t> </w:t>
      </w:r>
      <w:r>
        <w:rPr>
          <w:sz w:val="18"/>
        </w:rPr>
        <w:t>as</w:t>
      </w:r>
      <w:r>
        <w:rPr>
          <w:spacing w:val="-12"/>
          <w:sz w:val="18"/>
        </w:rPr>
        <w:t> </w:t>
      </w:r>
      <w:r>
        <w:rPr>
          <w:sz w:val="18"/>
        </w:rPr>
        <w:t>to</w:t>
      </w:r>
      <w:r>
        <w:rPr>
          <w:spacing w:val="-9"/>
          <w:sz w:val="18"/>
        </w:rPr>
        <w:t> </w:t>
      </w:r>
      <w:r>
        <w:rPr>
          <w:sz w:val="18"/>
        </w:rPr>
        <w:t>the</w:t>
      </w:r>
      <w:r>
        <w:rPr>
          <w:spacing w:val="-10"/>
          <w:sz w:val="18"/>
        </w:rPr>
        <w:t> </w:t>
      </w:r>
      <w:r>
        <w:rPr>
          <w:sz w:val="18"/>
        </w:rPr>
        <w:t>first</w:t>
      </w:r>
      <w:r>
        <w:rPr>
          <w:spacing w:val="-9"/>
          <w:sz w:val="18"/>
        </w:rPr>
        <w:t> </w:t>
      </w:r>
      <w:r>
        <w:rPr>
          <w:sz w:val="18"/>
        </w:rPr>
        <w:t>two,</w:t>
      </w:r>
      <w:r>
        <w:rPr>
          <w:spacing w:val="-10"/>
          <w:sz w:val="18"/>
        </w:rPr>
        <w:t> </w:t>
      </w:r>
      <w:r>
        <w:rPr>
          <w:sz w:val="18"/>
        </w:rPr>
        <w:t>and the insurer’s failure to meet its burden as to the third.</w:t>
      </w:r>
    </w:p>
    <w:p>
      <w:pPr>
        <w:pStyle w:val="ListParagraph"/>
        <w:numPr>
          <w:ilvl w:val="0"/>
          <w:numId w:val="15"/>
        </w:numPr>
        <w:tabs>
          <w:tab w:pos="3037" w:val="left" w:leader="none"/>
        </w:tabs>
        <w:spacing w:line="203" w:lineRule="exact" w:before="0" w:after="0"/>
        <w:ind w:left="3036" w:right="0" w:hanging="297"/>
        <w:jc w:val="both"/>
        <w:rPr>
          <w:sz w:val="18"/>
        </w:rPr>
      </w:pPr>
      <w:r>
        <w:rPr>
          <w:sz w:val="18"/>
          <w:u w:val="single"/>
        </w:rPr>
        <w:t>Id</w:t>
      </w:r>
      <w:r>
        <w:rPr>
          <w:sz w:val="18"/>
        </w:rPr>
        <w:t>., citing </w:t>
      </w:r>
      <w:r>
        <w:rPr>
          <w:sz w:val="18"/>
          <w:u w:val="single"/>
        </w:rPr>
        <w:t>El-Ad Enclave at Miramar Condo Ass’n v. Mt. Hawley Ins. Co.</w:t>
      </w:r>
      <w:r>
        <w:rPr>
          <w:sz w:val="18"/>
        </w:rPr>
        <w:t>,</w:t>
      </w:r>
      <w:r>
        <w:rPr>
          <w:spacing w:val="18"/>
          <w:sz w:val="18"/>
        </w:rPr>
        <w:t> </w:t>
      </w:r>
      <w:r>
        <w:rPr>
          <w:sz w:val="18"/>
        </w:rPr>
        <w:t>752</w:t>
      </w:r>
    </w:p>
    <w:p>
      <w:pPr>
        <w:spacing w:before="4"/>
        <w:ind w:left="2740" w:right="0" w:firstLine="0"/>
        <w:jc w:val="both"/>
        <w:rPr>
          <w:rFonts w:ascii="Times New Roman"/>
          <w:sz w:val="18"/>
        </w:rPr>
      </w:pPr>
      <w:r>
        <w:rPr>
          <w:rFonts w:ascii="Times New Roman"/>
          <w:sz w:val="18"/>
        </w:rPr>
        <w:t>F.Supp.2d 1282, 1287 (S.D. Fla. 2010).</w:t>
      </w:r>
    </w:p>
    <w:p>
      <w:pPr>
        <w:spacing w:after="0"/>
        <w:jc w:val="both"/>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81" w:id="101"/>
      <w:bookmarkEnd w:id="101"/>
      <w:r>
        <w:rPr/>
      </w:r>
      <w:r>
        <w:rPr/>
        <w:t>insured had cooperated in the appraisal process but determined that questions of material fact existed surrounding the umpire’s termination and the filing of a declaratory judgment action as material breaches of the policy.</w:t>
      </w:r>
    </w:p>
    <w:p>
      <w:pPr>
        <w:pStyle w:val="BodyText"/>
      </w:pPr>
    </w:p>
    <w:p>
      <w:pPr>
        <w:pStyle w:val="BodyText"/>
        <w:spacing w:line="242" w:lineRule="auto"/>
        <w:ind w:left="3100" w:right="3197" w:firstLine="720"/>
        <w:jc w:val="both"/>
      </w:pPr>
      <w:r>
        <w:rPr/>
        <w:t>However,</w:t>
      </w:r>
      <w:r>
        <w:rPr>
          <w:spacing w:val="-33"/>
        </w:rPr>
        <w:t> </w:t>
      </w:r>
      <w:r>
        <w:rPr/>
        <w:t>an</w:t>
      </w:r>
      <w:r>
        <w:rPr>
          <w:spacing w:val="-30"/>
        </w:rPr>
        <w:t> </w:t>
      </w:r>
      <w:r>
        <w:rPr/>
        <w:t>insured</w:t>
      </w:r>
      <w:r>
        <w:rPr>
          <w:spacing w:val="-29"/>
        </w:rPr>
        <w:t> </w:t>
      </w:r>
      <w:r>
        <w:rPr/>
        <w:t>was</w:t>
      </w:r>
      <w:r>
        <w:rPr>
          <w:spacing w:val="-27"/>
        </w:rPr>
        <w:t> </w:t>
      </w:r>
      <w:r>
        <w:rPr/>
        <w:t>not</w:t>
      </w:r>
      <w:r>
        <w:rPr>
          <w:spacing w:val="-30"/>
        </w:rPr>
        <w:t> </w:t>
      </w:r>
      <w:r>
        <w:rPr/>
        <w:t>barred</w:t>
      </w:r>
      <w:r>
        <w:rPr>
          <w:spacing w:val="-29"/>
        </w:rPr>
        <w:t> </w:t>
      </w:r>
      <w:r>
        <w:rPr/>
        <w:t>from seeking</w:t>
      </w:r>
      <w:r>
        <w:rPr>
          <w:spacing w:val="-32"/>
        </w:rPr>
        <w:t> </w:t>
      </w:r>
      <w:r>
        <w:rPr/>
        <w:t>an</w:t>
      </w:r>
      <w:r>
        <w:rPr>
          <w:spacing w:val="-32"/>
        </w:rPr>
        <w:t> </w:t>
      </w:r>
      <w:r>
        <w:rPr/>
        <w:t>order</w:t>
      </w:r>
      <w:r>
        <w:rPr>
          <w:spacing w:val="-34"/>
        </w:rPr>
        <w:t> </w:t>
      </w:r>
      <w:r>
        <w:rPr/>
        <w:t>to</w:t>
      </w:r>
      <w:r>
        <w:rPr>
          <w:spacing w:val="-33"/>
        </w:rPr>
        <w:t> </w:t>
      </w:r>
      <w:r>
        <w:rPr/>
        <w:t>compel</w:t>
      </w:r>
      <w:r>
        <w:rPr>
          <w:spacing w:val="-31"/>
        </w:rPr>
        <w:t> </w:t>
      </w:r>
      <w:r>
        <w:rPr/>
        <w:t>appraisal</w:t>
      </w:r>
      <w:r>
        <w:rPr>
          <w:spacing w:val="-36"/>
        </w:rPr>
        <w:t> </w:t>
      </w:r>
      <w:r>
        <w:rPr>
          <w:spacing w:val="-3"/>
        </w:rPr>
        <w:t>where</w:t>
      </w:r>
      <w:r>
        <w:rPr>
          <w:spacing w:val="-33"/>
        </w:rPr>
        <w:t> </w:t>
      </w:r>
      <w:r>
        <w:rPr/>
        <w:t>he had complied with a provision in his</w:t>
      </w:r>
      <w:r>
        <w:rPr>
          <w:spacing w:val="-24"/>
        </w:rPr>
        <w:t> </w:t>
      </w:r>
      <w:r>
        <w:rPr/>
        <w:t>insurance policy which mandated that he </w:t>
      </w:r>
      <w:r>
        <w:rPr>
          <w:spacing w:val="2"/>
        </w:rPr>
        <w:t>submit </w:t>
      </w:r>
      <w:r>
        <w:rPr/>
        <w:t>to an examination under oath (EUO) upon the insurer’s</w:t>
      </w:r>
      <w:r>
        <w:rPr>
          <w:spacing w:val="-15"/>
        </w:rPr>
        <w:t> </w:t>
      </w:r>
      <w:r>
        <w:rPr/>
        <w:t>request.</w:t>
      </w:r>
      <w:r>
        <w:rPr>
          <w:spacing w:val="-17"/>
        </w:rPr>
        <w:t> </w:t>
      </w:r>
      <w:r>
        <w:rPr/>
        <w:t>There,</w:t>
      </w:r>
      <w:r>
        <w:rPr>
          <w:spacing w:val="-18"/>
        </w:rPr>
        <w:t> </w:t>
      </w:r>
      <w:r>
        <w:rPr/>
        <w:t>the</w:t>
      </w:r>
      <w:r>
        <w:rPr>
          <w:spacing w:val="-14"/>
        </w:rPr>
        <w:t> </w:t>
      </w:r>
      <w:r>
        <w:rPr/>
        <w:t>insurer</w:t>
      </w:r>
      <w:r>
        <w:rPr>
          <w:spacing w:val="-19"/>
        </w:rPr>
        <w:t> </w:t>
      </w:r>
      <w:r>
        <w:rPr/>
        <w:t>argued</w:t>
      </w:r>
      <w:r>
        <w:rPr>
          <w:spacing w:val="-13"/>
        </w:rPr>
        <w:t> </w:t>
      </w:r>
      <w:r>
        <w:rPr/>
        <w:t>that the insured did not comply with policy conditions because he left his examination under oath during a break; however, the insured testified that during the examination, “he had been berated and yelled at, and subjected to </w:t>
      </w:r>
      <w:r>
        <w:rPr>
          <w:spacing w:val="-3"/>
        </w:rPr>
        <w:t>two </w:t>
      </w:r>
      <w:r>
        <w:rPr/>
        <w:t>examinations, one in English and the other in Creole” and his counsel had offered resumption of the examination which the insurer</w:t>
      </w:r>
      <w:r>
        <w:rPr>
          <w:spacing w:val="-4"/>
        </w:rPr>
        <w:t> </w:t>
      </w:r>
      <w:r>
        <w:rPr/>
        <w:t>refused.</w:t>
      </w:r>
    </w:p>
    <w:p>
      <w:pPr>
        <w:pStyle w:val="BodyText"/>
        <w:spacing w:before="10"/>
        <w:rPr>
          <w:sz w:val="25"/>
        </w:rPr>
      </w:pPr>
    </w:p>
    <w:p>
      <w:pPr>
        <w:pStyle w:val="BodyText"/>
        <w:spacing w:line="242" w:lineRule="auto"/>
        <w:ind w:left="3100" w:right="3197" w:firstLine="720"/>
        <w:jc w:val="both"/>
      </w:pPr>
      <w:r>
        <w:rPr/>
        <w:t>The court observed its prior holding that “‘the</w:t>
      </w:r>
      <w:r>
        <w:rPr>
          <w:spacing w:val="-19"/>
        </w:rPr>
        <w:t> </w:t>
      </w:r>
      <w:r>
        <w:rPr/>
        <w:t>insured</w:t>
      </w:r>
      <w:r>
        <w:rPr>
          <w:spacing w:val="-20"/>
        </w:rPr>
        <w:t> </w:t>
      </w:r>
      <w:r>
        <w:rPr/>
        <w:t>must</w:t>
      </w:r>
      <w:r>
        <w:rPr>
          <w:spacing w:val="-17"/>
        </w:rPr>
        <w:t> </w:t>
      </w:r>
      <w:r>
        <w:rPr/>
        <w:t>meet</w:t>
      </w:r>
      <w:r>
        <w:rPr>
          <w:spacing w:val="-21"/>
        </w:rPr>
        <w:t> </w:t>
      </w:r>
      <w:r>
        <w:rPr/>
        <w:t>all</w:t>
      </w:r>
      <w:r>
        <w:rPr>
          <w:spacing w:val="-16"/>
        </w:rPr>
        <w:t> </w:t>
      </w:r>
      <w:r>
        <w:rPr/>
        <w:t>of</w:t>
      </w:r>
      <w:r>
        <w:rPr>
          <w:spacing w:val="-16"/>
        </w:rPr>
        <w:t> </w:t>
      </w:r>
      <w:r>
        <w:rPr/>
        <w:t>the</w:t>
      </w:r>
      <w:r>
        <w:rPr>
          <w:spacing w:val="-17"/>
        </w:rPr>
        <w:t> </w:t>
      </w:r>
      <w:r>
        <w:rPr/>
        <w:t>policy’s</w:t>
      </w:r>
      <w:r>
        <w:rPr>
          <w:spacing w:val="-16"/>
        </w:rPr>
        <w:t> </w:t>
      </w:r>
      <w:r>
        <w:rPr/>
        <w:t>post- loss obligations before appraisal may be compelled’…[t]his includes the obligation to submit to an EUO” and ‘[t]he failure to submit to an examination under oath is a material breach of the policy which will relieve the insurer of its liability to pay.’” Here, the offer to resume</w:t>
      </w:r>
      <w:r>
        <w:rPr>
          <w:spacing w:val="14"/>
        </w:rPr>
        <w:t> </w:t>
      </w:r>
      <w:r>
        <w:rPr/>
        <w:t>the</w:t>
      </w:r>
      <w:r>
        <w:rPr>
          <w:spacing w:val="15"/>
        </w:rPr>
        <w:t> </w:t>
      </w:r>
      <w:r>
        <w:rPr/>
        <w:t>EUO</w:t>
      </w:r>
      <w:r>
        <w:rPr>
          <w:spacing w:val="15"/>
        </w:rPr>
        <w:t> </w:t>
      </w:r>
      <w:r>
        <w:rPr/>
        <w:t>was</w:t>
      </w:r>
      <w:r>
        <w:rPr>
          <w:spacing w:val="16"/>
        </w:rPr>
        <w:t> </w:t>
      </w:r>
      <w:r>
        <w:rPr/>
        <w:t>given</w:t>
      </w:r>
      <w:r>
        <w:rPr>
          <w:spacing w:val="15"/>
        </w:rPr>
        <w:t> </w:t>
      </w:r>
      <w:r>
        <w:rPr/>
        <w:t>before</w:t>
      </w:r>
      <w:r>
        <w:rPr>
          <w:spacing w:val="15"/>
        </w:rPr>
        <w:t> </w:t>
      </w:r>
      <w:r>
        <w:rPr/>
        <w:t>the</w:t>
      </w:r>
      <w:r>
        <w:rPr>
          <w:spacing w:val="16"/>
        </w:rPr>
        <w:t> </w:t>
      </w:r>
      <w:r>
        <w:rPr/>
        <w:t>action</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3100" w:right="3200"/>
        <w:jc w:val="both"/>
      </w:pPr>
      <w:bookmarkStart w:name="Law and Procedure 282" w:id="102"/>
      <w:bookmarkEnd w:id="102"/>
      <w:r>
        <w:rPr/>
      </w:r>
      <w:r>
        <w:rPr/>
        <w:t>was filed, and the District Court agreed with the trial court that the action was not premature and appraisal could be compelled.</w:t>
      </w:r>
      <w:r>
        <w:rPr>
          <w:vertAlign w:val="superscript"/>
        </w:rPr>
        <w:t>601</w:t>
      </w:r>
    </w:p>
    <w:p>
      <w:pPr>
        <w:pStyle w:val="BodyText"/>
        <w:spacing w:before="1"/>
      </w:pPr>
    </w:p>
    <w:p>
      <w:pPr>
        <w:pStyle w:val="BodyText"/>
        <w:spacing w:line="242" w:lineRule="auto"/>
        <w:ind w:left="3100" w:right="3199" w:firstLine="720"/>
        <w:jc w:val="both"/>
      </w:pPr>
      <w:r>
        <w:rPr/>
        <w:t>Similarly, in Florida, it has been held that a property insurer may be entitled to an evidentiary hearing to determine whether the insured complied with the post-loss conditions of</w:t>
      </w:r>
      <w:r>
        <w:rPr>
          <w:spacing w:val="-26"/>
        </w:rPr>
        <w:t> </w:t>
      </w:r>
      <w:r>
        <w:rPr/>
        <w:t>the</w:t>
      </w:r>
      <w:r>
        <w:rPr>
          <w:spacing w:val="-27"/>
        </w:rPr>
        <w:t> </w:t>
      </w:r>
      <w:r>
        <w:rPr/>
        <w:t>insurance</w:t>
      </w:r>
      <w:r>
        <w:rPr>
          <w:spacing w:val="-26"/>
        </w:rPr>
        <w:t> </w:t>
      </w:r>
      <w:r>
        <w:rPr/>
        <w:t>policy</w:t>
      </w:r>
      <w:r>
        <w:rPr>
          <w:spacing w:val="-27"/>
        </w:rPr>
        <w:t> </w:t>
      </w:r>
      <w:r>
        <w:rPr/>
        <w:t>before</w:t>
      </w:r>
      <w:r>
        <w:rPr>
          <w:spacing w:val="-28"/>
        </w:rPr>
        <w:t> </w:t>
      </w:r>
      <w:r>
        <w:rPr/>
        <w:t>the</w:t>
      </w:r>
      <w:r>
        <w:rPr>
          <w:spacing w:val="-27"/>
        </w:rPr>
        <w:t> </w:t>
      </w:r>
      <w:r>
        <w:rPr/>
        <w:t>insurer</w:t>
      </w:r>
      <w:r>
        <w:rPr>
          <w:spacing w:val="-27"/>
        </w:rPr>
        <w:t> </w:t>
      </w:r>
      <w:r>
        <w:rPr/>
        <w:t>could be</w:t>
      </w:r>
      <w:r>
        <w:rPr>
          <w:spacing w:val="-29"/>
        </w:rPr>
        <w:t> </w:t>
      </w:r>
      <w:r>
        <w:rPr/>
        <w:t>compelled</w:t>
      </w:r>
      <w:r>
        <w:rPr>
          <w:spacing w:val="-24"/>
        </w:rPr>
        <w:t> </w:t>
      </w:r>
      <w:r>
        <w:rPr/>
        <w:t>to</w:t>
      </w:r>
      <w:r>
        <w:rPr>
          <w:spacing w:val="-29"/>
        </w:rPr>
        <w:t> </w:t>
      </w:r>
      <w:r>
        <w:rPr/>
        <w:t>participate</w:t>
      </w:r>
      <w:r>
        <w:rPr>
          <w:spacing w:val="-29"/>
        </w:rPr>
        <w:t> </w:t>
      </w:r>
      <w:r>
        <w:rPr/>
        <w:t>in</w:t>
      </w:r>
      <w:r>
        <w:rPr>
          <w:spacing w:val="-28"/>
        </w:rPr>
        <w:t> </w:t>
      </w:r>
      <w:r>
        <w:rPr/>
        <w:t>appraisal</w:t>
      </w:r>
      <w:r>
        <w:rPr>
          <w:spacing w:val="-27"/>
        </w:rPr>
        <w:t> </w:t>
      </w:r>
      <w:r>
        <w:rPr/>
        <w:t>of</w:t>
      </w:r>
      <w:r>
        <w:rPr>
          <w:spacing w:val="-28"/>
        </w:rPr>
        <w:t> </w:t>
      </w:r>
      <w:r>
        <w:rPr/>
        <w:t>the insured’s</w:t>
      </w:r>
      <w:r>
        <w:rPr>
          <w:spacing w:val="-1"/>
        </w:rPr>
        <w:t> </w:t>
      </w:r>
      <w:r>
        <w:rPr/>
        <w:t>loss.</w:t>
      </w:r>
      <w:r>
        <w:rPr>
          <w:vertAlign w:val="superscript"/>
        </w:rPr>
        <w:t>602</w:t>
      </w:r>
    </w:p>
    <w:p>
      <w:pPr>
        <w:pStyle w:val="BodyText"/>
        <w:spacing w:before="1"/>
      </w:pPr>
    </w:p>
    <w:p>
      <w:pPr>
        <w:pStyle w:val="BodyText"/>
        <w:spacing w:line="242" w:lineRule="auto"/>
        <w:ind w:left="3100" w:right="3197" w:firstLine="720"/>
        <w:jc w:val="both"/>
      </w:pPr>
      <w:r>
        <w:rPr>
          <w:spacing w:val="3"/>
        </w:rPr>
        <w:t>In </w:t>
      </w:r>
      <w:r>
        <w:rPr/>
        <w:t>Louisiana, where the insured failed to respond to a demand for an examination under</w:t>
      </w:r>
      <w:r>
        <w:rPr>
          <w:spacing w:val="-23"/>
        </w:rPr>
        <w:t> </w:t>
      </w:r>
      <w:r>
        <w:rPr/>
        <w:t>oath</w:t>
      </w:r>
      <w:r>
        <w:rPr>
          <w:spacing w:val="-20"/>
        </w:rPr>
        <w:t> </w:t>
      </w:r>
      <w:r>
        <w:rPr/>
        <w:t>but</w:t>
      </w:r>
      <w:r>
        <w:rPr>
          <w:spacing w:val="-21"/>
        </w:rPr>
        <w:t> </w:t>
      </w:r>
      <w:r>
        <w:rPr/>
        <w:t>after</w:t>
      </w:r>
      <w:r>
        <w:rPr>
          <w:spacing w:val="-20"/>
        </w:rPr>
        <w:t> </w:t>
      </w:r>
      <w:r>
        <w:rPr/>
        <w:t>retaining</w:t>
      </w:r>
      <w:r>
        <w:rPr>
          <w:spacing w:val="-19"/>
        </w:rPr>
        <w:t> </w:t>
      </w:r>
      <w:r>
        <w:rPr/>
        <w:t>counsel,</w:t>
      </w:r>
      <w:r>
        <w:rPr>
          <w:spacing w:val="-21"/>
        </w:rPr>
        <w:t> </w:t>
      </w:r>
      <w:r>
        <w:rPr/>
        <w:t>offered full cooperation and requested rescheduling the</w:t>
      </w:r>
      <w:r>
        <w:rPr>
          <w:spacing w:val="-19"/>
        </w:rPr>
        <w:t> </w:t>
      </w:r>
      <w:r>
        <w:rPr/>
        <w:t>EUO</w:t>
      </w:r>
      <w:r>
        <w:rPr>
          <w:spacing w:val="-19"/>
        </w:rPr>
        <w:t> </w:t>
      </w:r>
      <w:r>
        <w:rPr/>
        <w:t>and</w:t>
      </w:r>
      <w:r>
        <w:rPr>
          <w:spacing w:val="-18"/>
        </w:rPr>
        <w:t> </w:t>
      </w:r>
      <w:r>
        <w:rPr/>
        <w:t>a</w:t>
      </w:r>
      <w:r>
        <w:rPr>
          <w:spacing w:val="-18"/>
        </w:rPr>
        <w:t> </w:t>
      </w:r>
      <w:r>
        <w:rPr/>
        <w:t>joint</w:t>
      </w:r>
      <w:r>
        <w:rPr>
          <w:spacing w:val="-18"/>
        </w:rPr>
        <w:t> </w:t>
      </w:r>
      <w:r>
        <w:rPr/>
        <w:t>inspection</w:t>
      </w:r>
      <w:r>
        <w:rPr>
          <w:spacing w:val="-16"/>
        </w:rPr>
        <w:t> </w:t>
      </w:r>
      <w:r>
        <w:rPr/>
        <w:t>of</w:t>
      </w:r>
      <w:r>
        <w:rPr>
          <w:spacing w:val="-18"/>
        </w:rPr>
        <w:t> </w:t>
      </w:r>
      <w:r>
        <w:rPr/>
        <w:t>the</w:t>
      </w:r>
      <w:r>
        <w:rPr>
          <w:spacing w:val="-18"/>
        </w:rPr>
        <w:t> </w:t>
      </w:r>
      <w:r>
        <w:rPr/>
        <w:t>damage, it was held summary dismissal of the case would have been a “draconian</w:t>
      </w:r>
      <w:r>
        <w:rPr>
          <w:spacing w:val="-13"/>
        </w:rPr>
        <w:t> </w:t>
      </w:r>
      <w:r>
        <w:rPr/>
        <w:t>measure”.</w:t>
      </w:r>
      <w:r>
        <w:rPr>
          <w:vertAlign w:val="superscript"/>
        </w:rPr>
        <w:t>603</w:t>
      </w:r>
    </w:p>
    <w:p>
      <w:pPr>
        <w:pStyle w:val="BodyText"/>
      </w:pPr>
    </w:p>
    <w:p>
      <w:pPr>
        <w:pStyle w:val="BodyText"/>
        <w:spacing w:line="242" w:lineRule="auto"/>
        <w:ind w:left="3100" w:right="3197" w:firstLine="720"/>
        <w:jc w:val="both"/>
      </w:pPr>
      <w:r>
        <w:rPr/>
        <w:t>The</w:t>
      </w:r>
      <w:r>
        <w:rPr>
          <w:spacing w:val="-33"/>
        </w:rPr>
        <w:t> </w:t>
      </w:r>
      <w:r>
        <w:rPr/>
        <w:t>United</w:t>
      </w:r>
      <w:r>
        <w:rPr>
          <w:spacing w:val="-34"/>
        </w:rPr>
        <w:t> </w:t>
      </w:r>
      <w:r>
        <w:rPr/>
        <w:t>States</w:t>
      </w:r>
      <w:r>
        <w:rPr>
          <w:spacing w:val="-33"/>
        </w:rPr>
        <w:t> </w:t>
      </w:r>
      <w:r>
        <w:rPr/>
        <w:t>Court</w:t>
      </w:r>
      <w:r>
        <w:rPr>
          <w:spacing w:val="-36"/>
        </w:rPr>
        <w:t> </w:t>
      </w:r>
      <w:r>
        <w:rPr/>
        <w:t>of</w:t>
      </w:r>
      <w:r>
        <w:rPr>
          <w:spacing w:val="-31"/>
        </w:rPr>
        <w:t> </w:t>
      </w:r>
      <w:r>
        <w:rPr/>
        <w:t>Appeals</w:t>
      </w:r>
      <w:r>
        <w:rPr>
          <w:spacing w:val="-31"/>
        </w:rPr>
        <w:t> </w:t>
      </w:r>
      <w:r>
        <w:rPr/>
        <w:t>for</w:t>
      </w:r>
      <w:r>
        <w:rPr>
          <w:spacing w:val="-33"/>
        </w:rPr>
        <w:t> </w:t>
      </w:r>
      <w:r>
        <w:rPr/>
        <w:t>the Seventh Circuit has declared that an insurer was not bound by the results of an appraisal from which it withdrew after the insured- restaurant owner materially breached the policy by refusing to submit to an</w:t>
      </w:r>
      <w:r>
        <w:rPr>
          <w:spacing w:val="-52"/>
        </w:rPr>
        <w:t> </w:t>
      </w:r>
      <w:r>
        <w:rPr/>
        <w:t>examination under oath prior to the award</w:t>
      </w:r>
      <w:r>
        <w:rPr>
          <w:spacing w:val="38"/>
        </w:rPr>
        <w:t> </w:t>
      </w:r>
      <w:r>
        <w:rPr/>
        <w:t>being</w:t>
      </w:r>
    </w:p>
    <w:p>
      <w:pPr>
        <w:pStyle w:val="BodyText"/>
        <w:spacing w:before="3"/>
        <w:rPr>
          <w:sz w:val="20"/>
        </w:rPr>
      </w:pPr>
      <w:r>
        <w:rPr/>
        <w:pict>
          <v:shape style="position:absolute;margin-left:162pt;margin-top:14.821275pt;width:143.9pt;height:.1pt;mso-position-horizontal-relative:page;mso-position-vertical-relative:paragraph;z-index:-251447296;mso-wrap-distance-left:0;mso-wrap-distance-right:0" coordorigin="3240,296" coordsize="2878,0" path="m3240,296l6118,296e" filled="false" stroked="true" strokeweight=".84pt" strokecolor="#000000">
            <v:path arrowok="t"/>
            <v:stroke dashstyle="solid"/>
            <w10:wrap type="topAndBottom"/>
          </v:shape>
        </w:pict>
      </w:r>
    </w:p>
    <w:p>
      <w:pPr>
        <w:pStyle w:val="BodyText"/>
        <w:spacing w:before="2"/>
        <w:rPr>
          <w:sz w:val="7"/>
        </w:rPr>
      </w:pPr>
    </w:p>
    <w:p>
      <w:pPr>
        <w:pStyle w:val="ListParagraph"/>
        <w:numPr>
          <w:ilvl w:val="0"/>
          <w:numId w:val="15"/>
        </w:numPr>
        <w:tabs>
          <w:tab w:pos="3106" w:val="left" w:leader="none"/>
        </w:tabs>
        <w:spacing w:line="240" w:lineRule="auto" w:before="72" w:after="0"/>
        <w:ind w:left="3106" w:right="0" w:hanging="366"/>
        <w:jc w:val="left"/>
        <w:rPr>
          <w:sz w:val="18"/>
        </w:rPr>
      </w:pPr>
      <w:r>
        <w:rPr>
          <w:sz w:val="18"/>
          <w:u w:val="single"/>
        </w:rPr>
        <w:t>First Home Ins. Co. v. Fleurimond</w:t>
      </w:r>
      <w:r>
        <w:rPr>
          <w:sz w:val="18"/>
        </w:rPr>
        <w:t>, 36 So.3d 172 (Fla. 3d DCA,</w:t>
      </w:r>
      <w:r>
        <w:rPr>
          <w:spacing w:val="5"/>
          <w:sz w:val="18"/>
        </w:rPr>
        <w:t> </w:t>
      </w:r>
      <w:r>
        <w:rPr>
          <w:sz w:val="18"/>
        </w:rPr>
        <w:t>2010)</w:t>
      </w:r>
    </w:p>
    <w:p>
      <w:pPr>
        <w:pStyle w:val="ListParagraph"/>
        <w:numPr>
          <w:ilvl w:val="0"/>
          <w:numId w:val="15"/>
        </w:numPr>
        <w:tabs>
          <w:tab w:pos="3008" w:val="left" w:leader="none"/>
        </w:tabs>
        <w:spacing w:line="261" w:lineRule="auto" w:before="4" w:after="0"/>
        <w:ind w:left="2740" w:right="2842" w:firstLine="0"/>
        <w:jc w:val="left"/>
        <w:rPr>
          <w:sz w:val="18"/>
        </w:rPr>
      </w:pPr>
      <w:r>
        <w:rPr>
          <w:i/>
          <w:sz w:val="18"/>
        </w:rPr>
        <w:t>See</w:t>
      </w:r>
      <w:r>
        <w:rPr>
          <w:i/>
          <w:spacing w:val="-9"/>
          <w:sz w:val="18"/>
        </w:rPr>
        <w:t> </w:t>
      </w:r>
      <w:r>
        <w:rPr>
          <w:sz w:val="18"/>
          <w:u w:val="single"/>
        </w:rPr>
        <w:t>Citizens</w:t>
      </w:r>
      <w:r>
        <w:rPr>
          <w:spacing w:val="-8"/>
          <w:sz w:val="18"/>
          <w:u w:val="single"/>
        </w:rPr>
        <w:t> </w:t>
      </w:r>
      <w:r>
        <w:rPr>
          <w:sz w:val="18"/>
          <w:u w:val="single"/>
        </w:rPr>
        <w:t>Prop.</w:t>
      </w:r>
      <w:r>
        <w:rPr>
          <w:spacing w:val="-5"/>
          <w:sz w:val="18"/>
          <w:u w:val="single"/>
        </w:rPr>
        <w:t> </w:t>
      </w:r>
      <w:r>
        <w:rPr>
          <w:sz w:val="18"/>
          <w:u w:val="single"/>
        </w:rPr>
        <w:t>Ins.</w:t>
      </w:r>
      <w:r>
        <w:rPr>
          <w:spacing w:val="-7"/>
          <w:sz w:val="18"/>
          <w:u w:val="single"/>
        </w:rPr>
        <w:t> </w:t>
      </w:r>
      <w:r>
        <w:rPr>
          <w:sz w:val="18"/>
          <w:u w:val="single"/>
        </w:rPr>
        <w:t>Corp.</w:t>
      </w:r>
      <w:r>
        <w:rPr>
          <w:spacing w:val="-6"/>
          <w:sz w:val="18"/>
          <w:u w:val="single"/>
        </w:rPr>
        <w:t> </w:t>
      </w:r>
      <w:r>
        <w:rPr>
          <w:sz w:val="18"/>
          <w:u w:val="single"/>
        </w:rPr>
        <w:t>v.</w:t>
      </w:r>
      <w:r>
        <w:rPr>
          <w:spacing w:val="-5"/>
          <w:sz w:val="18"/>
          <w:u w:val="single"/>
        </w:rPr>
        <w:t> </w:t>
      </w:r>
      <w:r>
        <w:rPr>
          <w:sz w:val="18"/>
          <w:u w:val="single"/>
        </w:rPr>
        <w:t>Maytin</w:t>
      </w:r>
      <w:r>
        <w:rPr>
          <w:sz w:val="18"/>
        </w:rPr>
        <w:t>,</w:t>
      </w:r>
      <w:r>
        <w:rPr>
          <w:spacing w:val="-6"/>
          <w:sz w:val="18"/>
        </w:rPr>
        <w:t> </w:t>
      </w:r>
      <w:r>
        <w:rPr>
          <w:sz w:val="18"/>
        </w:rPr>
        <w:t>51</w:t>
      </w:r>
      <w:r>
        <w:rPr>
          <w:spacing w:val="-6"/>
          <w:sz w:val="18"/>
        </w:rPr>
        <w:t> </w:t>
      </w:r>
      <w:r>
        <w:rPr>
          <w:sz w:val="18"/>
        </w:rPr>
        <w:t>So.3d</w:t>
      </w:r>
      <w:r>
        <w:rPr>
          <w:spacing w:val="-5"/>
          <w:sz w:val="18"/>
        </w:rPr>
        <w:t> </w:t>
      </w:r>
      <w:r>
        <w:rPr>
          <w:sz w:val="18"/>
        </w:rPr>
        <w:t>591,</w:t>
      </w:r>
      <w:r>
        <w:rPr>
          <w:spacing w:val="-6"/>
          <w:sz w:val="18"/>
        </w:rPr>
        <w:t> </w:t>
      </w:r>
      <w:r>
        <w:rPr>
          <w:sz w:val="18"/>
        </w:rPr>
        <w:t>36</w:t>
      </w:r>
      <w:r>
        <w:rPr>
          <w:spacing w:val="-5"/>
          <w:sz w:val="18"/>
        </w:rPr>
        <w:t> </w:t>
      </w:r>
      <w:r>
        <w:rPr>
          <w:sz w:val="18"/>
        </w:rPr>
        <w:t>Fla.</w:t>
      </w:r>
      <w:r>
        <w:rPr>
          <w:spacing w:val="-6"/>
          <w:sz w:val="18"/>
        </w:rPr>
        <w:t> </w:t>
      </w:r>
      <w:r>
        <w:rPr>
          <w:sz w:val="18"/>
        </w:rPr>
        <w:t>L.</w:t>
      </w:r>
      <w:r>
        <w:rPr>
          <w:spacing w:val="-6"/>
          <w:sz w:val="18"/>
        </w:rPr>
        <w:t> </w:t>
      </w:r>
      <w:r>
        <w:rPr>
          <w:sz w:val="18"/>
        </w:rPr>
        <w:t>Weekly</w:t>
      </w:r>
      <w:r>
        <w:rPr>
          <w:spacing w:val="-12"/>
          <w:sz w:val="18"/>
        </w:rPr>
        <w:t> </w:t>
      </w:r>
      <w:r>
        <w:rPr>
          <w:sz w:val="18"/>
        </w:rPr>
        <w:t>D</w:t>
      </w:r>
      <w:r>
        <w:rPr>
          <w:spacing w:val="-11"/>
          <w:sz w:val="18"/>
        </w:rPr>
        <w:t> </w:t>
      </w:r>
      <w:r>
        <w:rPr>
          <w:sz w:val="18"/>
        </w:rPr>
        <w:t>484</w:t>
      </w:r>
      <w:r>
        <w:rPr>
          <w:spacing w:val="-8"/>
          <w:sz w:val="18"/>
        </w:rPr>
        <w:t> </w:t>
      </w:r>
      <w:r>
        <w:rPr>
          <w:sz w:val="18"/>
        </w:rPr>
        <w:t>(Fla</w:t>
      </w:r>
      <w:r>
        <w:rPr>
          <w:spacing w:val="-6"/>
          <w:sz w:val="18"/>
        </w:rPr>
        <w:t> </w:t>
      </w:r>
      <w:r>
        <w:rPr>
          <w:sz w:val="18"/>
        </w:rPr>
        <w:t>3d DCA 2011); </w:t>
      </w:r>
      <w:r>
        <w:rPr>
          <w:sz w:val="18"/>
          <w:u w:val="single"/>
        </w:rPr>
        <w:t>Citizens Prop. Ins. Corp. v. Gutierrez</w:t>
      </w:r>
      <w:r>
        <w:rPr>
          <w:sz w:val="18"/>
        </w:rPr>
        <w:t>, 59 S. 3d 177</w:t>
      </w:r>
      <w:r>
        <w:rPr>
          <w:spacing w:val="4"/>
          <w:sz w:val="18"/>
        </w:rPr>
        <w:t> </w:t>
      </w:r>
      <w:r>
        <w:rPr>
          <w:sz w:val="18"/>
        </w:rPr>
        <w:t>(2011).</w:t>
      </w:r>
    </w:p>
    <w:p>
      <w:pPr>
        <w:pStyle w:val="ListParagraph"/>
        <w:numPr>
          <w:ilvl w:val="0"/>
          <w:numId w:val="15"/>
        </w:numPr>
        <w:tabs>
          <w:tab w:pos="3015" w:val="left" w:leader="none"/>
        </w:tabs>
        <w:spacing w:line="263" w:lineRule="exact" w:before="0" w:after="0"/>
        <w:ind w:left="3014" w:right="0" w:hanging="275"/>
        <w:jc w:val="left"/>
        <w:rPr>
          <w:sz w:val="24"/>
        </w:rPr>
      </w:pPr>
      <w:r>
        <w:rPr>
          <w:sz w:val="18"/>
          <w:u w:val="single"/>
        </w:rPr>
        <w:t>Hayes v. Southern Fidelity Ins. Co.</w:t>
      </w:r>
      <w:r>
        <w:rPr>
          <w:sz w:val="24"/>
        </w:rPr>
        <w:t>, </w:t>
      </w:r>
      <w:r>
        <w:rPr>
          <w:sz w:val="18"/>
        </w:rPr>
        <w:t>2013 WL 4012745 (E.D .La.</w:t>
      </w:r>
      <w:r>
        <w:rPr>
          <w:spacing w:val="-19"/>
          <w:sz w:val="18"/>
        </w:rPr>
        <w:t> </w:t>
      </w:r>
      <w:r>
        <w:rPr>
          <w:sz w:val="18"/>
        </w:rPr>
        <w:t>2013)</w:t>
      </w:r>
      <w:r>
        <w:rPr>
          <w:sz w:val="24"/>
        </w:rPr>
        <w:t>.</w:t>
      </w:r>
    </w:p>
    <w:p>
      <w:pPr>
        <w:spacing w:after="0" w:line="263" w:lineRule="exact"/>
        <w:jc w:val="left"/>
        <w:rPr>
          <w:sz w:val="24"/>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right="254"/>
        <w:jc w:val="center"/>
      </w:pPr>
      <w:bookmarkStart w:name="Law and Procedure 283" w:id="103"/>
      <w:bookmarkEnd w:id="103"/>
      <w:r>
        <w:rPr/>
      </w:r>
      <w:r>
        <w:rPr/>
        <w:t>determined and the appraisal completed.</w:t>
      </w:r>
      <w:r>
        <w:rPr>
          <w:vertAlign w:val="superscript"/>
        </w:rPr>
        <w:t>604</w:t>
      </w:r>
    </w:p>
    <w:p>
      <w:pPr>
        <w:pStyle w:val="BodyText"/>
        <w:spacing w:before="6"/>
      </w:pPr>
    </w:p>
    <w:p>
      <w:pPr>
        <w:pStyle w:val="BodyText"/>
        <w:spacing w:line="242" w:lineRule="auto"/>
        <w:ind w:left="3100" w:right="3197" w:firstLine="720"/>
        <w:jc w:val="both"/>
      </w:pPr>
      <w:r>
        <w:rPr/>
        <w:t>Neither party should be forced to proceed</w:t>
      </w:r>
      <w:r>
        <w:rPr>
          <w:spacing w:val="-35"/>
        </w:rPr>
        <w:t> </w:t>
      </w:r>
      <w:r>
        <w:rPr/>
        <w:t>to</w:t>
      </w:r>
      <w:r>
        <w:rPr>
          <w:spacing w:val="-35"/>
        </w:rPr>
        <w:t> </w:t>
      </w:r>
      <w:r>
        <w:rPr/>
        <w:t>appraisal</w:t>
      </w:r>
      <w:r>
        <w:rPr>
          <w:spacing w:val="-33"/>
        </w:rPr>
        <w:t> </w:t>
      </w:r>
      <w:r>
        <w:rPr/>
        <w:t>until</w:t>
      </w:r>
      <w:r>
        <w:rPr>
          <w:spacing w:val="-36"/>
        </w:rPr>
        <w:t> </w:t>
      </w:r>
      <w:r>
        <w:rPr>
          <w:spacing w:val="-3"/>
        </w:rPr>
        <w:t>sufficient</w:t>
      </w:r>
      <w:r>
        <w:rPr>
          <w:spacing w:val="-38"/>
        </w:rPr>
        <w:t> </w:t>
      </w:r>
      <w:r>
        <w:rPr/>
        <w:t>information has been exchanged so as to believe there has</w:t>
      </w:r>
      <w:r>
        <w:rPr>
          <w:spacing w:val="-18"/>
        </w:rPr>
        <w:t> </w:t>
      </w:r>
      <w:r>
        <w:rPr/>
        <w:t>been</w:t>
      </w:r>
      <w:r>
        <w:rPr>
          <w:spacing w:val="-19"/>
        </w:rPr>
        <w:t> </w:t>
      </w:r>
      <w:r>
        <w:rPr/>
        <w:t>a</w:t>
      </w:r>
      <w:r>
        <w:rPr>
          <w:spacing w:val="-17"/>
        </w:rPr>
        <w:t> </w:t>
      </w:r>
      <w:r>
        <w:rPr/>
        <w:t>true</w:t>
      </w:r>
      <w:r>
        <w:rPr>
          <w:spacing w:val="-20"/>
        </w:rPr>
        <w:t> </w:t>
      </w:r>
      <w:r>
        <w:rPr/>
        <w:t>disagreement</w:t>
      </w:r>
      <w:r>
        <w:rPr>
          <w:spacing w:val="-22"/>
        </w:rPr>
        <w:t> </w:t>
      </w:r>
      <w:r>
        <w:rPr/>
        <w:t>under</w:t>
      </w:r>
      <w:r>
        <w:rPr>
          <w:spacing w:val="-21"/>
        </w:rPr>
        <w:t> </w:t>
      </w:r>
      <w:r>
        <w:rPr/>
        <w:t>the</w:t>
      </w:r>
      <w:r>
        <w:rPr>
          <w:spacing w:val="-18"/>
        </w:rPr>
        <w:t> </w:t>
      </w:r>
      <w:r>
        <w:rPr/>
        <w:t>terms of</w:t>
      </w:r>
      <w:r>
        <w:rPr>
          <w:spacing w:val="-21"/>
        </w:rPr>
        <w:t> </w:t>
      </w:r>
      <w:r>
        <w:rPr/>
        <w:t>the</w:t>
      </w:r>
      <w:r>
        <w:rPr>
          <w:spacing w:val="-22"/>
        </w:rPr>
        <w:t> </w:t>
      </w:r>
      <w:r>
        <w:rPr/>
        <w:t>policy.</w:t>
      </w:r>
      <w:r>
        <w:rPr>
          <w:spacing w:val="27"/>
        </w:rPr>
        <w:t> </w:t>
      </w:r>
      <w:r>
        <w:rPr>
          <w:spacing w:val="2"/>
        </w:rPr>
        <w:t>As</w:t>
      </w:r>
      <w:r>
        <w:rPr>
          <w:spacing w:val="-23"/>
        </w:rPr>
        <w:t> </w:t>
      </w:r>
      <w:r>
        <w:rPr/>
        <w:t>stated,</w:t>
      </w:r>
      <w:r>
        <w:rPr>
          <w:spacing w:val="-22"/>
        </w:rPr>
        <w:t> </w:t>
      </w:r>
      <w:r>
        <w:rPr/>
        <w:t>at</w:t>
      </w:r>
      <w:r>
        <w:rPr>
          <w:spacing w:val="-22"/>
        </w:rPr>
        <w:t> </w:t>
      </w:r>
      <w:r>
        <w:rPr/>
        <w:t>times</w:t>
      </w:r>
      <w:r>
        <w:rPr>
          <w:spacing w:val="-23"/>
        </w:rPr>
        <w:t> </w:t>
      </w:r>
      <w:r>
        <w:rPr/>
        <w:t>this</w:t>
      </w:r>
      <w:r>
        <w:rPr>
          <w:spacing w:val="-23"/>
        </w:rPr>
        <w:t> </w:t>
      </w:r>
      <w:r>
        <w:rPr/>
        <w:t>will</w:t>
      </w:r>
      <w:r>
        <w:rPr>
          <w:spacing w:val="-20"/>
        </w:rPr>
        <w:t> </w:t>
      </w:r>
      <w:r>
        <w:rPr/>
        <w:t>require the insured to comply with policy provisions in presenting and swearing to his claim. </w:t>
      </w:r>
      <w:r>
        <w:rPr>
          <w:spacing w:val="2"/>
        </w:rPr>
        <w:t>At </w:t>
      </w:r>
      <w:r>
        <w:rPr/>
        <w:t>other times, this may involve the insurer sharing its damage estimates with the insured so as to make the process meaningful and </w:t>
      </w:r>
      <w:r>
        <w:rPr>
          <w:spacing w:val="-3"/>
        </w:rPr>
        <w:t>determine </w:t>
      </w:r>
      <w:r>
        <w:rPr/>
        <w:t>not</w:t>
      </w:r>
      <w:r>
        <w:rPr>
          <w:spacing w:val="-33"/>
        </w:rPr>
        <w:t> </w:t>
      </w:r>
      <w:r>
        <w:rPr/>
        <w:t>only</w:t>
      </w:r>
      <w:r>
        <w:rPr>
          <w:spacing w:val="-32"/>
        </w:rPr>
        <w:t> </w:t>
      </w:r>
      <w:r>
        <w:rPr/>
        <w:t>that</w:t>
      </w:r>
      <w:r>
        <w:rPr>
          <w:spacing w:val="-33"/>
        </w:rPr>
        <w:t> </w:t>
      </w:r>
      <w:r>
        <w:rPr/>
        <w:t>a</w:t>
      </w:r>
      <w:r>
        <w:rPr>
          <w:spacing w:val="-32"/>
        </w:rPr>
        <w:t> </w:t>
      </w:r>
      <w:r>
        <w:rPr/>
        <w:t>true</w:t>
      </w:r>
      <w:r>
        <w:rPr>
          <w:spacing w:val="-29"/>
        </w:rPr>
        <w:t> </w:t>
      </w:r>
      <w:r>
        <w:rPr/>
        <w:t>disagreement</w:t>
      </w:r>
      <w:r>
        <w:rPr>
          <w:spacing w:val="-33"/>
        </w:rPr>
        <w:t> </w:t>
      </w:r>
      <w:r>
        <w:rPr/>
        <w:t>exists,</w:t>
      </w:r>
      <w:r>
        <w:rPr>
          <w:spacing w:val="-31"/>
        </w:rPr>
        <w:t> </w:t>
      </w:r>
      <w:r>
        <w:rPr/>
        <w:t>but</w:t>
      </w:r>
      <w:r>
        <w:rPr>
          <w:spacing w:val="-30"/>
        </w:rPr>
        <w:t> </w:t>
      </w:r>
      <w:r>
        <w:rPr/>
        <w:t>the extent of that</w:t>
      </w:r>
      <w:r>
        <w:rPr>
          <w:spacing w:val="-7"/>
        </w:rPr>
        <w:t> </w:t>
      </w:r>
      <w:r>
        <w:rPr/>
        <w:t>disagreement.</w:t>
      </w:r>
    </w:p>
    <w:p>
      <w:pPr>
        <w:pStyle w:val="BodyText"/>
        <w:spacing w:before="10"/>
        <w:rPr>
          <w:sz w:val="25"/>
        </w:rPr>
      </w:pPr>
    </w:p>
    <w:p>
      <w:pPr>
        <w:pStyle w:val="BodyText"/>
        <w:spacing w:line="242" w:lineRule="auto"/>
        <w:ind w:left="3100" w:right="3196" w:firstLine="720"/>
        <w:jc w:val="both"/>
      </w:pPr>
      <w:r>
        <w:rPr/>
        <w:t>Query whether an interview or a recorded</w:t>
      </w:r>
      <w:r>
        <w:rPr>
          <w:spacing w:val="-12"/>
        </w:rPr>
        <w:t> </w:t>
      </w:r>
      <w:r>
        <w:rPr/>
        <w:t>statement</w:t>
      </w:r>
      <w:r>
        <w:rPr>
          <w:spacing w:val="-14"/>
        </w:rPr>
        <w:t> </w:t>
      </w:r>
      <w:r>
        <w:rPr/>
        <w:t>taken</w:t>
      </w:r>
      <w:r>
        <w:rPr>
          <w:spacing w:val="-12"/>
        </w:rPr>
        <w:t> </w:t>
      </w:r>
      <w:r>
        <w:rPr/>
        <w:t>from</w:t>
      </w:r>
      <w:r>
        <w:rPr>
          <w:spacing w:val="-11"/>
        </w:rPr>
        <w:t> </w:t>
      </w:r>
      <w:r>
        <w:rPr/>
        <w:t>the</w:t>
      </w:r>
      <w:r>
        <w:rPr>
          <w:spacing w:val="-12"/>
        </w:rPr>
        <w:t> </w:t>
      </w:r>
      <w:r>
        <w:rPr/>
        <w:t>insured</w:t>
      </w:r>
      <w:r>
        <w:rPr>
          <w:spacing w:val="-12"/>
        </w:rPr>
        <w:t> </w:t>
      </w:r>
      <w:r>
        <w:rPr>
          <w:spacing w:val="-6"/>
        </w:rPr>
        <w:t>by </w:t>
      </w:r>
      <w:r>
        <w:rPr/>
        <w:t>the carrier’s appraiser would be appropriate. Written questions bearing on the issues of loss and value may be appropriate under a</w:t>
      </w:r>
      <w:r>
        <w:rPr>
          <w:spacing w:val="-21"/>
        </w:rPr>
        <w:t> </w:t>
      </w:r>
      <w:r>
        <w:rPr/>
        <w:t>given set of circumstances in order to make the appraisal process</w:t>
      </w:r>
      <w:r>
        <w:rPr>
          <w:spacing w:val="-3"/>
        </w:rPr>
        <w:t> </w:t>
      </w:r>
      <w:r>
        <w:rPr/>
        <w:t>meaningful.</w:t>
      </w:r>
    </w:p>
    <w:p>
      <w:pPr>
        <w:pStyle w:val="BodyText"/>
      </w:pPr>
    </w:p>
    <w:p>
      <w:pPr>
        <w:pStyle w:val="BodyText"/>
        <w:spacing w:line="242" w:lineRule="auto" w:before="1"/>
        <w:ind w:left="3100" w:right="3198" w:firstLine="720"/>
        <w:jc w:val="both"/>
      </w:pPr>
      <w:r>
        <w:rPr/>
        <w:t>Note</w:t>
      </w:r>
      <w:r>
        <w:rPr>
          <w:spacing w:val="-8"/>
        </w:rPr>
        <w:t> </w:t>
      </w:r>
      <w:r>
        <w:rPr/>
        <w:t>that</w:t>
      </w:r>
      <w:r>
        <w:rPr>
          <w:spacing w:val="-8"/>
        </w:rPr>
        <w:t> </w:t>
      </w:r>
      <w:r>
        <w:rPr/>
        <w:t>the</w:t>
      </w:r>
      <w:r>
        <w:rPr>
          <w:spacing w:val="-10"/>
        </w:rPr>
        <w:t> </w:t>
      </w:r>
      <w:r>
        <w:rPr/>
        <w:t>New</w:t>
      </w:r>
      <w:r>
        <w:rPr>
          <w:spacing w:val="-15"/>
        </w:rPr>
        <w:t> </w:t>
      </w:r>
      <w:r>
        <w:rPr/>
        <w:t>York</w:t>
      </w:r>
      <w:r>
        <w:rPr>
          <w:spacing w:val="-10"/>
        </w:rPr>
        <w:t> </w:t>
      </w:r>
      <w:r>
        <w:rPr/>
        <w:t>State</w:t>
      </w:r>
      <w:r>
        <w:rPr>
          <w:spacing w:val="-8"/>
        </w:rPr>
        <w:t> </w:t>
      </w:r>
      <w:r>
        <w:rPr/>
        <w:t>Legislature amended</w:t>
      </w:r>
      <w:r>
        <w:rPr>
          <w:spacing w:val="-14"/>
        </w:rPr>
        <w:t> </w:t>
      </w:r>
      <w:r>
        <w:rPr/>
        <w:t>the</w:t>
      </w:r>
      <w:r>
        <w:rPr>
          <w:spacing w:val="-14"/>
        </w:rPr>
        <w:t> </w:t>
      </w:r>
      <w:r>
        <w:rPr/>
        <w:t>insurance</w:t>
      </w:r>
      <w:r>
        <w:rPr>
          <w:spacing w:val="-14"/>
        </w:rPr>
        <w:t> </w:t>
      </w:r>
      <w:r>
        <w:rPr/>
        <w:t>law</w:t>
      </w:r>
      <w:r>
        <w:rPr>
          <w:spacing w:val="-16"/>
        </w:rPr>
        <w:t> </w:t>
      </w:r>
      <w:r>
        <w:rPr/>
        <w:t>by</w:t>
      </w:r>
      <w:r>
        <w:rPr>
          <w:spacing w:val="-17"/>
        </w:rPr>
        <w:t> </w:t>
      </w:r>
      <w:r>
        <w:rPr/>
        <w:t>adding</w:t>
      </w:r>
      <w:r>
        <w:rPr>
          <w:spacing w:val="-12"/>
        </w:rPr>
        <w:t> </w:t>
      </w:r>
      <w:r>
        <w:rPr>
          <w:spacing w:val="-3"/>
        </w:rPr>
        <w:t>§3407- </w:t>
      </w:r>
      <w:r>
        <w:rPr/>
        <w:t>a which now requires the insurer to share with the consumer its building damage estimates upon demand.</w:t>
      </w:r>
      <w:r>
        <w:rPr>
          <w:vertAlign w:val="superscript"/>
        </w:rPr>
        <w:t>605</w:t>
      </w:r>
      <w:r>
        <w:rPr>
          <w:vertAlign w:val="baseline"/>
        </w:rPr>
        <w:t> The author drafted</w:t>
      </w:r>
      <w:r>
        <w:rPr>
          <w:spacing w:val="60"/>
          <w:vertAlign w:val="baseline"/>
        </w:rPr>
        <w:t> </w:t>
      </w:r>
      <w:r>
        <w:rPr>
          <w:spacing w:val="-13"/>
          <w:vertAlign w:val="baseline"/>
        </w:rPr>
        <w:t>and</w:t>
      </w:r>
    </w:p>
    <w:p>
      <w:pPr>
        <w:pStyle w:val="BodyText"/>
        <w:rPr>
          <w:sz w:val="20"/>
        </w:rPr>
      </w:pPr>
    </w:p>
    <w:p>
      <w:pPr>
        <w:pStyle w:val="BodyText"/>
        <w:spacing w:before="5"/>
        <w:rPr>
          <w:sz w:val="19"/>
        </w:rPr>
      </w:pPr>
      <w:r>
        <w:rPr/>
        <w:pict>
          <v:shape style="position:absolute;margin-left:162pt;margin-top:14.339931pt;width:143.9pt;height:.1pt;mso-position-horizontal-relative:page;mso-position-vertical-relative:paragraph;z-index:-251446272;mso-wrap-distance-left:0;mso-wrap-distance-right:0" coordorigin="3240,287" coordsize="2878,0" path="m3240,287l6118,28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3015" w:val="left" w:leader="none"/>
        </w:tabs>
        <w:spacing w:line="240" w:lineRule="auto" w:before="71" w:after="0"/>
        <w:ind w:left="3014" w:right="0" w:hanging="275"/>
        <w:jc w:val="left"/>
        <w:rPr>
          <w:sz w:val="24"/>
        </w:rPr>
      </w:pPr>
      <w:r>
        <w:rPr>
          <w:sz w:val="18"/>
          <w:u w:val="single"/>
        </w:rPr>
        <w:t>Employers Mut. Cas. Co. v. Skoutaris</w:t>
      </w:r>
      <w:r>
        <w:rPr>
          <w:sz w:val="18"/>
        </w:rPr>
        <w:t>, 453 F.3d 915 C.A.7 (Ind.</w:t>
      </w:r>
      <w:r>
        <w:rPr>
          <w:spacing w:val="5"/>
          <w:sz w:val="18"/>
        </w:rPr>
        <w:t> </w:t>
      </w:r>
      <w:r>
        <w:rPr>
          <w:sz w:val="18"/>
        </w:rPr>
        <w:t>2006)</w:t>
      </w:r>
      <w:r>
        <w:rPr>
          <w:sz w:val="24"/>
        </w:rPr>
        <w:t>.</w:t>
      </w:r>
    </w:p>
    <w:p>
      <w:pPr>
        <w:pStyle w:val="ListParagraph"/>
        <w:numPr>
          <w:ilvl w:val="0"/>
          <w:numId w:val="15"/>
        </w:numPr>
        <w:tabs>
          <w:tab w:pos="3018" w:val="left" w:leader="none"/>
        </w:tabs>
        <w:spacing w:line="240" w:lineRule="auto" w:before="1" w:after="0"/>
        <w:ind w:left="3017" w:right="0" w:hanging="278"/>
        <w:jc w:val="left"/>
        <w:rPr>
          <w:sz w:val="18"/>
        </w:rPr>
      </w:pPr>
      <w:r>
        <w:rPr>
          <w:sz w:val="18"/>
        </w:rPr>
        <w:t>Property/Casualty Insurance Contract and Policy Standard Provisions, N. Y. Ins.</w:t>
      </w:r>
      <w:r>
        <w:rPr>
          <w:spacing w:val="12"/>
          <w:sz w:val="18"/>
        </w:rPr>
        <w:t> </w:t>
      </w:r>
      <w:r>
        <w:rPr>
          <w:sz w:val="18"/>
        </w:rPr>
        <w:t>Law</w:t>
      </w:r>
    </w:p>
    <w:p>
      <w:pPr>
        <w:spacing w:before="18"/>
        <w:ind w:left="2740" w:right="0" w:firstLine="0"/>
        <w:jc w:val="left"/>
        <w:rPr>
          <w:rFonts w:ascii="Times New Roman" w:hAnsi="Times New Roman"/>
          <w:sz w:val="18"/>
        </w:rPr>
      </w:pPr>
      <w:r>
        <w:rPr>
          <w:rFonts w:ascii="Times New Roman" w:hAnsi="Times New Roman"/>
          <w:sz w:val="18"/>
        </w:rPr>
        <w:t>§3407-a (McKinney 2003).</w:t>
      </w:r>
    </w:p>
    <w:p>
      <w:pPr>
        <w:spacing w:after="0"/>
        <w:jc w:val="left"/>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8"/>
        <w:jc w:val="both"/>
      </w:pPr>
      <w:bookmarkStart w:name="Law and Procedure 284" w:id="104"/>
      <w:bookmarkEnd w:id="104"/>
      <w:r>
        <w:rPr/>
      </w:r>
      <w:r>
        <w:rPr/>
        <w:t>lobbied</w:t>
      </w:r>
      <w:r>
        <w:rPr>
          <w:spacing w:val="-31"/>
        </w:rPr>
        <w:t> </w:t>
      </w:r>
      <w:r>
        <w:rPr/>
        <w:t>for</w:t>
      </w:r>
      <w:r>
        <w:rPr>
          <w:spacing w:val="-31"/>
        </w:rPr>
        <w:t> </w:t>
      </w:r>
      <w:r>
        <w:rPr/>
        <w:t>the</w:t>
      </w:r>
      <w:r>
        <w:rPr>
          <w:spacing w:val="-30"/>
        </w:rPr>
        <w:t> </w:t>
      </w:r>
      <w:r>
        <w:rPr/>
        <w:t>passage</w:t>
      </w:r>
      <w:r>
        <w:rPr>
          <w:spacing w:val="-28"/>
        </w:rPr>
        <w:t> </w:t>
      </w:r>
      <w:r>
        <w:rPr/>
        <w:t>of</w:t>
      </w:r>
      <w:r>
        <w:rPr>
          <w:spacing w:val="-29"/>
        </w:rPr>
        <w:t> </w:t>
      </w:r>
      <w:r>
        <w:rPr/>
        <w:t>this</w:t>
      </w:r>
      <w:r>
        <w:rPr>
          <w:spacing w:val="-28"/>
        </w:rPr>
        <w:t> </w:t>
      </w:r>
      <w:r>
        <w:rPr/>
        <w:t>legislation</w:t>
      </w:r>
      <w:r>
        <w:rPr>
          <w:spacing w:val="-29"/>
        </w:rPr>
        <w:t> </w:t>
      </w:r>
      <w:r>
        <w:rPr/>
        <w:t>which was</w:t>
      </w:r>
      <w:r>
        <w:rPr>
          <w:spacing w:val="-28"/>
        </w:rPr>
        <w:t> </w:t>
      </w:r>
      <w:r>
        <w:rPr/>
        <w:t>adopted</w:t>
      </w:r>
      <w:r>
        <w:rPr>
          <w:spacing w:val="-28"/>
        </w:rPr>
        <w:t> </w:t>
      </w:r>
      <w:r>
        <w:rPr/>
        <w:t>effective</w:t>
      </w:r>
      <w:r>
        <w:rPr>
          <w:spacing w:val="-27"/>
        </w:rPr>
        <w:t> </w:t>
      </w:r>
      <w:r>
        <w:rPr/>
        <w:t>March,</w:t>
      </w:r>
      <w:r>
        <w:rPr>
          <w:spacing w:val="-28"/>
        </w:rPr>
        <w:t> </w:t>
      </w:r>
      <w:r>
        <w:rPr/>
        <w:t>2002.</w:t>
      </w:r>
      <w:r>
        <w:rPr>
          <w:spacing w:val="-27"/>
        </w:rPr>
        <w:t> </w:t>
      </w:r>
      <w:r>
        <w:rPr>
          <w:spacing w:val="3"/>
        </w:rPr>
        <w:t>It</w:t>
      </w:r>
      <w:r>
        <w:rPr>
          <w:spacing w:val="19"/>
        </w:rPr>
        <w:t> </w:t>
      </w:r>
      <w:r>
        <w:rPr/>
        <w:t>requires every insurance policy issued in the state of New York to contain a provision requiring the production of building damage </w:t>
      </w:r>
      <w:r>
        <w:rPr>
          <w:spacing w:val="-3"/>
        </w:rPr>
        <w:t>estimates </w:t>
      </w:r>
      <w:r>
        <w:rPr/>
        <w:t>prepared on behalf of the carrier upon demand by the insured or its</w:t>
      </w:r>
      <w:r>
        <w:rPr>
          <w:spacing w:val="-22"/>
        </w:rPr>
        <w:t> </w:t>
      </w:r>
      <w:r>
        <w:rPr/>
        <w:t>representatives.</w:t>
      </w:r>
    </w:p>
    <w:p>
      <w:pPr>
        <w:pStyle w:val="BodyText"/>
      </w:pPr>
    </w:p>
    <w:p>
      <w:pPr>
        <w:pStyle w:val="BodyText"/>
        <w:spacing w:line="242" w:lineRule="auto"/>
        <w:ind w:left="3100" w:right="3199" w:firstLine="720"/>
        <w:jc w:val="both"/>
      </w:pPr>
      <w:r>
        <w:rPr>
          <w:spacing w:val="3"/>
        </w:rPr>
        <w:t>In </w:t>
      </w:r>
      <w:r>
        <w:rPr/>
        <w:t>other jurisdictions, this information is routinely shared and where it is not yet the custom and practice to share the carrier’s estimates</w:t>
      </w:r>
      <w:r>
        <w:rPr>
          <w:spacing w:val="-25"/>
        </w:rPr>
        <w:t> </w:t>
      </w:r>
      <w:r>
        <w:rPr/>
        <w:t>of</w:t>
      </w:r>
      <w:r>
        <w:rPr>
          <w:spacing w:val="-24"/>
        </w:rPr>
        <w:t> </w:t>
      </w:r>
      <w:r>
        <w:rPr/>
        <w:t>damage</w:t>
      </w:r>
      <w:r>
        <w:rPr>
          <w:spacing w:val="-21"/>
        </w:rPr>
        <w:t> </w:t>
      </w:r>
      <w:r>
        <w:rPr/>
        <w:t>with</w:t>
      </w:r>
      <w:r>
        <w:rPr>
          <w:spacing w:val="-25"/>
        </w:rPr>
        <w:t> </w:t>
      </w:r>
      <w:r>
        <w:rPr/>
        <w:t>the</w:t>
      </w:r>
      <w:r>
        <w:rPr>
          <w:spacing w:val="-24"/>
        </w:rPr>
        <w:t> </w:t>
      </w:r>
      <w:r>
        <w:rPr/>
        <w:t>insured,</w:t>
      </w:r>
      <w:r>
        <w:rPr>
          <w:spacing w:val="-28"/>
        </w:rPr>
        <w:t> </w:t>
      </w:r>
      <w:r>
        <w:rPr/>
        <w:t>it</w:t>
      </w:r>
      <w:r>
        <w:rPr>
          <w:spacing w:val="-26"/>
        </w:rPr>
        <w:t> </w:t>
      </w:r>
      <w:r>
        <w:rPr/>
        <w:t>should be.</w:t>
      </w:r>
    </w:p>
    <w:p>
      <w:pPr>
        <w:pStyle w:val="BodyText"/>
        <w:spacing w:before="1"/>
      </w:pPr>
    </w:p>
    <w:p>
      <w:pPr>
        <w:pStyle w:val="BodyText"/>
        <w:spacing w:line="242" w:lineRule="auto"/>
        <w:ind w:left="3100" w:right="3197" w:firstLine="720"/>
        <w:jc w:val="both"/>
      </w:pPr>
      <w:r>
        <w:rPr/>
        <w:t>The insurance carrier’s estimates of loss, value and damage are prepared in the ordinary course of the insurer’s business and should be shared upon request to help the parties identify areas of agreement, disagreement, as well as misunderstandings and omissions.</w:t>
      </w:r>
      <w:r>
        <w:rPr>
          <w:vertAlign w:val="superscript"/>
        </w:rPr>
        <w:t>606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r>
        <w:rPr/>
        <w:pict>
          <v:shape style="position:absolute;margin-left:162pt;margin-top:16.368032pt;width:143.9pt;height:.1pt;mso-position-horizontal-relative:page;mso-position-vertical-relative:paragraph;z-index:-251445248;mso-wrap-distance-left:0;mso-wrap-distance-right:0" coordorigin="3240,327" coordsize="2878,0" path="m3240,327l6118,32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3006" w:val="left" w:leader="none"/>
        </w:tabs>
        <w:spacing w:line="254" w:lineRule="auto" w:before="71" w:after="0"/>
        <w:ind w:left="2740" w:right="2845" w:firstLine="0"/>
        <w:jc w:val="both"/>
        <w:rPr>
          <w:sz w:val="18"/>
        </w:rPr>
      </w:pPr>
      <w:r>
        <w:rPr>
          <w:sz w:val="18"/>
          <w:u w:val="single"/>
        </w:rPr>
        <w:t>Mold</w:t>
      </w:r>
      <w:r>
        <w:rPr>
          <w:spacing w:val="-9"/>
          <w:sz w:val="18"/>
          <w:u w:val="single"/>
        </w:rPr>
        <w:t> </w:t>
      </w:r>
      <w:r>
        <w:rPr>
          <w:sz w:val="18"/>
          <w:u w:val="single"/>
        </w:rPr>
        <w:t>Maintenance</w:t>
      </w:r>
      <w:r>
        <w:rPr>
          <w:spacing w:val="-12"/>
          <w:sz w:val="18"/>
          <w:u w:val="single"/>
        </w:rPr>
        <w:t> </w:t>
      </w:r>
      <w:r>
        <w:rPr>
          <w:sz w:val="18"/>
          <w:u w:val="single"/>
        </w:rPr>
        <w:t>Corp.</w:t>
      </w:r>
      <w:r>
        <w:rPr>
          <w:spacing w:val="-9"/>
          <w:sz w:val="18"/>
          <w:u w:val="single"/>
        </w:rPr>
        <w:t> </w:t>
      </w:r>
      <w:r>
        <w:rPr>
          <w:sz w:val="18"/>
          <w:u w:val="single"/>
        </w:rPr>
        <w:t>v.</w:t>
      </w:r>
      <w:r>
        <w:rPr>
          <w:spacing w:val="-10"/>
          <w:sz w:val="18"/>
          <w:u w:val="single"/>
        </w:rPr>
        <w:t> </w:t>
      </w:r>
      <w:r>
        <w:rPr>
          <w:sz w:val="18"/>
          <w:u w:val="single"/>
        </w:rPr>
        <w:t>General</w:t>
      </w:r>
      <w:r>
        <w:rPr>
          <w:spacing w:val="-12"/>
          <w:sz w:val="18"/>
          <w:u w:val="single"/>
        </w:rPr>
        <w:t> </w:t>
      </w:r>
      <w:r>
        <w:rPr>
          <w:sz w:val="18"/>
          <w:u w:val="single"/>
        </w:rPr>
        <w:t>Acc.</w:t>
      </w:r>
      <w:r>
        <w:rPr>
          <w:spacing w:val="-10"/>
          <w:sz w:val="18"/>
          <w:u w:val="single"/>
        </w:rPr>
        <w:t> </w:t>
      </w:r>
      <w:r>
        <w:rPr>
          <w:sz w:val="18"/>
          <w:u w:val="single"/>
        </w:rPr>
        <w:t>Fire</w:t>
      </w:r>
      <w:r>
        <w:rPr>
          <w:spacing w:val="-10"/>
          <w:sz w:val="18"/>
          <w:u w:val="single"/>
        </w:rPr>
        <w:t> </w:t>
      </w:r>
      <w:r>
        <w:rPr>
          <w:sz w:val="18"/>
          <w:u w:val="single"/>
        </w:rPr>
        <w:t>&amp;</w:t>
      </w:r>
      <w:r>
        <w:rPr>
          <w:spacing w:val="-10"/>
          <w:sz w:val="18"/>
          <w:u w:val="single"/>
        </w:rPr>
        <w:t> </w:t>
      </w:r>
      <w:r>
        <w:rPr>
          <w:sz w:val="18"/>
          <w:u w:val="single"/>
        </w:rPr>
        <w:t>Life</w:t>
      </w:r>
      <w:r>
        <w:rPr>
          <w:spacing w:val="-12"/>
          <w:sz w:val="18"/>
          <w:u w:val="single"/>
        </w:rPr>
        <w:t> </w:t>
      </w:r>
      <w:r>
        <w:rPr>
          <w:sz w:val="18"/>
          <w:u w:val="single"/>
        </w:rPr>
        <w:t>Assur.</w:t>
      </w:r>
      <w:r>
        <w:rPr>
          <w:spacing w:val="-10"/>
          <w:sz w:val="18"/>
          <w:u w:val="single"/>
        </w:rPr>
        <w:t> </w:t>
      </w:r>
      <w:r>
        <w:rPr>
          <w:sz w:val="18"/>
          <w:u w:val="single"/>
        </w:rPr>
        <w:t>Corp.</w:t>
      </w:r>
      <w:r>
        <w:rPr>
          <w:sz w:val="18"/>
        </w:rPr>
        <w:t>,</w:t>
      </w:r>
      <w:r>
        <w:rPr>
          <w:spacing w:val="-8"/>
          <w:sz w:val="18"/>
        </w:rPr>
        <w:t> </w:t>
      </w:r>
      <w:r>
        <w:rPr>
          <w:sz w:val="18"/>
        </w:rPr>
        <w:t>56</w:t>
      </w:r>
      <w:r>
        <w:rPr>
          <w:spacing w:val="-12"/>
          <w:sz w:val="18"/>
        </w:rPr>
        <w:t> </w:t>
      </w:r>
      <w:r>
        <w:rPr>
          <w:sz w:val="18"/>
        </w:rPr>
        <w:t>A.D.2d</w:t>
      </w:r>
      <w:r>
        <w:rPr>
          <w:spacing w:val="-8"/>
          <w:sz w:val="18"/>
        </w:rPr>
        <w:t> </w:t>
      </w:r>
      <w:r>
        <w:rPr>
          <w:sz w:val="18"/>
        </w:rPr>
        <w:t>134,</w:t>
      </w:r>
      <w:r>
        <w:rPr>
          <w:spacing w:val="-10"/>
          <w:sz w:val="18"/>
        </w:rPr>
        <w:t> </w:t>
      </w:r>
      <w:r>
        <w:rPr>
          <w:sz w:val="18"/>
        </w:rPr>
        <w:t>392 N.Y.S.2d</w:t>
      </w:r>
      <w:r>
        <w:rPr>
          <w:spacing w:val="-3"/>
          <w:sz w:val="18"/>
        </w:rPr>
        <w:t> </w:t>
      </w:r>
      <w:r>
        <w:rPr>
          <w:sz w:val="18"/>
        </w:rPr>
        <w:t>104</w:t>
      </w:r>
      <w:r>
        <w:rPr>
          <w:spacing w:val="-5"/>
          <w:sz w:val="18"/>
        </w:rPr>
        <w:t> </w:t>
      </w:r>
      <w:r>
        <w:rPr>
          <w:sz w:val="18"/>
        </w:rPr>
        <w:t>(4</w:t>
      </w:r>
      <w:r>
        <w:rPr>
          <w:position w:val="7"/>
          <w:sz w:val="10"/>
        </w:rPr>
        <w:t>th</w:t>
      </w:r>
      <w:r>
        <w:rPr>
          <w:spacing w:val="16"/>
          <w:position w:val="7"/>
          <w:sz w:val="10"/>
        </w:rPr>
        <w:t> </w:t>
      </w:r>
      <w:r>
        <w:rPr>
          <w:sz w:val="18"/>
        </w:rPr>
        <w:t>Dept.</w:t>
      </w:r>
      <w:r>
        <w:rPr>
          <w:spacing w:val="-6"/>
          <w:sz w:val="18"/>
        </w:rPr>
        <w:t> </w:t>
      </w:r>
      <w:r>
        <w:rPr>
          <w:sz w:val="18"/>
        </w:rPr>
        <w:t>1977);</w:t>
      </w:r>
      <w:r>
        <w:rPr>
          <w:spacing w:val="-4"/>
          <w:sz w:val="18"/>
        </w:rPr>
        <w:t> </w:t>
      </w:r>
      <w:r>
        <w:rPr>
          <w:sz w:val="18"/>
          <w:u w:val="single"/>
        </w:rPr>
        <w:t>Millen</w:t>
      </w:r>
      <w:r>
        <w:rPr>
          <w:spacing w:val="-3"/>
          <w:sz w:val="18"/>
          <w:u w:val="single"/>
        </w:rPr>
        <w:t> </w:t>
      </w:r>
      <w:r>
        <w:rPr>
          <w:sz w:val="18"/>
          <w:u w:val="single"/>
        </w:rPr>
        <w:t>Ind.</w:t>
      </w:r>
      <w:r>
        <w:rPr>
          <w:spacing w:val="-4"/>
          <w:sz w:val="18"/>
          <w:u w:val="single"/>
        </w:rPr>
        <w:t> </w:t>
      </w:r>
      <w:r>
        <w:rPr>
          <w:sz w:val="18"/>
          <w:u w:val="single"/>
        </w:rPr>
        <w:t>v.</w:t>
      </w:r>
      <w:r>
        <w:rPr>
          <w:spacing w:val="-4"/>
          <w:sz w:val="18"/>
          <w:u w:val="single"/>
        </w:rPr>
        <w:t> </w:t>
      </w:r>
      <w:r>
        <w:rPr>
          <w:sz w:val="18"/>
          <w:u w:val="single"/>
        </w:rPr>
        <w:t>American</w:t>
      </w:r>
      <w:r>
        <w:rPr>
          <w:spacing w:val="-4"/>
          <w:sz w:val="18"/>
          <w:u w:val="single"/>
        </w:rPr>
        <w:t> </w:t>
      </w:r>
      <w:r>
        <w:rPr>
          <w:sz w:val="18"/>
          <w:u w:val="single"/>
        </w:rPr>
        <w:t>Mut.</w:t>
      </w:r>
      <w:r>
        <w:rPr>
          <w:spacing w:val="-4"/>
          <w:sz w:val="18"/>
          <w:u w:val="single"/>
        </w:rPr>
        <w:t> </w:t>
      </w:r>
      <w:r>
        <w:rPr>
          <w:sz w:val="18"/>
          <w:u w:val="single"/>
        </w:rPr>
        <w:t>Liability</w:t>
      </w:r>
      <w:r>
        <w:rPr>
          <w:spacing w:val="-7"/>
          <w:sz w:val="18"/>
          <w:u w:val="single"/>
        </w:rPr>
        <w:t> </w:t>
      </w:r>
      <w:r>
        <w:rPr>
          <w:sz w:val="18"/>
          <w:u w:val="single"/>
        </w:rPr>
        <w:t>Ins.</w:t>
      </w:r>
      <w:r>
        <w:rPr>
          <w:spacing w:val="-4"/>
          <w:sz w:val="18"/>
          <w:u w:val="single"/>
        </w:rPr>
        <w:t> </w:t>
      </w:r>
      <w:r>
        <w:rPr>
          <w:sz w:val="18"/>
          <w:u w:val="single"/>
        </w:rPr>
        <w:t>Co.</w:t>
      </w:r>
      <w:r>
        <w:rPr>
          <w:sz w:val="18"/>
        </w:rPr>
        <w:t>,</w:t>
      </w:r>
      <w:r>
        <w:rPr>
          <w:spacing w:val="-5"/>
          <w:sz w:val="18"/>
        </w:rPr>
        <w:t> </w:t>
      </w:r>
      <w:r>
        <w:rPr>
          <w:sz w:val="18"/>
        </w:rPr>
        <w:t>37</w:t>
      </w:r>
      <w:r>
        <w:rPr>
          <w:spacing w:val="-3"/>
          <w:sz w:val="18"/>
        </w:rPr>
        <w:t> </w:t>
      </w:r>
      <w:r>
        <w:rPr>
          <w:sz w:val="18"/>
        </w:rPr>
        <w:t>A.D.2d 817,</w:t>
      </w:r>
      <w:r>
        <w:rPr>
          <w:spacing w:val="21"/>
          <w:sz w:val="18"/>
        </w:rPr>
        <w:t> </w:t>
      </w:r>
      <w:r>
        <w:rPr>
          <w:sz w:val="18"/>
        </w:rPr>
        <w:t>324</w:t>
      </w:r>
      <w:r>
        <w:rPr>
          <w:spacing w:val="23"/>
          <w:sz w:val="18"/>
        </w:rPr>
        <w:t> </w:t>
      </w:r>
      <w:r>
        <w:rPr>
          <w:sz w:val="18"/>
        </w:rPr>
        <w:t>N.Y.S.2d</w:t>
      </w:r>
      <w:r>
        <w:rPr>
          <w:spacing w:val="21"/>
          <w:sz w:val="18"/>
        </w:rPr>
        <w:t> </w:t>
      </w:r>
      <w:r>
        <w:rPr>
          <w:sz w:val="18"/>
        </w:rPr>
        <w:t>930</w:t>
      </w:r>
      <w:r>
        <w:rPr>
          <w:spacing w:val="23"/>
          <w:sz w:val="18"/>
        </w:rPr>
        <w:t> </w:t>
      </w:r>
      <w:r>
        <w:rPr>
          <w:sz w:val="18"/>
        </w:rPr>
        <w:t>(1</w:t>
      </w:r>
      <w:r>
        <w:rPr>
          <w:position w:val="7"/>
          <w:sz w:val="10"/>
        </w:rPr>
        <w:t>st</w:t>
      </w:r>
      <w:r>
        <w:rPr>
          <w:spacing w:val="19"/>
          <w:position w:val="7"/>
          <w:sz w:val="10"/>
        </w:rPr>
        <w:t> </w:t>
      </w:r>
      <w:r>
        <w:rPr>
          <w:sz w:val="18"/>
        </w:rPr>
        <w:t>Dept.</w:t>
      </w:r>
      <w:r>
        <w:rPr>
          <w:spacing w:val="21"/>
          <w:sz w:val="18"/>
        </w:rPr>
        <w:t> </w:t>
      </w:r>
      <w:r>
        <w:rPr>
          <w:sz w:val="18"/>
        </w:rPr>
        <w:t>1971);</w:t>
      </w:r>
      <w:r>
        <w:rPr>
          <w:spacing w:val="22"/>
          <w:sz w:val="18"/>
        </w:rPr>
        <w:t> </w:t>
      </w:r>
      <w:r>
        <w:rPr>
          <w:sz w:val="18"/>
          <w:u w:val="single"/>
        </w:rPr>
        <w:t>Welch</w:t>
      </w:r>
      <w:r>
        <w:rPr>
          <w:spacing w:val="26"/>
          <w:sz w:val="18"/>
          <w:u w:val="single"/>
        </w:rPr>
        <w:t> </w:t>
      </w:r>
      <w:r>
        <w:rPr>
          <w:sz w:val="18"/>
          <w:u w:val="single"/>
        </w:rPr>
        <w:t>v.</w:t>
      </w:r>
      <w:r>
        <w:rPr>
          <w:spacing w:val="27"/>
          <w:sz w:val="18"/>
          <w:u w:val="single"/>
        </w:rPr>
        <w:t> </w:t>
      </w:r>
      <w:r>
        <w:rPr>
          <w:sz w:val="18"/>
          <w:u w:val="single"/>
        </w:rPr>
        <w:t>Globe</w:t>
      </w:r>
      <w:r>
        <w:rPr>
          <w:spacing w:val="21"/>
          <w:sz w:val="18"/>
          <w:u w:val="single"/>
        </w:rPr>
        <w:t> </w:t>
      </w:r>
      <w:r>
        <w:rPr>
          <w:sz w:val="18"/>
          <w:u w:val="single"/>
        </w:rPr>
        <w:t>Ind.</w:t>
      </w:r>
      <w:r>
        <w:rPr>
          <w:spacing w:val="21"/>
          <w:sz w:val="18"/>
          <w:u w:val="single"/>
        </w:rPr>
        <w:t> </w:t>
      </w:r>
      <w:r>
        <w:rPr>
          <w:sz w:val="18"/>
          <w:u w:val="single"/>
        </w:rPr>
        <w:t>Co.</w:t>
      </w:r>
      <w:r>
        <w:rPr>
          <w:sz w:val="18"/>
        </w:rPr>
        <w:t>,</w:t>
      </w:r>
      <w:r>
        <w:rPr>
          <w:spacing w:val="22"/>
          <w:sz w:val="18"/>
        </w:rPr>
        <w:t> </w:t>
      </w:r>
      <w:r>
        <w:rPr>
          <w:sz w:val="18"/>
        </w:rPr>
        <w:t>25</w:t>
      </w:r>
      <w:r>
        <w:rPr>
          <w:spacing w:val="23"/>
          <w:sz w:val="18"/>
        </w:rPr>
        <w:t> </w:t>
      </w:r>
      <w:r>
        <w:rPr>
          <w:sz w:val="18"/>
        </w:rPr>
        <w:t>A.D.2d</w:t>
      </w:r>
      <w:r>
        <w:rPr>
          <w:spacing w:val="23"/>
          <w:sz w:val="18"/>
        </w:rPr>
        <w:t> </w:t>
      </w:r>
      <w:r>
        <w:rPr>
          <w:sz w:val="18"/>
        </w:rPr>
        <w:t>70,</w:t>
      </w:r>
      <w:r>
        <w:rPr>
          <w:spacing w:val="22"/>
          <w:sz w:val="18"/>
        </w:rPr>
        <w:t> </w:t>
      </w:r>
      <w:r>
        <w:rPr>
          <w:sz w:val="18"/>
        </w:rPr>
        <w:t>267</w:t>
      </w:r>
    </w:p>
    <w:p>
      <w:pPr>
        <w:spacing w:line="197" w:lineRule="exact" w:before="0"/>
        <w:ind w:left="2740" w:right="0" w:firstLine="0"/>
        <w:jc w:val="both"/>
        <w:rPr>
          <w:rFonts w:ascii="Times New Roman"/>
          <w:sz w:val="18"/>
        </w:rPr>
      </w:pPr>
      <w:r>
        <w:rPr>
          <w:rFonts w:ascii="Times New Roman"/>
          <w:sz w:val="18"/>
        </w:rPr>
        <w:t>N.Y.S.2d</w:t>
      </w:r>
      <w:r>
        <w:rPr>
          <w:rFonts w:ascii="Times New Roman"/>
          <w:spacing w:val="-3"/>
          <w:sz w:val="18"/>
        </w:rPr>
        <w:t> </w:t>
      </w:r>
      <w:r>
        <w:rPr>
          <w:rFonts w:ascii="Times New Roman"/>
          <w:sz w:val="18"/>
        </w:rPr>
        <w:t>48</w:t>
      </w:r>
      <w:r>
        <w:rPr>
          <w:rFonts w:ascii="Times New Roman"/>
          <w:spacing w:val="-4"/>
          <w:sz w:val="18"/>
        </w:rPr>
        <w:t> </w:t>
      </w:r>
      <w:r>
        <w:rPr>
          <w:rFonts w:ascii="Times New Roman"/>
          <w:sz w:val="18"/>
        </w:rPr>
        <w:t>(3d</w:t>
      </w:r>
      <w:r>
        <w:rPr>
          <w:rFonts w:ascii="Times New Roman"/>
          <w:spacing w:val="-2"/>
          <w:sz w:val="18"/>
        </w:rPr>
        <w:t> </w:t>
      </w:r>
      <w:r>
        <w:rPr>
          <w:rFonts w:ascii="Times New Roman"/>
          <w:sz w:val="18"/>
        </w:rPr>
        <w:t>Dept.</w:t>
      </w:r>
      <w:r>
        <w:rPr>
          <w:rFonts w:ascii="Times New Roman"/>
          <w:spacing w:val="-4"/>
          <w:sz w:val="18"/>
        </w:rPr>
        <w:t> </w:t>
      </w:r>
      <w:r>
        <w:rPr>
          <w:rFonts w:ascii="Times New Roman"/>
          <w:sz w:val="18"/>
        </w:rPr>
        <w:t>1966);</w:t>
      </w:r>
      <w:r>
        <w:rPr>
          <w:rFonts w:ascii="Times New Roman"/>
          <w:spacing w:val="-3"/>
          <w:sz w:val="18"/>
        </w:rPr>
        <w:t> </w:t>
      </w:r>
      <w:r>
        <w:rPr>
          <w:rFonts w:ascii="Times New Roman"/>
          <w:sz w:val="18"/>
          <w:u w:val="single"/>
        </w:rPr>
        <w:t>Dikun</w:t>
      </w:r>
      <w:r>
        <w:rPr>
          <w:rFonts w:ascii="Times New Roman"/>
          <w:spacing w:val="-2"/>
          <w:sz w:val="18"/>
          <w:u w:val="single"/>
        </w:rPr>
        <w:t> </w:t>
      </w:r>
      <w:r>
        <w:rPr>
          <w:rFonts w:ascii="Times New Roman"/>
          <w:sz w:val="18"/>
          <w:u w:val="single"/>
        </w:rPr>
        <w:t>v.</w:t>
      </w:r>
      <w:r>
        <w:rPr>
          <w:rFonts w:ascii="Times New Roman"/>
          <w:spacing w:val="-3"/>
          <w:sz w:val="18"/>
          <w:u w:val="single"/>
        </w:rPr>
        <w:t> </w:t>
      </w:r>
      <w:r>
        <w:rPr>
          <w:rFonts w:ascii="Times New Roman"/>
          <w:sz w:val="18"/>
          <w:u w:val="single"/>
        </w:rPr>
        <w:t>N.</w:t>
      </w:r>
      <w:r>
        <w:rPr>
          <w:rFonts w:ascii="Times New Roman"/>
          <w:spacing w:val="-4"/>
          <w:sz w:val="18"/>
          <w:u w:val="single"/>
        </w:rPr>
        <w:t> </w:t>
      </w:r>
      <w:r>
        <w:rPr>
          <w:rFonts w:ascii="Times New Roman"/>
          <w:sz w:val="18"/>
          <w:u w:val="single"/>
        </w:rPr>
        <w:t>Y.</w:t>
      </w:r>
      <w:r>
        <w:rPr>
          <w:rFonts w:ascii="Times New Roman"/>
          <w:spacing w:val="-3"/>
          <w:sz w:val="18"/>
          <w:u w:val="single"/>
        </w:rPr>
        <w:t> </w:t>
      </w:r>
      <w:r>
        <w:rPr>
          <w:rFonts w:ascii="Times New Roman"/>
          <w:sz w:val="18"/>
          <w:u w:val="single"/>
        </w:rPr>
        <w:t>Central</w:t>
      </w:r>
      <w:r>
        <w:rPr>
          <w:rFonts w:ascii="Times New Roman"/>
          <w:spacing w:val="-1"/>
          <w:sz w:val="18"/>
          <w:u w:val="single"/>
        </w:rPr>
        <w:t> </w:t>
      </w:r>
      <w:r>
        <w:rPr>
          <w:rFonts w:ascii="Times New Roman"/>
          <w:sz w:val="18"/>
          <w:u w:val="single"/>
        </w:rPr>
        <w:t>R.R.</w:t>
      </w:r>
      <w:r>
        <w:rPr>
          <w:rFonts w:ascii="Times New Roman"/>
          <w:sz w:val="18"/>
        </w:rPr>
        <w:t>,</w:t>
      </w:r>
      <w:r>
        <w:rPr>
          <w:rFonts w:ascii="Times New Roman"/>
          <w:spacing w:val="-2"/>
          <w:sz w:val="18"/>
        </w:rPr>
        <w:t> </w:t>
      </w:r>
      <w:r>
        <w:rPr>
          <w:rFonts w:ascii="Times New Roman"/>
          <w:sz w:val="18"/>
        </w:rPr>
        <w:t>58 Misc.2d</w:t>
      </w:r>
      <w:r>
        <w:rPr>
          <w:rFonts w:ascii="Times New Roman"/>
          <w:spacing w:val="-2"/>
          <w:sz w:val="18"/>
        </w:rPr>
        <w:t> </w:t>
      </w:r>
      <w:r>
        <w:rPr>
          <w:rFonts w:ascii="Times New Roman"/>
          <w:sz w:val="18"/>
        </w:rPr>
        <w:t>439,</w:t>
      </w:r>
      <w:r>
        <w:rPr>
          <w:rFonts w:ascii="Times New Roman"/>
          <w:spacing w:val="-3"/>
          <w:sz w:val="18"/>
        </w:rPr>
        <w:t> </w:t>
      </w:r>
      <w:r>
        <w:rPr>
          <w:rFonts w:ascii="Times New Roman"/>
          <w:sz w:val="18"/>
        </w:rPr>
        <w:t>295</w:t>
      </w:r>
      <w:r>
        <w:rPr>
          <w:rFonts w:ascii="Times New Roman"/>
          <w:spacing w:val="-3"/>
          <w:sz w:val="18"/>
        </w:rPr>
        <w:t> </w:t>
      </w:r>
      <w:r>
        <w:rPr>
          <w:rFonts w:ascii="Times New Roman"/>
          <w:sz w:val="18"/>
        </w:rPr>
        <w:t>N.Y.S.2d</w:t>
      </w:r>
    </w:p>
    <w:p>
      <w:pPr>
        <w:spacing w:before="4"/>
        <w:ind w:left="2740" w:right="0" w:firstLine="0"/>
        <w:jc w:val="both"/>
        <w:rPr>
          <w:rFonts w:ascii="Times New Roman" w:hAnsi="Times New Roman"/>
          <w:sz w:val="18"/>
        </w:rPr>
      </w:pPr>
      <w:r>
        <w:rPr>
          <w:rFonts w:ascii="Times New Roman" w:hAnsi="Times New Roman"/>
          <w:sz w:val="18"/>
        </w:rPr>
        <w:t>830 (Sup. Ct. 1968), </w:t>
      </w:r>
      <w:r>
        <w:rPr>
          <w:rFonts w:ascii="Times New Roman" w:hAnsi="Times New Roman"/>
          <w:i/>
          <w:sz w:val="18"/>
        </w:rPr>
        <w:t>aff’d. by, </w:t>
      </w:r>
      <w:r>
        <w:rPr>
          <w:rFonts w:ascii="Times New Roman" w:hAnsi="Times New Roman"/>
          <w:sz w:val="18"/>
        </w:rPr>
        <w:t>31A.D.2d 719, 297 N.Y.S.2d 711 (4</w:t>
      </w:r>
      <w:r>
        <w:rPr>
          <w:rFonts w:ascii="Times New Roman" w:hAnsi="Times New Roman"/>
          <w:position w:val="7"/>
          <w:sz w:val="10"/>
        </w:rPr>
        <w:t>th  </w:t>
      </w:r>
      <w:r>
        <w:rPr>
          <w:rFonts w:ascii="Times New Roman" w:hAnsi="Times New Roman"/>
          <w:sz w:val="18"/>
        </w:rPr>
        <w:t>Dept. 1968);</w:t>
      </w:r>
      <w:r>
        <w:rPr>
          <w:rFonts w:ascii="Times New Roman" w:hAnsi="Times New Roman"/>
          <w:spacing w:val="37"/>
          <w:sz w:val="18"/>
        </w:rPr>
        <w:t> </w:t>
      </w:r>
      <w:r>
        <w:rPr>
          <w:rFonts w:ascii="Times New Roman" w:hAnsi="Times New Roman"/>
          <w:sz w:val="18"/>
          <w:u w:val="single"/>
        </w:rPr>
        <w:t>Kandel</w:t>
      </w:r>
    </w:p>
    <w:p>
      <w:pPr>
        <w:spacing w:line="244" w:lineRule="auto" w:before="5"/>
        <w:ind w:left="2740" w:right="2839" w:firstLine="0"/>
        <w:jc w:val="both"/>
        <w:rPr>
          <w:rFonts w:ascii="Times New Roman" w:hAnsi="Times New Roman"/>
          <w:sz w:val="18"/>
        </w:rPr>
      </w:pP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Tocher</w:t>
      </w:r>
      <w:r>
        <w:rPr>
          <w:rFonts w:ascii="Times New Roman" w:hAnsi="Times New Roman"/>
          <w:sz w:val="18"/>
        </w:rPr>
        <w:t>,</w:t>
      </w:r>
      <w:r>
        <w:rPr>
          <w:rFonts w:ascii="Times New Roman" w:hAnsi="Times New Roman"/>
          <w:spacing w:val="-14"/>
          <w:sz w:val="18"/>
        </w:rPr>
        <w:t> </w:t>
      </w:r>
      <w:r>
        <w:rPr>
          <w:rFonts w:ascii="Times New Roman" w:hAnsi="Times New Roman"/>
          <w:sz w:val="18"/>
        </w:rPr>
        <w:t>22</w:t>
      </w:r>
      <w:r>
        <w:rPr>
          <w:rFonts w:ascii="Times New Roman" w:hAnsi="Times New Roman"/>
          <w:spacing w:val="-12"/>
          <w:sz w:val="18"/>
        </w:rPr>
        <w:t> </w:t>
      </w:r>
      <w:r>
        <w:rPr>
          <w:rFonts w:ascii="Times New Roman" w:hAnsi="Times New Roman"/>
          <w:sz w:val="18"/>
        </w:rPr>
        <w:t>A.D.2d</w:t>
      </w:r>
      <w:r>
        <w:rPr>
          <w:rFonts w:ascii="Times New Roman" w:hAnsi="Times New Roman"/>
          <w:spacing w:val="-13"/>
          <w:sz w:val="18"/>
        </w:rPr>
        <w:t> </w:t>
      </w:r>
      <w:r>
        <w:rPr>
          <w:rFonts w:ascii="Times New Roman" w:hAnsi="Times New Roman"/>
          <w:sz w:val="18"/>
        </w:rPr>
        <w:t>513,</w:t>
      </w:r>
      <w:r>
        <w:rPr>
          <w:rFonts w:ascii="Times New Roman" w:hAnsi="Times New Roman"/>
          <w:spacing w:val="-16"/>
          <w:sz w:val="18"/>
        </w:rPr>
        <w:t> </w:t>
      </w:r>
      <w:r>
        <w:rPr>
          <w:rFonts w:ascii="Times New Roman" w:hAnsi="Times New Roman"/>
          <w:sz w:val="18"/>
        </w:rPr>
        <w:t>256</w:t>
      </w:r>
      <w:r>
        <w:rPr>
          <w:rFonts w:ascii="Times New Roman" w:hAnsi="Times New Roman"/>
          <w:spacing w:val="-14"/>
          <w:sz w:val="18"/>
        </w:rPr>
        <w:t> </w:t>
      </w:r>
      <w:r>
        <w:rPr>
          <w:rFonts w:ascii="Times New Roman" w:hAnsi="Times New Roman"/>
          <w:sz w:val="18"/>
        </w:rPr>
        <w:t>N.Y.S.2d</w:t>
      </w:r>
      <w:r>
        <w:rPr>
          <w:rFonts w:ascii="Times New Roman" w:hAnsi="Times New Roman"/>
          <w:spacing w:val="-15"/>
          <w:sz w:val="18"/>
        </w:rPr>
        <w:t> </w:t>
      </w:r>
      <w:r>
        <w:rPr>
          <w:rFonts w:ascii="Times New Roman" w:hAnsi="Times New Roman"/>
          <w:sz w:val="18"/>
        </w:rPr>
        <w:t>898</w:t>
      </w:r>
      <w:r>
        <w:rPr>
          <w:rFonts w:ascii="Times New Roman" w:hAnsi="Times New Roman"/>
          <w:spacing w:val="-15"/>
          <w:sz w:val="18"/>
        </w:rPr>
        <w:t> </w:t>
      </w:r>
      <w:r>
        <w:rPr>
          <w:rFonts w:ascii="Times New Roman" w:hAnsi="Times New Roman"/>
          <w:sz w:val="18"/>
        </w:rPr>
        <w:t>(1</w:t>
      </w:r>
      <w:r>
        <w:rPr>
          <w:rFonts w:ascii="Times New Roman" w:hAnsi="Times New Roman"/>
          <w:position w:val="7"/>
          <w:sz w:val="10"/>
        </w:rPr>
        <w:t>st</w:t>
      </w:r>
      <w:r>
        <w:rPr>
          <w:rFonts w:ascii="Times New Roman" w:hAnsi="Times New Roman"/>
          <w:spacing w:val="8"/>
          <w:position w:val="7"/>
          <w:sz w:val="10"/>
        </w:rPr>
        <w:t> </w:t>
      </w:r>
      <w:r>
        <w:rPr>
          <w:rFonts w:ascii="Times New Roman" w:hAnsi="Times New Roman"/>
          <w:sz w:val="18"/>
        </w:rPr>
        <w:t>Dept.</w:t>
      </w:r>
      <w:r>
        <w:rPr>
          <w:rFonts w:ascii="Times New Roman" w:hAnsi="Times New Roman"/>
          <w:spacing w:val="-16"/>
          <w:sz w:val="18"/>
        </w:rPr>
        <w:t> </w:t>
      </w:r>
      <w:r>
        <w:rPr>
          <w:rFonts w:ascii="Times New Roman" w:hAnsi="Times New Roman"/>
          <w:sz w:val="18"/>
        </w:rPr>
        <w:t>1965);</w:t>
      </w:r>
      <w:r>
        <w:rPr>
          <w:rFonts w:ascii="Times New Roman" w:hAnsi="Times New Roman"/>
          <w:spacing w:val="-16"/>
          <w:sz w:val="18"/>
        </w:rPr>
        <w:t> </w:t>
      </w:r>
      <w:r>
        <w:rPr>
          <w:rFonts w:ascii="Times New Roman" w:hAnsi="Times New Roman"/>
          <w:sz w:val="18"/>
          <w:u w:val="single"/>
        </w:rPr>
        <w:t>Carp’s</w:t>
      </w:r>
      <w:r>
        <w:rPr>
          <w:rFonts w:ascii="Times New Roman" w:hAnsi="Times New Roman"/>
          <w:spacing w:val="-14"/>
          <w:sz w:val="18"/>
          <w:u w:val="single"/>
        </w:rPr>
        <w:t> </w:t>
      </w:r>
      <w:r>
        <w:rPr>
          <w:rFonts w:ascii="Times New Roman" w:hAnsi="Times New Roman"/>
          <w:sz w:val="18"/>
          <w:u w:val="single"/>
        </w:rPr>
        <w:t>Delicatessen</w:t>
      </w:r>
      <w:r>
        <w:rPr>
          <w:rFonts w:ascii="Times New Roman" w:hAnsi="Times New Roman"/>
          <w:spacing w:val="-17"/>
          <w:sz w:val="18"/>
          <w:u w:val="single"/>
        </w:rPr>
        <w:t> </w:t>
      </w:r>
      <w:r>
        <w:rPr>
          <w:rFonts w:ascii="Times New Roman" w:hAnsi="Times New Roman"/>
          <w:sz w:val="18"/>
          <w:u w:val="single"/>
        </w:rPr>
        <w:t>v.</w:t>
      </w:r>
      <w:r>
        <w:rPr>
          <w:rFonts w:ascii="Times New Roman" w:hAnsi="Times New Roman"/>
          <w:spacing w:val="-14"/>
          <w:sz w:val="18"/>
          <w:u w:val="single"/>
        </w:rPr>
        <w:t> </w:t>
      </w:r>
      <w:r>
        <w:rPr>
          <w:rFonts w:ascii="Times New Roman" w:hAnsi="Times New Roman"/>
          <w:sz w:val="18"/>
          <w:u w:val="single"/>
        </w:rPr>
        <w:t>Allcity Ins.</w:t>
      </w:r>
      <w:r>
        <w:rPr>
          <w:rFonts w:ascii="Times New Roman" w:hAnsi="Times New Roman"/>
          <w:spacing w:val="-7"/>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5"/>
          <w:sz w:val="18"/>
        </w:rPr>
        <w:t> </w:t>
      </w:r>
      <w:r>
        <w:rPr>
          <w:rFonts w:ascii="Times New Roman" w:hAnsi="Times New Roman"/>
          <w:sz w:val="18"/>
        </w:rPr>
        <w:t>83</w:t>
      </w:r>
      <w:r>
        <w:rPr>
          <w:rFonts w:ascii="Times New Roman" w:hAnsi="Times New Roman"/>
          <w:spacing w:val="-8"/>
          <w:sz w:val="18"/>
        </w:rPr>
        <w:t> </w:t>
      </w:r>
      <w:r>
        <w:rPr>
          <w:rFonts w:ascii="Times New Roman" w:hAnsi="Times New Roman"/>
          <w:sz w:val="18"/>
        </w:rPr>
        <w:t>A.D.2d</w:t>
      </w:r>
      <w:r>
        <w:rPr>
          <w:rFonts w:ascii="Times New Roman" w:hAnsi="Times New Roman"/>
          <w:spacing w:val="-8"/>
          <w:sz w:val="18"/>
        </w:rPr>
        <w:t> </w:t>
      </w:r>
      <w:r>
        <w:rPr>
          <w:rFonts w:ascii="Times New Roman" w:hAnsi="Times New Roman"/>
          <w:sz w:val="18"/>
        </w:rPr>
        <w:t>504</w:t>
      </w:r>
      <w:r>
        <w:rPr>
          <w:rFonts w:ascii="Times New Roman" w:hAnsi="Times New Roman"/>
          <w:spacing w:val="-7"/>
          <w:sz w:val="18"/>
        </w:rPr>
        <w:t> </w:t>
      </w:r>
      <w:r>
        <w:rPr>
          <w:rFonts w:ascii="Times New Roman" w:hAnsi="Times New Roman"/>
          <w:sz w:val="18"/>
        </w:rPr>
        <w:t>(1</w:t>
      </w:r>
      <w:r>
        <w:rPr>
          <w:rFonts w:ascii="Times New Roman" w:hAnsi="Times New Roman"/>
          <w:position w:val="7"/>
          <w:sz w:val="10"/>
        </w:rPr>
        <w:t>st</w:t>
      </w:r>
      <w:r>
        <w:rPr>
          <w:rFonts w:ascii="Times New Roman" w:hAnsi="Times New Roman"/>
          <w:spacing w:val="13"/>
          <w:position w:val="7"/>
          <w:sz w:val="10"/>
        </w:rPr>
        <w:t> </w:t>
      </w:r>
      <w:r>
        <w:rPr>
          <w:rFonts w:ascii="Times New Roman" w:hAnsi="Times New Roman"/>
          <w:sz w:val="18"/>
        </w:rPr>
        <w:t>Dept.</w:t>
      </w:r>
      <w:r>
        <w:rPr>
          <w:rFonts w:ascii="Times New Roman" w:hAnsi="Times New Roman"/>
          <w:spacing w:val="-8"/>
          <w:sz w:val="18"/>
        </w:rPr>
        <w:t> </w:t>
      </w:r>
      <w:r>
        <w:rPr>
          <w:rFonts w:ascii="Times New Roman" w:hAnsi="Times New Roman"/>
          <w:sz w:val="18"/>
        </w:rPr>
        <w:t>1981);</w:t>
      </w:r>
      <w:r>
        <w:rPr>
          <w:rFonts w:ascii="Times New Roman" w:hAnsi="Times New Roman"/>
          <w:spacing w:val="-9"/>
          <w:sz w:val="18"/>
        </w:rPr>
        <w:t> </w:t>
      </w:r>
      <w:r>
        <w:rPr>
          <w:rFonts w:ascii="Times New Roman" w:hAnsi="Times New Roman"/>
          <w:sz w:val="18"/>
          <w:u w:val="single"/>
        </w:rPr>
        <w:t>Chemical</w:t>
      </w:r>
      <w:r>
        <w:rPr>
          <w:rFonts w:ascii="Times New Roman" w:hAnsi="Times New Roman"/>
          <w:spacing w:val="-9"/>
          <w:sz w:val="18"/>
          <w:u w:val="single"/>
        </w:rPr>
        <w:t> </w:t>
      </w:r>
      <w:r>
        <w:rPr>
          <w:rFonts w:ascii="Times New Roman" w:hAnsi="Times New Roman"/>
          <w:sz w:val="18"/>
          <w:u w:val="single"/>
        </w:rPr>
        <w:t>Bank</w:t>
      </w:r>
      <w:r>
        <w:rPr>
          <w:rFonts w:ascii="Times New Roman" w:hAnsi="Times New Roman"/>
          <w:spacing w:val="-11"/>
          <w:sz w:val="18"/>
          <w:u w:val="single"/>
        </w:rPr>
        <w:t> </w:t>
      </w:r>
      <w:r>
        <w:rPr>
          <w:rFonts w:ascii="Times New Roman" w:hAnsi="Times New Roman"/>
          <w:sz w:val="18"/>
          <w:u w:val="single"/>
        </w:rPr>
        <w:t>v.</w:t>
      </w:r>
      <w:r>
        <w:rPr>
          <w:rFonts w:ascii="Times New Roman" w:hAnsi="Times New Roman"/>
          <w:spacing w:val="-8"/>
          <w:sz w:val="18"/>
          <w:u w:val="single"/>
        </w:rPr>
        <w:t> </w:t>
      </w:r>
      <w:r>
        <w:rPr>
          <w:rFonts w:ascii="Times New Roman" w:hAnsi="Times New Roman"/>
          <w:sz w:val="18"/>
          <w:u w:val="single"/>
        </w:rPr>
        <w:t>National</w:t>
      </w:r>
      <w:r>
        <w:rPr>
          <w:rFonts w:ascii="Times New Roman" w:hAnsi="Times New Roman"/>
          <w:spacing w:val="-10"/>
          <w:sz w:val="18"/>
          <w:u w:val="single"/>
        </w:rPr>
        <w:t> </w:t>
      </w:r>
      <w:r>
        <w:rPr>
          <w:rFonts w:ascii="Times New Roman" w:hAnsi="Times New Roman"/>
          <w:sz w:val="18"/>
          <w:u w:val="single"/>
        </w:rPr>
        <w:t>Union</w:t>
      </w:r>
      <w:r>
        <w:rPr>
          <w:rFonts w:ascii="Times New Roman" w:hAnsi="Times New Roman"/>
          <w:spacing w:val="-5"/>
          <w:sz w:val="18"/>
          <w:u w:val="single"/>
        </w:rPr>
        <w:t> </w:t>
      </w:r>
      <w:r>
        <w:rPr>
          <w:rFonts w:ascii="Times New Roman" w:hAnsi="Times New Roman"/>
          <w:sz w:val="18"/>
          <w:u w:val="single"/>
        </w:rPr>
        <w:t>Fire</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6"/>
          <w:sz w:val="18"/>
          <w:u w:val="single"/>
        </w:rPr>
        <w:t> </w:t>
      </w:r>
      <w:r>
        <w:rPr>
          <w:rFonts w:ascii="Times New Roman" w:hAnsi="Times New Roman"/>
          <w:sz w:val="18"/>
          <w:u w:val="single"/>
        </w:rPr>
        <w:t>Co.</w:t>
      </w:r>
      <w:r>
        <w:rPr>
          <w:rFonts w:ascii="Times New Roman" w:hAnsi="Times New Roman"/>
          <w:spacing w:val="-8"/>
          <w:sz w:val="18"/>
          <w:u w:val="single"/>
        </w:rPr>
        <w:t> </w:t>
      </w:r>
      <w:r>
        <w:rPr>
          <w:rFonts w:ascii="Times New Roman" w:hAnsi="Times New Roman"/>
          <w:sz w:val="18"/>
          <w:u w:val="single"/>
        </w:rPr>
        <w:t>of Pittsburgh</w:t>
      </w:r>
      <w:r>
        <w:rPr>
          <w:rFonts w:ascii="Times New Roman" w:hAnsi="Times New Roman"/>
          <w:sz w:val="18"/>
        </w:rPr>
        <w:t>, 70 A.D.2d 837, 418 N.Y.S.2d 23 (1</w:t>
      </w:r>
      <w:r>
        <w:rPr>
          <w:rFonts w:ascii="Times New Roman" w:hAnsi="Times New Roman"/>
          <w:position w:val="7"/>
          <w:sz w:val="10"/>
        </w:rPr>
        <w:t>st </w:t>
      </w:r>
      <w:r>
        <w:rPr>
          <w:rFonts w:ascii="Times New Roman" w:hAnsi="Times New Roman"/>
          <w:sz w:val="18"/>
        </w:rPr>
        <w:t>Dept.</w:t>
      </w:r>
      <w:r>
        <w:rPr>
          <w:rFonts w:ascii="Times New Roman" w:hAnsi="Times New Roman"/>
          <w:spacing w:val="7"/>
          <w:sz w:val="18"/>
        </w:rPr>
        <w:t> </w:t>
      </w:r>
      <w:r>
        <w:rPr>
          <w:rFonts w:ascii="Times New Roman" w:hAnsi="Times New Roman"/>
          <w:sz w:val="18"/>
        </w:rPr>
        <w:t>1979).</w:t>
      </w:r>
    </w:p>
    <w:p>
      <w:pPr>
        <w:spacing w:after="0" w:line="244" w:lineRule="auto"/>
        <w:jc w:val="both"/>
        <w:rPr>
          <w:rFonts w:ascii="Times New Roman" w:hAns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3819" w:val="left" w:leader="none"/>
          <w:tab w:pos="3820" w:val="left" w:leader="none"/>
        </w:tabs>
        <w:spacing w:line="242" w:lineRule="auto" w:before="42" w:after="0"/>
        <w:ind w:left="3820" w:right="3206" w:hanging="720"/>
        <w:jc w:val="left"/>
        <w:rPr>
          <w:rFonts w:ascii="Century Gothic"/>
          <w:sz w:val="26"/>
        </w:rPr>
      </w:pPr>
      <w:bookmarkStart w:name="Law and Procedure 285" w:id="105"/>
      <w:bookmarkEnd w:id="105"/>
      <w:r>
        <w:rPr/>
      </w:r>
      <w:bookmarkStart w:name="Law and Procedure 285" w:id="106"/>
      <w:bookmarkEnd w:id="106"/>
      <w:r>
        <w:rPr>
          <w:rFonts w:ascii="Century Gothic"/>
          <w:spacing w:val="2"/>
          <w:sz w:val="26"/>
        </w:rPr>
        <w:t>C</w:t>
      </w:r>
      <w:r>
        <w:rPr>
          <w:rFonts w:ascii="Century Gothic"/>
          <w:spacing w:val="2"/>
          <w:sz w:val="26"/>
        </w:rPr>
        <w:t>OMPLIANCE </w:t>
      </w:r>
      <w:r>
        <w:rPr>
          <w:rFonts w:ascii="Century Gothic"/>
          <w:sz w:val="26"/>
        </w:rPr>
        <w:t>WITH </w:t>
      </w:r>
      <w:r>
        <w:rPr>
          <w:rFonts w:ascii="Century Gothic"/>
          <w:spacing w:val="2"/>
          <w:sz w:val="26"/>
        </w:rPr>
        <w:t>POST-LOSS POLICY </w:t>
      </w:r>
      <w:r>
        <w:rPr>
          <w:rFonts w:ascii="Century Gothic"/>
          <w:sz w:val="26"/>
        </w:rPr>
        <w:t>PROVISIONS</w:t>
      </w:r>
    </w:p>
    <w:p>
      <w:pPr>
        <w:pStyle w:val="BodyText"/>
        <w:spacing w:before="1"/>
      </w:pPr>
    </w:p>
    <w:p>
      <w:pPr>
        <w:pStyle w:val="BodyText"/>
        <w:spacing w:line="242" w:lineRule="auto" w:before="1"/>
        <w:ind w:left="3100" w:right="3197" w:firstLine="720"/>
        <w:jc w:val="both"/>
      </w:pPr>
      <w:r>
        <w:rPr>
          <w:spacing w:val="3"/>
        </w:rPr>
        <w:t>In</w:t>
      </w:r>
      <w:r>
        <w:rPr>
          <w:spacing w:val="-21"/>
        </w:rPr>
        <w:t> </w:t>
      </w:r>
      <w:r>
        <w:rPr/>
        <w:t>Florida,</w:t>
      </w:r>
      <w:r>
        <w:rPr>
          <w:spacing w:val="-23"/>
        </w:rPr>
        <w:t> </w:t>
      </w:r>
      <w:r>
        <w:rPr/>
        <w:t>the</w:t>
      </w:r>
      <w:r>
        <w:rPr>
          <w:spacing w:val="-24"/>
        </w:rPr>
        <w:t> </w:t>
      </w:r>
      <w:r>
        <w:rPr/>
        <w:t>timing</w:t>
      </w:r>
      <w:r>
        <w:rPr>
          <w:spacing w:val="-23"/>
        </w:rPr>
        <w:t> </w:t>
      </w:r>
      <w:r>
        <w:rPr/>
        <w:t>of</w:t>
      </w:r>
      <w:r>
        <w:rPr>
          <w:spacing w:val="-23"/>
        </w:rPr>
        <w:t> </w:t>
      </w:r>
      <w:r>
        <w:rPr/>
        <w:t>appraisal</w:t>
      </w:r>
      <w:r>
        <w:rPr>
          <w:spacing w:val="-20"/>
        </w:rPr>
        <w:t> </w:t>
      </w:r>
      <w:r>
        <w:rPr/>
        <w:t>has</w:t>
      </w:r>
      <w:r>
        <w:rPr>
          <w:spacing w:val="-21"/>
        </w:rPr>
        <w:t> </w:t>
      </w:r>
      <w:r>
        <w:rPr/>
        <w:t>also been examined in the context of</w:t>
      </w:r>
      <w:r>
        <w:rPr>
          <w:spacing w:val="-18"/>
        </w:rPr>
        <w:t> </w:t>
      </w:r>
      <w:r>
        <w:rPr/>
        <w:t>compliance with post-loss conditions.</w:t>
      </w:r>
      <w:r>
        <w:rPr>
          <w:vertAlign w:val="superscript"/>
        </w:rPr>
        <w:t>607</w:t>
      </w:r>
      <w:r>
        <w:rPr>
          <w:vertAlign w:val="baseline"/>
        </w:rPr>
        <w:t> There, a </w:t>
      </w:r>
      <w:r>
        <w:rPr>
          <w:spacing w:val="-5"/>
          <w:vertAlign w:val="baseline"/>
        </w:rPr>
        <w:t>District </w:t>
      </w:r>
      <w:r>
        <w:rPr>
          <w:vertAlign w:val="baseline"/>
        </w:rPr>
        <w:t>Court of Appeals reversed an order granting an insured’s motion to compel an appraisal and remanded a matter for an evidentiary hearing</w:t>
      </w:r>
      <w:r>
        <w:rPr>
          <w:spacing w:val="-22"/>
          <w:vertAlign w:val="baseline"/>
        </w:rPr>
        <w:t> </w:t>
      </w:r>
      <w:r>
        <w:rPr>
          <w:vertAlign w:val="baseline"/>
        </w:rPr>
        <w:t>in</w:t>
      </w:r>
      <w:r>
        <w:rPr>
          <w:spacing w:val="-23"/>
          <w:vertAlign w:val="baseline"/>
        </w:rPr>
        <w:t> </w:t>
      </w:r>
      <w:r>
        <w:rPr>
          <w:vertAlign w:val="baseline"/>
        </w:rPr>
        <w:t>finding</w:t>
      </w:r>
      <w:r>
        <w:rPr>
          <w:spacing w:val="-22"/>
          <w:vertAlign w:val="baseline"/>
        </w:rPr>
        <w:t> </w:t>
      </w:r>
      <w:r>
        <w:rPr>
          <w:vertAlign w:val="baseline"/>
        </w:rPr>
        <w:t>an</w:t>
      </w:r>
      <w:r>
        <w:rPr>
          <w:spacing w:val="-23"/>
          <w:vertAlign w:val="baseline"/>
        </w:rPr>
        <w:t> </w:t>
      </w:r>
      <w:r>
        <w:rPr>
          <w:vertAlign w:val="baseline"/>
        </w:rPr>
        <w:t>issue</w:t>
      </w:r>
      <w:r>
        <w:rPr>
          <w:spacing w:val="-20"/>
          <w:vertAlign w:val="baseline"/>
        </w:rPr>
        <w:t> </w:t>
      </w:r>
      <w:r>
        <w:rPr>
          <w:vertAlign w:val="baseline"/>
        </w:rPr>
        <w:t>of</w:t>
      </w:r>
      <w:r>
        <w:rPr>
          <w:spacing w:val="-21"/>
          <w:vertAlign w:val="baseline"/>
        </w:rPr>
        <w:t> </w:t>
      </w:r>
      <w:r>
        <w:rPr>
          <w:vertAlign w:val="baseline"/>
        </w:rPr>
        <w:t>fact</w:t>
      </w:r>
      <w:r>
        <w:rPr>
          <w:spacing w:val="-21"/>
          <w:vertAlign w:val="baseline"/>
        </w:rPr>
        <w:t> </w:t>
      </w:r>
      <w:r>
        <w:rPr>
          <w:vertAlign w:val="baseline"/>
        </w:rPr>
        <w:t>as</w:t>
      </w:r>
      <w:r>
        <w:rPr>
          <w:spacing w:val="-21"/>
          <w:vertAlign w:val="baseline"/>
        </w:rPr>
        <w:t> </w:t>
      </w:r>
      <w:r>
        <w:rPr>
          <w:vertAlign w:val="baseline"/>
        </w:rPr>
        <w:t>to</w:t>
      </w:r>
      <w:r>
        <w:rPr>
          <w:spacing w:val="-20"/>
          <w:vertAlign w:val="baseline"/>
        </w:rPr>
        <w:t> </w:t>
      </w:r>
      <w:r>
        <w:rPr>
          <w:vertAlign w:val="baseline"/>
        </w:rPr>
        <w:t>whether an insured had complied with all post-loss obligations. </w:t>
      </w:r>
      <w:r>
        <w:rPr>
          <w:spacing w:val="-3"/>
          <w:vertAlign w:val="baseline"/>
        </w:rPr>
        <w:t>The </w:t>
      </w:r>
      <w:r>
        <w:rPr>
          <w:vertAlign w:val="baseline"/>
        </w:rPr>
        <w:t>insurer contended that the insured failed to provide it with requested records and documents, respond to material inquiries during his examination under oath,</w:t>
      </w:r>
      <w:r>
        <w:rPr>
          <w:spacing w:val="-22"/>
          <w:vertAlign w:val="baseline"/>
        </w:rPr>
        <w:t> </w:t>
      </w:r>
      <w:r>
        <w:rPr>
          <w:vertAlign w:val="baseline"/>
        </w:rPr>
        <w:t>or provide a sworn statement in his proof of loss, and</w:t>
      </w:r>
      <w:r>
        <w:rPr>
          <w:spacing w:val="-22"/>
          <w:vertAlign w:val="baseline"/>
        </w:rPr>
        <w:t> </w:t>
      </w:r>
      <w:r>
        <w:rPr>
          <w:vertAlign w:val="baseline"/>
        </w:rPr>
        <w:t>the</w:t>
      </w:r>
      <w:r>
        <w:rPr>
          <w:spacing w:val="-25"/>
          <w:vertAlign w:val="baseline"/>
        </w:rPr>
        <w:t> </w:t>
      </w:r>
      <w:r>
        <w:rPr>
          <w:vertAlign w:val="baseline"/>
        </w:rPr>
        <w:t>insured</w:t>
      </w:r>
      <w:r>
        <w:rPr>
          <w:spacing w:val="-26"/>
          <w:vertAlign w:val="baseline"/>
        </w:rPr>
        <w:t> </w:t>
      </w:r>
      <w:r>
        <w:rPr>
          <w:vertAlign w:val="baseline"/>
        </w:rPr>
        <w:t>countered</w:t>
      </w:r>
      <w:r>
        <w:rPr>
          <w:spacing w:val="-26"/>
          <w:vertAlign w:val="baseline"/>
        </w:rPr>
        <w:t> </w:t>
      </w:r>
      <w:r>
        <w:rPr>
          <w:vertAlign w:val="baseline"/>
        </w:rPr>
        <w:t>by</w:t>
      </w:r>
      <w:r>
        <w:rPr>
          <w:spacing w:val="-27"/>
          <w:vertAlign w:val="baseline"/>
        </w:rPr>
        <w:t> </w:t>
      </w:r>
      <w:r>
        <w:rPr>
          <w:vertAlign w:val="baseline"/>
        </w:rPr>
        <w:t>asserting</w:t>
      </w:r>
      <w:r>
        <w:rPr>
          <w:spacing w:val="-24"/>
          <w:vertAlign w:val="baseline"/>
        </w:rPr>
        <w:t> </w:t>
      </w:r>
      <w:r>
        <w:rPr>
          <w:vertAlign w:val="baseline"/>
        </w:rPr>
        <w:t>that</w:t>
      </w:r>
      <w:r>
        <w:rPr>
          <w:spacing w:val="-24"/>
          <w:vertAlign w:val="baseline"/>
        </w:rPr>
        <w:t> </w:t>
      </w:r>
      <w:r>
        <w:rPr>
          <w:vertAlign w:val="baseline"/>
        </w:rPr>
        <w:t>he did supply sufficient information and comply with necessary post-loss obligations. The </w:t>
      </w:r>
      <w:r>
        <w:rPr>
          <w:spacing w:val="-3"/>
          <w:vertAlign w:val="baseline"/>
        </w:rPr>
        <w:t>court </w:t>
      </w:r>
      <w:r>
        <w:rPr>
          <w:vertAlign w:val="baseline"/>
        </w:rPr>
        <w:t>held that “in order to make a preliminary determination that there is a</w:t>
      </w:r>
      <w:r>
        <w:rPr>
          <w:spacing w:val="55"/>
          <w:vertAlign w:val="baseline"/>
        </w:rPr>
        <w:t> </w:t>
      </w:r>
      <w:r>
        <w:rPr>
          <w:vertAlign w:val="baseline"/>
        </w:rPr>
        <w:t>disagreement between</w:t>
      </w:r>
      <w:r>
        <w:rPr>
          <w:spacing w:val="-20"/>
          <w:vertAlign w:val="baseline"/>
        </w:rPr>
        <w:t> </w:t>
      </w:r>
      <w:r>
        <w:rPr>
          <w:vertAlign w:val="baseline"/>
        </w:rPr>
        <w:t>the</w:t>
      </w:r>
      <w:r>
        <w:rPr>
          <w:spacing w:val="-16"/>
          <w:vertAlign w:val="baseline"/>
        </w:rPr>
        <w:t> </w:t>
      </w:r>
      <w:r>
        <w:rPr>
          <w:vertAlign w:val="baseline"/>
        </w:rPr>
        <w:t>insurer</w:t>
      </w:r>
      <w:r>
        <w:rPr>
          <w:spacing w:val="-18"/>
          <w:vertAlign w:val="baseline"/>
        </w:rPr>
        <w:t> </w:t>
      </w:r>
      <w:r>
        <w:rPr>
          <w:vertAlign w:val="baseline"/>
        </w:rPr>
        <w:t>and</w:t>
      </w:r>
      <w:r>
        <w:rPr>
          <w:spacing w:val="-15"/>
          <w:vertAlign w:val="baseline"/>
        </w:rPr>
        <w:t> </w:t>
      </w:r>
      <w:r>
        <w:rPr>
          <w:vertAlign w:val="baseline"/>
        </w:rPr>
        <w:t>the</w:t>
      </w:r>
      <w:r>
        <w:rPr>
          <w:spacing w:val="-18"/>
          <w:vertAlign w:val="baseline"/>
        </w:rPr>
        <w:t> </w:t>
      </w:r>
      <w:r>
        <w:rPr>
          <w:vertAlign w:val="baseline"/>
        </w:rPr>
        <w:t>insured</w:t>
      </w:r>
      <w:r>
        <w:rPr>
          <w:spacing w:val="-19"/>
          <w:vertAlign w:val="baseline"/>
        </w:rPr>
        <w:t> </w:t>
      </w:r>
      <w:r>
        <w:rPr>
          <w:vertAlign w:val="baseline"/>
        </w:rPr>
        <w:t>regarding the amount of loss, the trial court must be satisfied of the insured’s compliance with the policy’s post-loss conditions. </w:t>
      </w:r>
      <w:r>
        <w:rPr>
          <w:spacing w:val="-3"/>
          <w:vertAlign w:val="baseline"/>
        </w:rPr>
        <w:t>Where </w:t>
      </w:r>
      <w:r>
        <w:rPr>
          <w:vertAlign w:val="baseline"/>
        </w:rPr>
        <w:t>the insurer reasonably disputes such compliance and raises a question as to the sufficiency of the insured’s</w:t>
      </w:r>
      <w:r>
        <w:rPr>
          <w:spacing w:val="-42"/>
          <w:vertAlign w:val="baseline"/>
        </w:rPr>
        <w:t> </w:t>
      </w:r>
      <w:r>
        <w:rPr>
          <w:vertAlign w:val="baseline"/>
        </w:rPr>
        <w:t>compliance</w:t>
      </w:r>
      <w:r>
        <w:rPr>
          <w:spacing w:val="-42"/>
          <w:vertAlign w:val="baseline"/>
        </w:rPr>
        <w:t> </w:t>
      </w:r>
      <w:r>
        <w:rPr>
          <w:vertAlign w:val="baseline"/>
        </w:rPr>
        <w:t>with</w:t>
      </w:r>
      <w:r>
        <w:rPr>
          <w:spacing w:val="-42"/>
          <w:vertAlign w:val="baseline"/>
        </w:rPr>
        <w:t> </w:t>
      </w:r>
      <w:r>
        <w:rPr>
          <w:vertAlign w:val="baseline"/>
        </w:rPr>
        <w:t>post-loss</w:t>
      </w:r>
      <w:r>
        <w:rPr>
          <w:spacing w:val="-42"/>
          <w:vertAlign w:val="baseline"/>
        </w:rPr>
        <w:t> </w:t>
      </w:r>
      <w:r>
        <w:rPr>
          <w:vertAlign w:val="baseline"/>
        </w:rPr>
        <w:t>obligations, a question of fact is created that must be resolved</w:t>
      </w:r>
      <w:r>
        <w:rPr>
          <w:spacing w:val="24"/>
          <w:vertAlign w:val="baseline"/>
        </w:rPr>
        <w:t> </w:t>
      </w:r>
      <w:r>
        <w:rPr>
          <w:vertAlign w:val="baseline"/>
        </w:rPr>
        <w:t>by</w:t>
      </w:r>
      <w:r>
        <w:rPr>
          <w:spacing w:val="24"/>
          <w:vertAlign w:val="baseline"/>
        </w:rPr>
        <w:t> </w:t>
      </w:r>
      <w:r>
        <w:rPr>
          <w:vertAlign w:val="baseline"/>
        </w:rPr>
        <w:t>the</w:t>
      </w:r>
      <w:r>
        <w:rPr>
          <w:spacing w:val="24"/>
          <w:vertAlign w:val="baseline"/>
        </w:rPr>
        <w:t> </w:t>
      </w:r>
      <w:r>
        <w:rPr>
          <w:vertAlign w:val="baseline"/>
        </w:rPr>
        <w:t>trial</w:t>
      </w:r>
      <w:r>
        <w:rPr>
          <w:spacing w:val="27"/>
          <w:vertAlign w:val="baseline"/>
        </w:rPr>
        <w:t> </w:t>
      </w:r>
      <w:r>
        <w:rPr>
          <w:vertAlign w:val="baseline"/>
        </w:rPr>
        <w:t>court</w:t>
      </w:r>
      <w:r>
        <w:rPr>
          <w:spacing w:val="24"/>
          <w:vertAlign w:val="baseline"/>
        </w:rPr>
        <w:t> </w:t>
      </w:r>
      <w:r>
        <w:rPr>
          <w:vertAlign w:val="baseline"/>
        </w:rPr>
        <w:t>before</w:t>
      </w:r>
      <w:r>
        <w:rPr>
          <w:spacing w:val="24"/>
          <w:vertAlign w:val="baseline"/>
        </w:rPr>
        <w:t> </w:t>
      </w:r>
      <w:r>
        <w:rPr>
          <w:vertAlign w:val="baseline"/>
        </w:rPr>
        <w:t>compelling</w:t>
      </w:r>
    </w:p>
    <w:p>
      <w:pPr>
        <w:pStyle w:val="BodyText"/>
        <w:rPr>
          <w:sz w:val="20"/>
        </w:rPr>
      </w:pPr>
    </w:p>
    <w:p>
      <w:pPr>
        <w:pStyle w:val="BodyText"/>
        <w:spacing w:before="6"/>
        <w:rPr>
          <w:sz w:val="12"/>
        </w:rPr>
      </w:pPr>
      <w:r>
        <w:rPr/>
        <w:pict>
          <v:shape style="position:absolute;margin-left:162pt;margin-top:10.097163pt;width:143.9pt;height:.1pt;mso-position-horizontal-relative:page;mso-position-vertical-relative:paragraph;z-index:-251444224;mso-wrap-distance-left:0;mso-wrap-distance-right:0" coordorigin="3240,202" coordsize="2878,0" path="m3240,202l6118,202e" filled="false" stroked="true" strokeweight=".84pt" strokecolor="#000000">
            <v:path arrowok="t"/>
            <v:stroke dashstyle="solid"/>
            <w10:wrap type="topAndBottom"/>
          </v:shape>
        </w:pict>
      </w:r>
    </w:p>
    <w:p>
      <w:pPr>
        <w:pStyle w:val="ListParagraph"/>
        <w:numPr>
          <w:ilvl w:val="0"/>
          <w:numId w:val="15"/>
        </w:numPr>
        <w:tabs>
          <w:tab w:pos="3046" w:val="left" w:leader="none"/>
        </w:tabs>
        <w:spacing w:line="240" w:lineRule="auto" w:before="149" w:after="0"/>
        <w:ind w:left="3046" w:right="367" w:hanging="3046"/>
        <w:jc w:val="left"/>
        <w:rPr>
          <w:sz w:val="18"/>
        </w:rPr>
      </w:pPr>
      <w:r>
        <w:rPr>
          <w:sz w:val="18"/>
          <w:u w:val="single"/>
        </w:rPr>
        <w:t>United Prop. and Cas. Ins. Co. v. Concepcion</w:t>
      </w:r>
      <w:r>
        <w:rPr>
          <w:sz w:val="18"/>
        </w:rPr>
        <w:t>, 83 So.3d 908 (Fla. 3d DCA</w:t>
      </w:r>
      <w:r>
        <w:rPr>
          <w:spacing w:val="7"/>
          <w:sz w:val="18"/>
        </w:rPr>
        <w:t> </w:t>
      </w:r>
      <w:r>
        <w:rPr>
          <w:sz w:val="18"/>
        </w:rPr>
        <w:t>2012).</w:t>
      </w:r>
    </w:p>
    <w:p>
      <w:pPr>
        <w:spacing w:after="0" w:line="240" w:lineRule="auto"/>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3100" w:right="3197"/>
        <w:jc w:val="both"/>
      </w:pPr>
      <w:bookmarkStart w:name="Law and Procedure 286" w:id="107"/>
      <w:bookmarkEnd w:id="107"/>
      <w:r>
        <w:rPr/>
      </w:r>
      <w:r>
        <w:rPr/>
        <w:t>appraisal.”</w:t>
      </w:r>
      <w:r>
        <w:rPr>
          <w:vertAlign w:val="superscript"/>
        </w:rPr>
        <w:t>608</w:t>
      </w:r>
      <w:r>
        <w:rPr>
          <w:vertAlign w:val="baseline"/>
        </w:rPr>
        <w:t> </w:t>
      </w:r>
      <w:r>
        <w:rPr>
          <w:spacing w:val="3"/>
          <w:vertAlign w:val="baseline"/>
        </w:rPr>
        <w:t>In </w:t>
      </w:r>
      <w:r>
        <w:rPr>
          <w:u w:val="single"/>
          <w:vertAlign w:val="baseline"/>
        </w:rPr>
        <w:t>Concepcion</w:t>
      </w:r>
      <w:r>
        <w:rPr>
          <w:vertAlign w:val="baseline"/>
        </w:rPr>
        <w:t>, the court </w:t>
      </w:r>
      <w:r>
        <w:rPr>
          <w:spacing w:val="-8"/>
          <w:vertAlign w:val="baseline"/>
        </w:rPr>
        <w:t>found </w:t>
      </w:r>
      <w:r>
        <w:rPr>
          <w:vertAlign w:val="baseline"/>
        </w:rPr>
        <w:t>there to exist a fact issue which must be resolved</w:t>
      </w:r>
      <w:r>
        <w:rPr>
          <w:spacing w:val="-22"/>
          <w:vertAlign w:val="baseline"/>
        </w:rPr>
        <w:t> </w:t>
      </w:r>
      <w:r>
        <w:rPr>
          <w:vertAlign w:val="baseline"/>
        </w:rPr>
        <w:t>through</w:t>
      </w:r>
      <w:r>
        <w:rPr>
          <w:spacing w:val="-20"/>
          <w:vertAlign w:val="baseline"/>
        </w:rPr>
        <w:t> </w:t>
      </w:r>
      <w:r>
        <w:rPr>
          <w:vertAlign w:val="baseline"/>
        </w:rPr>
        <w:t>examination</w:t>
      </w:r>
      <w:r>
        <w:rPr>
          <w:spacing w:val="-21"/>
          <w:vertAlign w:val="baseline"/>
        </w:rPr>
        <w:t> </w:t>
      </w:r>
      <w:r>
        <w:rPr>
          <w:vertAlign w:val="baseline"/>
        </w:rPr>
        <w:t>of</w:t>
      </w:r>
      <w:r>
        <w:rPr>
          <w:spacing w:val="-20"/>
          <w:vertAlign w:val="baseline"/>
        </w:rPr>
        <w:t> </w:t>
      </w:r>
      <w:r>
        <w:rPr>
          <w:vertAlign w:val="baseline"/>
        </w:rPr>
        <w:t>the</w:t>
      </w:r>
      <w:r>
        <w:rPr>
          <w:spacing w:val="-22"/>
          <w:vertAlign w:val="baseline"/>
        </w:rPr>
        <w:t> </w:t>
      </w:r>
      <w:r>
        <w:rPr>
          <w:vertAlign w:val="baseline"/>
        </w:rPr>
        <w:t>evidence in an evidentiary hearing.</w:t>
      </w:r>
      <w:r>
        <w:rPr>
          <w:vertAlign w:val="superscript"/>
        </w:rPr>
        <w:t>609</w:t>
      </w:r>
      <w:r>
        <w:rPr>
          <w:vertAlign w:val="baseline"/>
        </w:rPr>
        <w:t> However, </w:t>
      </w:r>
      <w:r>
        <w:rPr>
          <w:spacing w:val="-8"/>
          <w:vertAlign w:val="baseline"/>
        </w:rPr>
        <w:t>under </w:t>
      </w:r>
      <w:r>
        <w:rPr>
          <w:vertAlign w:val="baseline"/>
        </w:rPr>
        <w:t>these circumstances the trial court never reviewed</w:t>
      </w:r>
      <w:r>
        <w:rPr>
          <w:spacing w:val="-28"/>
          <w:vertAlign w:val="baseline"/>
        </w:rPr>
        <w:t> </w:t>
      </w:r>
      <w:r>
        <w:rPr>
          <w:vertAlign w:val="baseline"/>
        </w:rPr>
        <w:t>any</w:t>
      </w:r>
      <w:r>
        <w:rPr>
          <w:spacing w:val="-29"/>
          <w:vertAlign w:val="baseline"/>
        </w:rPr>
        <w:t> </w:t>
      </w:r>
      <w:r>
        <w:rPr>
          <w:vertAlign w:val="baseline"/>
        </w:rPr>
        <w:t>such</w:t>
      </w:r>
      <w:r>
        <w:rPr>
          <w:spacing w:val="-26"/>
          <w:vertAlign w:val="baseline"/>
        </w:rPr>
        <w:t> </w:t>
      </w:r>
      <w:r>
        <w:rPr>
          <w:vertAlign w:val="baseline"/>
        </w:rPr>
        <w:t>evidence,</w:t>
      </w:r>
      <w:r>
        <w:rPr>
          <w:spacing w:val="-30"/>
          <w:vertAlign w:val="baseline"/>
        </w:rPr>
        <w:t> </w:t>
      </w:r>
      <w:r>
        <w:rPr>
          <w:vertAlign w:val="baseline"/>
        </w:rPr>
        <w:t>and</w:t>
      </w:r>
      <w:r>
        <w:rPr>
          <w:spacing w:val="-29"/>
          <w:vertAlign w:val="baseline"/>
        </w:rPr>
        <w:t> </w:t>
      </w:r>
      <w:r>
        <w:rPr>
          <w:vertAlign w:val="baseline"/>
        </w:rPr>
        <w:t>in</w:t>
      </w:r>
      <w:r>
        <w:rPr>
          <w:spacing w:val="-27"/>
          <w:vertAlign w:val="baseline"/>
        </w:rPr>
        <w:t> </w:t>
      </w:r>
      <w:r>
        <w:rPr>
          <w:vertAlign w:val="baseline"/>
        </w:rPr>
        <w:t>support</w:t>
      </w:r>
      <w:r>
        <w:rPr>
          <w:spacing w:val="-28"/>
          <w:vertAlign w:val="baseline"/>
        </w:rPr>
        <w:t> </w:t>
      </w:r>
      <w:r>
        <w:rPr>
          <w:vertAlign w:val="baseline"/>
        </w:rPr>
        <w:t>of this</w:t>
      </w:r>
      <w:r>
        <w:rPr>
          <w:spacing w:val="-18"/>
          <w:vertAlign w:val="baseline"/>
        </w:rPr>
        <w:t> </w:t>
      </w:r>
      <w:r>
        <w:rPr>
          <w:vertAlign w:val="baseline"/>
        </w:rPr>
        <w:t>holding</w:t>
      </w:r>
      <w:r>
        <w:rPr>
          <w:spacing w:val="-14"/>
          <w:vertAlign w:val="baseline"/>
        </w:rPr>
        <w:t> </w:t>
      </w:r>
      <w:r>
        <w:rPr>
          <w:vertAlign w:val="baseline"/>
        </w:rPr>
        <w:t>the</w:t>
      </w:r>
      <w:r>
        <w:rPr>
          <w:spacing w:val="-16"/>
          <w:vertAlign w:val="baseline"/>
        </w:rPr>
        <w:t> </w:t>
      </w:r>
      <w:r>
        <w:rPr>
          <w:vertAlign w:val="baseline"/>
        </w:rPr>
        <w:t>court</w:t>
      </w:r>
      <w:r>
        <w:rPr>
          <w:spacing w:val="-17"/>
          <w:vertAlign w:val="baseline"/>
        </w:rPr>
        <w:t> </w:t>
      </w:r>
      <w:r>
        <w:rPr>
          <w:vertAlign w:val="baseline"/>
        </w:rPr>
        <w:t>noted</w:t>
      </w:r>
      <w:r>
        <w:rPr>
          <w:spacing w:val="-14"/>
          <w:vertAlign w:val="baseline"/>
        </w:rPr>
        <w:t> </w:t>
      </w:r>
      <w:r>
        <w:rPr>
          <w:vertAlign w:val="baseline"/>
        </w:rPr>
        <w:t>that</w:t>
      </w:r>
      <w:r>
        <w:rPr>
          <w:spacing w:val="-18"/>
          <w:vertAlign w:val="baseline"/>
        </w:rPr>
        <w:t> </w:t>
      </w:r>
      <w:r>
        <w:rPr>
          <w:vertAlign w:val="baseline"/>
        </w:rPr>
        <w:t>the</w:t>
      </w:r>
      <w:r>
        <w:rPr>
          <w:spacing w:val="-18"/>
          <w:vertAlign w:val="baseline"/>
        </w:rPr>
        <w:t> </w:t>
      </w:r>
      <w:r>
        <w:rPr>
          <w:vertAlign w:val="baseline"/>
        </w:rPr>
        <w:t>argument of counsel does not constitute</w:t>
      </w:r>
      <w:r>
        <w:rPr>
          <w:spacing w:val="-7"/>
          <w:vertAlign w:val="baseline"/>
        </w:rPr>
        <w:t> </w:t>
      </w:r>
      <w:r>
        <w:rPr>
          <w:vertAlign w:val="baseline"/>
        </w:rPr>
        <w:t>evidence.</w:t>
      </w:r>
    </w:p>
    <w:p>
      <w:pPr>
        <w:pStyle w:val="BodyText"/>
      </w:pPr>
    </w:p>
    <w:p>
      <w:pPr>
        <w:pStyle w:val="BodyText"/>
        <w:spacing w:line="242" w:lineRule="auto"/>
        <w:ind w:left="3100" w:right="3196" w:firstLine="720"/>
        <w:jc w:val="both"/>
      </w:pPr>
      <w:r>
        <w:rPr/>
        <w:t>The</w:t>
      </w:r>
      <w:r>
        <w:rPr>
          <w:spacing w:val="-35"/>
        </w:rPr>
        <w:t> </w:t>
      </w:r>
      <w:r>
        <w:rPr/>
        <w:t>importance</w:t>
      </w:r>
      <w:r>
        <w:rPr>
          <w:spacing w:val="-36"/>
        </w:rPr>
        <w:t> </w:t>
      </w:r>
      <w:r>
        <w:rPr/>
        <w:t>of</w:t>
      </w:r>
      <w:r>
        <w:rPr>
          <w:spacing w:val="-38"/>
        </w:rPr>
        <w:t> </w:t>
      </w:r>
      <w:r>
        <w:rPr/>
        <w:t>compliance</w:t>
      </w:r>
      <w:r>
        <w:rPr>
          <w:spacing w:val="-35"/>
        </w:rPr>
        <w:t> </w:t>
      </w:r>
      <w:r>
        <w:rPr/>
        <w:t>with</w:t>
      </w:r>
      <w:r>
        <w:rPr>
          <w:spacing w:val="-34"/>
        </w:rPr>
        <w:t> </w:t>
      </w:r>
      <w:r>
        <w:rPr/>
        <w:t>post- loss conditions was further recognized in the state.</w:t>
      </w:r>
      <w:r>
        <w:rPr>
          <w:spacing w:val="-37"/>
        </w:rPr>
        <w:t> </w:t>
      </w:r>
      <w:r>
        <w:rPr>
          <w:spacing w:val="-3"/>
        </w:rPr>
        <w:t>Where</w:t>
      </w:r>
      <w:r>
        <w:rPr>
          <w:spacing w:val="-35"/>
        </w:rPr>
        <w:t> </w:t>
      </w:r>
      <w:r>
        <w:rPr/>
        <w:t>a</w:t>
      </w:r>
      <w:r>
        <w:rPr>
          <w:spacing w:val="-34"/>
        </w:rPr>
        <w:t> </w:t>
      </w:r>
      <w:r>
        <w:rPr/>
        <w:t>condominium</w:t>
      </w:r>
      <w:r>
        <w:rPr>
          <w:spacing w:val="-35"/>
        </w:rPr>
        <w:t> </w:t>
      </w:r>
      <w:r>
        <w:rPr/>
        <w:t>association</w:t>
      </w:r>
      <w:r>
        <w:rPr>
          <w:spacing w:val="-34"/>
        </w:rPr>
        <w:t> </w:t>
      </w:r>
      <w:r>
        <w:rPr/>
        <w:t>failed to comply with post-loss conditions before the appraisal process took place, including those pertaining</w:t>
      </w:r>
      <w:r>
        <w:rPr>
          <w:spacing w:val="-30"/>
        </w:rPr>
        <w:t> </w:t>
      </w:r>
      <w:r>
        <w:rPr/>
        <w:t>to</w:t>
      </w:r>
      <w:r>
        <w:rPr>
          <w:spacing w:val="-29"/>
        </w:rPr>
        <w:t> </w:t>
      </w:r>
      <w:r>
        <w:rPr/>
        <w:t>proof</w:t>
      </w:r>
      <w:r>
        <w:rPr>
          <w:spacing w:val="-29"/>
        </w:rPr>
        <w:t> </w:t>
      </w:r>
      <w:r>
        <w:rPr/>
        <w:t>of</w:t>
      </w:r>
      <w:r>
        <w:rPr>
          <w:spacing w:val="-29"/>
        </w:rPr>
        <w:t> </w:t>
      </w:r>
      <w:r>
        <w:rPr/>
        <w:t>loss,</w:t>
      </w:r>
      <w:r>
        <w:rPr>
          <w:spacing w:val="-30"/>
        </w:rPr>
        <w:t> </w:t>
      </w:r>
      <w:r>
        <w:rPr/>
        <w:t>inventory</w:t>
      </w:r>
      <w:r>
        <w:rPr>
          <w:spacing w:val="-33"/>
        </w:rPr>
        <w:t> </w:t>
      </w:r>
      <w:r>
        <w:rPr/>
        <w:t>of</w:t>
      </w:r>
      <w:r>
        <w:rPr>
          <w:spacing w:val="-32"/>
        </w:rPr>
        <w:t> </w:t>
      </w:r>
      <w:r>
        <w:rPr/>
        <w:t>property and examination under oath, the court declined to compel an insurer to submit to appraisal because the insured failed to </w:t>
      </w:r>
      <w:r>
        <w:rPr>
          <w:spacing w:val="-3"/>
        </w:rPr>
        <w:t>show </w:t>
      </w:r>
      <w:r>
        <w:rPr/>
        <w:t>that</w:t>
      </w:r>
      <w:r>
        <w:rPr>
          <w:spacing w:val="-22"/>
        </w:rPr>
        <w:t> </w:t>
      </w:r>
      <w:r>
        <w:rPr/>
        <w:t>the</w:t>
      </w:r>
      <w:r>
        <w:rPr>
          <w:spacing w:val="-19"/>
        </w:rPr>
        <w:t> </w:t>
      </w:r>
      <w:r>
        <w:rPr/>
        <w:t>insurer</w:t>
      </w:r>
      <w:r>
        <w:rPr>
          <w:spacing w:val="-21"/>
        </w:rPr>
        <w:t> </w:t>
      </w:r>
      <w:r>
        <w:rPr/>
        <w:t>was</w:t>
      </w:r>
      <w:r>
        <w:rPr>
          <w:spacing w:val="-18"/>
        </w:rPr>
        <w:t> </w:t>
      </w:r>
      <w:r>
        <w:rPr/>
        <w:t>not</w:t>
      </w:r>
      <w:r>
        <w:rPr>
          <w:spacing w:val="-22"/>
        </w:rPr>
        <w:t> </w:t>
      </w:r>
      <w:r>
        <w:rPr/>
        <w:t>prejudiced</w:t>
      </w:r>
      <w:r>
        <w:rPr>
          <w:spacing w:val="-23"/>
        </w:rPr>
        <w:t> </w:t>
      </w:r>
      <w:r>
        <w:rPr/>
        <w:t>by</w:t>
      </w:r>
      <w:r>
        <w:rPr>
          <w:spacing w:val="-22"/>
        </w:rPr>
        <w:t> </w:t>
      </w:r>
      <w:r>
        <w:rPr/>
        <w:t>its</w:t>
      </w:r>
      <w:r>
        <w:rPr>
          <w:spacing w:val="-21"/>
        </w:rPr>
        <w:t> </w:t>
      </w:r>
      <w:r>
        <w:rPr/>
        <w:t>failure to</w:t>
      </w:r>
      <w:r>
        <w:rPr>
          <w:spacing w:val="-13"/>
        </w:rPr>
        <w:t> </w:t>
      </w:r>
      <w:r>
        <w:rPr/>
        <w:t>comply</w:t>
      </w:r>
      <w:r>
        <w:rPr>
          <w:spacing w:val="-14"/>
        </w:rPr>
        <w:t> </w:t>
      </w:r>
      <w:r>
        <w:rPr/>
        <w:t>with</w:t>
      </w:r>
      <w:r>
        <w:rPr>
          <w:spacing w:val="-13"/>
        </w:rPr>
        <w:t> </w:t>
      </w:r>
      <w:r>
        <w:rPr/>
        <w:t>such</w:t>
      </w:r>
      <w:r>
        <w:rPr>
          <w:spacing w:val="-10"/>
        </w:rPr>
        <w:t> </w:t>
      </w:r>
      <w:r>
        <w:rPr/>
        <w:t>conditions.</w:t>
      </w:r>
      <w:r>
        <w:rPr>
          <w:spacing w:val="-15"/>
        </w:rPr>
        <w:t> </w:t>
      </w:r>
      <w:r>
        <w:rPr/>
        <w:t>The</w:t>
      </w:r>
      <w:r>
        <w:rPr>
          <w:spacing w:val="-14"/>
        </w:rPr>
        <w:t> </w:t>
      </w:r>
      <w:r>
        <w:rPr/>
        <w:t>court</w:t>
      </w:r>
      <w:r>
        <w:rPr>
          <w:spacing w:val="-16"/>
        </w:rPr>
        <w:t> </w:t>
      </w:r>
      <w:r>
        <w:rPr/>
        <w:t>held that post-loss conditions </w:t>
      </w:r>
      <w:r>
        <w:rPr>
          <w:spacing w:val="2"/>
        </w:rPr>
        <w:t>in </w:t>
      </w:r>
      <w:r>
        <w:rPr/>
        <w:t>the policy must be complied with before invoking appraisal.</w:t>
      </w:r>
      <w:r>
        <w:rPr>
          <w:u w:val="single"/>
          <w:vertAlign w:val="superscript"/>
        </w:rPr>
        <w:t>610</w:t>
      </w:r>
      <w:r>
        <w:rPr>
          <w:vertAlign w:val="baseline"/>
        </w:rPr>
        <w:t> </w:t>
      </w:r>
      <w:r>
        <w:rPr>
          <w:spacing w:val="-39"/>
          <w:vertAlign w:val="baseline"/>
        </w:rPr>
        <w:t>. </w:t>
      </w:r>
      <w:r>
        <w:rPr>
          <w:vertAlign w:val="baseline"/>
        </w:rPr>
        <w:t>This “‘enables [insurers] to investigate the insureds' claims and to disagree with the loss amount before the appraisal term becomes effective.’”</w:t>
      </w:r>
      <w:r>
        <w:rPr>
          <w:vertAlign w:val="superscript"/>
        </w:rPr>
        <w:t>611</w:t>
      </w:r>
      <w:r>
        <w:rPr>
          <w:vertAlign w:val="baseline"/>
        </w:rPr>
        <w:t> </w:t>
      </w:r>
      <w:r>
        <w:rPr>
          <w:spacing w:val="3"/>
          <w:vertAlign w:val="baseline"/>
        </w:rPr>
        <w:t>If </w:t>
      </w:r>
      <w:r>
        <w:rPr>
          <w:vertAlign w:val="baseline"/>
        </w:rPr>
        <w:t>an insured could</w:t>
      </w:r>
      <w:r>
        <w:rPr>
          <w:spacing w:val="57"/>
          <w:vertAlign w:val="baseline"/>
        </w:rPr>
        <w:t> </w:t>
      </w:r>
      <w:r>
        <w:rPr>
          <w:spacing w:val="-6"/>
          <w:vertAlign w:val="baseline"/>
        </w:rPr>
        <w:t>compel</w:t>
      </w:r>
    </w:p>
    <w:p>
      <w:pPr>
        <w:pStyle w:val="BodyText"/>
        <w:rPr>
          <w:sz w:val="20"/>
        </w:rPr>
      </w:pPr>
    </w:p>
    <w:p>
      <w:pPr>
        <w:pStyle w:val="BodyText"/>
        <w:spacing w:before="11"/>
        <w:rPr>
          <w:sz w:val="10"/>
        </w:rPr>
      </w:pPr>
      <w:r>
        <w:rPr/>
        <w:pict>
          <v:shape style="position:absolute;margin-left:162pt;margin-top:9.095434pt;width:143.9pt;height:.1pt;mso-position-horizontal-relative:page;mso-position-vertical-relative:paragraph;z-index:-251443200;mso-wrap-distance-left:0;mso-wrap-distance-right:0" coordorigin="3240,182" coordsize="2878,0" path="m3240,182l6118,182e" filled="false" stroked="true" strokeweight=".84pt" strokecolor="#000000">
            <v:path arrowok="t"/>
            <v:stroke dashstyle="solid"/>
            <w10:wrap type="topAndBottom"/>
          </v:shape>
        </w:pict>
      </w:r>
    </w:p>
    <w:p>
      <w:pPr>
        <w:pStyle w:val="ListParagraph"/>
        <w:numPr>
          <w:ilvl w:val="0"/>
          <w:numId w:val="15"/>
        </w:numPr>
        <w:tabs>
          <w:tab w:pos="3046" w:val="left" w:leader="none"/>
        </w:tabs>
        <w:spacing w:line="184" w:lineRule="auto" w:before="159" w:after="0"/>
        <w:ind w:left="3046" w:right="0" w:hanging="306"/>
        <w:jc w:val="left"/>
        <w:rPr>
          <w:sz w:val="18"/>
        </w:rPr>
      </w:pPr>
      <w:r>
        <w:rPr>
          <w:position w:val="-9"/>
          <w:sz w:val="18"/>
          <w:u w:val="single"/>
        </w:rPr>
        <w:t>Id</w:t>
      </w:r>
      <w:r>
        <w:rPr>
          <w:position w:val="-9"/>
          <w:sz w:val="18"/>
        </w:rPr>
        <w:t>.</w:t>
      </w:r>
    </w:p>
    <w:p>
      <w:pPr>
        <w:spacing w:before="26"/>
        <w:ind w:left="2740" w:right="0" w:firstLine="0"/>
        <w:jc w:val="left"/>
        <w:rPr>
          <w:rFonts w:ascii="Times New Roman"/>
          <w:sz w:val="24"/>
        </w:rPr>
      </w:pPr>
      <w:r>
        <w:rPr>
          <w:rFonts w:ascii="Times New Roman"/>
          <w:position w:val="10"/>
          <w:sz w:val="14"/>
        </w:rPr>
        <w:t>609 </w:t>
      </w:r>
      <w:r>
        <w:rPr>
          <w:rFonts w:ascii="Times New Roman"/>
          <w:sz w:val="18"/>
          <w:u w:val="single"/>
        </w:rPr>
        <w:t>Id</w:t>
      </w:r>
      <w:r>
        <w:rPr>
          <w:rFonts w:ascii="Times New Roman"/>
          <w:sz w:val="18"/>
        </w:rPr>
        <w:t>. at 909-910</w:t>
      </w:r>
      <w:r>
        <w:rPr>
          <w:rFonts w:ascii="Times New Roman"/>
          <w:sz w:val="24"/>
        </w:rPr>
        <w:t>.</w:t>
      </w:r>
    </w:p>
    <w:p>
      <w:pPr>
        <w:pStyle w:val="ListParagraph"/>
        <w:numPr>
          <w:ilvl w:val="0"/>
          <w:numId w:val="16"/>
        </w:numPr>
        <w:tabs>
          <w:tab w:pos="3030" w:val="left" w:leader="none"/>
        </w:tabs>
        <w:spacing w:line="252" w:lineRule="auto" w:before="52" w:after="0"/>
        <w:ind w:left="2740" w:right="2843" w:firstLine="0"/>
        <w:jc w:val="both"/>
        <w:rPr>
          <w:sz w:val="18"/>
        </w:rPr>
      </w:pPr>
      <w:r>
        <w:rPr>
          <w:sz w:val="18"/>
          <w:u w:val="single"/>
        </w:rPr>
        <w:t>200 Leslie Condo Ass’n, Inc. v. QBE Ins. Corp.</w:t>
      </w:r>
      <w:r>
        <w:rPr>
          <w:sz w:val="18"/>
        </w:rPr>
        <w:t>, 965 F.Supp. </w:t>
      </w:r>
      <w:r>
        <w:rPr>
          <w:spacing w:val="2"/>
          <w:sz w:val="18"/>
        </w:rPr>
        <w:t>1386 </w:t>
      </w:r>
      <w:r>
        <w:rPr>
          <w:sz w:val="18"/>
        </w:rPr>
        <w:t>(S.D. Fla. 2013); (</w:t>
      </w:r>
      <w:r>
        <w:rPr>
          <w:i/>
          <w:sz w:val="18"/>
        </w:rPr>
        <w:t>citing </w:t>
      </w:r>
      <w:r>
        <w:rPr>
          <w:sz w:val="18"/>
          <w:u w:val="single"/>
        </w:rPr>
        <w:t>Galindo v. ARI Mut. Ins. Co.</w:t>
      </w:r>
      <w:r>
        <w:rPr>
          <w:sz w:val="18"/>
        </w:rPr>
        <w:t>, 203 F.3d 771, 777 (11th Cir.2000) and </w:t>
      </w:r>
      <w:r>
        <w:rPr>
          <w:sz w:val="18"/>
          <w:u w:val="single"/>
        </w:rPr>
        <w:t>U.S. Fid. &amp; Guar. Co. v. Romay</w:t>
      </w:r>
      <w:r>
        <w:rPr>
          <w:i/>
          <w:sz w:val="18"/>
        </w:rPr>
        <w:t>, </w:t>
      </w:r>
      <w:r>
        <w:rPr>
          <w:sz w:val="18"/>
        </w:rPr>
        <w:t>744 So.2d 467 (Fla. 3d DCA 1999)).</w:t>
      </w:r>
    </w:p>
    <w:p>
      <w:pPr>
        <w:pStyle w:val="ListParagraph"/>
        <w:numPr>
          <w:ilvl w:val="0"/>
          <w:numId w:val="16"/>
        </w:numPr>
        <w:tabs>
          <w:tab w:pos="3015" w:val="left" w:leader="none"/>
        </w:tabs>
        <w:spacing w:line="257" w:lineRule="exact" w:before="0" w:after="0"/>
        <w:ind w:left="3014" w:right="0" w:hanging="275"/>
        <w:jc w:val="left"/>
        <w:rPr>
          <w:sz w:val="18"/>
        </w:rPr>
      </w:pPr>
      <w:r>
        <w:rPr>
          <w:sz w:val="18"/>
          <w:u w:val="single"/>
        </w:rPr>
        <w:t>Id</w:t>
      </w:r>
      <w:r>
        <w:rPr>
          <w:sz w:val="18"/>
        </w:rPr>
        <w:t>. at 1400, </w:t>
      </w:r>
      <w:r>
        <w:rPr>
          <w:i/>
          <w:sz w:val="18"/>
        </w:rPr>
        <w:t>citing </w:t>
      </w:r>
      <w:r>
        <w:rPr>
          <w:sz w:val="18"/>
          <w:u w:val="single"/>
        </w:rPr>
        <w:t>Galindo</w:t>
      </w:r>
      <w:r>
        <w:rPr>
          <w:sz w:val="18"/>
        </w:rPr>
        <w:t> at</w:t>
      </w:r>
      <w:r>
        <w:rPr>
          <w:spacing w:val="3"/>
          <w:sz w:val="18"/>
        </w:rPr>
        <w:t> </w:t>
      </w:r>
      <w:r>
        <w:rPr>
          <w:sz w:val="18"/>
        </w:rPr>
        <w:t>777.</w:t>
      </w:r>
    </w:p>
    <w:p>
      <w:pPr>
        <w:spacing w:after="0" w:line="257" w:lineRule="exact"/>
        <w:jc w:val="left"/>
        <w:rPr>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pPr>
      <w:bookmarkStart w:name="Law and Procedure 287" w:id="108"/>
      <w:bookmarkEnd w:id="108"/>
      <w:r>
        <w:rPr/>
      </w:r>
      <w:r>
        <w:rPr/>
        <w:t>appraisal prior to compliance with post-loss obligations, the insurer would be “at a considerable disadvantage entering the appraisal process.”</w:t>
      </w:r>
      <w:r>
        <w:rPr>
          <w:vertAlign w:val="superscript"/>
        </w:rPr>
        <w:t>612</w:t>
      </w:r>
      <w:r>
        <w:rPr>
          <w:vertAlign w:val="baseline"/>
        </w:rPr>
        <w:t> The court clarified </w:t>
      </w:r>
      <w:r>
        <w:rPr>
          <w:spacing w:val="-13"/>
          <w:vertAlign w:val="baseline"/>
        </w:rPr>
        <w:t>the </w:t>
      </w:r>
      <w:r>
        <w:rPr>
          <w:vertAlign w:val="baseline"/>
        </w:rPr>
        <w:t>rules surrounding prejudice in Florida; the law presumes prejudice to the insurer and places the</w:t>
      </w:r>
      <w:r>
        <w:rPr>
          <w:spacing w:val="-28"/>
          <w:vertAlign w:val="baseline"/>
        </w:rPr>
        <w:t> </w:t>
      </w:r>
      <w:r>
        <w:rPr>
          <w:vertAlign w:val="baseline"/>
        </w:rPr>
        <w:t>burden</w:t>
      </w:r>
      <w:r>
        <w:rPr>
          <w:spacing w:val="-25"/>
          <w:vertAlign w:val="baseline"/>
        </w:rPr>
        <w:t> </w:t>
      </w:r>
      <w:r>
        <w:rPr>
          <w:vertAlign w:val="baseline"/>
        </w:rPr>
        <w:t>of</w:t>
      </w:r>
      <w:r>
        <w:rPr>
          <w:spacing w:val="-24"/>
          <w:vertAlign w:val="baseline"/>
        </w:rPr>
        <w:t> </w:t>
      </w:r>
      <w:r>
        <w:rPr>
          <w:vertAlign w:val="baseline"/>
        </w:rPr>
        <w:t>showing</w:t>
      </w:r>
      <w:r>
        <w:rPr>
          <w:spacing w:val="-24"/>
          <w:vertAlign w:val="baseline"/>
        </w:rPr>
        <w:t> </w:t>
      </w:r>
      <w:r>
        <w:rPr>
          <w:vertAlign w:val="baseline"/>
        </w:rPr>
        <w:t>its</w:t>
      </w:r>
      <w:r>
        <w:rPr>
          <w:spacing w:val="-28"/>
          <w:vertAlign w:val="baseline"/>
        </w:rPr>
        <w:t> </w:t>
      </w:r>
      <w:r>
        <w:rPr>
          <w:vertAlign w:val="baseline"/>
        </w:rPr>
        <w:t>absence</w:t>
      </w:r>
      <w:r>
        <w:rPr>
          <w:spacing w:val="-26"/>
          <w:vertAlign w:val="baseline"/>
        </w:rPr>
        <w:t> </w:t>
      </w:r>
      <w:r>
        <w:rPr>
          <w:vertAlign w:val="baseline"/>
        </w:rPr>
        <w:t>on</w:t>
      </w:r>
      <w:r>
        <w:rPr>
          <w:spacing w:val="-28"/>
          <w:vertAlign w:val="baseline"/>
        </w:rPr>
        <w:t> </w:t>
      </w:r>
      <w:r>
        <w:rPr>
          <w:vertAlign w:val="baseline"/>
        </w:rPr>
        <w:t>the</w:t>
      </w:r>
      <w:r>
        <w:rPr>
          <w:spacing w:val="-28"/>
          <w:vertAlign w:val="baseline"/>
        </w:rPr>
        <w:t> </w:t>
      </w:r>
      <w:r>
        <w:rPr>
          <w:vertAlign w:val="baseline"/>
        </w:rPr>
        <w:t>party seeking</w:t>
      </w:r>
      <w:r>
        <w:rPr>
          <w:spacing w:val="-18"/>
          <w:vertAlign w:val="baseline"/>
        </w:rPr>
        <w:t> </w:t>
      </w:r>
      <w:r>
        <w:rPr>
          <w:vertAlign w:val="baseline"/>
        </w:rPr>
        <w:t>to</w:t>
      </w:r>
      <w:r>
        <w:rPr>
          <w:spacing w:val="-19"/>
          <w:vertAlign w:val="baseline"/>
        </w:rPr>
        <w:t> </w:t>
      </w:r>
      <w:r>
        <w:rPr>
          <w:vertAlign w:val="baseline"/>
        </w:rPr>
        <w:t>avoid</w:t>
      </w:r>
      <w:r>
        <w:rPr>
          <w:spacing w:val="-19"/>
          <w:vertAlign w:val="baseline"/>
        </w:rPr>
        <w:t> </w:t>
      </w:r>
      <w:r>
        <w:rPr>
          <w:vertAlign w:val="baseline"/>
        </w:rPr>
        <w:t>the</w:t>
      </w:r>
      <w:r>
        <w:rPr>
          <w:spacing w:val="-19"/>
          <w:vertAlign w:val="baseline"/>
        </w:rPr>
        <w:t> </w:t>
      </w:r>
      <w:r>
        <w:rPr>
          <w:vertAlign w:val="baseline"/>
        </w:rPr>
        <w:t>condition;</w:t>
      </w:r>
      <w:r>
        <w:rPr>
          <w:spacing w:val="-18"/>
          <w:vertAlign w:val="baseline"/>
        </w:rPr>
        <w:t> </w:t>
      </w:r>
      <w:r>
        <w:rPr>
          <w:vertAlign w:val="baseline"/>
        </w:rPr>
        <w:t>“by</w:t>
      </w:r>
      <w:r>
        <w:rPr>
          <w:spacing w:val="-18"/>
          <w:vertAlign w:val="baseline"/>
        </w:rPr>
        <w:t> </w:t>
      </w:r>
      <w:r>
        <w:rPr>
          <w:vertAlign w:val="baseline"/>
        </w:rPr>
        <w:t>contrast,</w:t>
      </w:r>
      <w:r>
        <w:rPr>
          <w:spacing w:val="-21"/>
          <w:vertAlign w:val="baseline"/>
        </w:rPr>
        <w:t> </w:t>
      </w:r>
      <w:r>
        <w:rPr>
          <w:vertAlign w:val="baseline"/>
        </w:rPr>
        <w:t>in cases involving an insured's failure to comply with a condition subsequent, </w:t>
      </w:r>
      <w:r>
        <w:rPr>
          <w:spacing w:val="2"/>
          <w:vertAlign w:val="baseline"/>
        </w:rPr>
        <w:t>‘it is </w:t>
      </w:r>
      <w:r>
        <w:rPr>
          <w:vertAlign w:val="baseline"/>
        </w:rPr>
        <w:t>proper to place</w:t>
      </w:r>
      <w:r>
        <w:rPr>
          <w:spacing w:val="-6"/>
          <w:vertAlign w:val="baseline"/>
        </w:rPr>
        <w:t> </w:t>
      </w:r>
      <w:r>
        <w:rPr>
          <w:vertAlign w:val="baseline"/>
        </w:rPr>
        <w:t>the</w:t>
      </w:r>
      <w:r>
        <w:rPr>
          <w:spacing w:val="-8"/>
          <w:vertAlign w:val="baseline"/>
        </w:rPr>
        <w:t> </w:t>
      </w:r>
      <w:r>
        <w:rPr>
          <w:vertAlign w:val="baseline"/>
        </w:rPr>
        <w:t>burden</w:t>
      </w:r>
      <w:r>
        <w:rPr>
          <w:spacing w:val="-10"/>
          <w:vertAlign w:val="baseline"/>
        </w:rPr>
        <w:t> </w:t>
      </w:r>
      <w:r>
        <w:rPr>
          <w:vertAlign w:val="baseline"/>
        </w:rPr>
        <w:t>of</w:t>
      </w:r>
      <w:r>
        <w:rPr>
          <w:spacing w:val="-10"/>
          <w:vertAlign w:val="baseline"/>
        </w:rPr>
        <w:t> </w:t>
      </w:r>
      <w:r>
        <w:rPr>
          <w:vertAlign w:val="baseline"/>
        </w:rPr>
        <w:t>showing</w:t>
      </w:r>
      <w:r>
        <w:rPr>
          <w:spacing w:val="-9"/>
          <w:vertAlign w:val="baseline"/>
        </w:rPr>
        <w:t> </w:t>
      </w:r>
      <w:r>
        <w:rPr>
          <w:vertAlign w:val="baseline"/>
        </w:rPr>
        <w:t>prejudice</w:t>
      </w:r>
      <w:r>
        <w:rPr>
          <w:spacing w:val="-10"/>
          <w:vertAlign w:val="baseline"/>
        </w:rPr>
        <w:t> </w:t>
      </w:r>
      <w:r>
        <w:rPr>
          <w:vertAlign w:val="baseline"/>
        </w:rPr>
        <w:t>on</w:t>
      </w:r>
      <w:r>
        <w:rPr>
          <w:spacing w:val="-11"/>
          <w:vertAlign w:val="baseline"/>
        </w:rPr>
        <w:t> </w:t>
      </w:r>
      <w:r>
        <w:rPr>
          <w:vertAlign w:val="baseline"/>
        </w:rPr>
        <w:t>the insurer.’”</w:t>
      </w:r>
      <w:r>
        <w:rPr>
          <w:u w:val="single"/>
          <w:vertAlign w:val="superscript"/>
        </w:rPr>
        <w:t>613</w:t>
      </w:r>
      <w:r>
        <w:rPr>
          <w:vertAlign w:val="baseline"/>
        </w:rPr>
        <w:t> The court additionally refused </w:t>
      </w:r>
      <w:r>
        <w:rPr>
          <w:spacing w:val="-19"/>
          <w:vertAlign w:val="baseline"/>
        </w:rPr>
        <w:t>to </w:t>
      </w:r>
      <w:r>
        <w:rPr>
          <w:vertAlign w:val="baseline"/>
        </w:rPr>
        <w:t>grant the insured a post-trial opportunity to comply with conditions, finding no supportive basis or legal authority for doing</w:t>
      </w:r>
      <w:r>
        <w:rPr>
          <w:spacing w:val="-10"/>
          <w:vertAlign w:val="baseline"/>
        </w:rPr>
        <w:t> </w:t>
      </w:r>
      <w:r>
        <w:rPr>
          <w:vertAlign w:val="baseline"/>
        </w:rPr>
        <w:t>so.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r>
        <w:rPr/>
        <w:pict>
          <v:shape style="position:absolute;margin-left:162pt;margin-top:18.360474pt;width:143.9pt;height:.1pt;mso-position-horizontal-relative:page;mso-position-vertical-relative:paragraph;z-index:-251442176;mso-wrap-distance-left:0;mso-wrap-distance-right:0" coordorigin="3240,367" coordsize="2878,0" path="m3240,367l6118,36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6"/>
        </w:numPr>
        <w:tabs>
          <w:tab w:pos="3015" w:val="left" w:leader="none"/>
        </w:tabs>
        <w:spacing w:line="248" w:lineRule="exact" w:before="71" w:after="0"/>
        <w:ind w:left="3014" w:right="0" w:hanging="275"/>
        <w:jc w:val="left"/>
        <w:rPr>
          <w:sz w:val="18"/>
        </w:rPr>
      </w:pPr>
      <w:r>
        <w:rPr>
          <w:sz w:val="18"/>
          <w:u w:val="single"/>
        </w:rPr>
        <w:t>Id</w:t>
      </w:r>
      <w:r>
        <w:rPr>
          <w:sz w:val="18"/>
        </w:rPr>
        <w:t>., </w:t>
      </w:r>
      <w:r>
        <w:rPr>
          <w:i/>
          <w:sz w:val="18"/>
        </w:rPr>
        <w:t>citing </w:t>
      </w:r>
      <w:r>
        <w:rPr>
          <w:sz w:val="18"/>
          <w:u w:val="single"/>
        </w:rPr>
        <w:t>Romay</w:t>
      </w:r>
      <w:r>
        <w:rPr>
          <w:i/>
          <w:sz w:val="18"/>
        </w:rPr>
        <w:t>, </w:t>
      </w:r>
      <w:r>
        <w:rPr>
          <w:sz w:val="18"/>
        </w:rPr>
        <w:t>744 So.2d at 471 (Fla. 3d DCA</w:t>
      </w:r>
      <w:r>
        <w:rPr>
          <w:spacing w:val="-29"/>
          <w:sz w:val="18"/>
        </w:rPr>
        <w:t> </w:t>
      </w:r>
      <w:r>
        <w:rPr>
          <w:sz w:val="18"/>
        </w:rPr>
        <w:t>1999)</w:t>
      </w:r>
    </w:p>
    <w:p>
      <w:pPr>
        <w:pStyle w:val="ListParagraph"/>
        <w:numPr>
          <w:ilvl w:val="0"/>
          <w:numId w:val="16"/>
        </w:numPr>
        <w:tabs>
          <w:tab w:pos="3001" w:val="left" w:leader="none"/>
        </w:tabs>
        <w:spacing w:line="248" w:lineRule="exact" w:before="0" w:after="0"/>
        <w:ind w:left="3001" w:right="0" w:hanging="261"/>
        <w:jc w:val="left"/>
        <w:rPr>
          <w:sz w:val="18"/>
        </w:rPr>
      </w:pPr>
      <w:r>
        <w:rPr>
          <w:sz w:val="18"/>
          <w:u w:val="single"/>
        </w:rPr>
        <w:t>Id</w:t>
      </w:r>
      <w:r>
        <w:rPr>
          <w:sz w:val="18"/>
        </w:rPr>
        <w:t>. at 1401, </w:t>
      </w:r>
      <w:r>
        <w:rPr>
          <w:i/>
          <w:sz w:val="18"/>
        </w:rPr>
        <w:t>citing </w:t>
      </w:r>
      <w:r>
        <w:rPr>
          <w:sz w:val="18"/>
          <w:u w:val="single"/>
        </w:rPr>
        <w:t>Bankers Ins. Co. v. Macias</w:t>
      </w:r>
      <w:r>
        <w:rPr>
          <w:sz w:val="18"/>
        </w:rPr>
        <w:t>, 475 So.2d 1216, 10 Fla. L. Weekly</w:t>
      </w:r>
      <w:r>
        <w:rPr>
          <w:spacing w:val="-10"/>
          <w:sz w:val="18"/>
        </w:rPr>
        <w:t> </w:t>
      </w:r>
      <w:r>
        <w:rPr>
          <w:sz w:val="18"/>
        </w:rPr>
        <w:t>424</w:t>
      </w:r>
    </w:p>
    <w:p>
      <w:pPr>
        <w:spacing w:before="4"/>
        <w:ind w:left="2740" w:right="0" w:firstLine="0"/>
        <w:jc w:val="left"/>
        <w:rPr>
          <w:rFonts w:ascii="Times New Roman"/>
          <w:sz w:val="18"/>
        </w:rPr>
      </w:pPr>
      <w:r>
        <w:rPr>
          <w:rFonts w:ascii="Times New Roman"/>
          <w:sz w:val="18"/>
        </w:rPr>
        <w:t>(1985).</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3819" w:val="left" w:leader="none"/>
        </w:tabs>
        <w:spacing w:before="42"/>
        <w:ind w:left="3100"/>
      </w:pPr>
      <w:bookmarkStart w:name="Law and Procedure 288" w:id="109"/>
      <w:bookmarkEnd w:id="109"/>
      <w:r>
        <w:rPr/>
      </w:r>
      <w:r>
        <w:rPr>
          <w:spacing w:val="3"/>
        </w:rPr>
        <w:t>I]</w:t>
        <w:tab/>
      </w:r>
      <w:r>
        <w:rPr/>
        <w:t>MOVING </w:t>
      </w:r>
      <w:r>
        <w:rPr>
          <w:spacing w:val="-3"/>
        </w:rPr>
        <w:t>TO </w:t>
      </w:r>
      <w:r>
        <w:rPr/>
        <w:t>SET </w:t>
      </w:r>
      <w:r>
        <w:rPr>
          <w:spacing w:val="2"/>
        </w:rPr>
        <w:t>ASIDE </w:t>
      </w:r>
      <w:r>
        <w:rPr/>
        <w:t>THE</w:t>
      </w:r>
      <w:r>
        <w:rPr>
          <w:spacing w:val="-8"/>
        </w:rPr>
        <w:t> </w:t>
      </w:r>
      <w:r>
        <w:rPr/>
        <w:t>AWARD</w:t>
      </w:r>
    </w:p>
    <w:p>
      <w:pPr>
        <w:pStyle w:val="BodyText"/>
        <w:spacing w:before="5"/>
      </w:pPr>
    </w:p>
    <w:p>
      <w:pPr>
        <w:pStyle w:val="BodyText"/>
        <w:spacing w:line="242" w:lineRule="auto"/>
        <w:ind w:left="3100" w:right="3198" w:firstLine="768"/>
        <w:jc w:val="both"/>
      </w:pPr>
      <w:r>
        <w:rPr/>
        <w:t>Individual</w:t>
      </w:r>
      <w:r>
        <w:rPr>
          <w:spacing w:val="-25"/>
        </w:rPr>
        <w:t> </w:t>
      </w:r>
      <w:r>
        <w:rPr/>
        <w:t>states</w:t>
      </w:r>
      <w:r>
        <w:rPr>
          <w:spacing w:val="-28"/>
        </w:rPr>
        <w:t> </w:t>
      </w:r>
      <w:r>
        <w:rPr/>
        <w:t>treat</w:t>
      </w:r>
      <w:r>
        <w:rPr>
          <w:spacing w:val="-30"/>
        </w:rPr>
        <w:t> </w:t>
      </w:r>
      <w:r>
        <w:rPr/>
        <w:t>this</w:t>
      </w:r>
      <w:r>
        <w:rPr>
          <w:spacing w:val="-29"/>
        </w:rPr>
        <w:t> </w:t>
      </w:r>
      <w:r>
        <w:rPr/>
        <w:t>issue</w:t>
      </w:r>
      <w:r>
        <w:rPr>
          <w:spacing w:val="-28"/>
        </w:rPr>
        <w:t> </w:t>
      </w:r>
      <w:r>
        <w:rPr/>
        <w:t>differently and the local laws must be identified and complied</w:t>
      </w:r>
      <w:r>
        <w:rPr>
          <w:spacing w:val="-2"/>
        </w:rPr>
        <w:t> </w:t>
      </w:r>
      <w:r>
        <w:rPr/>
        <w:t>with.</w:t>
      </w:r>
    </w:p>
    <w:p>
      <w:pPr>
        <w:pStyle w:val="BodyText"/>
        <w:spacing w:before="2"/>
      </w:pPr>
    </w:p>
    <w:p>
      <w:pPr>
        <w:pStyle w:val="BodyText"/>
        <w:spacing w:line="242" w:lineRule="auto"/>
        <w:ind w:left="3100" w:right="3199" w:firstLine="720"/>
        <w:jc w:val="both"/>
      </w:pPr>
      <w:r>
        <w:rPr>
          <w:spacing w:val="3"/>
        </w:rPr>
        <w:t>In</w:t>
      </w:r>
      <w:r>
        <w:rPr>
          <w:spacing w:val="-28"/>
        </w:rPr>
        <w:t> </w:t>
      </w:r>
      <w:r>
        <w:rPr/>
        <w:t>those</w:t>
      </w:r>
      <w:r>
        <w:rPr>
          <w:spacing w:val="-28"/>
        </w:rPr>
        <w:t> </w:t>
      </w:r>
      <w:r>
        <w:rPr/>
        <w:t>states</w:t>
      </w:r>
      <w:r>
        <w:rPr>
          <w:spacing w:val="-29"/>
        </w:rPr>
        <w:t> </w:t>
      </w:r>
      <w:r>
        <w:rPr/>
        <w:t>that</w:t>
      </w:r>
      <w:r>
        <w:rPr>
          <w:spacing w:val="-29"/>
        </w:rPr>
        <w:t> </w:t>
      </w:r>
      <w:r>
        <w:rPr/>
        <w:t>equate</w:t>
      </w:r>
      <w:r>
        <w:rPr>
          <w:spacing w:val="-30"/>
        </w:rPr>
        <w:t> </w:t>
      </w:r>
      <w:r>
        <w:rPr/>
        <w:t>appraisal</w:t>
      </w:r>
      <w:r>
        <w:rPr>
          <w:spacing w:val="-30"/>
        </w:rPr>
        <w:t> </w:t>
      </w:r>
      <w:r>
        <w:rPr/>
        <w:t>with arbitration,</w:t>
      </w:r>
      <w:r>
        <w:rPr>
          <w:spacing w:val="-34"/>
        </w:rPr>
        <w:t> </w:t>
      </w:r>
      <w:r>
        <w:rPr/>
        <w:t>care</w:t>
      </w:r>
      <w:r>
        <w:rPr>
          <w:spacing w:val="-33"/>
        </w:rPr>
        <w:t> </w:t>
      </w:r>
      <w:r>
        <w:rPr/>
        <w:t>must</w:t>
      </w:r>
      <w:r>
        <w:rPr>
          <w:spacing w:val="-33"/>
        </w:rPr>
        <w:t> </w:t>
      </w:r>
      <w:r>
        <w:rPr/>
        <w:t>be</w:t>
      </w:r>
      <w:r>
        <w:rPr>
          <w:spacing w:val="-32"/>
        </w:rPr>
        <w:t> </w:t>
      </w:r>
      <w:r>
        <w:rPr/>
        <w:t>taken</w:t>
      </w:r>
      <w:r>
        <w:rPr>
          <w:spacing w:val="-34"/>
        </w:rPr>
        <w:t> </w:t>
      </w:r>
      <w:r>
        <w:rPr/>
        <w:t>in</w:t>
      </w:r>
      <w:r>
        <w:rPr>
          <w:spacing w:val="-35"/>
        </w:rPr>
        <w:t> </w:t>
      </w:r>
      <w:r>
        <w:rPr>
          <w:spacing w:val="-3"/>
        </w:rPr>
        <w:t>commencing </w:t>
      </w:r>
      <w:r>
        <w:rPr/>
        <w:t>any effort to set aside an appraisal award expeditiously</w:t>
      </w:r>
      <w:r>
        <w:rPr>
          <w:spacing w:val="-15"/>
        </w:rPr>
        <w:t> </w:t>
      </w:r>
      <w:r>
        <w:rPr/>
        <w:t>and</w:t>
      </w:r>
      <w:r>
        <w:rPr>
          <w:spacing w:val="-11"/>
        </w:rPr>
        <w:t> </w:t>
      </w:r>
      <w:r>
        <w:rPr/>
        <w:t>certainly</w:t>
      </w:r>
      <w:r>
        <w:rPr>
          <w:spacing w:val="-14"/>
        </w:rPr>
        <w:t> </w:t>
      </w:r>
      <w:r>
        <w:rPr/>
        <w:t>within</w:t>
      </w:r>
      <w:r>
        <w:rPr>
          <w:spacing w:val="-14"/>
        </w:rPr>
        <w:t> </w:t>
      </w:r>
      <w:r>
        <w:rPr/>
        <w:t>the</w:t>
      </w:r>
      <w:r>
        <w:rPr>
          <w:spacing w:val="-15"/>
        </w:rPr>
        <w:t> </w:t>
      </w:r>
      <w:r>
        <w:rPr/>
        <w:t>statutory time period provided for challenging an </w:t>
      </w:r>
      <w:r>
        <w:rPr>
          <w:spacing w:val="10"/>
        </w:rPr>
        <w:t>arbitration </w:t>
      </w:r>
      <w:r>
        <w:rPr>
          <w:spacing w:val="6"/>
        </w:rPr>
        <w:t>award.</w:t>
      </w:r>
      <w:r>
        <w:rPr>
          <w:spacing w:val="6"/>
          <w:vertAlign w:val="superscript"/>
        </w:rPr>
        <w:t>614</w:t>
      </w:r>
      <w:r>
        <w:rPr>
          <w:spacing w:val="6"/>
          <w:vertAlign w:val="baseline"/>
        </w:rPr>
        <w:t> For </w:t>
      </w:r>
      <w:r>
        <w:rPr>
          <w:spacing w:val="9"/>
          <w:vertAlign w:val="baseline"/>
        </w:rPr>
        <w:t>example, </w:t>
      </w:r>
      <w:r>
        <w:rPr>
          <w:spacing w:val="-7"/>
          <w:vertAlign w:val="baseline"/>
        </w:rPr>
        <w:t>in </w:t>
      </w:r>
      <w:r>
        <w:rPr>
          <w:vertAlign w:val="baseline"/>
        </w:rPr>
        <w:t>Connecticut, where courts have traditionally equated appraisal and arbitration in certain respects, it was held that where procedural objections</w:t>
      </w:r>
      <w:r>
        <w:rPr>
          <w:spacing w:val="-11"/>
          <w:vertAlign w:val="baseline"/>
        </w:rPr>
        <w:t> </w:t>
      </w:r>
      <w:r>
        <w:rPr>
          <w:vertAlign w:val="baseline"/>
        </w:rPr>
        <w:t>to</w:t>
      </w:r>
      <w:r>
        <w:rPr>
          <w:spacing w:val="-9"/>
          <w:vertAlign w:val="baseline"/>
        </w:rPr>
        <w:t> </w:t>
      </w:r>
      <w:r>
        <w:rPr>
          <w:vertAlign w:val="baseline"/>
        </w:rPr>
        <w:t>the</w:t>
      </w:r>
      <w:r>
        <w:rPr>
          <w:spacing w:val="-9"/>
          <w:vertAlign w:val="baseline"/>
        </w:rPr>
        <w:t> </w:t>
      </w:r>
      <w:r>
        <w:rPr>
          <w:vertAlign w:val="baseline"/>
        </w:rPr>
        <w:t>appraisal</w:t>
      </w:r>
      <w:r>
        <w:rPr>
          <w:spacing w:val="-8"/>
          <w:vertAlign w:val="baseline"/>
        </w:rPr>
        <w:t> </w:t>
      </w:r>
      <w:r>
        <w:rPr>
          <w:vertAlign w:val="baseline"/>
        </w:rPr>
        <w:t>process</w:t>
      </w:r>
      <w:r>
        <w:rPr>
          <w:spacing w:val="-11"/>
          <w:vertAlign w:val="baseline"/>
        </w:rPr>
        <w:t> </w:t>
      </w:r>
      <w:r>
        <w:rPr>
          <w:vertAlign w:val="baseline"/>
        </w:rPr>
        <w:t>are</w:t>
      </w:r>
      <w:r>
        <w:rPr>
          <w:spacing w:val="-12"/>
          <w:vertAlign w:val="baseline"/>
        </w:rPr>
        <w:t> </w:t>
      </w:r>
      <w:r>
        <w:rPr>
          <w:vertAlign w:val="baseline"/>
        </w:rPr>
        <w:t>raised, they must be asserted in a timely fashion pursuant to §§52-418 and 420 of </w:t>
      </w:r>
      <w:r>
        <w:rPr>
          <w:spacing w:val="-5"/>
          <w:vertAlign w:val="baseline"/>
        </w:rPr>
        <w:t>the </w:t>
      </w:r>
      <w:r>
        <w:rPr>
          <w:vertAlign w:val="baseline"/>
        </w:rPr>
        <w:t>Connecticut General Statutes. </w:t>
      </w:r>
      <w:r>
        <w:rPr>
          <w:spacing w:val="3"/>
          <w:vertAlign w:val="baseline"/>
        </w:rPr>
        <w:t>It </w:t>
      </w:r>
      <w:r>
        <w:rPr>
          <w:vertAlign w:val="baseline"/>
        </w:rPr>
        <w:t>has been determined that such challenges </w:t>
      </w:r>
      <w:r>
        <w:rPr>
          <w:spacing w:val="-3"/>
          <w:vertAlign w:val="baseline"/>
        </w:rPr>
        <w:t>were </w:t>
      </w:r>
      <w:r>
        <w:rPr>
          <w:vertAlign w:val="baseline"/>
        </w:rPr>
        <w:t>required to be raised within 30 days of the award.</w:t>
      </w:r>
    </w:p>
    <w:p>
      <w:pPr>
        <w:pStyle w:val="BodyText"/>
        <w:spacing w:before="9"/>
        <w:rPr>
          <w:sz w:val="25"/>
        </w:rPr>
      </w:pPr>
    </w:p>
    <w:p>
      <w:pPr>
        <w:pStyle w:val="BodyText"/>
        <w:spacing w:line="242" w:lineRule="auto"/>
        <w:ind w:left="3100" w:right="3198" w:firstLine="720"/>
        <w:jc w:val="both"/>
      </w:pPr>
      <w:r>
        <w:rPr/>
        <w:t>This issue was addressed in the case </w:t>
      </w:r>
      <w:r>
        <w:rPr>
          <w:spacing w:val="-6"/>
        </w:rPr>
        <w:t>of </w:t>
      </w:r>
      <w:r>
        <w:rPr>
          <w:u w:val="single"/>
        </w:rPr>
        <w:t>Travelers</w:t>
      </w:r>
      <w:r>
        <w:rPr>
          <w:spacing w:val="-19"/>
          <w:u w:val="single"/>
        </w:rPr>
        <w:t> </w:t>
      </w:r>
      <w:r>
        <w:rPr>
          <w:u w:val="single"/>
        </w:rPr>
        <w:t>Home</w:t>
      </w:r>
      <w:r>
        <w:rPr>
          <w:spacing w:val="-18"/>
          <w:u w:val="single"/>
        </w:rPr>
        <w:t> </w:t>
      </w:r>
      <w:r>
        <w:rPr>
          <w:u w:val="single"/>
        </w:rPr>
        <w:t>and</w:t>
      </w:r>
      <w:r>
        <w:rPr>
          <w:spacing w:val="-16"/>
          <w:u w:val="single"/>
        </w:rPr>
        <w:t> </w:t>
      </w:r>
      <w:r>
        <w:rPr>
          <w:u w:val="single"/>
        </w:rPr>
        <w:t>Marine</w:t>
      </w:r>
      <w:r>
        <w:rPr>
          <w:spacing w:val="-16"/>
          <w:u w:val="single"/>
        </w:rPr>
        <w:t> </w:t>
      </w:r>
      <w:r>
        <w:rPr>
          <w:u w:val="single"/>
        </w:rPr>
        <w:t>Ins.</w:t>
      </w:r>
      <w:r>
        <w:rPr>
          <w:spacing w:val="-19"/>
          <w:u w:val="single"/>
        </w:rPr>
        <w:t> </w:t>
      </w:r>
      <w:r>
        <w:rPr>
          <w:u w:val="single"/>
        </w:rPr>
        <w:t>Co.</w:t>
      </w:r>
      <w:r>
        <w:rPr>
          <w:spacing w:val="-17"/>
          <w:u w:val="single"/>
        </w:rPr>
        <w:t> </w:t>
      </w:r>
      <w:r>
        <w:rPr>
          <w:u w:val="single"/>
        </w:rPr>
        <w:t>v.</w:t>
      </w:r>
      <w:r>
        <w:rPr>
          <w:spacing w:val="-19"/>
          <w:u w:val="single"/>
        </w:rPr>
        <w:t> </w:t>
      </w:r>
      <w:r>
        <w:rPr>
          <w:u w:val="single"/>
        </w:rPr>
        <w:t>Kravitz</w:t>
      </w:r>
      <w:r>
        <w:rPr>
          <w:spacing w:val="-15"/>
        </w:rPr>
        <w:t> </w:t>
      </w:r>
      <w:r>
        <w:rPr/>
        <w:t>in which the appellate court of Connecticut affirmed a decision by the trial court denying the insurer’s motion to vacate the appraisal award as untimely. </w:t>
      </w:r>
      <w:r>
        <w:rPr>
          <w:spacing w:val="3"/>
        </w:rPr>
        <w:t>In </w:t>
      </w:r>
      <w:r>
        <w:rPr/>
        <w:t>pointing to</w:t>
      </w:r>
      <w:r>
        <w:rPr>
          <w:spacing w:val="10"/>
        </w:rPr>
        <w:t> </w:t>
      </w:r>
      <w:r>
        <w:rPr/>
        <w:t>§52-420(b),</w:t>
      </w:r>
    </w:p>
    <w:p>
      <w:pPr>
        <w:pStyle w:val="BodyText"/>
        <w:rPr>
          <w:sz w:val="20"/>
        </w:rPr>
      </w:pPr>
    </w:p>
    <w:p>
      <w:pPr>
        <w:pStyle w:val="BodyText"/>
        <w:spacing w:before="5"/>
        <w:rPr>
          <w:sz w:val="16"/>
        </w:rPr>
      </w:pPr>
    </w:p>
    <w:p>
      <w:pPr>
        <w:pStyle w:val="ListParagraph"/>
        <w:numPr>
          <w:ilvl w:val="0"/>
          <w:numId w:val="16"/>
        </w:numPr>
        <w:tabs>
          <w:tab w:pos="3003" w:val="left" w:leader="none"/>
        </w:tabs>
        <w:spacing w:line="254" w:lineRule="auto" w:before="72" w:after="0"/>
        <w:ind w:left="2740" w:right="2840" w:firstLine="0"/>
        <w:jc w:val="both"/>
        <w:rPr>
          <w:sz w:val="18"/>
        </w:rPr>
      </w:pPr>
      <w:r>
        <w:rPr>
          <w:sz w:val="18"/>
          <w:u w:val="single"/>
        </w:rPr>
        <w:t>Corriveau,</w:t>
      </w:r>
      <w:r>
        <w:rPr>
          <w:spacing w:val="-11"/>
          <w:sz w:val="18"/>
          <w:u w:val="single"/>
        </w:rPr>
        <w:t> </w:t>
      </w:r>
      <w:r>
        <w:rPr>
          <w:sz w:val="18"/>
          <w:u w:val="single"/>
        </w:rPr>
        <w:t>et</w:t>
      </w:r>
      <w:r>
        <w:rPr>
          <w:spacing w:val="-11"/>
          <w:sz w:val="18"/>
          <w:u w:val="single"/>
        </w:rPr>
        <w:t> </w:t>
      </w:r>
      <w:r>
        <w:rPr>
          <w:sz w:val="18"/>
          <w:u w:val="single"/>
        </w:rPr>
        <w:t>al</w:t>
      </w:r>
      <w:r>
        <w:rPr>
          <w:spacing w:val="-12"/>
          <w:sz w:val="18"/>
          <w:u w:val="single"/>
        </w:rPr>
        <w:t> </w:t>
      </w:r>
      <w:r>
        <w:rPr>
          <w:sz w:val="18"/>
          <w:u w:val="single"/>
        </w:rPr>
        <w:t>v.</w:t>
      </w:r>
      <w:r>
        <w:rPr>
          <w:spacing w:val="-13"/>
          <w:sz w:val="18"/>
          <w:u w:val="single"/>
        </w:rPr>
        <w:t> </w:t>
      </w:r>
      <w:r>
        <w:rPr>
          <w:sz w:val="18"/>
          <w:u w:val="single"/>
        </w:rPr>
        <w:t>Aetna</w:t>
      </w:r>
      <w:r>
        <w:rPr>
          <w:spacing w:val="-15"/>
          <w:sz w:val="18"/>
          <w:u w:val="single"/>
        </w:rPr>
        <w:t> </w:t>
      </w:r>
      <w:r>
        <w:rPr>
          <w:sz w:val="18"/>
          <w:u w:val="single"/>
        </w:rPr>
        <w:t>Cas.</w:t>
      </w:r>
      <w:r>
        <w:rPr>
          <w:spacing w:val="-14"/>
          <w:sz w:val="18"/>
          <w:u w:val="single"/>
        </w:rPr>
        <w:t> </w:t>
      </w:r>
      <w:r>
        <w:rPr>
          <w:sz w:val="18"/>
          <w:u w:val="single"/>
        </w:rPr>
        <w:t>&amp;</w:t>
      </w:r>
      <w:r>
        <w:rPr>
          <w:spacing w:val="-15"/>
          <w:sz w:val="18"/>
          <w:u w:val="single"/>
        </w:rPr>
        <w:t> </w:t>
      </w:r>
      <w:r>
        <w:rPr>
          <w:sz w:val="18"/>
          <w:u w:val="single"/>
        </w:rPr>
        <w:t>Sur.</w:t>
      </w:r>
      <w:r>
        <w:rPr>
          <w:spacing w:val="-13"/>
          <w:sz w:val="18"/>
          <w:u w:val="single"/>
        </w:rPr>
        <w:t> </w:t>
      </w:r>
      <w:r>
        <w:rPr>
          <w:sz w:val="18"/>
          <w:u w:val="single"/>
        </w:rPr>
        <w:t>Co.</w:t>
      </w:r>
      <w:r>
        <w:rPr>
          <w:sz w:val="18"/>
        </w:rPr>
        <w:t>,</w:t>
      </w:r>
      <w:r>
        <w:rPr>
          <w:spacing w:val="-13"/>
          <w:sz w:val="18"/>
        </w:rPr>
        <w:t> </w:t>
      </w:r>
      <w:r>
        <w:rPr>
          <w:sz w:val="18"/>
        </w:rPr>
        <w:t>1996</w:t>
      </w:r>
      <w:r>
        <w:rPr>
          <w:spacing w:val="-12"/>
          <w:sz w:val="18"/>
        </w:rPr>
        <w:t> </w:t>
      </w:r>
      <w:r>
        <w:rPr>
          <w:sz w:val="18"/>
        </w:rPr>
        <w:t>WL156109</w:t>
      </w:r>
      <w:r>
        <w:rPr>
          <w:spacing w:val="-13"/>
          <w:sz w:val="18"/>
        </w:rPr>
        <w:t> </w:t>
      </w:r>
      <w:r>
        <w:rPr>
          <w:sz w:val="18"/>
        </w:rPr>
        <w:t>(Conn.</w:t>
      </w:r>
      <w:r>
        <w:rPr>
          <w:spacing w:val="-13"/>
          <w:sz w:val="18"/>
        </w:rPr>
        <w:t> </w:t>
      </w:r>
      <w:r>
        <w:rPr>
          <w:sz w:val="18"/>
        </w:rPr>
        <w:t>Super.</w:t>
      </w:r>
      <w:r>
        <w:rPr>
          <w:spacing w:val="-14"/>
          <w:sz w:val="18"/>
        </w:rPr>
        <w:t> </w:t>
      </w:r>
      <w:r>
        <w:rPr>
          <w:sz w:val="18"/>
        </w:rPr>
        <w:t>Ct.</w:t>
      </w:r>
      <w:r>
        <w:rPr>
          <w:spacing w:val="-11"/>
          <w:sz w:val="18"/>
        </w:rPr>
        <w:t> </w:t>
      </w:r>
      <w:r>
        <w:rPr>
          <w:sz w:val="18"/>
        </w:rPr>
        <w:t>1996);</w:t>
      </w:r>
      <w:r>
        <w:rPr>
          <w:spacing w:val="-10"/>
          <w:sz w:val="18"/>
        </w:rPr>
        <w:t> </w:t>
      </w:r>
      <w:r>
        <w:rPr>
          <w:i/>
          <w:sz w:val="18"/>
        </w:rPr>
        <w:t>See </w:t>
      </w:r>
      <w:r>
        <w:rPr>
          <w:i/>
          <w:sz w:val="18"/>
        </w:rPr>
        <w:t>also</w:t>
      </w:r>
      <w:r>
        <w:rPr>
          <w:sz w:val="18"/>
        </w:rPr>
        <w:t>,</w:t>
      </w:r>
      <w:r>
        <w:rPr>
          <w:spacing w:val="-12"/>
          <w:sz w:val="18"/>
        </w:rPr>
        <w:t> </w:t>
      </w:r>
      <w:r>
        <w:rPr>
          <w:sz w:val="18"/>
          <w:u w:val="single"/>
        </w:rPr>
        <w:t>Town</w:t>
      </w:r>
      <w:r>
        <w:rPr>
          <w:spacing w:val="-11"/>
          <w:sz w:val="18"/>
          <w:u w:val="single"/>
        </w:rPr>
        <w:t> </w:t>
      </w:r>
      <w:r>
        <w:rPr>
          <w:sz w:val="18"/>
          <w:u w:val="single"/>
        </w:rPr>
        <w:t>of</w:t>
      </w:r>
      <w:r>
        <w:rPr>
          <w:spacing w:val="-14"/>
          <w:sz w:val="18"/>
          <w:u w:val="single"/>
        </w:rPr>
        <w:t> </w:t>
      </w:r>
      <w:r>
        <w:rPr>
          <w:sz w:val="18"/>
          <w:u w:val="single"/>
        </w:rPr>
        <w:t>East</w:t>
      </w:r>
      <w:r>
        <w:rPr>
          <w:spacing w:val="-13"/>
          <w:sz w:val="18"/>
          <w:u w:val="single"/>
        </w:rPr>
        <w:t> </w:t>
      </w:r>
      <w:r>
        <w:rPr>
          <w:sz w:val="18"/>
          <w:u w:val="single"/>
        </w:rPr>
        <w:t>Hartford</w:t>
      </w:r>
      <w:r>
        <w:rPr>
          <w:spacing w:val="-11"/>
          <w:sz w:val="18"/>
          <w:u w:val="single"/>
        </w:rPr>
        <w:t> </w:t>
      </w:r>
      <w:r>
        <w:rPr>
          <w:sz w:val="18"/>
          <w:u w:val="single"/>
        </w:rPr>
        <w:t>v.</w:t>
      </w:r>
      <w:r>
        <w:rPr>
          <w:spacing w:val="-9"/>
          <w:sz w:val="18"/>
          <w:u w:val="single"/>
        </w:rPr>
        <w:t> </w:t>
      </w:r>
      <w:r>
        <w:rPr>
          <w:sz w:val="18"/>
          <w:u w:val="single"/>
        </w:rPr>
        <w:t>East</w:t>
      </w:r>
      <w:r>
        <w:rPr>
          <w:spacing w:val="-10"/>
          <w:sz w:val="18"/>
          <w:u w:val="single"/>
        </w:rPr>
        <w:t> </w:t>
      </w:r>
      <w:r>
        <w:rPr>
          <w:sz w:val="18"/>
          <w:u w:val="single"/>
        </w:rPr>
        <w:t>Hartford</w:t>
      </w:r>
      <w:r>
        <w:rPr>
          <w:spacing w:val="-12"/>
          <w:sz w:val="18"/>
          <w:u w:val="single"/>
        </w:rPr>
        <w:t> </w:t>
      </w:r>
      <w:r>
        <w:rPr>
          <w:sz w:val="18"/>
          <w:u w:val="single"/>
        </w:rPr>
        <w:t>Municipal</w:t>
      </w:r>
      <w:r>
        <w:rPr>
          <w:spacing w:val="-13"/>
          <w:sz w:val="18"/>
          <w:u w:val="single"/>
        </w:rPr>
        <w:t> </w:t>
      </w:r>
      <w:r>
        <w:rPr>
          <w:sz w:val="18"/>
          <w:u w:val="single"/>
        </w:rPr>
        <w:t>Employee’s</w:t>
      </w:r>
      <w:r>
        <w:rPr>
          <w:spacing w:val="-14"/>
          <w:sz w:val="18"/>
          <w:u w:val="single"/>
        </w:rPr>
        <w:t> </w:t>
      </w:r>
      <w:r>
        <w:rPr>
          <w:sz w:val="18"/>
          <w:u w:val="single"/>
        </w:rPr>
        <w:t>Union,</w:t>
      </w:r>
      <w:r>
        <w:rPr>
          <w:spacing w:val="-11"/>
          <w:sz w:val="18"/>
          <w:u w:val="single"/>
        </w:rPr>
        <w:t> </w:t>
      </w:r>
      <w:r>
        <w:rPr>
          <w:sz w:val="18"/>
          <w:u w:val="single"/>
        </w:rPr>
        <w:t>Inc.</w:t>
      </w:r>
      <w:r>
        <w:rPr>
          <w:sz w:val="18"/>
        </w:rPr>
        <w:t>,</w:t>
      </w:r>
      <w:r>
        <w:rPr>
          <w:spacing w:val="-12"/>
          <w:sz w:val="18"/>
        </w:rPr>
        <w:t> </w:t>
      </w:r>
      <w:r>
        <w:rPr>
          <w:sz w:val="18"/>
        </w:rPr>
        <w:t>206</w:t>
      </w:r>
      <w:r>
        <w:rPr>
          <w:spacing w:val="-11"/>
          <w:sz w:val="18"/>
        </w:rPr>
        <w:t> </w:t>
      </w:r>
      <w:r>
        <w:rPr>
          <w:sz w:val="18"/>
        </w:rPr>
        <w:t>Conn. 643, 539 A.2d 125</w:t>
      </w:r>
      <w:r>
        <w:rPr>
          <w:spacing w:val="3"/>
          <w:sz w:val="18"/>
        </w:rPr>
        <w:t> </w:t>
      </w:r>
      <w:r>
        <w:rPr>
          <w:sz w:val="18"/>
        </w:rPr>
        <w:t>(1988).</w:t>
      </w:r>
    </w:p>
    <w:p>
      <w:pPr>
        <w:spacing w:after="0" w:line="254" w:lineRule="auto"/>
        <w:jc w:val="both"/>
        <w:rPr>
          <w:sz w:val="18"/>
        </w:rPr>
        <w:sectPr>
          <w:footerReference w:type="default" r:id="rId56"/>
          <w:pgSz w:w="12240" w:h="15840"/>
          <w:pgMar w:footer="2476" w:header="0" w:top="1500" w:bottom="26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6"/>
        <w:jc w:val="both"/>
      </w:pPr>
      <w:bookmarkStart w:name="Law and Procedure 289" w:id="110"/>
      <w:bookmarkEnd w:id="110"/>
      <w:r>
        <w:rPr/>
      </w:r>
      <w:r>
        <w:rPr/>
        <w:t>the court held that because the insurer’s motion</w:t>
      </w:r>
      <w:r>
        <w:rPr>
          <w:spacing w:val="-21"/>
        </w:rPr>
        <w:t> </w:t>
      </w:r>
      <w:r>
        <w:rPr/>
        <w:t>to</w:t>
      </w:r>
      <w:r>
        <w:rPr>
          <w:spacing w:val="-22"/>
        </w:rPr>
        <w:t> </w:t>
      </w:r>
      <w:r>
        <w:rPr/>
        <w:t>vacate</w:t>
      </w:r>
      <w:r>
        <w:rPr>
          <w:spacing w:val="-22"/>
        </w:rPr>
        <w:t> </w:t>
      </w:r>
      <w:r>
        <w:rPr/>
        <w:t>the</w:t>
      </w:r>
      <w:r>
        <w:rPr>
          <w:spacing w:val="-21"/>
        </w:rPr>
        <w:t> </w:t>
      </w:r>
      <w:r>
        <w:rPr/>
        <w:t>appraisal</w:t>
      </w:r>
      <w:r>
        <w:rPr>
          <w:spacing w:val="-20"/>
        </w:rPr>
        <w:t> </w:t>
      </w:r>
      <w:r>
        <w:rPr/>
        <w:t>award</w:t>
      </w:r>
      <w:r>
        <w:rPr>
          <w:spacing w:val="-21"/>
        </w:rPr>
        <w:t> </w:t>
      </w:r>
      <w:r>
        <w:rPr/>
        <w:t>was</w:t>
      </w:r>
      <w:r>
        <w:rPr>
          <w:spacing w:val="-19"/>
        </w:rPr>
        <w:t> </w:t>
      </w:r>
      <w:r>
        <w:rPr/>
        <w:t>not filed within 30 days after it received notice of the</w:t>
      </w:r>
      <w:r>
        <w:rPr>
          <w:spacing w:val="-31"/>
        </w:rPr>
        <w:t> </w:t>
      </w:r>
      <w:r>
        <w:rPr/>
        <w:t>award,</w:t>
      </w:r>
      <w:r>
        <w:rPr>
          <w:spacing w:val="-33"/>
        </w:rPr>
        <w:t> </w:t>
      </w:r>
      <w:r>
        <w:rPr/>
        <w:t>the</w:t>
      </w:r>
      <w:r>
        <w:rPr>
          <w:spacing w:val="-33"/>
        </w:rPr>
        <w:t> </w:t>
      </w:r>
      <w:r>
        <w:rPr/>
        <w:t>trial</w:t>
      </w:r>
      <w:r>
        <w:rPr>
          <w:spacing w:val="-31"/>
        </w:rPr>
        <w:t> </w:t>
      </w:r>
      <w:r>
        <w:rPr/>
        <w:t>court</w:t>
      </w:r>
      <w:r>
        <w:rPr>
          <w:spacing w:val="-35"/>
        </w:rPr>
        <w:t> </w:t>
      </w:r>
      <w:r>
        <w:rPr/>
        <w:t>lacked</w:t>
      </w:r>
      <w:r>
        <w:rPr>
          <w:spacing w:val="-31"/>
        </w:rPr>
        <w:t> </w:t>
      </w:r>
      <w:r>
        <w:rPr/>
        <w:t>subject</w:t>
      </w:r>
      <w:r>
        <w:rPr>
          <w:spacing w:val="-33"/>
        </w:rPr>
        <w:t> </w:t>
      </w:r>
      <w:r>
        <w:rPr/>
        <w:t>matter jurisdiction over the</w:t>
      </w:r>
      <w:r>
        <w:rPr>
          <w:spacing w:val="-4"/>
        </w:rPr>
        <w:t> </w:t>
      </w:r>
      <w:r>
        <w:rPr/>
        <w:t>motion.</w:t>
      </w:r>
      <w:r>
        <w:rPr>
          <w:vertAlign w:val="superscript"/>
        </w:rPr>
        <w:t>615</w:t>
      </w:r>
    </w:p>
    <w:p>
      <w:pPr>
        <w:pStyle w:val="BodyText"/>
        <w:spacing w:before="8"/>
        <w:rPr>
          <w:sz w:val="22"/>
        </w:rPr>
      </w:pPr>
    </w:p>
    <w:p>
      <w:pPr>
        <w:pStyle w:val="BodyText"/>
        <w:spacing w:line="242" w:lineRule="auto" w:before="42"/>
        <w:ind w:left="3100" w:right="3198" w:firstLine="720"/>
        <w:jc w:val="both"/>
      </w:pPr>
      <w:r>
        <w:rPr>
          <w:spacing w:val="3"/>
        </w:rPr>
        <w:t>In </w:t>
      </w:r>
      <w:r>
        <w:rPr>
          <w:u w:val="single"/>
        </w:rPr>
        <w:t>Kravitz</w:t>
      </w:r>
      <w:r>
        <w:rPr/>
        <w:t>, the insurer argued that</w:t>
      </w:r>
      <w:r>
        <w:rPr>
          <w:spacing w:val="55"/>
        </w:rPr>
        <w:t> </w:t>
      </w:r>
      <w:r>
        <w:rPr/>
        <w:t>the appearance of impropriety, relating to a conversation between </w:t>
      </w:r>
      <w:r>
        <w:rPr>
          <w:spacing w:val="-3"/>
        </w:rPr>
        <w:t>two </w:t>
      </w:r>
      <w:r>
        <w:rPr/>
        <w:t>of the three appraisers after the appraisal had </w:t>
      </w:r>
      <w:r>
        <w:rPr>
          <w:spacing w:val="-3"/>
        </w:rPr>
        <w:t>been </w:t>
      </w:r>
      <w:r>
        <w:rPr/>
        <w:t>completed, should compel the court to</w:t>
      </w:r>
      <w:r>
        <w:rPr>
          <w:spacing w:val="-25"/>
        </w:rPr>
        <w:t> </w:t>
      </w:r>
      <w:r>
        <w:rPr/>
        <w:t>make an</w:t>
      </w:r>
      <w:r>
        <w:rPr>
          <w:spacing w:val="-28"/>
        </w:rPr>
        <w:t> </w:t>
      </w:r>
      <w:r>
        <w:rPr/>
        <w:t>exception</w:t>
      </w:r>
      <w:r>
        <w:rPr>
          <w:spacing w:val="-28"/>
        </w:rPr>
        <w:t> </w:t>
      </w:r>
      <w:r>
        <w:rPr/>
        <w:t>under</w:t>
      </w:r>
      <w:r>
        <w:rPr>
          <w:spacing w:val="-29"/>
        </w:rPr>
        <w:t> </w:t>
      </w:r>
      <w:r>
        <w:rPr/>
        <w:t>the</w:t>
      </w:r>
      <w:r>
        <w:rPr>
          <w:spacing w:val="-31"/>
        </w:rPr>
        <w:t> </w:t>
      </w:r>
      <w:r>
        <w:rPr/>
        <w:t>arbitration</w:t>
      </w:r>
      <w:r>
        <w:rPr>
          <w:spacing w:val="-29"/>
        </w:rPr>
        <w:t> </w:t>
      </w:r>
      <w:r>
        <w:rPr/>
        <w:t>statute.</w:t>
      </w:r>
      <w:r>
        <w:rPr>
          <w:spacing w:val="12"/>
        </w:rPr>
        <w:t> </w:t>
      </w:r>
      <w:r>
        <w:rPr/>
        <w:t>The court disagreed, however, and found that </w:t>
      </w:r>
      <w:r>
        <w:rPr>
          <w:spacing w:val="6"/>
        </w:rPr>
        <w:t>despite </w:t>
      </w:r>
      <w:r>
        <w:rPr>
          <w:spacing w:val="3"/>
        </w:rPr>
        <w:t>the </w:t>
      </w:r>
      <w:r>
        <w:rPr>
          <w:spacing w:val="6"/>
        </w:rPr>
        <w:t>appearance </w:t>
      </w:r>
      <w:r>
        <w:rPr>
          <w:spacing w:val="3"/>
        </w:rPr>
        <w:t>of </w:t>
      </w:r>
      <w:r>
        <w:rPr>
          <w:spacing w:val="5"/>
        </w:rPr>
        <w:t>potential </w:t>
      </w:r>
      <w:r>
        <w:rPr/>
        <w:t>impropriety, a judicially-created exception to the</w:t>
      </w:r>
      <w:r>
        <w:rPr>
          <w:spacing w:val="-11"/>
        </w:rPr>
        <w:t> </w:t>
      </w:r>
      <w:r>
        <w:rPr/>
        <w:t>30-day</w:t>
      </w:r>
      <w:r>
        <w:rPr>
          <w:spacing w:val="-9"/>
        </w:rPr>
        <w:t> </w:t>
      </w:r>
      <w:r>
        <w:rPr/>
        <w:t>time</w:t>
      </w:r>
      <w:r>
        <w:rPr>
          <w:spacing w:val="-9"/>
        </w:rPr>
        <w:t> </w:t>
      </w:r>
      <w:r>
        <w:rPr/>
        <w:t>limit</w:t>
      </w:r>
      <w:r>
        <w:rPr>
          <w:spacing w:val="-10"/>
        </w:rPr>
        <w:t> </w:t>
      </w:r>
      <w:r>
        <w:rPr/>
        <w:t>under</w:t>
      </w:r>
      <w:r>
        <w:rPr>
          <w:spacing w:val="-10"/>
        </w:rPr>
        <w:t> </w:t>
      </w:r>
      <w:r>
        <w:rPr/>
        <w:t>§52-420(b)</w:t>
      </w:r>
      <w:r>
        <w:rPr>
          <w:spacing w:val="-12"/>
        </w:rPr>
        <w:t> </w:t>
      </w:r>
      <w:r>
        <w:rPr/>
        <w:t>was</w:t>
      </w:r>
      <w:r>
        <w:rPr>
          <w:spacing w:val="-7"/>
        </w:rPr>
        <w:t> </w:t>
      </w:r>
      <w:r>
        <w:rPr/>
        <w:t>not justified.</w:t>
      </w:r>
      <w:r>
        <w:rPr>
          <w:vertAlign w:val="superscript"/>
        </w:rPr>
        <w:t>616</w:t>
      </w:r>
    </w:p>
    <w:p>
      <w:pPr>
        <w:pStyle w:val="BodyText"/>
        <w:spacing w:before="10"/>
        <w:rPr>
          <w:sz w:val="25"/>
        </w:rPr>
      </w:pPr>
    </w:p>
    <w:p>
      <w:pPr>
        <w:pStyle w:val="BodyText"/>
        <w:spacing w:line="242" w:lineRule="auto" w:before="1"/>
        <w:ind w:left="3100" w:right="3199" w:firstLine="720"/>
        <w:jc w:val="both"/>
      </w:pPr>
      <w:r>
        <w:rPr>
          <w:spacing w:val="2"/>
        </w:rPr>
        <w:t>As </w:t>
      </w:r>
      <w:r>
        <w:rPr/>
        <w:t>legal authority in Michigan has designated appraisal as “‘effectively </w:t>
      </w:r>
      <w:r>
        <w:rPr>
          <w:spacing w:val="-6"/>
        </w:rPr>
        <w:t>an </w:t>
      </w:r>
      <w:r>
        <w:rPr/>
        <w:t>arbitration’”, the statutory limitation within which</w:t>
      </w:r>
      <w:r>
        <w:rPr>
          <w:spacing w:val="-19"/>
        </w:rPr>
        <w:t> </w:t>
      </w:r>
      <w:r>
        <w:rPr/>
        <w:t>to</w:t>
      </w:r>
      <w:r>
        <w:rPr>
          <w:spacing w:val="-18"/>
        </w:rPr>
        <w:t> </w:t>
      </w:r>
      <w:r>
        <w:rPr/>
        <w:t>challenge</w:t>
      </w:r>
      <w:r>
        <w:rPr>
          <w:spacing w:val="-16"/>
        </w:rPr>
        <w:t> </w:t>
      </w:r>
      <w:r>
        <w:rPr/>
        <w:t>to</w:t>
      </w:r>
      <w:r>
        <w:rPr>
          <w:spacing w:val="-18"/>
        </w:rPr>
        <w:t> </w:t>
      </w:r>
      <w:r>
        <w:rPr/>
        <w:t>arbitration</w:t>
      </w:r>
      <w:r>
        <w:rPr>
          <w:spacing w:val="-19"/>
        </w:rPr>
        <w:t> </w:t>
      </w:r>
      <w:r>
        <w:rPr/>
        <w:t>(and</w:t>
      </w:r>
      <w:r>
        <w:rPr>
          <w:spacing w:val="-18"/>
        </w:rPr>
        <w:t> </w:t>
      </w:r>
      <w:r>
        <w:rPr/>
        <w:t>thus,</w:t>
      </w:r>
      <w:r>
        <w:rPr>
          <w:spacing w:val="-20"/>
        </w:rPr>
        <w:t> </w:t>
      </w:r>
      <w:r>
        <w:rPr/>
        <w:t>an appraisal) is six years. MCL</w:t>
      </w:r>
      <w:r>
        <w:rPr>
          <w:spacing w:val="-25"/>
        </w:rPr>
        <w:t> </w:t>
      </w:r>
      <w:r>
        <w:rPr/>
        <w:t>500.2833(1)(m).</w:t>
      </w:r>
      <w:r>
        <w:rPr>
          <w:vertAlign w:val="superscript"/>
        </w:rPr>
        <w:t>617</w:t>
      </w:r>
    </w:p>
    <w:p>
      <w:pPr>
        <w:pStyle w:val="BodyText"/>
      </w:pPr>
    </w:p>
    <w:p>
      <w:pPr>
        <w:pStyle w:val="BodyText"/>
        <w:spacing w:line="242" w:lineRule="auto" w:before="1"/>
        <w:ind w:left="3100" w:right="3197" w:firstLine="720"/>
        <w:jc w:val="both"/>
      </w:pPr>
      <w:r>
        <w:rPr/>
        <w:t>In Utah, for example, a party may move to modify an appraisal award within 20 days after the panel issued its award.</w:t>
      </w:r>
      <w:r>
        <w:rPr>
          <w:vertAlign w:val="superscript"/>
        </w:rPr>
        <w:t>618</w:t>
      </w:r>
    </w:p>
    <w:p>
      <w:pPr>
        <w:pStyle w:val="BodyText"/>
        <w:rPr>
          <w:sz w:val="20"/>
        </w:rPr>
      </w:pPr>
    </w:p>
    <w:p>
      <w:pPr>
        <w:pStyle w:val="BodyText"/>
        <w:spacing w:before="3"/>
        <w:rPr>
          <w:sz w:val="11"/>
        </w:rPr>
      </w:pPr>
      <w:r>
        <w:rPr/>
        <w:pict>
          <v:shape style="position:absolute;margin-left:162pt;margin-top:9.336191pt;width:143.9pt;height:.1pt;mso-position-horizontal-relative:page;mso-position-vertical-relative:paragraph;z-index:-251441152;mso-wrap-distance-left:0;mso-wrap-distance-right:0" coordorigin="3240,187" coordsize="2878,0" path="m3240,187l6118,18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6"/>
        </w:numPr>
        <w:tabs>
          <w:tab w:pos="3015" w:val="left" w:leader="none"/>
        </w:tabs>
        <w:spacing w:line="250" w:lineRule="exact" w:before="71" w:after="0"/>
        <w:ind w:left="3014" w:right="0" w:hanging="275"/>
        <w:jc w:val="left"/>
        <w:rPr>
          <w:sz w:val="18"/>
        </w:rPr>
      </w:pPr>
      <w:r>
        <w:rPr>
          <w:i/>
          <w:sz w:val="18"/>
        </w:rPr>
        <w:t>See </w:t>
      </w:r>
      <w:r>
        <w:rPr>
          <w:sz w:val="18"/>
          <w:u w:val="single"/>
        </w:rPr>
        <w:t>Travelers Home and Marine Ins. Co. v. Kravitz</w:t>
      </w:r>
      <w:r>
        <w:rPr>
          <w:sz w:val="18"/>
        </w:rPr>
        <w:t>, 129 Conn.App. 166</w:t>
      </w:r>
      <w:r>
        <w:rPr>
          <w:spacing w:val="1"/>
          <w:sz w:val="18"/>
        </w:rPr>
        <w:t> </w:t>
      </w:r>
      <w:r>
        <w:rPr>
          <w:sz w:val="18"/>
        </w:rPr>
        <w:t>(2011).</w:t>
      </w:r>
    </w:p>
    <w:p>
      <w:pPr>
        <w:pStyle w:val="ListParagraph"/>
        <w:numPr>
          <w:ilvl w:val="0"/>
          <w:numId w:val="16"/>
        </w:numPr>
        <w:tabs>
          <w:tab w:pos="3001" w:val="left" w:leader="none"/>
        </w:tabs>
        <w:spacing w:line="156" w:lineRule="auto" w:before="3" w:after="0"/>
        <w:ind w:left="3001" w:right="0" w:hanging="261"/>
        <w:jc w:val="left"/>
        <w:rPr>
          <w:sz w:val="18"/>
        </w:rPr>
      </w:pPr>
      <w:r>
        <w:rPr>
          <w:position w:val="-9"/>
          <w:sz w:val="18"/>
          <w:u w:val="single"/>
        </w:rPr>
        <w:t>Id.</w:t>
      </w:r>
    </w:p>
    <w:p>
      <w:pPr>
        <w:pStyle w:val="ListParagraph"/>
        <w:numPr>
          <w:ilvl w:val="0"/>
          <w:numId w:val="16"/>
        </w:numPr>
        <w:tabs>
          <w:tab w:pos="3015" w:val="left" w:leader="none"/>
        </w:tabs>
        <w:spacing w:line="248" w:lineRule="exact" w:before="43" w:after="0"/>
        <w:ind w:left="3014" w:right="0" w:hanging="275"/>
        <w:jc w:val="left"/>
        <w:rPr>
          <w:sz w:val="18"/>
        </w:rPr>
      </w:pPr>
      <w:r>
        <w:rPr>
          <w:sz w:val="18"/>
          <w:u w:val="single"/>
        </w:rPr>
        <w:t>Dupree v. Auto-Owners Ins. Co.</w:t>
      </w:r>
      <w:r>
        <w:rPr>
          <w:sz w:val="18"/>
        </w:rPr>
        <w:t>, 2013 WL 3766580 (Mich.Ct. App. 2013).</w:t>
      </w:r>
    </w:p>
    <w:p>
      <w:pPr>
        <w:pStyle w:val="ListParagraph"/>
        <w:numPr>
          <w:ilvl w:val="0"/>
          <w:numId w:val="16"/>
        </w:numPr>
        <w:tabs>
          <w:tab w:pos="3008" w:val="left" w:leader="none"/>
        </w:tabs>
        <w:spacing w:line="248" w:lineRule="exact" w:before="0" w:after="0"/>
        <w:ind w:left="3007" w:right="0" w:hanging="268"/>
        <w:jc w:val="left"/>
        <w:rPr>
          <w:sz w:val="18"/>
        </w:rPr>
      </w:pPr>
      <w:r>
        <w:rPr>
          <w:sz w:val="18"/>
          <w:u w:val="single"/>
        </w:rPr>
        <w:t>Miller</w:t>
      </w:r>
      <w:r>
        <w:rPr>
          <w:spacing w:val="11"/>
          <w:sz w:val="18"/>
          <w:u w:val="single"/>
        </w:rPr>
        <w:t> </w:t>
      </w:r>
      <w:r>
        <w:rPr>
          <w:sz w:val="18"/>
          <w:u w:val="single"/>
        </w:rPr>
        <w:t>v.</w:t>
      </w:r>
      <w:r>
        <w:rPr>
          <w:spacing w:val="13"/>
          <w:sz w:val="18"/>
          <w:u w:val="single"/>
        </w:rPr>
        <w:t> </w:t>
      </w:r>
      <w:r>
        <w:rPr>
          <w:sz w:val="18"/>
          <w:u w:val="single"/>
        </w:rPr>
        <w:t>U.S.A.A.</w:t>
      </w:r>
      <w:r>
        <w:rPr>
          <w:spacing w:val="8"/>
          <w:sz w:val="18"/>
          <w:u w:val="single"/>
        </w:rPr>
        <w:t> </w:t>
      </w:r>
      <w:r>
        <w:rPr>
          <w:sz w:val="18"/>
          <w:u w:val="single"/>
        </w:rPr>
        <w:t>Cas.</w:t>
      </w:r>
      <w:r>
        <w:rPr>
          <w:spacing w:val="7"/>
          <w:sz w:val="18"/>
          <w:u w:val="single"/>
        </w:rPr>
        <w:t> </w:t>
      </w:r>
      <w:r>
        <w:rPr>
          <w:sz w:val="18"/>
          <w:u w:val="single"/>
        </w:rPr>
        <w:t>Ins.</w:t>
      </w:r>
      <w:r>
        <w:rPr>
          <w:spacing w:val="7"/>
          <w:sz w:val="18"/>
          <w:u w:val="single"/>
        </w:rPr>
        <w:t> </w:t>
      </w:r>
      <w:r>
        <w:rPr>
          <w:sz w:val="18"/>
          <w:u w:val="single"/>
        </w:rPr>
        <w:t>Co.</w:t>
      </w:r>
      <w:r>
        <w:rPr>
          <w:sz w:val="18"/>
        </w:rPr>
        <w:t>,</w:t>
      </w:r>
      <w:r>
        <w:rPr>
          <w:spacing w:val="9"/>
          <w:sz w:val="18"/>
        </w:rPr>
        <w:t> </w:t>
      </w:r>
      <w:r>
        <w:rPr>
          <w:sz w:val="18"/>
        </w:rPr>
        <w:t>44</w:t>
      </w:r>
      <w:r>
        <w:rPr>
          <w:spacing w:val="9"/>
          <w:sz w:val="18"/>
        </w:rPr>
        <w:t> </w:t>
      </w:r>
      <w:r>
        <w:rPr>
          <w:sz w:val="18"/>
        </w:rPr>
        <w:t>P.3d</w:t>
      </w:r>
      <w:r>
        <w:rPr>
          <w:spacing w:val="9"/>
          <w:sz w:val="18"/>
        </w:rPr>
        <w:t> </w:t>
      </w:r>
      <w:r>
        <w:rPr>
          <w:sz w:val="18"/>
        </w:rPr>
        <w:t>663</w:t>
      </w:r>
      <w:r>
        <w:rPr>
          <w:spacing w:val="9"/>
          <w:sz w:val="18"/>
        </w:rPr>
        <w:t> </w:t>
      </w:r>
      <w:r>
        <w:rPr>
          <w:sz w:val="18"/>
        </w:rPr>
        <w:t>(2002);</w:t>
      </w:r>
      <w:r>
        <w:rPr>
          <w:spacing w:val="7"/>
          <w:sz w:val="18"/>
        </w:rPr>
        <w:t> </w:t>
      </w:r>
      <w:r>
        <w:rPr>
          <w:i/>
          <w:sz w:val="18"/>
        </w:rPr>
        <w:t>See</w:t>
      </w:r>
      <w:r>
        <w:rPr>
          <w:i/>
          <w:spacing w:val="6"/>
          <w:sz w:val="18"/>
        </w:rPr>
        <w:t> </w:t>
      </w:r>
      <w:r>
        <w:rPr>
          <w:sz w:val="18"/>
        </w:rPr>
        <w:t>Modification</w:t>
      </w:r>
      <w:r>
        <w:rPr>
          <w:spacing w:val="9"/>
          <w:sz w:val="18"/>
        </w:rPr>
        <w:t> </w:t>
      </w:r>
      <w:r>
        <w:rPr>
          <w:sz w:val="18"/>
        </w:rPr>
        <w:t>of</w:t>
      </w:r>
      <w:r>
        <w:rPr>
          <w:spacing w:val="5"/>
          <w:sz w:val="18"/>
        </w:rPr>
        <w:t> </w:t>
      </w:r>
      <w:r>
        <w:rPr>
          <w:sz w:val="18"/>
        </w:rPr>
        <w:t>Award</w:t>
      </w:r>
      <w:r>
        <w:rPr>
          <w:spacing w:val="9"/>
          <w:sz w:val="18"/>
        </w:rPr>
        <w:t> </w:t>
      </w:r>
      <w:r>
        <w:rPr>
          <w:sz w:val="18"/>
        </w:rPr>
        <w:t>by</w:t>
      </w:r>
    </w:p>
    <w:p>
      <w:pPr>
        <w:spacing w:before="4"/>
        <w:ind w:left="2740" w:right="0" w:firstLine="0"/>
        <w:jc w:val="left"/>
        <w:rPr>
          <w:rFonts w:ascii="Times New Roman" w:hAnsi="Times New Roman"/>
          <w:sz w:val="18"/>
        </w:rPr>
      </w:pPr>
      <w:r>
        <w:rPr>
          <w:rFonts w:ascii="Times New Roman" w:hAnsi="Times New Roman"/>
          <w:sz w:val="18"/>
        </w:rPr>
        <w:t>Court, Utah Code Ann. §78-31a-15 (2002).</w:t>
      </w:r>
    </w:p>
    <w:p>
      <w:pPr>
        <w:spacing w:after="0"/>
        <w:jc w:val="left"/>
        <w:rPr>
          <w:rFonts w:ascii="Times New Roman" w:hAnsi="Times New Roman"/>
          <w:sz w:val="18"/>
        </w:rPr>
        <w:sectPr>
          <w:footerReference w:type="default" r:id="rId57"/>
          <w:pgSz w:w="12240" w:h="15840"/>
          <w:pgMar w:footer="2273" w:header="0" w:top="1500" w:bottom="2460" w:left="140" w:right="40"/>
          <w:pgNumType w:start="32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3100" w:right="3199" w:firstLine="720"/>
        <w:jc w:val="both"/>
      </w:pPr>
      <w:bookmarkStart w:name="Law and Procedure 290" w:id="111"/>
      <w:bookmarkEnd w:id="111"/>
      <w:r>
        <w:rPr/>
      </w:r>
      <w:r>
        <w:rPr>
          <w:spacing w:val="4"/>
        </w:rPr>
        <w:t>In </w:t>
      </w:r>
      <w:r>
        <w:rPr/>
        <w:t>states which do not mandate a time </w:t>
      </w:r>
      <w:r>
        <w:rPr>
          <w:spacing w:val="2"/>
        </w:rPr>
        <w:t>limit </w:t>
      </w:r>
      <w:r>
        <w:rPr/>
        <w:t>directly, practitioners should nevertheless proceed expeditiously after the receipt of the award and a reasonableness standard would apply. Certainly, an effort should be made</w:t>
      </w:r>
      <w:r>
        <w:rPr>
          <w:spacing w:val="-17"/>
        </w:rPr>
        <w:t> </w:t>
      </w:r>
      <w:r>
        <w:rPr/>
        <w:t>to commence an action to set aside the award within the time frame provided by policy or statute</w:t>
      </w:r>
      <w:r>
        <w:rPr>
          <w:spacing w:val="-20"/>
        </w:rPr>
        <w:t> </w:t>
      </w:r>
      <w:r>
        <w:rPr/>
        <w:t>for</w:t>
      </w:r>
      <w:r>
        <w:rPr>
          <w:spacing w:val="-20"/>
        </w:rPr>
        <w:t> </w:t>
      </w:r>
      <w:r>
        <w:rPr/>
        <w:t>payment</w:t>
      </w:r>
      <w:r>
        <w:rPr>
          <w:spacing w:val="-21"/>
        </w:rPr>
        <w:t> </w:t>
      </w:r>
      <w:r>
        <w:rPr/>
        <w:t>of</w:t>
      </w:r>
      <w:r>
        <w:rPr>
          <w:spacing w:val="-19"/>
        </w:rPr>
        <w:t> </w:t>
      </w:r>
      <w:r>
        <w:rPr/>
        <w:t>the</w:t>
      </w:r>
      <w:r>
        <w:rPr>
          <w:spacing w:val="-19"/>
        </w:rPr>
        <w:t> </w:t>
      </w:r>
      <w:r>
        <w:rPr/>
        <w:t>award,</w:t>
      </w:r>
      <w:r>
        <w:rPr>
          <w:spacing w:val="-22"/>
        </w:rPr>
        <w:t> </w:t>
      </w:r>
      <w:r>
        <w:rPr/>
        <w:t>whichever</w:t>
      </w:r>
      <w:r>
        <w:rPr>
          <w:spacing w:val="-21"/>
        </w:rPr>
        <w:t> </w:t>
      </w:r>
      <w:r>
        <w:rPr/>
        <w:t>is shorter.</w:t>
      </w:r>
    </w:p>
    <w:p>
      <w:pPr>
        <w:pStyle w:val="BodyText"/>
        <w:spacing w:before="11"/>
        <w:rPr>
          <w:sz w:val="25"/>
        </w:rPr>
      </w:pPr>
    </w:p>
    <w:p>
      <w:pPr>
        <w:pStyle w:val="BodyText"/>
        <w:spacing w:line="242" w:lineRule="auto"/>
        <w:ind w:left="3100" w:right="3196" w:firstLine="720"/>
        <w:jc w:val="both"/>
      </w:pPr>
      <w:r>
        <w:rPr>
          <w:spacing w:val="2"/>
        </w:rPr>
        <w:t>As </w:t>
      </w:r>
      <w:r>
        <w:rPr/>
        <w:t>appraisal is intended to be a quick and efficient process with a short time line contractually mandated, any unreasonable delay in moving to set aside the award may result</w:t>
      </w:r>
      <w:r>
        <w:rPr>
          <w:spacing w:val="-26"/>
        </w:rPr>
        <w:t> </w:t>
      </w:r>
      <w:r>
        <w:rPr/>
        <w:t>in</w:t>
      </w:r>
      <w:r>
        <w:rPr>
          <w:spacing w:val="-26"/>
        </w:rPr>
        <w:t> </w:t>
      </w:r>
      <w:r>
        <w:rPr/>
        <w:t>a</w:t>
      </w:r>
      <w:r>
        <w:rPr>
          <w:spacing w:val="-24"/>
        </w:rPr>
        <w:t> </w:t>
      </w:r>
      <w:r>
        <w:rPr/>
        <w:t>denial</w:t>
      </w:r>
      <w:r>
        <w:rPr>
          <w:spacing w:val="-23"/>
        </w:rPr>
        <w:t> </w:t>
      </w:r>
      <w:r>
        <w:rPr/>
        <w:t>of</w:t>
      </w:r>
      <w:r>
        <w:rPr>
          <w:spacing w:val="-24"/>
        </w:rPr>
        <w:t> </w:t>
      </w:r>
      <w:r>
        <w:rPr/>
        <w:t>the</w:t>
      </w:r>
      <w:r>
        <w:rPr>
          <w:spacing w:val="-28"/>
        </w:rPr>
        <w:t> </w:t>
      </w:r>
      <w:r>
        <w:rPr/>
        <w:t>motion,</w:t>
      </w:r>
      <w:r>
        <w:rPr>
          <w:spacing w:val="-27"/>
        </w:rPr>
        <w:t> </w:t>
      </w:r>
      <w:r>
        <w:rPr/>
        <w:t>based</w:t>
      </w:r>
      <w:r>
        <w:rPr>
          <w:spacing w:val="-26"/>
        </w:rPr>
        <w:t> </w:t>
      </w:r>
      <w:r>
        <w:rPr/>
        <w:t>upon</w:t>
      </w:r>
      <w:r>
        <w:rPr>
          <w:spacing w:val="-24"/>
        </w:rPr>
        <w:t> </w:t>
      </w:r>
      <w:r>
        <w:rPr/>
        <w:t>the legal concept of laches. The equitable doctrine of laches </w:t>
      </w:r>
      <w:r>
        <w:rPr>
          <w:spacing w:val="3"/>
        </w:rPr>
        <w:t>is </w:t>
      </w:r>
      <w:r>
        <w:rPr/>
        <w:t>defined</w:t>
      </w:r>
      <w:r>
        <w:rPr>
          <w:spacing w:val="-10"/>
        </w:rPr>
        <w:t> </w:t>
      </w:r>
      <w:r>
        <w:rPr/>
        <w:t>as:</w:t>
      </w:r>
    </w:p>
    <w:p>
      <w:pPr>
        <w:pStyle w:val="BodyText"/>
      </w:pPr>
    </w:p>
    <w:p>
      <w:pPr>
        <w:pStyle w:val="BodyText"/>
        <w:spacing w:line="242" w:lineRule="auto" w:before="1"/>
        <w:ind w:left="3820" w:right="3916"/>
        <w:jc w:val="both"/>
      </w:pPr>
      <w:r>
        <w:rPr>
          <w:spacing w:val="16"/>
        </w:rPr>
        <w:t>“[U] </w:t>
      </w:r>
      <w:r>
        <w:rPr>
          <w:spacing w:val="23"/>
        </w:rPr>
        <w:t>nreasonable </w:t>
      </w:r>
      <w:r>
        <w:rPr>
          <w:spacing w:val="19"/>
        </w:rPr>
        <w:t>delay </w:t>
      </w:r>
      <w:r>
        <w:rPr>
          <w:spacing w:val="12"/>
        </w:rPr>
        <w:t>or </w:t>
      </w:r>
      <w:r>
        <w:rPr/>
        <w:t>negligence in pursing a right or claim</w:t>
      </w:r>
      <w:r>
        <w:rPr>
          <w:spacing w:val="-16"/>
        </w:rPr>
        <w:t> </w:t>
      </w:r>
      <w:r>
        <w:rPr/>
        <w:t>-</w:t>
      </w:r>
      <w:r>
        <w:rPr>
          <w:spacing w:val="-15"/>
        </w:rPr>
        <w:t> </w:t>
      </w:r>
      <w:r>
        <w:rPr/>
        <w:t>almost</w:t>
      </w:r>
      <w:r>
        <w:rPr>
          <w:spacing w:val="-19"/>
        </w:rPr>
        <w:t> </w:t>
      </w:r>
      <w:r>
        <w:rPr/>
        <w:t>always</w:t>
      </w:r>
      <w:r>
        <w:rPr>
          <w:spacing w:val="-17"/>
        </w:rPr>
        <w:t> </w:t>
      </w:r>
      <w:r>
        <w:rPr/>
        <w:t>an</w:t>
      </w:r>
      <w:r>
        <w:rPr>
          <w:spacing w:val="-18"/>
        </w:rPr>
        <w:t> </w:t>
      </w:r>
      <w:r>
        <w:rPr/>
        <w:t>equitable one - in a way that prejudices the party</w:t>
      </w:r>
      <w:r>
        <w:rPr>
          <w:spacing w:val="-25"/>
        </w:rPr>
        <w:t> </w:t>
      </w:r>
      <w:r>
        <w:rPr/>
        <w:t>against</w:t>
      </w:r>
      <w:r>
        <w:rPr>
          <w:spacing w:val="-21"/>
        </w:rPr>
        <w:t> </w:t>
      </w:r>
      <w:r>
        <w:rPr/>
        <w:t>whom</w:t>
      </w:r>
      <w:r>
        <w:rPr>
          <w:spacing w:val="-20"/>
        </w:rPr>
        <w:t> </w:t>
      </w:r>
      <w:r>
        <w:rPr/>
        <w:t>relief</w:t>
      </w:r>
      <w:r>
        <w:rPr>
          <w:spacing w:val="-19"/>
        </w:rPr>
        <w:t> </w:t>
      </w:r>
      <w:r>
        <w:rPr/>
        <w:t>is</w:t>
      </w:r>
      <w:r>
        <w:rPr>
          <w:spacing w:val="-21"/>
        </w:rPr>
        <w:t> </w:t>
      </w:r>
      <w:r>
        <w:rPr/>
        <w:t>sought. The equitable doctrine by which</w:t>
      </w:r>
      <w:r>
        <w:rPr>
          <w:spacing w:val="-19"/>
        </w:rPr>
        <w:t> </w:t>
      </w:r>
      <w:r>
        <w:rPr/>
        <w:t>a court denies relief to a claimant who has unreasonably delayed </w:t>
      </w:r>
      <w:r>
        <w:rPr>
          <w:spacing w:val="-7"/>
        </w:rPr>
        <w:t>or </w:t>
      </w:r>
      <w:r>
        <w:rPr/>
        <w:t>been negligent in asserting the </w:t>
      </w:r>
      <w:r>
        <w:rPr>
          <w:spacing w:val="8"/>
        </w:rPr>
        <w:t>claim, </w:t>
      </w:r>
      <w:r>
        <w:rPr>
          <w:spacing w:val="6"/>
        </w:rPr>
        <w:t>when that </w:t>
      </w:r>
      <w:r>
        <w:rPr>
          <w:spacing w:val="7"/>
        </w:rPr>
        <w:t>delay </w:t>
      </w:r>
      <w:r>
        <w:rPr>
          <w:spacing w:val="4"/>
        </w:rPr>
        <w:t>or </w:t>
      </w:r>
      <w:r>
        <w:rPr/>
        <w:t>negligence has prejudiced</w:t>
      </w:r>
      <w:r>
        <w:rPr>
          <w:spacing w:val="57"/>
        </w:rPr>
        <w:t> </w:t>
      </w:r>
      <w:r>
        <w:rPr/>
        <w:t>the party against whom relief</w:t>
      </w:r>
      <w:r>
        <w:rPr>
          <w:spacing w:val="19"/>
        </w:rPr>
        <w:t> </w:t>
      </w:r>
      <w:r>
        <w:rPr/>
        <w:t>is</w:t>
      </w:r>
    </w:p>
    <w:p>
      <w:pPr>
        <w:spacing w:after="0" w:line="242" w:lineRule="auto"/>
        <w:jc w:val="both"/>
        <w:sectPr>
          <w:pgSz w:w="12240" w:h="15840"/>
          <w:pgMar w:header="0" w:footer="2273" w:top="1500" w:bottom="2460" w:left="140" w:right="4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3820"/>
      </w:pPr>
      <w:bookmarkStart w:name="Law and Procedure 291" w:id="112"/>
      <w:bookmarkEnd w:id="112"/>
      <w:r>
        <w:rPr/>
      </w:r>
      <w:r>
        <w:rPr/>
        <w:t>sought.”</w:t>
      </w:r>
      <w:r>
        <w:rPr>
          <w:vertAlign w:val="superscript"/>
        </w:rPr>
        <w:t>619</w:t>
      </w:r>
    </w:p>
    <w:p>
      <w:pPr>
        <w:pStyle w:val="BodyText"/>
        <w:spacing w:before="5"/>
      </w:pPr>
    </w:p>
    <w:p>
      <w:pPr>
        <w:pStyle w:val="BodyText"/>
        <w:spacing w:line="242" w:lineRule="auto" w:before="1"/>
        <w:ind w:left="3100" w:right="3197" w:firstLine="720"/>
        <w:jc w:val="both"/>
      </w:pPr>
      <w:r>
        <w:rPr>
          <w:spacing w:val="3"/>
        </w:rPr>
        <w:t>It </w:t>
      </w:r>
      <w:r>
        <w:rPr/>
        <w:t>has been stated that a party may </w:t>
      </w:r>
      <w:r>
        <w:rPr>
          <w:spacing w:val="-4"/>
        </w:rPr>
        <w:t>not </w:t>
      </w:r>
      <w:r>
        <w:rPr/>
        <w:t>adopt a “wait and see” approach and </w:t>
      </w:r>
      <w:r>
        <w:rPr>
          <w:spacing w:val="-4"/>
        </w:rPr>
        <w:t>then</w:t>
      </w:r>
      <w:r>
        <w:rPr>
          <w:spacing w:val="63"/>
        </w:rPr>
        <w:t> </w:t>
      </w:r>
      <w:r>
        <w:rPr/>
        <w:t>complain for the first time after the award is issued.</w:t>
      </w:r>
      <w:r>
        <w:rPr>
          <w:vertAlign w:val="superscript"/>
        </w:rPr>
        <w:t>620</w:t>
      </w:r>
    </w:p>
    <w:p>
      <w:pPr>
        <w:pStyle w:val="BodyText"/>
        <w:spacing w:before="1"/>
      </w:pPr>
    </w:p>
    <w:p>
      <w:pPr>
        <w:pStyle w:val="BodyText"/>
        <w:spacing w:line="242" w:lineRule="auto"/>
        <w:ind w:left="3100" w:right="3197" w:firstLine="720"/>
        <w:jc w:val="both"/>
      </w:pPr>
      <w:r>
        <w:rPr>
          <w:spacing w:val="3"/>
        </w:rPr>
        <w:t>It </w:t>
      </w:r>
      <w:r>
        <w:rPr/>
        <w:t>has been held that the insured’s negotiation</w:t>
      </w:r>
      <w:r>
        <w:rPr>
          <w:spacing w:val="-26"/>
        </w:rPr>
        <w:t> </w:t>
      </w:r>
      <w:r>
        <w:rPr/>
        <w:t>of</w:t>
      </w:r>
      <w:r>
        <w:rPr>
          <w:spacing w:val="-24"/>
        </w:rPr>
        <w:t> </w:t>
      </w:r>
      <w:r>
        <w:rPr/>
        <w:t>the</w:t>
      </w:r>
      <w:r>
        <w:rPr>
          <w:spacing w:val="-26"/>
        </w:rPr>
        <w:t> </w:t>
      </w:r>
      <w:r>
        <w:rPr/>
        <w:t>insurer’s</w:t>
      </w:r>
      <w:r>
        <w:rPr>
          <w:spacing w:val="-26"/>
        </w:rPr>
        <w:t> </w:t>
      </w:r>
      <w:r>
        <w:rPr/>
        <w:t>checks</w:t>
      </w:r>
      <w:r>
        <w:rPr>
          <w:spacing w:val="-26"/>
        </w:rPr>
        <w:t> </w:t>
      </w:r>
      <w:r>
        <w:rPr/>
        <w:t>following</w:t>
      </w:r>
      <w:r>
        <w:rPr>
          <w:spacing w:val="-25"/>
        </w:rPr>
        <w:t> </w:t>
      </w:r>
      <w:r>
        <w:rPr/>
        <w:t>an appraisal</w:t>
      </w:r>
      <w:r>
        <w:rPr>
          <w:spacing w:val="-24"/>
        </w:rPr>
        <w:t> </w:t>
      </w:r>
      <w:r>
        <w:rPr/>
        <w:t>award,</w:t>
      </w:r>
      <w:r>
        <w:rPr>
          <w:spacing w:val="-26"/>
        </w:rPr>
        <w:t> </w:t>
      </w:r>
      <w:r>
        <w:rPr/>
        <w:t>constituted</w:t>
      </w:r>
      <w:r>
        <w:rPr>
          <w:spacing w:val="-26"/>
        </w:rPr>
        <w:t> </w:t>
      </w:r>
      <w:r>
        <w:rPr/>
        <w:t>a</w:t>
      </w:r>
      <w:r>
        <w:rPr>
          <w:spacing w:val="-23"/>
        </w:rPr>
        <w:t> </w:t>
      </w:r>
      <w:r>
        <w:rPr/>
        <w:t>full</w:t>
      </w:r>
      <w:r>
        <w:rPr>
          <w:spacing w:val="-22"/>
        </w:rPr>
        <w:t> </w:t>
      </w:r>
      <w:r>
        <w:rPr/>
        <w:t>accord</w:t>
      </w:r>
      <w:r>
        <w:rPr>
          <w:spacing w:val="-25"/>
        </w:rPr>
        <w:t> </w:t>
      </w:r>
      <w:r>
        <w:rPr/>
        <w:t>and satisfaction</w:t>
      </w:r>
      <w:r>
        <w:rPr>
          <w:spacing w:val="-21"/>
        </w:rPr>
        <w:t> </w:t>
      </w:r>
      <w:r>
        <w:rPr/>
        <w:t>of</w:t>
      </w:r>
      <w:r>
        <w:rPr>
          <w:spacing w:val="-20"/>
        </w:rPr>
        <w:t> </w:t>
      </w:r>
      <w:r>
        <w:rPr/>
        <w:t>the</w:t>
      </w:r>
      <w:r>
        <w:rPr>
          <w:spacing w:val="-23"/>
        </w:rPr>
        <w:t> </w:t>
      </w:r>
      <w:r>
        <w:rPr/>
        <w:t>insured’s</w:t>
      </w:r>
      <w:r>
        <w:rPr>
          <w:spacing w:val="-23"/>
        </w:rPr>
        <w:t> </w:t>
      </w:r>
      <w:r>
        <w:rPr/>
        <w:t>claim</w:t>
      </w:r>
      <w:r>
        <w:rPr>
          <w:spacing w:val="-24"/>
        </w:rPr>
        <w:t> </w:t>
      </w:r>
      <w:r>
        <w:rPr/>
        <w:t>under</w:t>
      </w:r>
      <w:r>
        <w:rPr>
          <w:spacing w:val="-24"/>
        </w:rPr>
        <w:t> </w:t>
      </w:r>
      <w:r>
        <w:rPr/>
        <w:t>the</w:t>
      </w:r>
      <w:r>
        <w:rPr>
          <w:spacing w:val="-21"/>
        </w:rPr>
        <w:t> </w:t>
      </w:r>
      <w:r>
        <w:rPr/>
        <w:t>fire policy, despite the fact that no formal language</w:t>
      </w:r>
      <w:r>
        <w:rPr>
          <w:spacing w:val="-10"/>
        </w:rPr>
        <w:t> </w:t>
      </w:r>
      <w:r>
        <w:rPr/>
        <w:t>to</w:t>
      </w:r>
      <w:r>
        <w:rPr>
          <w:spacing w:val="-13"/>
        </w:rPr>
        <w:t> </w:t>
      </w:r>
      <w:r>
        <w:rPr/>
        <w:t>that</w:t>
      </w:r>
      <w:r>
        <w:rPr>
          <w:spacing w:val="-14"/>
        </w:rPr>
        <w:t> </w:t>
      </w:r>
      <w:r>
        <w:rPr/>
        <w:t>affect</w:t>
      </w:r>
      <w:r>
        <w:rPr>
          <w:spacing w:val="-15"/>
        </w:rPr>
        <w:t> </w:t>
      </w:r>
      <w:r>
        <w:rPr/>
        <w:t>was</w:t>
      </w:r>
      <w:r>
        <w:rPr>
          <w:spacing w:val="-13"/>
        </w:rPr>
        <w:t> </w:t>
      </w:r>
      <w:r>
        <w:rPr/>
        <w:t>contained</w:t>
      </w:r>
      <w:r>
        <w:rPr>
          <w:spacing w:val="-14"/>
        </w:rPr>
        <w:t> </w:t>
      </w:r>
      <w:r>
        <w:rPr/>
        <w:t>on</w:t>
      </w:r>
      <w:r>
        <w:rPr>
          <w:spacing w:val="-13"/>
        </w:rPr>
        <w:t> </w:t>
      </w:r>
      <w:r>
        <w:rPr/>
        <w:t>the checks.</w:t>
      </w:r>
      <w:r>
        <w:rPr>
          <w:vertAlign w:val="superscript"/>
        </w:rPr>
        <w:t>621</w:t>
      </w:r>
      <w:r>
        <w:rPr>
          <w:vertAlign w:val="baseline"/>
        </w:rPr>
        <w:t> While this rule is not universal, </w:t>
      </w:r>
      <w:r>
        <w:rPr>
          <w:spacing w:val="-8"/>
          <w:vertAlign w:val="baseline"/>
        </w:rPr>
        <w:t>care </w:t>
      </w:r>
      <w:r>
        <w:rPr>
          <w:spacing w:val="9"/>
          <w:vertAlign w:val="baseline"/>
        </w:rPr>
        <w:t>should </w:t>
      </w:r>
      <w:r>
        <w:rPr>
          <w:spacing w:val="6"/>
          <w:vertAlign w:val="baseline"/>
        </w:rPr>
        <w:t>be </w:t>
      </w:r>
      <w:r>
        <w:rPr>
          <w:spacing w:val="8"/>
          <w:vertAlign w:val="baseline"/>
        </w:rPr>
        <w:t>taken </w:t>
      </w:r>
      <w:r>
        <w:rPr>
          <w:spacing w:val="6"/>
          <w:vertAlign w:val="baseline"/>
        </w:rPr>
        <w:t>in </w:t>
      </w:r>
      <w:r>
        <w:rPr>
          <w:spacing w:val="8"/>
          <w:vertAlign w:val="baseline"/>
        </w:rPr>
        <w:t>considering </w:t>
      </w:r>
      <w:r>
        <w:rPr>
          <w:spacing w:val="5"/>
          <w:vertAlign w:val="baseline"/>
        </w:rPr>
        <w:t>the </w:t>
      </w:r>
      <w:r>
        <w:rPr>
          <w:vertAlign w:val="baseline"/>
        </w:rPr>
        <w:t>consequences of such an act in the local jurisdiction.</w:t>
      </w:r>
    </w:p>
    <w:p>
      <w:pPr>
        <w:pStyle w:val="BodyText"/>
        <w:spacing w:before="11"/>
        <w:rPr>
          <w:sz w:val="25"/>
        </w:rPr>
      </w:pPr>
    </w:p>
    <w:p>
      <w:pPr>
        <w:pStyle w:val="BodyText"/>
        <w:spacing w:line="242" w:lineRule="auto"/>
        <w:ind w:left="3100" w:right="3198" w:firstLine="720"/>
        <w:jc w:val="both"/>
      </w:pPr>
      <w:r>
        <w:rPr/>
        <w:t>However,</w:t>
      </w:r>
      <w:r>
        <w:rPr>
          <w:spacing w:val="-34"/>
        </w:rPr>
        <w:t> </w:t>
      </w:r>
      <w:r>
        <w:rPr/>
        <w:t>an</w:t>
      </w:r>
      <w:r>
        <w:rPr>
          <w:spacing w:val="-31"/>
        </w:rPr>
        <w:t> </w:t>
      </w:r>
      <w:r>
        <w:rPr/>
        <w:t>insured</w:t>
      </w:r>
      <w:r>
        <w:rPr>
          <w:spacing w:val="-31"/>
        </w:rPr>
        <w:t> </w:t>
      </w:r>
      <w:r>
        <w:rPr/>
        <w:t>was</w:t>
      </w:r>
      <w:r>
        <w:rPr>
          <w:spacing w:val="-28"/>
        </w:rPr>
        <w:t> </w:t>
      </w:r>
      <w:r>
        <w:rPr/>
        <w:t>determined</w:t>
      </w:r>
      <w:r>
        <w:rPr>
          <w:spacing w:val="-32"/>
        </w:rPr>
        <w:t> </w:t>
      </w:r>
      <w:r>
        <w:rPr/>
        <w:t>not to have waived his right to challenge the award</w:t>
      </w:r>
      <w:r>
        <w:rPr>
          <w:spacing w:val="-15"/>
        </w:rPr>
        <w:t> </w:t>
      </w:r>
      <w:r>
        <w:rPr/>
        <w:t>when</w:t>
      </w:r>
      <w:r>
        <w:rPr>
          <w:spacing w:val="-14"/>
        </w:rPr>
        <w:t> </w:t>
      </w:r>
      <w:r>
        <w:rPr/>
        <w:t>he</w:t>
      </w:r>
      <w:r>
        <w:rPr>
          <w:spacing w:val="-13"/>
        </w:rPr>
        <w:t> </w:t>
      </w:r>
      <w:r>
        <w:rPr/>
        <w:t>took</w:t>
      </w:r>
      <w:r>
        <w:rPr>
          <w:spacing w:val="-11"/>
        </w:rPr>
        <w:t> </w:t>
      </w:r>
      <w:r>
        <w:rPr/>
        <w:t>possession</w:t>
      </w:r>
      <w:r>
        <w:rPr>
          <w:spacing w:val="-12"/>
        </w:rPr>
        <w:t> </w:t>
      </w:r>
      <w:r>
        <w:rPr/>
        <w:t>of</w:t>
      </w:r>
      <w:r>
        <w:rPr>
          <w:spacing w:val="-13"/>
        </w:rPr>
        <w:t> </w:t>
      </w:r>
      <w:r>
        <w:rPr>
          <w:spacing w:val="-3"/>
        </w:rPr>
        <w:t>two</w:t>
      </w:r>
      <w:r>
        <w:rPr>
          <w:spacing w:val="-13"/>
        </w:rPr>
        <w:t> </w:t>
      </w:r>
      <w:r>
        <w:rPr/>
        <w:t>checks from the insurer, did not cash them and</w:t>
      </w:r>
      <w:r>
        <w:rPr>
          <w:spacing w:val="-51"/>
        </w:rPr>
        <w:t> </w:t>
      </w:r>
      <w:r>
        <w:rPr>
          <w:spacing w:val="-3"/>
        </w:rPr>
        <w:t>made </w:t>
      </w:r>
      <w:r>
        <w:rPr/>
        <w:t>timely application to the panel to reconsider the award and to the court to vacate the award. Such a waiver only results from a</w:t>
      </w:r>
      <w:r>
        <w:rPr>
          <w:spacing w:val="-19"/>
        </w:rPr>
        <w:t> </w:t>
      </w:r>
      <w:r>
        <w:rPr/>
        <w:t>clear and unmistakable acquiescence </w:t>
      </w:r>
      <w:r>
        <w:rPr>
          <w:spacing w:val="2"/>
        </w:rPr>
        <w:t>in </w:t>
      </w:r>
      <w:r>
        <w:rPr>
          <w:spacing w:val="-5"/>
        </w:rPr>
        <w:t>the </w:t>
      </w:r>
      <w:r>
        <w:rPr/>
        <w:t>judgment and unconditional acceptance</w:t>
      </w:r>
      <w:r>
        <w:rPr>
          <w:spacing w:val="36"/>
        </w:rPr>
        <w:t> </w:t>
      </w:r>
      <w:r>
        <w:rPr/>
        <w:t>of</w:t>
      </w:r>
    </w:p>
    <w:p>
      <w:pPr>
        <w:pStyle w:val="BodyText"/>
        <w:rPr>
          <w:sz w:val="20"/>
        </w:rPr>
      </w:pPr>
    </w:p>
    <w:p>
      <w:pPr>
        <w:pStyle w:val="BodyText"/>
        <w:spacing w:before="2"/>
        <w:rPr>
          <w:sz w:val="11"/>
        </w:rPr>
      </w:pPr>
      <w:r>
        <w:rPr/>
        <w:pict>
          <v:shape style="position:absolute;margin-left:162pt;margin-top:9.260425pt;width:143.9pt;height:.1pt;mso-position-horizontal-relative:page;mso-position-vertical-relative:paragraph;z-index:-251440128;mso-wrap-distance-left:0;mso-wrap-distance-right:0" coordorigin="3240,185" coordsize="2878,0" path="m3240,185l6118,18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6"/>
        </w:numPr>
        <w:tabs>
          <w:tab w:pos="3015" w:val="left" w:leader="none"/>
        </w:tabs>
        <w:spacing w:line="240" w:lineRule="auto" w:before="71" w:after="0"/>
        <w:ind w:left="3014" w:right="0" w:hanging="275"/>
        <w:jc w:val="left"/>
        <w:rPr>
          <w:sz w:val="18"/>
        </w:rPr>
      </w:pPr>
      <w:r>
        <w:rPr>
          <w:i/>
          <w:sz w:val="18"/>
        </w:rPr>
        <w:t>Black’s Law Dictionary </w:t>
      </w:r>
      <w:r>
        <w:rPr>
          <w:sz w:val="18"/>
        </w:rPr>
        <w:t>(7</w:t>
      </w:r>
      <w:r>
        <w:rPr>
          <w:position w:val="7"/>
          <w:sz w:val="10"/>
        </w:rPr>
        <w:t>th </w:t>
      </w:r>
      <w:r>
        <w:rPr>
          <w:sz w:val="18"/>
        </w:rPr>
        <w:t>Ed.</w:t>
      </w:r>
      <w:r>
        <w:rPr>
          <w:spacing w:val="-6"/>
          <w:sz w:val="18"/>
        </w:rPr>
        <w:t> </w:t>
      </w:r>
      <w:r>
        <w:rPr>
          <w:sz w:val="18"/>
        </w:rPr>
        <w:t>1999).</w:t>
      </w:r>
    </w:p>
    <w:p>
      <w:pPr>
        <w:pStyle w:val="ListParagraph"/>
        <w:numPr>
          <w:ilvl w:val="0"/>
          <w:numId w:val="16"/>
        </w:numPr>
        <w:tabs>
          <w:tab w:pos="3010" w:val="left" w:leader="none"/>
        </w:tabs>
        <w:spacing w:line="261" w:lineRule="auto" w:before="14" w:after="0"/>
        <w:ind w:left="2740" w:right="2845" w:firstLine="0"/>
        <w:jc w:val="left"/>
        <w:rPr>
          <w:sz w:val="18"/>
        </w:rPr>
      </w:pPr>
      <w:r>
        <w:rPr>
          <w:sz w:val="18"/>
          <w:u w:val="single"/>
        </w:rPr>
        <w:t>Professional</w:t>
      </w:r>
      <w:r>
        <w:rPr>
          <w:spacing w:val="-6"/>
          <w:sz w:val="18"/>
          <w:u w:val="single"/>
        </w:rPr>
        <w:t> </w:t>
      </w:r>
      <w:r>
        <w:rPr>
          <w:sz w:val="18"/>
          <w:u w:val="single"/>
        </w:rPr>
        <w:t>Team,</w:t>
      </w:r>
      <w:r>
        <w:rPr>
          <w:spacing w:val="-5"/>
          <w:sz w:val="18"/>
          <w:u w:val="single"/>
        </w:rPr>
        <w:t> </w:t>
      </w:r>
      <w:r>
        <w:rPr>
          <w:sz w:val="18"/>
          <w:u w:val="single"/>
        </w:rPr>
        <w:t>Inc.</w:t>
      </w:r>
      <w:r>
        <w:rPr>
          <w:spacing w:val="-6"/>
          <w:sz w:val="18"/>
          <w:u w:val="single"/>
        </w:rPr>
        <w:t> </w:t>
      </w:r>
      <w:r>
        <w:rPr>
          <w:sz w:val="18"/>
          <w:u w:val="single"/>
        </w:rPr>
        <w:t>v.</w:t>
      </w:r>
      <w:r>
        <w:rPr>
          <w:spacing w:val="-5"/>
          <w:sz w:val="18"/>
          <w:u w:val="single"/>
        </w:rPr>
        <w:t> </w:t>
      </w:r>
      <w:r>
        <w:rPr>
          <w:sz w:val="18"/>
          <w:u w:val="single"/>
        </w:rPr>
        <w:t>Safeco</w:t>
      </w:r>
      <w:r>
        <w:rPr>
          <w:spacing w:val="-6"/>
          <w:sz w:val="18"/>
          <w:u w:val="single"/>
        </w:rPr>
        <w:t> </w:t>
      </w:r>
      <w:r>
        <w:rPr>
          <w:sz w:val="18"/>
          <w:u w:val="single"/>
        </w:rPr>
        <w:t>Ins.</w:t>
      </w:r>
      <w:r>
        <w:rPr>
          <w:spacing w:val="-5"/>
          <w:sz w:val="18"/>
          <w:u w:val="single"/>
        </w:rPr>
        <w:t> </w:t>
      </w:r>
      <w:r>
        <w:rPr>
          <w:sz w:val="18"/>
          <w:u w:val="single"/>
        </w:rPr>
        <w:t>Co.</w:t>
      </w:r>
      <w:r>
        <w:rPr>
          <w:spacing w:val="-5"/>
          <w:sz w:val="18"/>
          <w:u w:val="single"/>
        </w:rPr>
        <w:t> </w:t>
      </w:r>
      <w:r>
        <w:rPr>
          <w:sz w:val="18"/>
          <w:u w:val="single"/>
        </w:rPr>
        <w:t>of</w:t>
      </w:r>
      <w:r>
        <w:rPr>
          <w:spacing w:val="-10"/>
          <w:sz w:val="18"/>
          <w:u w:val="single"/>
        </w:rPr>
        <w:t> </w:t>
      </w:r>
      <w:r>
        <w:rPr>
          <w:sz w:val="18"/>
          <w:u w:val="single"/>
        </w:rPr>
        <w:t>America</w:t>
      </w:r>
      <w:r>
        <w:rPr>
          <w:sz w:val="18"/>
        </w:rPr>
        <w:t>,</w:t>
      </w:r>
      <w:r>
        <w:rPr>
          <w:spacing w:val="-9"/>
          <w:sz w:val="18"/>
        </w:rPr>
        <w:t> </w:t>
      </w:r>
      <w:r>
        <w:rPr>
          <w:sz w:val="18"/>
        </w:rPr>
        <w:t>2006</w:t>
      </w:r>
      <w:r>
        <w:rPr>
          <w:spacing w:val="-7"/>
          <w:sz w:val="18"/>
        </w:rPr>
        <w:t> </w:t>
      </w:r>
      <w:r>
        <w:rPr>
          <w:sz w:val="18"/>
        </w:rPr>
        <w:t>WL</w:t>
      </w:r>
      <w:r>
        <w:rPr>
          <w:spacing w:val="-10"/>
          <w:sz w:val="18"/>
        </w:rPr>
        <w:t> </w:t>
      </w:r>
      <w:r>
        <w:rPr>
          <w:sz w:val="18"/>
        </w:rPr>
        <w:t>9322414</w:t>
      </w:r>
      <w:r>
        <w:rPr>
          <w:spacing w:val="-7"/>
          <w:sz w:val="18"/>
        </w:rPr>
        <w:t> </w:t>
      </w:r>
      <w:r>
        <w:rPr>
          <w:sz w:val="18"/>
        </w:rPr>
        <w:t>(Mich.</w:t>
      </w:r>
      <w:r>
        <w:rPr>
          <w:spacing w:val="-5"/>
          <w:sz w:val="18"/>
        </w:rPr>
        <w:t> </w:t>
      </w:r>
      <w:r>
        <w:rPr>
          <w:sz w:val="18"/>
        </w:rPr>
        <w:t>App. 2006).</w:t>
      </w:r>
    </w:p>
    <w:p>
      <w:pPr>
        <w:pStyle w:val="ListParagraph"/>
        <w:numPr>
          <w:ilvl w:val="0"/>
          <w:numId w:val="16"/>
        </w:numPr>
        <w:tabs>
          <w:tab w:pos="2986" w:val="left" w:leader="none"/>
        </w:tabs>
        <w:spacing w:line="193" w:lineRule="exact" w:before="0" w:after="0"/>
        <w:ind w:left="2986" w:right="0" w:hanging="246"/>
        <w:jc w:val="left"/>
        <w:rPr>
          <w:sz w:val="18"/>
        </w:rPr>
      </w:pPr>
      <w:r>
        <w:rPr>
          <w:sz w:val="18"/>
          <w:u w:val="single"/>
        </w:rPr>
        <w:t>Hemingway</w:t>
      </w:r>
      <w:r>
        <w:rPr>
          <w:spacing w:val="-20"/>
          <w:sz w:val="18"/>
          <w:u w:val="single"/>
        </w:rPr>
        <w:t> </w:t>
      </w:r>
      <w:r>
        <w:rPr>
          <w:sz w:val="18"/>
          <w:u w:val="single"/>
        </w:rPr>
        <w:t>v.</w:t>
      </w:r>
      <w:r>
        <w:rPr>
          <w:spacing w:val="-16"/>
          <w:sz w:val="18"/>
          <w:u w:val="single"/>
        </w:rPr>
        <w:t> </w:t>
      </w:r>
      <w:r>
        <w:rPr>
          <w:sz w:val="18"/>
          <w:u w:val="single"/>
        </w:rPr>
        <w:t>State</w:t>
      </w:r>
      <w:r>
        <w:rPr>
          <w:spacing w:val="-17"/>
          <w:sz w:val="18"/>
          <w:u w:val="single"/>
        </w:rPr>
        <w:t> </w:t>
      </w:r>
      <w:r>
        <w:rPr>
          <w:sz w:val="18"/>
          <w:u w:val="single"/>
        </w:rPr>
        <w:t>Farm</w:t>
      </w:r>
      <w:r>
        <w:rPr>
          <w:spacing w:val="-20"/>
          <w:sz w:val="18"/>
          <w:u w:val="single"/>
        </w:rPr>
        <w:t> </w:t>
      </w:r>
      <w:r>
        <w:rPr>
          <w:sz w:val="18"/>
          <w:u w:val="single"/>
        </w:rPr>
        <w:t>Fire</w:t>
      </w:r>
      <w:r>
        <w:rPr>
          <w:spacing w:val="-16"/>
          <w:sz w:val="18"/>
          <w:u w:val="single"/>
        </w:rPr>
        <w:t> </w:t>
      </w:r>
      <w:r>
        <w:rPr>
          <w:sz w:val="18"/>
          <w:u w:val="single"/>
        </w:rPr>
        <w:t>&amp;</w:t>
      </w:r>
      <w:r>
        <w:rPr>
          <w:spacing w:val="-15"/>
          <w:sz w:val="18"/>
          <w:u w:val="single"/>
        </w:rPr>
        <w:t> </w:t>
      </w:r>
      <w:r>
        <w:rPr>
          <w:sz w:val="18"/>
          <w:u w:val="single"/>
        </w:rPr>
        <w:t>Cas.</w:t>
      </w:r>
      <w:r>
        <w:rPr>
          <w:spacing w:val="-15"/>
          <w:sz w:val="18"/>
          <w:u w:val="single"/>
        </w:rPr>
        <w:t> </w:t>
      </w:r>
      <w:r>
        <w:rPr>
          <w:sz w:val="18"/>
          <w:u w:val="single"/>
        </w:rPr>
        <w:t>Co.</w:t>
      </w:r>
      <w:r>
        <w:rPr>
          <w:sz w:val="18"/>
        </w:rPr>
        <w:t>,</w:t>
      </w:r>
      <w:r>
        <w:rPr>
          <w:spacing w:val="-13"/>
          <w:sz w:val="18"/>
        </w:rPr>
        <w:t> </w:t>
      </w:r>
      <w:r>
        <w:rPr>
          <w:sz w:val="18"/>
        </w:rPr>
        <w:t>187</w:t>
      </w:r>
      <w:r>
        <w:rPr>
          <w:spacing w:val="-14"/>
          <w:sz w:val="18"/>
        </w:rPr>
        <w:t> </w:t>
      </w:r>
      <w:r>
        <w:rPr>
          <w:sz w:val="18"/>
        </w:rPr>
        <w:t>A.D.2d</w:t>
      </w:r>
      <w:r>
        <w:rPr>
          <w:spacing w:val="-13"/>
          <w:sz w:val="18"/>
        </w:rPr>
        <w:t> </w:t>
      </w:r>
      <w:r>
        <w:rPr>
          <w:sz w:val="18"/>
        </w:rPr>
        <w:t>814,</w:t>
      </w:r>
      <w:r>
        <w:rPr>
          <w:spacing w:val="-15"/>
          <w:sz w:val="18"/>
        </w:rPr>
        <w:t> </w:t>
      </w:r>
      <w:r>
        <w:rPr>
          <w:sz w:val="18"/>
        </w:rPr>
        <w:t>589</w:t>
      </w:r>
      <w:r>
        <w:rPr>
          <w:spacing w:val="-13"/>
          <w:sz w:val="18"/>
        </w:rPr>
        <w:t> </w:t>
      </w:r>
      <w:r>
        <w:rPr>
          <w:sz w:val="18"/>
        </w:rPr>
        <w:t>N.Y.S.2d</w:t>
      </w:r>
      <w:r>
        <w:rPr>
          <w:spacing w:val="-13"/>
          <w:sz w:val="18"/>
        </w:rPr>
        <w:t> </w:t>
      </w:r>
      <w:r>
        <w:rPr>
          <w:sz w:val="18"/>
        </w:rPr>
        <w:t>956</w:t>
      </w:r>
      <w:r>
        <w:rPr>
          <w:spacing w:val="-13"/>
          <w:sz w:val="18"/>
        </w:rPr>
        <w:t> </w:t>
      </w:r>
      <w:r>
        <w:rPr>
          <w:sz w:val="18"/>
        </w:rPr>
        <w:t>(3d</w:t>
      </w:r>
      <w:r>
        <w:rPr>
          <w:spacing w:val="-13"/>
          <w:sz w:val="18"/>
        </w:rPr>
        <w:t> </w:t>
      </w:r>
      <w:r>
        <w:rPr>
          <w:sz w:val="18"/>
        </w:rPr>
        <w:t>Dept.</w:t>
      </w:r>
    </w:p>
    <w:p>
      <w:pPr>
        <w:spacing w:before="4"/>
        <w:ind w:left="2740" w:right="0" w:firstLine="0"/>
        <w:jc w:val="left"/>
        <w:rPr>
          <w:rFonts w:ascii="Times New Roman"/>
          <w:sz w:val="18"/>
        </w:rPr>
      </w:pPr>
      <w:r>
        <w:rPr>
          <w:rFonts w:ascii="Times New Roman"/>
          <w:sz w:val="18"/>
        </w:rPr>
        <w:t>1992).</w:t>
      </w:r>
    </w:p>
    <w:p>
      <w:pPr>
        <w:spacing w:after="0"/>
        <w:jc w:val="left"/>
        <w:rPr>
          <w:rFonts w:ascii="Times New Roman"/>
          <w:sz w:val="18"/>
        </w:rPr>
        <w:sectPr>
          <w:pgSz w:w="12240" w:h="15840"/>
          <w:pgMar w:header="0" w:footer="2273" w:top="1500" w:bottom="2460" w:left="140" w:right="4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3100"/>
      </w:pPr>
      <w:bookmarkStart w:name="Law and Procedure 292" w:id="113"/>
      <w:bookmarkEnd w:id="113"/>
      <w:r>
        <w:rPr/>
      </w:r>
      <w:r>
        <w:rPr/>
        <w:t>the fruits thereof.</w:t>
      </w:r>
      <w:r>
        <w:rPr>
          <w:vertAlign w:val="superscript"/>
        </w:rPr>
        <w:t>622</w:t>
      </w:r>
    </w:p>
    <w:p>
      <w:pPr>
        <w:pStyle w:val="BodyText"/>
        <w:spacing w:before="6"/>
      </w:pPr>
    </w:p>
    <w:p>
      <w:pPr>
        <w:pStyle w:val="BodyText"/>
        <w:spacing w:line="242" w:lineRule="auto"/>
        <w:ind w:left="3100" w:right="3196" w:firstLine="720"/>
        <w:jc w:val="both"/>
      </w:pPr>
      <w:r>
        <w:rPr/>
        <w:t>Additionally, it has been held that in attempting to set aside an appraisal award after a final judgment enforcing said award has been entered, mandamus relief is not the appropriate method.</w:t>
      </w:r>
      <w:r>
        <w:rPr>
          <w:vertAlign w:val="superscript"/>
        </w:rPr>
        <w:t>623</w:t>
      </w:r>
      <w:r>
        <w:rPr>
          <w:vertAlign w:val="baseline"/>
        </w:rPr>
        <w:t> A writ of </w:t>
      </w:r>
      <w:r>
        <w:rPr>
          <w:spacing w:val="-5"/>
          <w:vertAlign w:val="baseline"/>
        </w:rPr>
        <w:t>mandamus </w:t>
      </w:r>
      <w:r>
        <w:rPr>
          <w:vertAlign w:val="baseline"/>
        </w:rPr>
        <w:t>will</w:t>
      </w:r>
      <w:r>
        <w:rPr>
          <w:spacing w:val="-5"/>
          <w:vertAlign w:val="baseline"/>
        </w:rPr>
        <w:t> </w:t>
      </w:r>
      <w:r>
        <w:rPr>
          <w:vertAlign w:val="baseline"/>
        </w:rPr>
        <w:t>not</w:t>
      </w:r>
      <w:r>
        <w:rPr>
          <w:spacing w:val="-8"/>
          <w:vertAlign w:val="baseline"/>
        </w:rPr>
        <w:t> </w:t>
      </w:r>
      <w:r>
        <w:rPr>
          <w:vertAlign w:val="baseline"/>
        </w:rPr>
        <w:t>be</w:t>
      </w:r>
      <w:r>
        <w:rPr>
          <w:spacing w:val="-7"/>
          <w:vertAlign w:val="baseline"/>
        </w:rPr>
        <w:t> </w:t>
      </w:r>
      <w:r>
        <w:rPr>
          <w:vertAlign w:val="baseline"/>
        </w:rPr>
        <w:t>issued</w:t>
      </w:r>
      <w:r>
        <w:rPr>
          <w:spacing w:val="-6"/>
          <w:vertAlign w:val="baseline"/>
        </w:rPr>
        <w:t> </w:t>
      </w:r>
      <w:r>
        <w:rPr>
          <w:vertAlign w:val="baseline"/>
        </w:rPr>
        <w:t>as</w:t>
      </w:r>
      <w:r>
        <w:rPr>
          <w:spacing w:val="-6"/>
          <w:vertAlign w:val="baseline"/>
        </w:rPr>
        <w:t> </w:t>
      </w:r>
      <w:r>
        <w:rPr>
          <w:vertAlign w:val="baseline"/>
        </w:rPr>
        <w:t>the</w:t>
      </w:r>
      <w:r>
        <w:rPr>
          <w:spacing w:val="-7"/>
          <w:vertAlign w:val="baseline"/>
        </w:rPr>
        <w:t> </w:t>
      </w:r>
      <w:r>
        <w:rPr>
          <w:vertAlign w:val="baseline"/>
        </w:rPr>
        <w:t>party</w:t>
      </w:r>
      <w:r>
        <w:rPr>
          <w:spacing w:val="-8"/>
          <w:vertAlign w:val="baseline"/>
        </w:rPr>
        <w:t> </w:t>
      </w:r>
      <w:r>
        <w:rPr>
          <w:vertAlign w:val="baseline"/>
        </w:rPr>
        <w:t>has</w:t>
      </w:r>
      <w:r>
        <w:rPr>
          <w:spacing w:val="-6"/>
          <w:vertAlign w:val="baseline"/>
        </w:rPr>
        <w:t> </w:t>
      </w:r>
      <w:r>
        <w:rPr>
          <w:vertAlign w:val="baseline"/>
        </w:rPr>
        <w:t>the</w:t>
      </w:r>
      <w:r>
        <w:rPr>
          <w:spacing w:val="-9"/>
          <w:vertAlign w:val="baseline"/>
        </w:rPr>
        <w:t> </w:t>
      </w:r>
      <w:r>
        <w:rPr>
          <w:vertAlign w:val="baseline"/>
        </w:rPr>
        <w:t>ability</w:t>
      </w:r>
      <w:r>
        <w:rPr>
          <w:spacing w:val="-9"/>
          <w:vertAlign w:val="baseline"/>
        </w:rPr>
        <w:t> </w:t>
      </w:r>
      <w:r>
        <w:rPr>
          <w:vertAlign w:val="baseline"/>
        </w:rPr>
        <w:t>to appeal</w:t>
      </w:r>
      <w:r>
        <w:rPr>
          <w:spacing w:val="-14"/>
          <w:vertAlign w:val="baseline"/>
        </w:rPr>
        <w:t> </w:t>
      </w:r>
      <w:r>
        <w:rPr>
          <w:vertAlign w:val="baseline"/>
        </w:rPr>
        <w:t>the</w:t>
      </w:r>
      <w:r>
        <w:rPr>
          <w:spacing w:val="-17"/>
          <w:vertAlign w:val="baseline"/>
        </w:rPr>
        <w:t> </w:t>
      </w:r>
      <w:r>
        <w:rPr>
          <w:vertAlign w:val="baseline"/>
        </w:rPr>
        <w:t>judgment</w:t>
      </w:r>
      <w:r>
        <w:rPr>
          <w:spacing w:val="-20"/>
          <w:vertAlign w:val="baseline"/>
        </w:rPr>
        <w:t> </w:t>
      </w:r>
      <w:r>
        <w:rPr>
          <w:vertAlign w:val="baseline"/>
        </w:rPr>
        <w:t>as</w:t>
      </w:r>
      <w:r>
        <w:rPr>
          <w:spacing w:val="-18"/>
          <w:vertAlign w:val="baseline"/>
        </w:rPr>
        <w:t> </w:t>
      </w:r>
      <w:r>
        <w:rPr>
          <w:vertAlign w:val="baseline"/>
        </w:rPr>
        <w:t>his</w:t>
      </w:r>
      <w:r>
        <w:rPr>
          <w:spacing w:val="-17"/>
          <w:vertAlign w:val="baseline"/>
        </w:rPr>
        <w:t> </w:t>
      </w:r>
      <w:r>
        <w:rPr>
          <w:vertAlign w:val="baseline"/>
        </w:rPr>
        <w:t>adequate</w:t>
      </w:r>
      <w:r>
        <w:rPr>
          <w:spacing w:val="-16"/>
          <w:vertAlign w:val="baseline"/>
        </w:rPr>
        <w:t> </w:t>
      </w:r>
      <w:r>
        <w:rPr>
          <w:spacing w:val="-3"/>
          <w:vertAlign w:val="baseline"/>
        </w:rPr>
        <w:t>remedy </w:t>
      </w:r>
      <w:r>
        <w:rPr>
          <w:vertAlign w:val="baseline"/>
        </w:rPr>
        <w:t>at</w:t>
      </w:r>
      <w:r>
        <w:rPr>
          <w:spacing w:val="-3"/>
          <w:vertAlign w:val="baseline"/>
        </w:rPr>
        <w:t> </w:t>
      </w:r>
      <w:r>
        <w:rPr>
          <w:vertAlign w:val="baseline"/>
        </w:rPr>
        <w:t>law.</w:t>
      </w:r>
    </w:p>
    <w:p>
      <w:pPr>
        <w:pStyle w:val="BodyText"/>
        <w:spacing w:before="12"/>
        <w:rPr>
          <w:sz w:val="25"/>
        </w:rPr>
      </w:pPr>
    </w:p>
    <w:p>
      <w:pPr>
        <w:pStyle w:val="BodyText"/>
        <w:spacing w:line="242" w:lineRule="auto"/>
        <w:ind w:left="3100" w:right="3200" w:firstLine="720"/>
        <w:jc w:val="both"/>
      </w:pPr>
      <w:r>
        <w:rPr>
          <w:spacing w:val="3"/>
        </w:rPr>
        <w:t>In </w:t>
      </w:r>
      <w:r>
        <w:rPr/>
        <w:t>Florida, the court did not properly address</w:t>
      </w:r>
      <w:r>
        <w:rPr>
          <w:spacing w:val="-26"/>
        </w:rPr>
        <w:t> </w:t>
      </w:r>
      <w:r>
        <w:rPr/>
        <w:t>the</w:t>
      </w:r>
      <w:r>
        <w:rPr>
          <w:spacing w:val="-27"/>
        </w:rPr>
        <w:t> </w:t>
      </w:r>
      <w:r>
        <w:rPr/>
        <w:t>insurer’s</w:t>
      </w:r>
      <w:r>
        <w:rPr>
          <w:spacing w:val="-22"/>
        </w:rPr>
        <w:t> </w:t>
      </w:r>
      <w:r>
        <w:rPr/>
        <w:t>defense</w:t>
      </w:r>
      <w:r>
        <w:rPr>
          <w:spacing w:val="-24"/>
        </w:rPr>
        <w:t> </w:t>
      </w:r>
      <w:r>
        <w:rPr/>
        <w:t>that</w:t>
      </w:r>
      <w:r>
        <w:rPr>
          <w:spacing w:val="-28"/>
        </w:rPr>
        <w:t> </w:t>
      </w:r>
      <w:r>
        <w:rPr/>
        <w:t>certain</w:t>
      </w:r>
      <w:r>
        <w:rPr>
          <w:spacing w:val="-26"/>
        </w:rPr>
        <w:t> </w:t>
      </w:r>
      <w:r>
        <w:rPr/>
        <w:t>items were duplicative, deciding that “an alleged mistake of that nature raises an issue directly related</w:t>
      </w:r>
      <w:r>
        <w:rPr>
          <w:spacing w:val="-13"/>
        </w:rPr>
        <w:t> </w:t>
      </w:r>
      <w:r>
        <w:rPr/>
        <w:t>to</w:t>
      </w:r>
      <w:r>
        <w:rPr>
          <w:spacing w:val="-11"/>
        </w:rPr>
        <w:t> </w:t>
      </w:r>
      <w:r>
        <w:rPr/>
        <w:t>the</w:t>
      </w:r>
      <w:r>
        <w:rPr>
          <w:spacing w:val="-12"/>
        </w:rPr>
        <w:t> </w:t>
      </w:r>
      <w:r>
        <w:rPr/>
        <w:t>‘amount</w:t>
      </w:r>
      <w:r>
        <w:rPr>
          <w:spacing w:val="-9"/>
        </w:rPr>
        <w:t> </w:t>
      </w:r>
      <w:r>
        <w:rPr/>
        <w:t>of</w:t>
      </w:r>
      <w:r>
        <w:rPr>
          <w:spacing w:val="-8"/>
        </w:rPr>
        <w:t> </w:t>
      </w:r>
      <w:r>
        <w:rPr/>
        <w:t>loss’</w:t>
      </w:r>
      <w:r>
        <w:rPr>
          <w:spacing w:val="-8"/>
        </w:rPr>
        <w:t> </w:t>
      </w:r>
      <w:r>
        <w:rPr/>
        <w:t>sustained,”</w:t>
      </w:r>
      <w:r>
        <w:rPr>
          <w:spacing w:val="-11"/>
        </w:rPr>
        <w:t> </w:t>
      </w:r>
      <w:r>
        <w:rPr/>
        <w:t>was a matter within the scope of an appraiser’s authority to evaluate and was thus entitled to respect.</w:t>
      </w:r>
      <w:r>
        <w:rPr>
          <w:vertAlign w:val="superscript"/>
        </w:rPr>
        <w:t>624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r>
        <w:rPr/>
        <w:pict>
          <v:shape style="position:absolute;margin-left:162pt;margin-top:18.230537pt;width:143.9pt;height:.1pt;mso-position-horizontal-relative:page;mso-position-vertical-relative:paragraph;z-index:-251439104;mso-wrap-distance-left:0;mso-wrap-distance-right:0" coordorigin="3240,365" coordsize="2878,0" path="m3240,365l6118,36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6"/>
        </w:numPr>
        <w:tabs>
          <w:tab w:pos="3039" w:val="left" w:leader="none"/>
        </w:tabs>
        <w:spacing w:line="240" w:lineRule="auto" w:before="71" w:after="0"/>
        <w:ind w:left="3038" w:right="0" w:hanging="299"/>
        <w:jc w:val="both"/>
        <w:rPr>
          <w:sz w:val="18"/>
        </w:rPr>
      </w:pPr>
      <w:r>
        <w:rPr>
          <w:sz w:val="18"/>
          <w:u w:val="single"/>
        </w:rPr>
        <w:t>Kacha</w:t>
      </w:r>
      <w:r>
        <w:rPr>
          <w:spacing w:val="23"/>
          <w:sz w:val="18"/>
          <w:u w:val="single"/>
        </w:rPr>
        <w:t> </w:t>
      </w:r>
      <w:r>
        <w:rPr>
          <w:sz w:val="18"/>
          <w:u w:val="single"/>
        </w:rPr>
        <w:t>v.</w:t>
      </w:r>
      <w:r>
        <w:rPr>
          <w:spacing w:val="25"/>
          <w:sz w:val="18"/>
          <w:u w:val="single"/>
        </w:rPr>
        <w:t> </w:t>
      </w:r>
      <w:r>
        <w:rPr>
          <w:sz w:val="18"/>
          <w:u w:val="single"/>
        </w:rPr>
        <w:t>Allstate</w:t>
      </w:r>
      <w:r>
        <w:rPr>
          <w:spacing w:val="24"/>
          <w:sz w:val="18"/>
          <w:u w:val="single"/>
        </w:rPr>
        <w:t> </w:t>
      </w:r>
      <w:r>
        <w:rPr>
          <w:sz w:val="18"/>
          <w:u w:val="single"/>
        </w:rPr>
        <w:t>Ins.</w:t>
      </w:r>
      <w:r>
        <w:rPr>
          <w:spacing w:val="25"/>
          <w:sz w:val="18"/>
          <w:u w:val="single"/>
        </w:rPr>
        <w:t> </w:t>
      </w:r>
      <w:r>
        <w:rPr>
          <w:sz w:val="18"/>
          <w:u w:val="single"/>
        </w:rPr>
        <w:t>Co.</w:t>
      </w:r>
      <w:r>
        <w:rPr>
          <w:sz w:val="18"/>
        </w:rPr>
        <w:t>,</w:t>
      </w:r>
      <w:r>
        <w:rPr>
          <w:spacing w:val="25"/>
          <w:sz w:val="18"/>
        </w:rPr>
        <w:t> </w:t>
      </w:r>
      <w:r>
        <w:rPr>
          <w:sz w:val="18"/>
        </w:rPr>
        <w:t>140</w:t>
      </w:r>
      <w:r>
        <w:rPr>
          <w:spacing w:val="25"/>
          <w:sz w:val="18"/>
        </w:rPr>
        <w:t> </w:t>
      </w:r>
      <w:r>
        <w:rPr>
          <w:sz w:val="18"/>
        </w:rPr>
        <w:t>Cal.</w:t>
      </w:r>
      <w:r>
        <w:rPr>
          <w:spacing w:val="24"/>
          <w:sz w:val="18"/>
        </w:rPr>
        <w:t> </w:t>
      </w:r>
      <w:r>
        <w:rPr>
          <w:sz w:val="18"/>
        </w:rPr>
        <w:t>App.4th</w:t>
      </w:r>
      <w:r>
        <w:rPr>
          <w:spacing w:val="27"/>
          <w:sz w:val="18"/>
        </w:rPr>
        <w:t> </w:t>
      </w:r>
      <w:r>
        <w:rPr>
          <w:sz w:val="18"/>
        </w:rPr>
        <w:t>1023,</w:t>
      </w:r>
      <w:r>
        <w:rPr>
          <w:spacing w:val="25"/>
          <w:sz w:val="18"/>
        </w:rPr>
        <w:t> </w:t>
      </w:r>
      <w:r>
        <w:rPr>
          <w:sz w:val="18"/>
        </w:rPr>
        <w:t>45</w:t>
      </w:r>
      <w:r>
        <w:rPr>
          <w:spacing w:val="25"/>
          <w:sz w:val="18"/>
        </w:rPr>
        <w:t> </w:t>
      </w:r>
      <w:r>
        <w:rPr>
          <w:sz w:val="18"/>
        </w:rPr>
        <w:t>Cal.</w:t>
      </w:r>
      <w:r>
        <w:rPr>
          <w:spacing w:val="31"/>
          <w:sz w:val="18"/>
        </w:rPr>
        <w:t> </w:t>
      </w:r>
      <w:r>
        <w:rPr>
          <w:sz w:val="18"/>
        </w:rPr>
        <w:t>Rptr.3d</w:t>
      </w:r>
      <w:r>
        <w:rPr>
          <w:spacing w:val="28"/>
          <w:sz w:val="18"/>
        </w:rPr>
        <w:t> </w:t>
      </w:r>
      <w:r>
        <w:rPr>
          <w:sz w:val="18"/>
        </w:rPr>
        <w:t>92,</w:t>
      </w:r>
      <w:r>
        <w:rPr>
          <w:spacing w:val="25"/>
          <w:sz w:val="18"/>
        </w:rPr>
        <w:t> </w:t>
      </w:r>
      <w:r>
        <w:rPr>
          <w:sz w:val="18"/>
        </w:rPr>
        <w:t>2006</w:t>
      </w:r>
      <w:r>
        <w:rPr>
          <w:spacing w:val="24"/>
          <w:sz w:val="18"/>
        </w:rPr>
        <w:t> </w:t>
      </w:r>
      <w:r>
        <w:rPr>
          <w:sz w:val="18"/>
        </w:rPr>
        <w:t>WL</w:t>
      </w:r>
    </w:p>
    <w:p>
      <w:pPr>
        <w:spacing w:line="207" w:lineRule="exact" w:before="19"/>
        <w:ind w:left="2740" w:right="0" w:firstLine="0"/>
        <w:jc w:val="both"/>
        <w:rPr>
          <w:rFonts w:ascii="Times New Roman"/>
          <w:sz w:val="18"/>
        </w:rPr>
      </w:pPr>
      <w:r>
        <w:rPr>
          <w:rFonts w:ascii="Times New Roman"/>
          <w:sz w:val="18"/>
        </w:rPr>
        <w:t>1515827 (2006).</w:t>
      </w:r>
    </w:p>
    <w:p>
      <w:pPr>
        <w:pStyle w:val="ListParagraph"/>
        <w:numPr>
          <w:ilvl w:val="0"/>
          <w:numId w:val="16"/>
        </w:numPr>
        <w:tabs>
          <w:tab w:pos="3003" w:val="left" w:leader="none"/>
        </w:tabs>
        <w:spacing w:line="259" w:lineRule="auto" w:before="0" w:after="0"/>
        <w:ind w:left="2740" w:right="2843" w:firstLine="0"/>
        <w:jc w:val="both"/>
        <w:rPr>
          <w:sz w:val="18"/>
        </w:rPr>
      </w:pPr>
      <w:r>
        <w:rPr>
          <w:i/>
          <w:sz w:val="18"/>
        </w:rPr>
        <w:t>See</w:t>
      </w:r>
      <w:r>
        <w:rPr>
          <w:i/>
          <w:spacing w:val="-15"/>
          <w:sz w:val="18"/>
        </w:rPr>
        <w:t> </w:t>
      </w:r>
      <w:r>
        <w:rPr>
          <w:sz w:val="18"/>
          <w:u w:val="single"/>
        </w:rPr>
        <w:t>In</w:t>
      </w:r>
      <w:r>
        <w:rPr>
          <w:spacing w:val="-11"/>
          <w:sz w:val="18"/>
          <w:u w:val="single"/>
        </w:rPr>
        <w:t> </w:t>
      </w:r>
      <w:r>
        <w:rPr>
          <w:sz w:val="18"/>
          <w:u w:val="single"/>
        </w:rPr>
        <w:t>re</w:t>
      </w:r>
      <w:r>
        <w:rPr>
          <w:spacing w:val="-13"/>
          <w:sz w:val="18"/>
          <w:u w:val="single"/>
        </w:rPr>
        <w:t> </w:t>
      </w:r>
      <w:r>
        <w:rPr>
          <w:sz w:val="18"/>
          <w:u w:val="single"/>
        </w:rPr>
        <w:t>Security</w:t>
      </w:r>
      <w:r>
        <w:rPr>
          <w:spacing w:val="-15"/>
          <w:sz w:val="18"/>
          <w:u w:val="single"/>
        </w:rPr>
        <w:t> </w:t>
      </w:r>
      <w:r>
        <w:rPr>
          <w:sz w:val="18"/>
          <w:u w:val="single"/>
        </w:rPr>
        <w:t>Nat.l</w:t>
      </w:r>
      <w:r>
        <w:rPr>
          <w:spacing w:val="-11"/>
          <w:sz w:val="18"/>
          <w:u w:val="single"/>
        </w:rPr>
        <w:t> </w:t>
      </w:r>
      <w:r>
        <w:rPr>
          <w:sz w:val="18"/>
          <w:u w:val="single"/>
        </w:rPr>
        <w:t>Ins</w:t>
      </w:r>
      <w:r>
        <w:rPr>
          <w:spacing w:val="-12"/>
          <w:sz w:val="18"/>
          <w:u w:val="single"/>
        </w:rPr>
        <w:t> </w:t>
      </w:r>
      <w:r>
        <w:rPr>
          <w:sz w:val="18"/>
          <w:u w:val="single"/>
        </w:rPr>
        <w:t>Co..</w:t>
      </w:r>
      <w:r>
        <w:rPr>
          <w:sz w:val="18"/>
        </w:rPr>
        <w:t>,</w:t>
      </w:r>
      <w:r>
        <w:rPr>
          <w:spacing w:val="-9"/>
          <w:sz w:val="18"/>
        </w:rPr>
        <w:t> </w:t>
      </w:r>
      <w:r>
        <w:rPr>
          <w:sz w:val="18"/>
        </w:rPr>
        <w:t>2011</w:t>
      </w:r>
      <w:r>
        <w:rPr>
          <w:spacing w:val="-11"/>
          <w:sz w:val="18"/>
        </w:rPr>
        <w:t> </w:t>
      </w:r>
      <w:r>
        <w:rPr>
          <w:sz w:val="18"/>
        </w:rPr>
        <w:t>WL</w:t>
      </w:r>
      <w:r>
        <w:rPr>
          <w:spacing w:val="-14"/>
          <w:sz w:val="18"/>
        </w:rPr>
        <w:t> </w:t>
      </w:r>
      <w:r>
        <w:rPr>
          <w:sz w:val="18"/>
        </w:rPr>
        <w:t>332712</w:t>
      </w:r>
      <w:r>
        <w:rPr>
          <w:spacing w:val="-13"/>
          <w:sz w:val="18"/>
        </w:rPr>
        <w:t> </w:t>
      </w:r>
      <w:r>
        <w:rPr>
          <w:sz w:val="18"/>
        </w:rPr>
        <w:t>(Tex.App.-Houston</w:t>
      </w:r>
      <w:r>
        <w:rPr>
          <w:spacing w:val="-14"/>
          <w:sz w:val="18"/>
        </w:rPr>
        <w:t> </w:t>
      </w:r>
      <w:r>
        <w:rPr>
          <w:sz w:val="18"/>
        </w:rPr>
        <w:t>[14</w:t>
      </w:r>
      <w:r>
        <w:rPr>
          <w:spacing w:val="-11"/>
          <w:sz w:val="18"/>
        </w:rPr>
        <w:t> </w:t>
      </w:r>
      <w:r>
        <w:rPr>
          <w:sz w:val="18"/>
        </w:rPr>
        <w:t>Dist.]</w:t>
      </w:r>
      <w:r>
        <w:rPr>
          <w:spacing w:val="-8"/>
          <w:sz w:val="18"/>
        </w:rPr>
        <w:t> </w:t>
      </w:r>
      <w:r>
        <w:rPr>
          <w:sz w:val="18"/>
        </w:rPr>
        <w:t>2011).</w:t>
      </w:r>
      <w:r>
        <w:rPr>
          <w:position w:val="10"/>
          <w:sz w:val="18"/>
        </w:rPr>
        <w:t> </w:t>
      </w:r>
      <w:r>
        <w:rPr>
          <w:position w:val="10"/>
          <w:sz w:val="14"/>
        </w:rPr>
        <w:t>624</w:t>
      </w:r>
      <w:r>
        <w:rPr>
          <w:spacing w:val="17"/>
          <w:sz w:val="14"/>
        </w:rPr>
        <w:t> </w:t>
      </w:r>
      <w:r>
        <w:rPr>
          <w:sz w:val="18"/>
          <w:u w:val="single"/>
        </w:rPr>
        <w:t>Citizens</w:t>
      </w:r>
      <w:r>
        <w:rPr>
          <w:spacing w:val="-10"/>
          <w:sz w:val="18"/>
          <w:u w:val="single"/>
        </w:rPr>
        <w:t> </w:t>
      </w:r>
      <w:r>
        <w:rPr>
          <w:sz w:val="18"/>
          <w:u w:val="single"/>
        </w:rPr>
        <w:t>Prop.</w:t>
      </w:r>
      <w:r>
        <w:rPr>
          <w:spacing w:val="-10"/>
          <w:sz w:val="18"/>
          <w:u w:val="single"/>
        </w:rPr>
        <w:t> </w:t>
      </w:r>
      <w:r>
        <w:rPr>
          <w:sz w:val="18"/>
          <w:u w:val="single"/>
        </w:rPr>
        <w:t>Ins.</w:t>
      </w:r>
      <w:r>
        <w:rPr>
          <w:spacing w:val="-11"/>
          <w:sz w:val="18"/>
          <w:u w:val="single"/>
        </w:rPr>
        <w:t> </w:t>
      </w:r>
      <w:r>
        <w:rPr>
          <w:sz w:val="18"/>
          <w:u w:val="single"/>
        </w:rPr>
        <w:t>Corp.</w:t>
      </w:r>
      <w:r>
        <w:rPr>
          <w:spacing w:val="-11"/>
          <w:sz w:val="18"/>
          <w:u w:val="single"/>
        </w:rPr>
        <w:t> </w:t>
      </w:r>
      <w:r>
        <w:rPr>
          <w:sz w:val="18"/>
          <w:u w:val="single"/>
        </w:rPr>
        <w:t>v.</w:t>
      </w:r>
      <w:r>
        <w:rPr>
          <w:spacing w:val="-10"/>
          <w:sz w:val="18"/>
          <w:u w:val="single"/>
        </w:rPr>
        <w:t> </w:t>
      </w:r>
      <w:r>
        <w:rPr>
          <w:sz w:val="18"/>
          <w:u w:val="single"/>
        </w:rPr>
        <w:t>River</w:t>
      </w:r>
      <w:r>
        <w:rPr>
          <w:spacing w:val="-9"/>
          <w:sz w:val="18"/>
          <w:u w:val="single"/>
        </w:rPr>
        <w:t> </w:t>
      </w:r>
      <w:r>
        <w:rPr>
          <w:sz w:val="18"/>
          <w:u w:val="single"/>
        </w:rPr>
        <w:t>Manor</w:t>
      </w:r>
      <w:r>
        <w:rPr>
          <w:spacing w:val="-8"/>
          <w:sz w:val="18"/>
          <w:u w:val="single"/>
        </w:rPr>
        <w:t> </w:t>
      </w:r>
      <w:r>
        <w:rPr>
          <w:sz w:val="18"/>
          <w:u w:val="single"/>
        </w:rPr>
        <w:t>Condominium</w:t>
      </w:r>
      <w:r>
        <w:rPr>
          <w:spacing w:val="-13"/>
          <w:sz w:val="18"/>
          <w:u w:val="single"/>
        </w:rPr>
        <w:t> </w:t>
      </w:r>
      <w:r>
        <w:rPr>
          <w:sz w:val="18"/>
          <w:u w:val="single"/>
        </w:rPr>
        <w:t>Ass’n,</w:t>
      </w:r>
      <w:r>
        <w:rPr>
          <w:spacing w:val="-8"/>
          <w:sz w:val="18"/>
          <w:u w:val="single"/>
        </w:rPr>
        <w:t> </w:t>
      </w:r>
      <w:r>
        <w:rPr>
          <w:sz w:val="18"/>
          <w:u w:val="single"/>
        </w:rPr>
        <w:t>Inc.</w:t>
      </w:r>
      <w:r>
        <w:rPr>
          <w:sz w:val="18"/>
        </w:rPr>
        <w:t>,</w:t>
      </w:r>
      <w:r>
        <w:rPr>
          <w:spacing w:val="-8"/>
          <w:sz w:val="18"/>
        </w:rPr>
        <w:t> </w:t>
      </w:r>
      <w:r>
        <w:rPr>
          <w:sz w:val="18"/>
        </w:rPr>
        <w:t>125</w:t>
      </w:r>
      <w:r>
        <w:rPr>
          <w:spacing w:val="-7"/>
          <w:sz w:val="18"/>
        </w:rPr>
        <w:t> </w:t>
      </w:r>
      <w:r>
        <w:rPr>
          <w:sz w:val="18"/>
        </w:rPr>
        <w:t>So.3d</w:t>
      </w:r>
      <w:r>
        <w:rPr>
          <w:spacing w:val="-8"/>
          <w:sz w:val="18"/>
        </w:rPr>
        <w:t> </w:t>
      </w:r>
      <w:r>
        <w:rPr>
          <w:sz w:val="18"/>
        </w:rPr>
        <w:t>846</w:t>
      </w:r>
      <w:r>
        <w:rPr>
          <w:spacing w:val="-7"/>
          <w:sz w:val="18"/>
        </w:rPr>
        <w:t> </w:t>
      </w:r>
      <w:r>
        <w:rPr>
          <w:sz w:val="18"/>
        </w:rPr>
        <w:t>(Fla 4</w:t>
      </w:r>
      <w:r>
        <w:rPr>
          <w:position w:val="7"/>
          <w:sz w:val="10"/>
        </w:rPr>
        <w:t>th </w:t>
      </w:r>
      <w:r>
        <w:rPr>
          <w:sz w:val="18"/>
        </w:rPr>
        <w:t>DCA</w:t>
      </w:r>
      <w:r>
        <w:rPr>
          <w:spacing w:val="-5"/>
          <w:sz w:val="18"/>
        </w:rPr>
        <w:t> </w:t>
      </w:r>
      <w:r>
        <w:rPr>
          <w:sz w:val="18"/>
        </w:rPr>
        <w:t>2013).</w:t>
      </w:r>
    </w:p>
    <w:sectPr>
      <w:pgSz w:w="12240" w:h="15840"/>
      <w:pgMar w:header="0" w:footer="2273" w:top="1500" w:bottom="2460" w:left="14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Arial Unicode MS">
    <w:altName w:val="Arial Unicode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4pt;margin-top:667.371460pt;width:24pt;height:14pt;mso-position-horizontal-relative:page;mso-position-vertical-relative:page;z-index:-25428480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241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8377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247</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82752"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263</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pt;margin-top:667.371460pt;width:20pt;height:14pt;mso-position-horizontal-relative:page;mso-position-vertical-relative:page;z-index:-254281728"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269</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80704"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270</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279680" from="162pt,580.26001pt" to="305.88pt,580.26001pt" stroked="true" strokeweight=".84pt" strokecolor="#000000">
          <v:stroke dashstyle="solid"/>
          <w10:wrap type="none"/>
        </v:line>
      </w:pict>
    </w:r>
    <w:r>
      <w:rPr/>
      <w:pict>
        <v:shape style="position:absolute;margin-left:296pt;margin-top:667.371460pt;width:20pt;height:14pt;mso-position-horizontal-relative:page;mso-position-vertical-relative:page;z-index:-254278656"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276</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7632"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277</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39872">
          <wp:simplePos x="0" y="0"/>
          <wp:positionH relativeFrom="page">
            <wp:posOffset>615745</wp:posOffset>
          </wp:positionH>
          <wp:positionV relativeFrom="page">
            <wp:posOffset>9457374</wp:posOffset>
          </wp:positionV>
          <wp:extent cx="836611" cy="190138"/>
          <wp:effectExtent l="0" t="0" r="0" b="0"/>
          <wp:wrapNone/>
          <wp:docPr id="1" name="image10.png"/>
          <wp:cNvGraphicFramePr>
            <a:graphicFrameLocks noChangeAspect="1"/>
          </wp:cNvGraphicFramePr>
          <a:graphic>
            <a:graphicData uri="http://schemas.openxmlformats.org/drawingml/2006/picture">
              <pic:pic>
                <pic:nvPicPr>
                  <pic:cNvPr id="2" name="image10.png"/>
                  <pic:cNvPicPr/>
                </pic:nvPicPr>
                <pic:blipFill>
                  <a:blip r:embed="rId1" cstate="print"/>
                  <a:stretch>
                    <a:fillRect/>
                  </a:stretch>
                </pic:blipFill>
                <pic:spPr>
                  <a:xfrm>
                    <a:off x="0" y="0"/>
                    <a:ext cx="836611" cy="190138"/>
                  </a:xfrm>
                  <a:prstGeom prst="rect">
                    <a:avLst/>
                  </a:prstGeom>
                </pic:spPr>
              </pic:pic>
            </a:graphicData>
          </a:graphic>
        </wp:anchor>
      </w:drawing>
    </w:r>
    <w:r>
      <w:rPr/>
      <w:pict>
        <v:shape style="position:absolute;margin-left:549.219971pt;margin-top:746.947266pt;width:11.6pt;height:13.2pt;mso-position-horizontal-relative:page;mso-position-vertical-relative:page;z-index:-254275584" type="#_x0000_t202" filled="false" stroked="false">
          <v:textbox inset="0,0,0,0">
            <w:txbxContent>
              <w:p>
                <w:pPr>
                  <w:spacing w:before="13"/>
                  <w:ind w:left="60" w:right="0" w:firstLine="0"/>
                  <w:jc w:val="left"/>
                  <w:rPr>
                    <w:rFonts w:ascii="Arial"/>
                    <w:sz w:val="20"/>
                  </w:rPr>
                </w:pPr>
                <w:r>
                  <w:rPr/>
                  <w:fldChar w:fldCharType="begin"/>
                </w:r>
                <w:r>
                  <w:rPr>
                    <w:rFonts w:ascii="Arial"/>
                    <w:color w:val="7F7F7F"/>
                    <w:sz w:val="20"/>
                  </w:rPr>
                  <w:instrText> PAGE </w:instrText>
                </w:r>
                <w:r>
                  <w:rPr/>
                  <w:fldChar w:fldCharType="separate"/>
                </w:r>
                <w:r>
                  <w:rPr/>
                  <w:t>1</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1.219971pt;margin-top:746.947266pt;width:7.6pt;height:13.2pt;mso-position-horizontal-relative:page;mso-position-vertical-relative:page;z-index:-254274560" type="#_x0000_t202" filled="false" stroked="false">
          <v:textbox inset="0,0,0,0">
            <w:txbxContent>
              <w:p>
                <w:pPr>
                  <w:spacing w:before="13"/>
                  <w:ind w:left="20" w:right="0" w:firstLine="0"/>
                  <w:jc w:val="left"/>
                  <w:rPr>
                    <w:rFonts w:ascii="Arial"/>
                    <w:sz w:val="20"/>
                  </w:rPr>
                </w:pPr>
                <w:r>
                  <w:rPr>
                    <w:rFonts w:ascii="Arial"/>
                    <w:color w:val="7F7F7F"/>
                    <w:sz w:val="20"/>
                  </w:rPr>
                  <w:t>7</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353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280</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2512"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283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1488"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287</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270464" from="162pt,606.900024pt" to="305.88pt,606.900024pt" stroked="true" strokeweight=".84pt" strokecolor="#000000">
          <v:stroke dashstyle="solid"/>
          <w10:wrap type="none"/>
        </v:line>
      </w:pict>
    </w:r>
    <w:r>
      <w:rPr/>
      <w:pict>
        <v:shape style="position:absolute;margin-left:296pt;margin-top:667.371460pt;width:20pt;height:14pt;mso-position-horizontal-relative:page;mso-position-vertical-relative:page;z-index:-254269440"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327</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6841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328</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610"/>
      <w:numFmt w:val="decimal"/>
      <w:lvlText w:val="%1"/>
      <w:lvlJc w:val="left"/>
      <w:pPr>
        <w:ind w:left="2740" w:hanging="290"/>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3820" w:hanging="290"/>
      </w:pPr>
      <w:rPr>
        <w:rFonts w:hint="default"/>
      </w:rPr>
    </w:lvl>
    <w:lvl w:ilvl="2">
      <w:start w:val="0"/>
      <w:numFmt w:val="bullet"/>
      <w:lvlText w:val="•"/>
      <w:lvlJc w:val="left"/>
      <w:pPr>
        <w:ind w:left="4735" w:hanging="290"/>
      </w:pPr>
      <w:rPr>
        <w:rFonts w:hint="default"/>
      </w:rPr>
    </w:lvl>
    <w:lvl w:ilvl="3">
      <w:start w:val="0"/>
      <w:numFmt w:val="bullet"/>
      <w:lvlText w:val="•"/>
      <w:lvlJc w:val="left"/>
      <w:pPr>
        <w:ind w:left="5651" w:hanging="290"/>
      </w:pPr>
      <w:rPr>
        <w:rFonts w:hint="default"/>
      </w:rPr>
    </w:lvl>
    <w:lvl w:ilvl="4">
      <w:start w:val="0"/>
      <w:numFmt w:val="bullet"/>
      <w:lvlText w:val="•"/>
      <w:lvlJc w:val="left"/>
      <w:pPr>
        <w:ind w:left="6566" w:hanging="290"/>
      </w:pPr>
      <w:rPr>
        <w:rFonts w:hint="default"/>
      </w:rPr>
    </w:lvl>
    <w:lvl w:ilvl="5">
      <w:start w:val="0"/>
      <w:numFmt w:val="bullet"/>
      <w:lvlText w:val="•"/>
      <w:lvlJc w:val="left"/>
      <w:pPr>
        <w:ind w:left="7482" w:hanging="290"/>
      </w:pPr>
      <w:rPr>
        <w:rFonts w:hint="default"/>
      </w:rPr>
    </w:lvl>
    <w:lvl w:ilvl="6">
      <w:start w:val="0"/>
      <w:numFmt w:val="bullet"/>
      <w:lvlText w:val="•"/>
      <w:lvlJc w:val="left"/>
      <w:pPr>
        <w:ind w:left="8397" w:hanging="290"/>
      </w:pPr>
      <w:rPr>
        <w:rFonts w:hint="default"/>
      </w:rPr>
    </w:lvl>
    <w:lvl w:ilvl="7">
      <w:start w:val="0"/>
      <w:numFmt w:val="bullet"/>
      <w:lvlText w:val="•"/>
      <w:lvlJc w:val="left"/>
      <w:pPr>
        <w:ind w:left="9313" w:hanging="290"/>
      </w:pPr>
      <w:rPr>
        <w:rFonts w:hint="default"/>
      </w:rPr>
    </w:lvl>
    <w:lvl w:ilvl="8">
      <w:start w:val="0"/>
      <w:numFmt w:val="bullet"/>
      <w:lvlText w:val="•"/>
      <w:lvlJc w:val="left"/>
      <w:pPr>
        <w:ind w:left="10228" w:hanging="290"/>
      </w:pPr>
      <w:rPr>
        <w:rFonts w:hint="default"/>
      </w:rPr>
    </w:lvl>
  </w:abstractNum>
  <w:abstractNum w:abstractNumId="14">
    <w:multiLevelType w:val="hybridMultilevel"/>
    <w:lvl w:ilvl="0">
      <w:start w:val="594"/>
      <w:numFmt w:val="decimal"/>
      <w:lvlText w:val="%1"/>
      <w:lvlJc w:val="left"/>
      <w:pPr>
        <w:ind w:left="3002" w:hanging="26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906" w:hanging="263"/>
      </w:pPr>
      <w:rPr>
        <w:rFonts w:hint="default"/>
      </w:rPr>
    </w:lvl>
    <w:lvl w:ilvl="2">
      <w:start w:val="0"/>
      <w:numFmt w:val="bullet"/>
      <w:lvlText w:val="•"/>
      <w:lvlJc w:val="left"/>
      <w:pPr>
        <w:ind w:left="4812" w:hanging="263"/>
      </w:pPr>
      <w:rPr>
        <w:rFonts w:hint="default"/>
      </w:rPr>
    </w:lvl>
    <w:lvl w:ilvl="3">
      <w:start w:val="0"/>
      <w:numFmt w:val="bullet"/>
      <w:lvlText w:val="•"/>
      <w:lvlJc w:val="left"/>
      <w:pPr>
        <w:ind w:left="5718" w:hanging="263"/>
      </w:pPr>
      <w:rPr>
        <w:rFonts w:hint="default"/>
      </w:rPr>
    </w:lvl>
    <w:lvl w:ilvl="4">
      <w:start w:val="0"/>
      <w:numFmt w:val="bullet"/>
      <w:lvlText w:val="•"/>
      <w:lvlJc w:val="left"/>
      <w:pPr>
        <w:ind w:left="6624" w:hanging="263"/>
      </w:pPr>
      <w:rPr>
        <w:rFonts w:hint="default"/>
      </w:rPr>
    </w:lvl>
    <w:lvl w:ilvl="5">
      <w:start w:val="0"/>
      <w:numFmt w:val="bullet"/>
      <w:lvlText w:val="•"/>
      <w:lvlJc w:val="left"/>
      <w:pPr>
        <w:ind w:left="7530" w:hanging="263"/>
      </w:pPr>
      <w:rPr>
        <w:rFonts w:hint="default"/>
      </w:rPr>
    </w:lvl>
    <w:lvl w:ilvl="6">
      <w:start w:val="0"/>
      <w:numFmt w:val="bullet"/>
      <w:lvlText w:val="•"/>
      <w:lvlJc w:val="left"/>
      <w:pPr>
        <w:ind w:left="8436" w:hanging="263"/>
      </w:pPr>
      <w:rPr>
        <w:rFonts w:hint="default"/>
      </w:rPr>
    </w:lvl>
    <w:lvl w:ilvl="7">
      <w:start w:val="0"/>
      <w:numFmt w:val="bullet"/>
      <w:lvlText w:val="•"/>
      <w:lvlJc w:val="left"/>
      <w:pPr>
        <w:ind w:left="9342" w:hanging="263"/>
      </w:pPr>
      <w:rPr>
        <w:rFonts w:hint="default"/>
      </w:rPr>
    </w:lvl>
    <w:lvl w:ilvl="8">
      <w:start w:val="0"/>
      <w:numFmt w:val="bullet"/>
      <w:lvlText w:val="•"/>
      <w:lvlJc w:val="left"/>
      <w:pPr>
        <w:ind w:left="10248" w:hanging="263"/>
      </w:pPr>
      <w:rPr>
        <w:rFonts w:hint="default"/>
      </w:rPr>
    </w:lvl>
  </w:abstractNum>
  <w:abstractNum w:abstractNumId="13">
    <w:multiLevelType w:val="hybridMultilevel"/>
    <w:lvl w:ilvl="0">
      <w:start w:val="588"/>
      <w:numFmt w:val="decimal"/>
      <w:lvlText w:val="%1"/>
      <w:lvlJc w:val="left"/>
      <w:pPr>
        <w:ind w:left="301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924" w:hanging="275"/>
      </w:pPr>
      <w:rPr>
        <w:rFonts w:hint="default"/>
      </w:rPr>
    </w:lvl>
    <w:lvl w:ilvl="2">
      <w:start w:val="0"/>
      <w:numFmt w:val="bullet"/>
      <w:lvlText w:val="•"/>
      <w:lvlJc w:val="left"/>
      <w:pPr>
        <w:ind w:left="4828" w:hanging="275"/>
      </w:pPr>
      <w:rPr>
        <w:rFonts w:hint="default"/>
      </w:rPr>
    </w:lvl>
    <w:lvl w:ilvl="3">
      <w:start w:val="0"/>
      <w:numFmt w:val="bullet"/>
      <w:lvlText w:val="•"/>
      <w:lvlJc w:val="left"/>
      <w:pPr>
        <w:ind w:left="5732" w:hanging="275"/>
      </w:pPr>
      <w:rPr>
        <w:rFonts w:hint="default"/>
      </w:rPr>
    </w:lvl>
    <w:lvl w:ilvl="4">
      <w:start w:val="0"/>
      <w:numFmt w:val="bullet"/>
      <w:lvlText w:val="•"/>
      <w:lvlJc w:val="left"/>
      <w:pPr>
        <w:ind w:left="6636" w:hanging="275"/>
      </w:pPr>
      <w:rPr>
        <w:rFonts w:hint="default"/>
      </w:rPr>
    </w:lvl>
    <w:lvl w:ilvl="5">
      <w:start w:val="0"/>
      <w:numFmt w:val="bullet"/>
      <w:lvlText w:val="•"/>
      <w:lvlJc w:val="left"/>
      <w:pPr>
        <w:ind w:left="7540" w:hanging="275"/>
      </w:pPr>
      <w:rPr>
        <w:rFonts w:hint="default"/>
      </w:rPr>
    </w:lvl>
    <w:lvl w:ilvl="6">
      <w:start w:val="0"/>
      <w:numFmt w:val="bullet"/>
      <w:lvlText w:val="•"/>
      <w:lvlJc w:val="left"/>
      <w:pPr>
        <w:ind w:left="8444" w:hanging="275"/>
      </w:pPr>
      <w:rPr>
        <w:rFonts w:hint="default"/>
      </w:rPr>
    </w:lvl>
    <w:lvl w:ilvl="7">
      <w:start w:val="0"/>
      <w:numFmt w:val="bullet"/>
      <w:lvlText w:val="•"/>
      <w:lvlJc w:val="left"/>
      <w:pPr>
        <w:ind w:left="9348" w:hanging="275"/>
      </w:pPr>
      <w:rPr>
        <w:rFonts w:hint="default"/>
      </w:rPr>
    </w:lvl>
    <w:lvl w:ilvl="8">
      <w:start w:val="0"/>
      <w:numFmt w:val="bullet"/>
      <w:lvlText w:val="•"/>
      <w:lvlJc w:val="left"/>
      <w:pPr>
        <w:ind w:left="10252" w:hanging="275"/>
      </w:pPr>
      <w:rPr>
        <w:rFonts w:hint="default"/>
      </w:rPr>
    </w:lvl>
  </w:abstractNum>
  <w:abstractNum w:abstractNumId="12">
    <w:multiLevelType w:val="hybridMultilevel"/>
    <w:lvl w:ilvl="0">
      <w:start w:val="574"/>
      <w:numFmt w:val="decimal"/>
      <w:lvlText w:val="%1"/>
      <w:lvlJc w:val="left"/>
      <w:pPr>
        <w:ind w:left="301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924" w:hanging="275"/>
      </w:pPr>
      <w:rPr>
        <w:rFonts w:hint="default"/>
      </w:rPr>
    </w:lvl>
    <w:lvl w:ilvl="2">
      <w:start w:val="0"/>
      <w:numFmt w:val="bullet"/>
      <w:lvlText w:val="•"/>
      <w:lvlJc w:val="left"/>
      <w:pPr>
        <w:ind w:left="4828" w:hanging="275"/>
      </w:pPr>
      <w:rPr>
        <w:rFonts w:hint="default"/>
      </w:rPr>
    </w:lvl>
    <w:lvl w:ilvl="3">
      <w:start w:val="0"/>
      <w:numFmt w:val="bullet"/>
      <w:lvlText w:val="•"/>
      <w:lvlJc w:val="left"/>
      <w:pPr>
        <w:ind w:left="5732" w:hanging="275"/>
      </w:pPr>
      <w:rPr>
        <w:rFonts w:hint="default"/>
      </w:rPr>
    </w:lvl>
    <w:lvl w:ilvl="4">
      <w:start w:val="0"/>
      <w:numFmt w:val="bullet"/>
      <w:lvlText w:val="•"/>
      <w:lvlJc w:val="left"/>
      <w:pPr>
        <w:ind w:left="6636" w:hanging="275"/>
      </w:pPr>
      <w:rPr>
        <w:rFonts w:hint="default"/>
      </w:rPr>
    </w:lvl>
    <w:lvl w:ilvl="5">
      <w:start w:val="0"/>
      <w:numFmt w:val="bullet"/>
      <w:lvlText w:val="•"/>
      <w:lvlJc w:val="left"/>
      <w:pPr>
        <w:ind w:left="7540" w:hanging="275"/>
      </w:pPr>
      <w:rPr>
        <w:rFonts w:hint="default"/>
      </w:rPr>
    </w:lvl>
    <w:lvl w:ilvl="6">
      <w:start w:val="0"/>
      <w:numFmt w:val="bullet"/>
      <w:lvlText w:val="•"/>
      <w:lvlJc w:val="left"/>
      <w:pPr>
        <w:ind w:left="8444" w:hanging="275"/>
      </w:pPr>
      <w:rPr>
        <w:rFonts w:hint="default"/>
      </w:rPr>
    </w:lvl>
    <w:lvl w:ilvl="7">
      <w:start w:val="0"/>
      <w:numFmt w:val="bullet"/>
      <w:lvlText w:val="•"/>
      <w:lvlJc w:val="left"/>
      <w:pPr>
        <w:ind w:left="9348" w:hanging="275"/>
      </w:pPr>
      <w:rPr>
        <w:rFonts w:hint="default"/>
      </w:rPr>
    </w:lvl>
    <w:lvl w:ilvl="8">
      <w:start w:val="0"/>
      <w:numFmt w:val="bullet"/>
      <w:lvlText w:val="•"/>
      <w:lvlJc w:val="left"/>
      <w:pPr>
        <w:ind w:left="10252" w:hanging="275"/>
      </w:pPr>
      <w:rPr>
        <w:rFonts w:hint="default"/>
      </w:rPr>
    </w:lvl>
  </w:abstractNum>
  <w:abstractNum w:abstractNumId="11">
    <w:multiLevelType w:val="hybridMultilevel"/>
    <w:lvl w:ilvl="0">
      <w:start w:val="538"/>
      <w:numFmt w:val="decimal"/>
      <w:lvlText w:val="%1"/>
      <w:lvlJc w:val="left"/>
      <w:pPr>
        <w:ind w:left="3026" w:hanging="287"/>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4340" w:hanging="287"/>
      </w:pPr>
      <w:rPr>
        <w:rFonts w:hint="default"/>
      </w:rPr>
    </w:lvl>
    <w:lvl w:ilvl="2">
      <w:start w:val="0"/>
      <w:numFmt w:val="bullet"/>
      <w:lvlText w:val="•"/>
      <w:lvlJc w:val="left"/>
      <w:pPr>
        <w:ind w:left="5197" w:hanging="287"/>
      </w:pPr>
      <w:rPr>
        <w:rFonts w:hint="default"/>
      </w:rPr>
    </w:lvl>
    <w:lvl w:ilvl="3">
      <w:start w:val="0"/>
      <w:numFmt w:val="bullet"/>
      <w:lvlText w:val="•"/>
      <w:lvlJc w:val="left"/>
      <w:pPr>
        <w:ind w:left="6055" w:hanging="287"/>
      </w:pPr>
      <w:rPr>
        <w:rFonts w:hint="default"/>
      </w:rPr>
    </w:lvl>
    <w:lvl w:ilvl="4">
      <w:start w:val="0"/>
      <w:numFmt w:val="bullet"/>
      <w:lvlText w:val="•"/>
      <w:lvlJc w:val="left"/>
      <w:pPr>
        <w:ind w:left="6913" w:hanging="287"/>
      </w:pPr>
      <w:rPr>
        <w:rFonts w:hint="default"/>
      </w:rPr>
    </w:lvl>
    <w:lvl w:ilvl="5">
      <w:start w:val="0"/>
      <w:numFmt w:val="bullet"/>
      <w:lvlText w:val="•"/>
      <w:lvlJc w:val="left"/>
      <w:pPr>
        <w:ind w:left="7771" w:hanging="287"/>
      </w:pPr>
      <w:rPr>
        <w:rFonts w:hint="default"/>
      </w:rPr>
    </w:lvl>
    <w:lvl w:ilvl="6">
      <w:start w:val="0"/>
      <w:numFmt w:val="bullet"/>
      <w:lvlText w:val="•"/>
      <w:lvlJc w:val="left"/>
      <w:pPr>
        <w:ind w:left="8628" w:hanging="287"/>
      </w:pPr>
      <w:rPr>
        <w:rFonts w:hint="default"/>
      </w:rPr>
    </w:lvl>
    <w:lvl w:ilvl="7">
      <w:start w:val="0"/>
      <w:numFmt w:val="bullet"/>
      <w:lvlText w:val="•"/>
      <w:lvlJc w:val="left"/>
      <w:pPr>
        <w:ind w:left="9486" w:hanging="287"/>
      </w:pPr>
      <w:rPr>
        <w:rFonts w:hint="default"/>
      </w:rPr>
    </w:lvl>
    <w:lvl w:ilvl="8">
      <w:start w:val="0"/>
      <w:numFmt w:val="bullet"/>
      <w:lvlText w:val="•"/>
      <w:lvlJc w:val="left"/>
      <w:pPr>
        <w:ind w:left="10344" w:hanging="287"/>
      </w:pPr>
      <w:rPr>
        <w:rFonts w:hint="default"/>
      </w:rPr>
    </w:lvl>
  </w:abstractNum>
  <w:abstractNum w:abstractNumId="10">
    <w:multiLevelType w:val="hybridMultilevel"/>
    <w:lvl w:ilvl="0">
      <w:start w:val="239"/>
      <w:numFmt w:val="decimal"/>
      <w:lvlText w:val="%1"/>
      <w:lvlJc w:val="left"/>
      <w:pPr>
        <w:ind w:left="1179" w:hanging="350"/>
        <w:jc w:val="left"/>
      </w:pPr>
      <w:rPr>
        <w:rFonts w:hint="default" w:ascii="Times New Roman" w:hAnsi="Times New Roman" w:eastAsia="Times New Roman" w:cs="Times New Roman"/>
        <w:color w:val="747474"/>
        <w:spacing w:val="-1"/>
        <w:w w:val="99"/>
        <w:sz w:val="17"/>
        <w:szCs w:val="17"/>
      </w:rPr>
    </w:lvl>
    <w:lvl w:ilvl="1">
      <w:start w:val="0"/>
      <w:numFmt w:val="bullet"/>
      <w:lvlText w:val="•"/>
      <w:lvlJc w:val="left"/>
      <w:pPr>
        <w:ind w:left="1440" w:hanging="350"/>
      </w:pPr>
      <w:rPr>
        <w:rFonts w:hint="default"/>
      </w:rPr>
    </w:lvl>
    <w:lvl w:ilvl="2">
      <w:start w:val="0"/>
      <w:numFmt w:val="bullet"/>
      <w:lvlText w:val="•"/>
      <w:lvlJc w:val="left"/>
      <w:pPr>
        <w:ind w:left="3000" w:hanging="350"/>
      </w:pPr>
      <w:rPr>
        <w:rFonts w:hint="default"/>
      </w:rPr>
    </w:lvl>
    <w:lvl w:ilvl="3">
      <w:start w:val="0"/>
      <w:numFmt w:val="bullet"/>
      <w:lvlText w:val="•"/>
      <w:lvlJc w:val="left"/>
      <w:pPr>
        <w:ind w:left="4132" w:hanging="350"/>
      </w:pPr>
      <w:rPr>
        <w:rFonts w:hint="default"/>
      </w:rPr>
    </w:lvl>
    <w:lvl w:ilvl="4">
      <w:start w:val="0"/>
      <w:numFmt w:val="bullet"/>
      <w:lvlText w:val="•"/>
      <w:lvlJc w:val="left"/>
      <w:pPr>
        <w:ind w:left="5265" w:hanging="350"/>
      </w:pPr>
      <w:rPr>
        <w:rFonts w:hint="default"/>
      </w:rPr>
    </w:lvl>
    <w:lvl w:ilvl="5">
      <w:start w:val="0"/>
      <w:numFmt w:val="bullet"/>
      <w:lvlText w:val="•"/>
      <w:lvlJc w:val="left"/>
      <w:pPr>
        <w:ind w:left="6397" w:hanging="350"/>
      </w:pPr>
      <w:rPr>
        <w:rFonts w:hint="default"/>
      </w:rPr>
    </w:lvl>
    <w:lvl w:ilvl="6">
      <w:start w:val="0"/>
      <w:numFmt w:val="bullet"/>
      <w:lvlText w:val="•"/>
      <w:lvlJc w:val="left"/>
      <w:pPr>
        <w:ind w:left="7530" w:hanging="350"/>
      </w:pPr>
      <w:rPr>
        <w:rFonts w:hint="default"/>
      </w:rPr>
    </w:lvl>
    <w:lvl w:ilvl="7">
      <w:start w:val="0"/>
      <w:numFmt w:val="bullet"/>
      <w:lvlText w:val="•"/>
      <w:lvlJc w:val="left"/>
      <w:pPr>
        <w:ind w:left="8662" w:hanging="350"/>
      </w:pPr>
      <w:rPr>
        <w:rFonts w:hint="default"/>
      </w:rPr>
    </w:lvl>
    <w:lvl w:ilvl="8">
      <w:start w:val="0"/>
      <w:numFmt w:val="bullet"/>
      <w:lvlText w:val="•"/>
      <w:lvlJc w:val="left"/>
      <w:pPr>
        <w:ind w:left="9795" w:hanging="350"/>
      </w:pPr>
      <w:rPr>
        <w:rFonts w:hint="default"/>
      </w:rPr>
    </w:lvl>
  </w:abstractNum>
  <w:abstractNum w:abstractNumId="9">
    <w:multiLevelType w:val="hybridMultilevel"/>
    <w:lvl w:ilvl="0">
      <w:start w:val="526"/>
      <w:numFmt w:val="decimal"/>
      <w:lvlText w:val="%1"/>
      <w:lvlJc w:val="left"/>
      <w:pPr>
        <w:ind w:left="301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924" w:hanging="275"/>
      </w:pPr>
      <w:rPr>
        <w:rFonts w:hint="default"/>
      </w:rPr>
    </w:lvl>
    <w:lvl w:ilvl="2">
      <w:start w:val="0"/>
      <w:numFmt w:val="bullet"/>
      <w:lvlText w:val="•"/>
      <w:lvlJc w:val="left"/>
      <w:pPr>
        <w:ind w:left="4828" w:hanging="275"/>
      </w:pPr>
      <w:rPr>
        <w:rFonts w:hint="default"/>
      </w:rPr>
    </w:lvl>
    <w:lvl w:ilvl="3">
      <w:start w:val="0"/>
      <w:numFmt w:val="bullet"/>
      <w:lvlText w:val="•"/>
      <w:lvlJc w:val="left"/>
      <w:pPr>
        <w:ind w:left="5732" w:hanging="275"/>
      </w:pPr>
      <w:rPr>
        <w:rFonts w:hint="default"/>
      </w:rPr>
    </w:lvl>
    <w:lvl w:ilvl="4">
      <w:start w:val="0"/>
      <w:numFmt w:val="bullet"/>
      <w:lvlText w:val="•"/>
      <w:lvlJc w:val="left"/>
      <w:pPr>
        <w:ind w:left="6636" w:hanging="275"/>
      </w:pPr>
      <w:rPr>
        <w:rFonts w:hint="default"/>
      </w:rPr>
    </w:lvl>
    <w:lvl w:ilvl="5">
      <w:start w:val="0"/>
      <w:numFmt w:val="bullet"/>
      <w:lvlText w:val="•"/>
      <w:lvlJc w:val="left"/>
      <w:pPr>
        <w:ind w:left="7540" w:hanging="275"/>
      </w:pPr>
      <w:rPr>
        <w:rFonts w:hint="default"/>
      </w:rPr>
    </w:lvl>
    <w:lvl w:ilvl="6">
      <w:start w:val="0"/>
      <w:numFmt w:val="bullet"/>
      <w:lvlText w:val="•"/>
      <w:lvlJc w:val="left"/>
      <w:pPr>
        <w:ind w:left="8444" w:hanging="275"/>
      </w:pPr>
      <w:rPr>
        <w:rFonts w:hint="default"/>
      </w:rPr>
    </w:lvl>
    <w:lvl w:ilvl="7">
      <w:start w:val="0"/>
      <w:numFmt w:val="bullet"/>
      <w:lvlText w:val="•"/>
      <w:lvlJc w:val="left"/>
      <w:pPr>
        <w:ind w:left="9348" w:hanging="275"/>
      </w:pPr>
      <w:rPr>
        <w:rFonts w:hint="default"/>
      </w:rPr>
    </w:lvl>
    <w:lvl w:ilvl="8">
      <w:start w:val="0"/>
      <w:numFmt w:val="bullet"/>
      <w:lvlText w:val="•"/>
      <w:lvlJc w:val="left"/>
      <w:pPr>
        <w:ind w:left="10252" w:hanging="275"/>
      </w:pPr>
      <w:rPr>
        <w:rFonts w:hint="default"/>
      </w:rPr>
    </w:lvl>
  </w:abstractNum>
  <w:abstractNum w:abstractNumId="8">
    <w:multiLevelType w:val="hybridMultilevel"/>
    <w:lvl w:ilvl="0">
      <w:start w:val="516"/>
      <w:numFmt w:val="decimal"/>
      <w:lvlText w:val="%1"/>
      <w:lvlJc w:val="left"/>
      <w:pPr>
        <w:ind w:left="2740" w:hanging="27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672" w:hanging="278"/>
      </w:pPr>
      <w:rPr>
        <w:rFonts w:hint="default"/>
      </w:rPr>
    </w:lvl>
    <w:lvl w:ilvl="2">
      <w:start w:val="0"/>
      <w:numFmt w:val="bullet"/>
      <w:lvlText w:val="•"/>
      <w:lvlJc w:val="left"/>
      <w:pPr>
        <w:ind w:left="4604" w:hanging="278"/>
      </w:pPr>
      <w:rPr>
        <w:rFonts w:hint="default"/>
      </w:rPr>
    </w:lvl>
    <w:lvl w:ilvl="3">
      <w:start w:val="0"/>
      <w:numFmt w:val="bullet"/>
      <w:lvlText w:val="•"/>
      <w:lvlJc w:val="left"/>
      <w:pPr>
        <w:ind w:left="5536" w:hanging="278"/>
      </w:pPr>
      <w:rPr>
        <w:rFonts w:hint="default"/>
      </w:rPr>
    </w:lvl>
    <w:lvl w:ilvl="4">
      <w:start w:val="0"/>
      <w:numFmt w:val="bullet"/>
      <w:lvlText w:val="•"/>
      <w:lvlJc w:val="left"/>
      <w:pPr>
        <w:ind w:left="6468" w:hanging="278"/>
      </w:pPr>
      <w:rPr>
        <w:rFonts w:hint="default"/>
      </w:rPr>
    </w:lvl>
    <w:lvl w:ilvl="5">
      <w:start w:val="0"/>
      <w:numFmt w:val="bullet"/>
      <w:lvlText w:val="•"/>
      <w:lvlJc w:val="left"/>
      <w:pPr>
        <w:ind w:left="7400" w:hanging="278"/>
      </w:pPr>
      <w:rPr>
        <w:rFonts w:hint="default"/>
      </w:rPr>
    </w:lvl>
    <w:lvl w:ilvl="6">
      <w:start w:val="0"/>
      <w:numFmt w:val="bullet"/>
      <w:lvlText w:val="•"/>
      <w:lvlJc w:val="left"/>
      <w:pPr>
        <w:ind w:left="8332" w:hanging="278"/>
      </w:pPr>
      <w:rPr>
        <w:rFonts w:hint="default"/>
      </w:rPr>
    </w:lvl>
    <w:lvl w:ilvl="7">
      <w:start w:val="0"/>
      <w:numFmt w:val="bullet"/>
      <w:lvlText w:val="•"/>
      <w:lvlJc w:val="left"/>
      <w:pPr>
        <w:ind w:left="9264" w:hanging="278"/>
      </w:pPr>
      <w:rPr>
        <w:rFonts w:hint="default"/>
      </w:rPr>
    </w:lvl>
    <w:lvl w:ilvl="8">
      <w:start w:val="0"/>
      <w:numFmt w:val="bullet"/>
      <w:lvlText w:val="•"/>
      <w:lvlJc w:val="left"/>
      <w:pPr>
        <w:ind w:left="10196" w:hanging="278"/>
      </w:pPr>
      <w:rPr>
        <w:rFonts w:hint="default"/>
      </w:rPr>
    </w:lvl>
  </w:abstractNum>
  <w:abstractNum w:abstractNumId="7">
    <w:multiLevelType w:val="hybridMultilevel"/>
    <w:lvl w:ilvl="0">
      <w:start w:val="505"/>
      <w:numFmt w:val="decimal"/>
      <w:lvlText w:val="%1"/>
      <w:lvlJc w:val="left"/>
      <w:pPr>
        <w:ind w:left="2740" w:hanging="249"/>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672" w:hanging="249"/>
      </w:pPr>
      <w:rPr>
        <w:rFonts w:hint="default"/>
      </w:rPr>
    </w:lvl>
    <w:lvl w:ilvl="2">
      <w:start w:val="0"/>
      <w:numFmt w:val="bullet"/>
      <w:lvlText w:val="•"/>
      <w:lvlJc w:val="left"/>
      <w:pPr>
        <w:ind w:left="4604" w:hanging="249"/>
      </w:pPr>
      <w:rPr>
        <w:rFonts w:hint="default"/>
      </w:rPr>
    </w:lvl>
    <w:lvl w:ilvl="3">
      <w:start w:val="0"/>
      <w:numFmt w:val="bullet"/>
      <w:lvlText w:val="•"/>
      <w:lvlJc w:val="left"/>
      <w:pPr>
        <w:ind w:left="5536" w:hanging="249"/>
      </w:pPr>
      <w:rPr>
        <w:rFonts w:hint="default"/>
      </w:rPr>
    </w:lvl>
    <w:lvl w:ilvl="4">
      <w:start w:val="0"/>
      <w:numFmt w:val="bullet"/>
      <w:lvlText w:val="•"/>
      <w:lvlJc w:val="left"/>
      <w:pPr>
        <w:ind w:left="6468" w:hanging="249"/>
      </w:pPr>
      <w:rPr>
        <w:rFonts w:hint="default"/>
      </w:rPr>
    </w:lvl>
    <w:lvl w:ilvl="5">
      <w:start w:val="0"/>
      <w:numFmt w:val="bullet"/>
      <w:lvlText w:val="•"/>
      <w:lvlJc w:val="left"/>
      <w:pPr>
        <w:ind w:left="7400" w:hanging="249"/>
      </w:pPr>
      <w:rPr>
        <w:rFonts w:hint="default"/>
      </w:rPr>
    </w:lvl>
    <w:lvl w:ilvl="6">
      <w:start w:val="0"/>
      <w:numFmt w:val="bullet"/>
      <w:lvlText w:val="•"/>
      <w:lvlJc w:val="left"/>
      <w:pPr>
        <w:ind w:left="8332" w:hanging="249"/>
      </w:pPr>
      <w:rPr>
        <w:rFonts w:hint="default"/>
      </w:rPr>
    </w:lvl>
    <w:lvl w:ilvl="7">
      <w:start w:val="0"/>
      <w:numFmt w:val="bullet"/>
      <w:lvlText w:val="•"/>
      <w:lvlJc w:val="left"/>
      <w:pPr>
        <w:ind w:left="9264" w:hanging="249"/>
      </w:pPr>
      <w:rPr>
        <w:rFonts w:hint="default"/>
      </w:rPr>
    </w:lvl>
    <w:lvl w:ilvl="8">
      <w:start w:val="0"/>
      <w:numFmt w:val="bullet"/>
      <w:lvlText w:val="•"/>
      <w:lvlJc w:val="left"/>
      <w:pPr>
        <w:ind w:left="10196" w:hanging="249"/>
      </w:pPr>
      <w:rPr>
        <w:rFonts w:hint="default"/>
      </w:rPr>
    </w:lvl>
  </w:abstractNum>
  <w:abstractNum w:abstractNumId="6">
    <w:multiLevelType w:val="hybridMultilevel"/>
    <w:lvl w:ilvl="0">
      <w:start w:val="494"/>
      <w:numFmt w:val="decimal"/>
      <w:lvlText w:val="%1"/>
      <w:lvlJc w:val="left"/>
      <w:pPr>
        <w:ind w:left="301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4180" w:hanging="275"/>
      </w:pPr>
      <w:rPr>
        <w:rFonts w:hint="default"/>
      </w:rPr>
    </w:lvl>
    <w:lvl w:ilvl="2">
      <w:start w:val="0"/>
      <w:numFmt w:val="bullet"/>
      <w:lvlText w:val="•"/>
      <w:lvlJc w:val="left"/>
      <w:pPr>
        <w:ind w:left="5055" w:hanging="275"/>
      </w:pPr>
      <w:rPr>
        <w:rFonts w:hint="default"/>
      </w:rPr>
    </w:lvl>
    <w:lvl w:ilvl="3">
      <w:start w:val="0"/>
      <w:numFmt w:val="bullet"/>
      <w:lvlText w:val="•"/>
      <w:lvlJc w:val="left"/>
      <w:pPr>
        <w:ind w:left="5931" w:hanging="275"/>
      </w:pPr>
      <w:rPr>
        <w:rFonts w:hint="default"/>
      </w:rPr>
    </w:lvl>
    <w:lvl w:ilvl="4">
      <w:start w:val="0"/>
      <w:numFmt w:val="bullet"/>
      <w:lvlText w:val="•"/>
      <w:lvlJc w:val="left"/>
      <w:pPr>
        <w:ind w:left="6806" w:hanging="275"/>
      </w:pPr>
      <w:rPr>
        <w:rFonts w:hint="default"/>
      </w:rPr>
    </w:lvl>
    <w:lvl w:ilvl="5">
      <w:start w:val="0"/>
      <w:numFmt w:val="bullet"/>
      <w:lvlText w:val="•"/>
      <w:lvlJc w:val="left"/>
      <w:pPr>
        <w:ind w:left="7682" w:hanging="275"/>
      </w:pPr>
      <w:rPr>
        <w:rFonts w:hint="default"/>
      </w:rPr>
    </w:lvl>
    <w:lvl w:ilvl="6">
      <w:start w:val="0"/>
      <w:numFmt w:val="bullet"/>
      <w:lvlText w:val="•"/>
      <w:lvlJc w:val="left"/>
      <w:pPr>
        <w:ind w:left="8557" w:hanging="275"/>
      </w:pPr>
      <w:rPr>
        <w:rFonts w:hint="default"/>
      </w:rPr>
    </w:lvl>
    <w:lvl w:ilvl="7">
      <w:start w:val="0"/>
      <w:numFmt w:val="bullet"/>
      <w:lvlText w:val="•"/>
      <w:lvlJc w:val="left"/>
      <w:pPr>
        <w:ind w:left="9433" w:hanging="275"/>
      </w:pPr>
      <w:rPr>
        <w:rFonts w:hint="default"/>
      </w:rPr>
    </w:lvl>
    <w:lvl w:ilvl="8">
      <w:start w:val="0"/>
      <w:numFmt w:val="bullet"/>
      <w:lvlText w:val="•"/>
      <w:lvlJc w:val="left"/>
      <w:pPr>
        <w:ind w:left="10308" w:hanging="275"/>
      </w:pPr>
      <w:rPr>
        <w:rFonts w:hint="default"/>
      </w:rPr>
    </w:lvl>
  </w:abstractNum>
  <w:abstractNum w:abstractNumId="5">
    <w:multiLevelType w:val="hybridMultilevel"/>
    <w:lvl w:ilvl="0">
      <w:start w:val="489"/>
      <w:numFmt w:val="decimal"/>
      <w:lvlText w:val="%1"/>
      <w:lvlJc w:val="left"/>
      <w:pPr>
        <w:ind w:left="3001" w:hanging="261"/>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906" w:hanging="261"/>
      </w:pPr>
      <w:rPr>
        <w:rFonts w:hint="default"/>
      </w:rPr>
    </w:lvl>
    <w:lvl w:ilvl="2">
      <w:start w:val="0"/>
      <w:numFmt w:val="bullet"/>
      <w:lvlText w:val="•"/>
      <w:lvlJc w:val="left"/>
      <w:pPr>
        <w:ind w:left="4812" w:hanging="261"/>
      </w:pPr>
      <w:rPr>
        <w:rFonts w:hint="default"/>
      </w:rPr>
    </w:lvl>
    <w:lvl w:ilvl="3">
      <w:start w:val="0"/>
      <w:numFmt w:val="bullet"/>
      <w:lvlText w:val="•"/>
      <w:lvlJc w:val="left"/>
      <w:pPr>
        <w:ind w:left="5718" w:hanging="261"/>
      </w:pPr>
      <w:rPr>
        <w:rFonts w:hint="default"/>
      </w:rPr>
    </w:lvl>
    <w:lvl w:ilvl="4">
      <w:start w:val="0"/>
      <w:numFmt w:val="bullet"/>
      <w:lvlText w:val="•"/>
      <w:lvlJc w:val="left"/>
      <w:pPr>
        <w:ind w:left="6624" w:hanging="261"/>
      </w:pPr>
      <w:rPr>
        <w:rFonts w:hint="default"/>
      </w:rPr>
    </w:lvl>
    <w:lvl w:ilvl="5">
      <w:start w:val="0"/>
      <w:numFmt w:val="bullet"/>
      <w:lvlText w:val="•"/>
      <w:lvlJc w:val="left"/>
      <w:pPr>
        <w:ind w:left="7530" w:hanging="261"/>
      </w:pPr>
      <w:rPr>
        <w:rFonts w:hint="default"/>
      </w:rPr>
    </w:lvl>
    <w:lvl w:ilvl="6">
      <w:start w:val="0"/>
      <w:numFmt w:val="bullet"/>
      <w:lvlText w:val="•"/>
      <w:lvlJc w:val="left"/>
      <w:pPr>
        <w:ind w:left="8436" w:hanging="261"/>
      </w:pPr>
      <w:rPr>
        <w:rFonts w:hint="default"/>
      </w:rPr>
    </w:lvl>
    <w:lvl w:ilvl="7">
      <w:start w:val="0"/>
      <w:numFmt w:val="bullet"/>
      <w:lvlText w:val="•"/>
      <w:lvlJc w:val="left"/>
      <w:pPr>
        <w:ind w:left="9342" w:hanging="261"/>
      </w:pPr>
      <w:rPr>
        <w:rFonts w:hint="default"/>
      </w:rPr>
    </w:lvl>
    <w:lvl w:ilvl="8">
      <w:start w:val="0"/>
      <w:numFmt w:val="bullet"/>
      <w:lvlText w:val="•"/>
      <w:lvlJc w:val="left"/>
      <w:pPr>
        <w:ind w:left="10248" w:hanging="261"/>
      </w:pPr>
      <w:rPr>
        <w:rFonts w:hint="default"/>
      </w:rPr>
    </w:lvl>
  </w:abstractNum>
  <w:abstractNum w:abstractNumId="4">
    <w:multiLevelType w:val="hybridMultilevel"/>
    <w:lvl w:ilvl="0">
      <w:start w:val="471"/>
      <w:numFmt w:val="decimal"/>
      <w:lvlText w:val="%1"/>
      <w:lvlJc w:val="left"/>
      <w:pPr>
        <w:ind w:left="2740" w:hanging="26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3100" w:hanging="268"/>
      </w:pPr>
      <w:rPr>
        <w:rFonts w:hint="default"/>
      </w:rPr>
    </w:lvl>
    <w:lvl w:ilvl="2">
      <w:start w:val="0"/>
      <w:numFmt w:val="bullet"/>
      <w:lvlText w:val="•"/>
      <w:lvlJc w:val="left"/>
      <w:pPr>
        <w:ind w:left="4095" w:hanging="268"/>
      </w:pPr>
      <w:rPr>
        <w:rFonts w:hint="default"/>
      </w:rPr>
    </w:lvl>
    <w:lvl w:ilvl="3">
      <w:start w:val="0"/>
      <w:numFmt w:val="bullet"/>
      <w:lvlText w:val="•"/>
      <w:lvlJc w:val="left"/>
      <w:pPr>
        <w:ind w:left="5091" w:hanging="268"/>
      </w:pPr>
      <w:rPr>
        <w:rFonts w:hint="default"/>
      </w:rPr>
    </w:lvl>
    <w:lvl w:ilvl="4">
      <w:start w:val="0"/>
      <w:numFmt w:val="bullet"/>
      <w:lvlText w:val="•"/>
      <w:lvlJc w:val="left"/>
      <w:pPr>
        <w:ind w:left="6086" w:hanging="268"/>
      </w:pPr>
      <w:rPr>
        <w:rFonts w:hint="default"/>
      </w:rPr>
    </w:lvl>
    <w:lvl w:ilvl="5">
      <w:start w:val="0"/>
      <w:numFmt w:val="bullet"/>
      <w:lvlText w:val="•"/>
      <w:lvlJc w:val="left"/>
      <w:pPr>
        <w:ind w:left="7082" w:hanging="268"/>
      </w:pPr>
      <w:rPr>
        <w:rFonts w:hint="default"/>
      </w:rPr>
    </w:lvl>
    <w:lvl w:ilvl="6">
      <w:start w:val="0"/>
      <w:numFmt w:val="bullet"/>
      <w:lvlText w:val="•"/>
      <w:lvlJc w:val="left"/>
      <w:pPr>
        <w:ind w:left="8077" w:hanging="268"/>
      </w:pPr>
      <w:rPr>
        <w:rFonts w:hint="default"/>
      </w:rPr>
    </w:lvl>
    <w:lvl w:ilvl="7">
      <w:start w:val="0"/>
      <w:numFmt w:val="bullet"/>
      <w:lvlText w:val="•"/>
      <w:lvlJc w:val="left"/>
      <w:pPr>
        <w:ind w:left="9073" w:hanging="268"/>
      </w:pPr>
      <w:rPr>
        <w:rFonts w:hint="default"/>
      </w:rPr>
    </w:lvl>
    <w:lvl w:ilvl="8">
      <w:start w:val="0"/>
      <w:numFmt w:val="bullet"/>
      <w:lvlText w:val="•"/>
      <w:lvlJc w:val="left"/>
      <w:pPr>
        <w:ind w:left="10068" w:hanging="268"/>
      </w:pPr>
      <w:rPr>
        <w:rFonts w:hint="default"/>
      </w:rPr>
    </w:lvl>
  </w:abstractNum>
  <w:abstractNum w:abstractNumId="3">
    <w:multiLevelType w:val="hybridMultilevel"/>
    <w:lvl w:ilvl="0">
      <w:start w:val="20"/>
      <w:numFmt w:val="upperLetter"/>
      <w:lvlText w:val="[%1]"/>
      <w:lvlJc w:val="left"/>
      <w:pPr>
        <w:ind w:left="1300" w:hanging="258"/>
        <w:jc w:val="left"/>
      </w:pPr>
      <w:rPr>
        <w:rFonts w:hint="default" w:ascii="Arial" w:hAnsi="Arial" w:eastAsia="Arial" w:cs="Arial"/>
        <w:spacing w:val="-1"/>
        <w:w w:val="100"/>
        <w:sz w:val="20"/>
        <w:szCs w:val="20"/>
      </w:rPr>
    </w:lvl>
    <w:lvl w:ilvl="1">
      <w:start w:val="1"/>
      <w:numFmt w:val="decimal"/>
      <w:lvlText w:val="[%2]"/>
      <w:lvlJc w:val="left"/>
      <w:pPr>
        <w:ind w:left="1300" w:hanging="306"/>
        <w:jc w:val="left"/>
      </w:pPr>
      <w:rPr>
        <w:rFonts w:hint="default" w:ascii="Arial" w:hAnsi="Arial" w:eastAsia="Arial" w:cs="Arial"/>
        <w:spacing w:val="-1"/>
        <w:w w:val="100"/>
        <w:sz w:val="22"/>
        <w:szCs w:val="22"/>
      </w:rPr>
    </w:lvl>
    <w:lvl w:ilvl="2">
      <w:start w:val="0"/>
      <w:numFmt w:val="bullet"/>
      <w:lvlText w:val="•"/>
      <w:lvlJc w:val="left"/>
      <w:pPr>
        <w:ind w:left="3452" w:hanging="306"/>
      </w:pPr>
      <w:rPr>
        <w:rFonts w:hint="default"/>
      </w:rPr>
    </w:lvl>
    <w:lvl w:ilvl="3">
      <w:start w:val="0"/>
      <w:numFmt w:val="bullet"/>
      <w:lvlText w:val="•"/>
      <w:lvlJc w:val="left"/>
      <w:pPr>
        <w:ind w:left="4528" w:hanging="306"/>
      </w:pPr>
      <w:rPr>
        <w:rFonts w:hint="default"/>
      </w:rPr>
    </w:lvl>
    <w:lvl w:ilvl="4">
      <w:start w:val="0"/>
      <w:numFmt w:val="bullet"/>
      <w:lvlText w:val="•"/>
      <w:lvlJc w:val="left"/>
      <w:pPr>
        <w:ind w:left="5604" w:hanging="306"/>
      </w:pPr>
      <w:rPr>
        <w:rFonts w:hint="default"/>
      </w:rPr>
    </w:lvl>
    <w:lvl w:ilvl="5">
      <w:start w:val="0"/>
      <w:numFmt w:val="bullet"/>
      <w:lvlText w:val="•"/>
      <w:lvlJc w:val="left"/>
      <w:pPr>
        <w:ind w:left="6680" w:hanging="306"/>
      </w:pPr>
      <w:rPr>
        <w:rFonts w:hint="default"/>
      </w:rPr>
    </w:lvl>
    <w:lvl w:ilvl="6">
      <w:start w:val="0"/>
      <w:numFmt w:val="bullet"/>
      <w:lvlText w:val="•"/>
      <w:lvlJc w:val="left"/>
      <w:pPr>
        <w:ind w:left="7756" w:hanging="306"/>
      </w:pPr>
      <w:rPr>
        <w:rFonts w:hint="default"/>
      </w:rPr>
    </w:lvl>
    <w:lvl w:ilvl="7">
      <w:start w:val="0"/>
      <w:numFmt w:val="bullet"/>
      <w:lvlText w:val="•"/>
      <w:lvlJc w:val="left"/>
      <w:pPr>
        <w:ind w:left="8832" w:hanging="306"/>
      </w:pPr>
      <w:rPr>
        <w:rFonts w:hint="default"/>
      </w:rPr>
    </w:lvl>
    <w:lvl w:ilvl="8">
      <w:start w:val="0"/>
      <w:numFmt w:val="bullet"/>
      <w:lvlText w:val="•"/>
      <w:lvlJc w:val="left"/>
      <w:pPr>
        <w:ind w:left="9908" w:hanging="306"/>
      </w:pPr>
      <w:rPr>
        <w:rFonts w:hint="default"/>
      </w:rPr>
    </w:lvl>
  </w:abstractNum>
  <w:abstractNum w:abstractNumId="2">
    <w:multiLevelType w:val="hybridMultilevel"/>
    <w:lvl w:ilvl="0">
      <w:start w:val="446"/>
      <w:numFmt w:val="decimal"/>
      <w:lvlText w:val="%1"/>
      <w:lvlJc w:val="left"/>
      <w:pPr>
        <w:ind w:left="3014" w:hanging="275"/>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3924" w:hanging="275"/>
      </w:pPr>
      <w:rPr>
        <w:rFonts w:hint="default"/>
      </w:rPr>
    </w:lvl>
    <w:lvl w:ilvl="2">
      <w:start w:val="0"/>
      <w:numFmt w:val="bullet"/>
      <w:lvlText w:val="•"/>
      <w:lvlJc w:val="left"/>
      <w:pPr>
        <w:ind w:left="4828" w:hanging="275"/>
      </w:pPr>
      <w:rPr>
        <w:rFonts w:hint="default"/>
      </w:rPr>
    </w:lvl>
    <w:lvl w:ilvl="3">
      <w:start w:val="0"/>
      <w:numFmt w:val="bullet"/>
      <w:lvlText w:val="•"/>
      <w:lvlJc w:val="left"/>
      <w:pPr>
        <w:ind w:left="5732" w:hanging="275"/>
      </w:pPr>
      <w:rPr>
        <w:rFonts w:hint="default"/>
      </w:rPr>
    </w:lvl>
    <w:lvl w:ilvl="4">
      <w:start w:val="0"/>
      <w:numFmt w:val="bullet"/>
      <w:lvlText w:val="•"/>
      <w:lvlJc w:val="left"/>
      <w:pPr>
        <w:ind w:left="6636" w:hanging="275"/>
      </w:pPr>
      <w:rPr>
        <w:rFonts w:hint="default"/>
      </w:rPr>
    </w:lvl>
    <w:lvl w:ilvl="5">
      <w:start w:val="0"/>
      <w:numFmt w:val="bullet"/>
      <w:lvlText w:val="•"/>
      <w:lvlJc w:val="left"/>
      <w:pPr>
        <w:ind w:left="7540" w:hanging="275"/>
      </w:pPr>
      <w:rPr>
        <w:rFonts w:hint="default"/>
      </w:rPr>
    </w:lvl>
    <w:lvl w:ilvl="6">
      <w:start w:val="0"/>
      <w:numFmt w:val="bullet"/>
      <w:lvlText w:val="•"/>
      <w:lvlJc w:val="left"/>
      <w:pPr>
        <w:ind w:left="8444" w:hanging="275"/>
      </w:pPr>
      <w:rPr>
        <w:rFonts w:hint="default"/>
      </w:rPr>
    </w:lvl>
    <w:lvl w:ilvl="7">
      <w:start w:val="0"/>
      <w:numFmt w:val="bullet"/>
      <w:lvlText w:val="•"/>
      <w:lvlJc w:val="left"/>
      <w:pPr>
        <w:ind w:left="9348" w:hanging="275"/>
      </w:pPr>
      <w:rPr>
        <w:rFonts w:hint="default"/>
      </w:rPr>
    </w:lvl>
    <w:lvl w:ilvl="8">
      <w:start w:val="0"/>
      <w:numFmt w:val="bullet"/>
      <w:lvlText w:val="•"/>
      <w:lvlJc w:val="left"/>
      <w:pPr>
        <w:ind w:left="10252" w:hanging="275"/>
      </w:pPr>
      <w:rPr>
        <w:rFonts w:hint="default"/>
      </w:rPr>
    </w:lvl>
  </w:abstractNum>
  <w:abstractNum w:abstractNumId="1">
    <w:multiLevelType w:val="hybridMultilevel"/>
    <w:lvl w:ilvl="0">
      <w:start w:val="1"/>
      <w:numFmt w:val="upperLetter"/>
      <w:lvlText w:val="%1]"/>
      <w:lvlJc w:val="left"/>
      <w:pPr>
        <w:ind w:left="3820" w:hanging="720"/>
        <w:jc w:val="left"/>
      </w:pPr>
      <w:rPr>
        <w:rFonts w:hint="default" w:ascii="Century Gothic" w:hAnsi="Century Gothic" w:eastAsia="Century Gothic" w:cs="Century Gothic"/>
        <w:spacing w:val="0"/>
        <w:w w:val="99"/>
        <w:sz w:val="26"/>
        <w:szCs w:val="26"/>
      </w:rPr>
    </w:lvl>
    <w:lvl w:ilvl="1">
      <w:start w:val="0"/>
      <w:numFmt w:val="bullet"/>
      <w:lvlText w:val="•"/>
      <w:lvlJc w:val="left"/>
      <w:pPr>
        <w:ind w:left="3820" w:hanging="720"/>
      </w:pPr>
      <w:rPr>
        <w:rFonts w:hint="default"/>
      </w:rPr>
    </w:lvl>
    <w:lvl w:ilvl="2">
      <w:start w:val="0"/>
      <w:numFmt w:val="bullet"/>
      <w:lvlText w:val="•"/>
      <w:lvlJc w:val="left"/>
      <w:pPr>
        <w:ind w:left="4735" w:hanging="720"/>
      </w:pPr>
      <w:rPr>
        <w:rFonts w:hint="default"/>
      </w:rPr>
    </w:lvl>
    <w:lvl w:ilvl="3">
      <w:start w:val="0"/>
      <w:numFmt w:val="bullet"/>
      <w:lvlText w:val="•"/>
      <w:lvlJc w:val="left"/>
      <w:pPr>
        <w:ind w:left="5651" w:hanging="720"/>
      </w:pPr>
      <w:rPr>
        <w:rFonts w:hint="default"/>
      </w:rPr>
    </w:lvl>
    <w:lvl w:ilvl="4">
      <w:start w:val="0"/>
      <w:numFmt w:val="bullet"/>
      <w:lvlText w:val="•"/>
      <w:lvlJc w:val="left"/>
      <w:pPr>
        <w:ind w:left="6566" w:hanging="720"/>
      </w:pPr>
      <w:rPr>
        <w:rFonts w:hint="default"/>
      </w:rPr>
    </w:lvl>
    <w:lvl w:ilvl="5">
      <w:start w:val="0"/>
      <w:numFmt w:val="bullet"/>
      <w:lvlText w:val="•"/>
      <w:lvlJc w:val="left"/>
      <w:pPr>
        <w:ind w:left="7482" w:hanging="720"/>
      </w:pPr>
      <w:rPr>
        <w:rFonts w:hint="default"/>
      </w:rPr>
    </w:lvl>
    <w:lvl w:ilvl="6">
      <w:start w:val="0"/>
      <w:numFmt w:val="bullet"/>
      <w:lvlText w:val="•"/>
      <w:lvlJc w:val="left"/>
      <w:pPr>
        <w:ind w:left="8397" w:hanging="720"/>
      </w:pPr>
      <w:rPr>
        <w:rFonts w:hint="default"/>
      </w:rPr>
    </w:lvl>
    <w:lvl w:ilvl="7">
      <w:start w:val="0"/>
      <w:numFmt w:val="bullet"/>
      <w:lvlText w:val="•"/>
      <w:lvlJc w:val="left"/>
      <w:pPr>
        <w:ind w:left="9313" w:hanging="720"/>
      </w:pPr>
      <w:rPr>
        <w:rFonts w:hint="default"/>
      </w:rPr>
    </w:lvl>
    <w:lvl w:ilvl="8">
      <w:start w:val="0"/>
      <w:numFmt w:val="bullet"/>
      <w:lvlText w:val="•"/>
      <w:lvlJc w:val="left"/>
      <w:pPr>
        <w:ind w:left="10228" w:hanging="720"/>
      </w:pPr>
      <w:rPr>
        <w:rFonts w:hint="default"/>
      </w:rPr>
    </w:lvl>
  </w:abstractNum>
  <w:abstractNum w:abstractNumId="0">
    <w:multiLevelType w:val="hybridMultilevel"/>
    <w:lvl w:ilvl="0">
      <w:start w:val="1"/>
      <w:numFmt w:val="upperLetter"/>
      <w:lvlText w:val="%1]"/>
      <w:lvlJc w:val="left"/>
      <w:pPr>
        <w:ind w:left="3421" w:hanging="322"/>
        <w:jc w:val="left"/>
      </w:pPr>
      <w:rPr>
        <w:rFonts w:hint="default" w:ascii="Century Gothic" w:hAnsi="Century Gothic" w:eastAsia="Century Gothic" w:cs="Century Gothic"/>
        <w:spacing w:val="-6"/>
        <w:w w:val="99"/>
        <w:sz w:val="20"/>
        <w:szCs w:val="20"/>
      </w:rPr>
    </w:lvl>
    <w:lvl w:ilvl="1">
      <w:start w:val="0"/>
      <w:numFmt w:val="bullet"/>
      <w:lvlText w:val="•"/>
      <w:lvlJc w:val="left"/>
      <w:pPr>
        <w:ind w:left="4284" w:hanging="322"/>
      </w:pPr>
      <w:rPr>
        <w:rFonts w:hint="default"/>
      </w:rPr>
    </w:lvl>
    <w:lvl w:ilvl="2">
      <w:start w:val="0"/>
      <w:numFmt w:val="bullet"/>
      <w:lvlText w:val="•"/>
      <w:lvlJc w:val="left"/>
      <w:pPr>
        <w:ind w:left="5148" w:hanging="322"/>
      </w:pPr>
      <w:rPr>
        <w:rFonts w:hint="default"/>
      </w:rPr>
    </w:lvl>
    <w:lvl w:ilvl="3">
      <w:start w:val="0"/>
      <w:numFmt w:val="bullet"/>
      <w:lvlText w:val="•"/>
      <w:lvlJc w:val="left"/>
      <w:pPr>
        <w:ind w:left="6012" w:hanging="322"/>
      </w:pPr>
      <w:rPr>
        <w:rFonts w:hint="default"/>
      </w:rPr>
    </w:lvl>
    <w:lvl w:ilvl="4">
      <w:start w:val="0"/>
      <w:numFmt w:val="bullet"/>
      <w:lvlText w:val="•"/>
      <w:lvlJc w:val="left"/>
      <w:pPr>
        <w:ind w:left="6876" w:hanging="322"/>
      </w:pPr>
      <w:rPr>
        <w:rFonts w:hint="default"/>
      </w:rPr>
    </w:lvl>
    <w:lvl w:ilvl="5">
      <w:start w:val="0"/>
      <w:numFmt w:val="bullet"/>
      <w:lvlText w:val="•"/>
      <w:lvlJc w:val="left"/>
      <w:pPr>
        <w:ind w:left="7740" w:hanging="322"/>
      </w:pPr>
      <w:rPr>
        <w:rFonts w:hint="default"/>
      </w:rPr>
    </w:lvl>
    <w:lvl w:ilvl="6">
      <w:start w:val="0"/>
      <w:numFmt w:val="bullet"/>
      <w:lvlText w:val="•"/>
      <w:lvlJc w:val="left"/>
      <w:pPr>
        <w:ind w:left="8604" w:hanging="322"/>
      </w:pPr>
      <w:rPr>
        <w:rFonts w:hint="default"/>
      </w:rPr>
    </w:lvl>
    <w:lvl w:ilvl="7">
      <w:start w:val="0"/>
      <w:numFmt w:val="bullet"/>
      <w:lvlText w:val="•"/>
      <w:lvlJc w:val="left"/>
      <w:pPr>
        <w:ind w:left="9468" w:hanging="322"/>
      </w:pPr>
      <w:rPr>
        <w:rFonts w:hint="default"/>
      </w:rPr>
    </w:lvl>
    <w:lvl w:ilvl="8">
      <w:start w:val="0"/>
      <w:numFmt w:val="bullet"/>
      <w:lvlText w:val="•"/>
      <w:lvlJc w:val="left"/>
      <w:pPr>
        <w:ind w:left="10332" w:hanging="322"/>
      </w:pPr>
      <w:rPr>
        <w:rFonts w:hint="default"/>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6"/>
      <w:szCs w:val="26"/>
    </w:rPr>
  </w:style>
  <w:style w:styleId="ListParagraph" w:type="paragraph">
    <w:name w:val="List Paragraph"/>
    <w:basedOn w:val="Normal"/>
    <w:uiPriority w:val="1"/>
    <w:qFormat/>
    <w:pPr>
      <w:ind w:left="3014" w:hanging="275"/>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image" Target="media/image1.png"/><Relationship Id="rId15" Type="http://schemas.openxmlformats.org/officeDocument/2006/relationships/footer" Target="footer10.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footer" Target="footer11.xml"/><Relationship Id="rId22" Type="http://schemas.openxmlformats.org/officeDocument/2006/relationships/footer" Target="footer12.xml"/><Relationship Id="rId23" Type="http://schemas.openxmlformats.org/officeDocument/2006/relationships/image" Target="media/image7.png"/><Relationship Id="rId24" Type="http://schemas.openxmlformats.org/officeDocument/2006/relationships/footer" Target="footer13.xml"/><Relationship Id="rId25" Type="http://schemas.openxmlformats.org/officeDocument/2006/relationships/image" Target="media/image8.png"/><Relationship Id="rId26" Type="http://schemas.openxmlformats.org/officeDocument/2006/relationships/footer" Target="footer14.xml"/><Relationship Id="rId27" Type="http://schemas.openxmlformats.org/officeDocument/2006/relationships/footer" Target="footer15.xml"/><Relationship Id="rId28" Type="http://schemas.openxmlformats.org/officeDocument/2006/relationships/image" Target="media/image9.png"/><Relationship Id="rId29" Type="http://schemas.openxmlformats.org/officeDocument/2006/relationships/footer" Target="footer16.xml"/><Relationship Id="rId30" Type="http://schemas.openxmlformats.org/officeDocument/2006/relationships/hyperlink" Target="https://casetext.com/case/saba-v-ins-co" TargetMode="External"/><Relationship Id="rId31" Type="http://schemas.openxmlformats.org/officeDocument/2006/relationships/hyperlink" Target="https://casetext.com/case/fire-assn-v-agresta" TargetMode="External"/><Relationship Id="rId32" Type="http://schemas.openxmlformats.org/officeDocument/2006/relationships/hyperlink" Target="https://casetext.com/case/lewis-v-brotherhood-accident-co" TargetMode="External"/><Relationship Id="rId33" Type="http://schemas.openxmlformats.org/officeDocument/2006/relationships/hyperlink" Target="https://casetext.com/case/lewis-v-brotherhood-accident-co#p17" TargetMode="External"/><Relationship Id="rId34" Type="http://schemas.openxmlformats.org/officeDocument/2006/relationships/hyperlink" Target="https://casetext.com/case/williams-v-manufacturing-co-2#p31" TargetMode="External"/><Relationship Id="rId35" Type="http://schemas.openxmlformats.org/officeDocument/2006/relationships/hyperlink" Target="https://casetext.com/case/first-ecclesiastical-soc-v-besse" TargetMode="External"/><Relationship Id="rId36" Type="http://schemas.openxmlformats.org/officeDocument/2006/relationships/hyperlink" Target="https://casetext.com/case/royal-ins-co-v-ries#p283" TargetMode="External"/><Relationship Id="rId37" Type="http://schemas.openxmlformats.org/officeDocument/2006/relationships/hyperlink" Target="https://casetext.com/case/hamilton-v-liverpool-c-ins-co" TargetMode="External"/><Relationship Id="rId38" Type="http://schemas.openxmlformats.org/officeDocument/2006/relationships/hyperlink" Target="https://casetext.com/case/norwich-union-fire-ins-soc-limited-v-cohn" TargetMode="External"/><Relationship Id="rId39" Type="http://schemas.openxmlformats.org/officeDocument/2006/relationships/hyperlink" Target="https://casetext.com/case/second-soc-of-universalists-v-royal-ins-co-ltd" TargetMode="External"/><Relationship Id="rId40" Type="http://schemas.openxmlformats.org/officeDocument/2006/relationships/hyperlink" Target="https://casetext.com/case/red-cross-line-v-atlantic-fruit-co" TargetMode="External"/><Relationship Id="rId41" Type="http://schemas.openxmlformats.org/officeDocument/2006/relationships/hyperlink" Target="https://casetext.com/case/hamilton-v-home-insurance-company" TargetMode="External"/><Relationship Id="rId42" Type="http://schemas.openxmlformats.org/officeDocument/2006/relationships/hyperlink" Target="https://casetext.com/case/the-atlanten" TargetMode="External"/><Relationship Id="rId43" Type="http://schemas.openxmlformats.org/officeDocument/2006/relationships/hyperlink" Target="https://casetext.com/case/goerke-kirch-co-v-goerke-kirch-holding-co" TargetMode="External"/><Relationship Id="rId44" Type="http://schemas.openxmlformats.org/officeDocument/2006/relationships/hyperlink" Target="https://casetext.com/case/grady-v-home-fire-and-marine-ins-co" TargetMode="External"/><Relationship Id="rId45" Type="http://schemas.openxmlformats.org/officeDocument/2006/relationships/hyperlink" Target="https://casetext.com/case/wynne-v-lumber-co" TargetMode="External"/><Relationship Id="rId46" Type="http://schemas.openxmlformats.org/officeDocument/2006/relationships/hyperlink" Target="https://casetext.com/case/union-insurance-co-v-central-trust-co" TargetMode="External"/><Relationship Id="rId47" Type="http://schemas.openxmlformats.org/officeDocument/2006/relationships/hyperlink" Target="https://casetext.com/case/taylor-v-bullock-1" TargetMode="External"/><Relationship Id="rId48" Type="http://schemas.openxmlformats.org/officeDocument/2006/relationships/footer" Target="footer17.xml"/><Relationship Id="rId49" Type="http://schemas.openxmlformats.org/officeDocument/2006/relationships/hyperlink" Target="https://casetext.com/case/glidden-co-v-retail-hardware-mut-fire-ins-co" TargetMode="External"/><Relationship Id="rId50" Type="http://schemas.openxmlformats.org/officeDocument/2006/relationships/hyperlink" Target="https://casetext.com/case/insurance-co-v-glidden-co" TargetMode="External"/><Relationship Id="rId51" Type="http://schemas.openxmlformats.org/officeDocument/2006/relationships/image" Target="media/image11.png"/><Relationship Id="rId52" Type="http://schemas.openxmlformats.org/officeDocument/2006/relationships/image" Target="media/image10.png"/><Relationship Id="rId53" Type="http://schemas.openxmlformats.org/officeDocument/2006/relationships/footer" Target="footer18.xml"/><Relationship Id="rId54" Type="http://schemas.openxmlformats.org/officeDocument/2006/relationships/footer" Target="footer19.xml"/><Relationship Id="rId55" Type="http://schemas.openxmlformats.org/officeDocument/2006/relationships/footer" Target="footer20.xml"/><Relationship Id="rId56" Type="http://schemas.openxmlformats.org/officeDocument/2006/relationships/footer" Target="footer21.xml"/><Relationship Id="rId57" Type="http://schemas.openxmlformats.org/officeDocument/2006/relationships/footer" Target="footer22.xml"/><Relationship Id="rId58" Type="http://schemas.openxmlformats.org/officeDocument/2006/relationships/numbering" Target="numbering.xml"/></Relationships>

</file>

<file path=word/_rels/footer16.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2024-05-06T07:10:48Z</dcterms:created>
  <dcterms:modified xsi:type="dcterms:W3CDTF">2024-05-06T07:10:48Z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Acrobat Pro DC 20.6.20034</vt:lpwstr>
  </property>
  <property fmtid="{D5CDD505-2E9C-101B-9397-08002B2CF9AE}" pid="4" name="LastSaved">
    <vt:filetime>2024-05-06T00:00:00Z</vt:filetime>
  </property>
</Properties>
</file>