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 w:after="1"/>
        <w:rPr>
          <w:rFonts w:ascii="Times New Roman"/>
          <w:sz w:val="14"/>
        </w:rPr>
      </w:pPr>
    </w:p>
    <w:tbl>
      <w:tblPr>
        <w:tblW w:w="0" w:type="auto"/>
        <w:jc w:val="left"/>
        <w:tblInd w:w="14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81"/>
        <w:gridCol w:w="881"/>
      </w:tblGrid>
      <w:tr>
        <w:trPr>
          <w:trHeight w:val="501" w:hRule="atLeast"/>
        </w:trPr>
        <w:tc>
          <w:tcPr>
            <w:tcW w:w="4981" w:type="dxa"/>
          </w:tcPr>
          <w:p>
            <w:pPr>
              <w:pStyle w:val="TableParagraph"/>
              <w:spacing w:line="301" w:lineRule="exact"/>
              <w:ind w:left="2058"/>
              <w:rPr>
                <w:b/>
                <w:sz w:val="30"/>
              </w:rPr>
            </w:pPr>
            <w:bookmarkStart w:name="Law and Procedure 335" w:id="1"/>
            <w:bookmarkEnd w:id="1"/>
            <w:r>
              <w:rPr/>
            </w:r>
            <w:r>
              <w:rPr>
                <w:b/>
                <w:sz w:val="30"/>
              </w:rPr>
              <w:t>CHAPTER VII</w:t>
            </w:r>
          </w:p>
        </w:tc>
        <w:tc>
          <w:tcPr>
            <w:tcW w:w="881" w:type="dxa"/>
            <w:vMerge w:val="restart"/>
          </w:tcPr>
          <w:p>
            <w:pPr>
              <w:pStyle w:val="TableParagraph"/>
              <w:spacing w:line="240" w:lineRule="auto"/>
              <w:ind w:left="0"/>
              <w:rPr>
                <w:rFonts w:ascii="Times New Roman"/>
                <w:sz w:val="22"/>
              </w:rPr>
            </w:pPr>
          </w:p>
        </w:tc>
      </w:tr>
      <w:tr>
        <w:trPr>
          <w:trHeight w:val="530" w:hRule="atLeast"/>
        </w:trPr>
        <w:tc>
          <w:tcPr>
            <w:tcW w:w="4981" w:type="dxa"/>
          </w:tcPr>
          <w:p>
            <w:pPr>
              <w:pStyle w:val="TableParagraph"/>
              <w:spacing w:line="240" w:lineRule="auto" w:before="143"/>
              <w:ind w:left="1960"/>
              <w:rPr>
                <w:b/>
                <w:sz w:val="26"/>
              </w:rPr>
            </w:pPr>
            <w:r>
              <w:rPr>
                <w:b/>
                <w:sz w:val="26"/>
              </w:rPr>
              <w:t>THE APPRAISERS</w:t>
            </w:r>
          </w:p>
        </w:tc>
        <w:tc>
          <w:tcPr>
            <w:tcW w:w="881" w:type="dxa"/>
            <w:vMerge/>
            <w:tcBorders>
              <w:top w:val="nil"/>
            </w:tcBorders>
          </w:tcPr>
          <w:p>
            <w:pPr>
              <w:rPr>
                <w:sz w:val="2"/>
                <w:szCs w:val="2"/>
              </w:rPr>
            </w:pPr>
          </w:p>
        </w:tc>
      </w:tr>
      <w:tr>
        <w:trPr>
          <w:trHeight w:val="423" w:hRule="atLeast"/>
        </w:trPr>
        <w:tc>
          <w:tcPr>
            <w:tcW w:w="4981" w:type="dxa"/>
          </w:tcPr>
          <w:p>
            <w:pPr>
              <w:pStyle w:val="TableParagraph"/>
              <w:spacing w:line="240" w:lineRule="auto"/>
              <w:ind w:left="0"/>
              <w:rPr>
                <w:rFonts w:ascii="Times New Roman"/>
                <w:sz w:val="22"/>
              </w:rPr>
            </w:pPr>
          </w:p>
        </w:tc>
        <w:tc>
          <w:tcPr>
            <w:tcW w:w="881" w:type="dxa"/>
          </w:tcPr>
          <w:p>
            <w:pPr>
              <w:pStyle w:val="TableParagraph"/>
              <w:spacing w:line="240" w:lineRule="auto" w:before="24"/>
              <w:ind w:left="0" w:right="74"/>
              <w:jc w:val="right"/>
              <w:rPr>
                <w:sz w:val="20"/>
              </w:rPr>
            </w:pPr>
            <w:r>
              <w:rPr>
                <w:w w:val="95"/>
                <w:sz w:val="20"/>
              </w:rPr>
              <w:t>Pages</w:t>
            </w:r>
          </w:p>
        </w:tc>
      </w:tr>
      <w:tr>
        <w:trPr>
          <w:trHeight w:val="376" w:hRule="atLeast"/>
        </w:trPr>
        <w:tc>
          <w:tcPr>
            <w:tcW w:w="4981" w:type="dxa"/>
          </w:tcPr>
          <w:p>
            <w:pPr>
              <w:pStyle w:val="TableParagraph"/>
              <w:spacing w:line="240" w:lineRule="auto" w:before="109"/>
              <w:rPr>
                <w:sz w:val="20"/>
              </w:rPr>
            </w:pPr>
            <w:r>
              <w:rPr>
                <w:sz w:val="20"/>
              </w:rPr>
              <w:t>A] Qualifications</w:t>
            </w:r>
          </w:p>
        </w:tc>
        <w:tc>
          <w:tcPr>
            <w:tcW w:w="881" w:type="dxa"/>
          </w:tcPr>
          <w:p>
            <w:pPr>
              <w:pStyle w:val="TableParagraph"/>
              <w:spacing w:line="240" w:lineRule="auto" w:before="109"/>
              <w:ind w:left="383"/>
              <w:rPr>
                <w:sz w:val="20"/>
              </w:rPr>
            </w:pPr>
            <w:r>
              <w:rPr>
                <w:sz w:val="20"/>
              </w:rPr>
              <w:t>374</w:t>
            </w:r>
          </w:p>
        </w:tc>
      </w:tr>
      <w:tr>
        <w:trPr>
          <w:trHeight w:val="244" w:hRule="atLeast"/>
        </w:trPr>
        <w:tc>
          <w:tcPr>
            <w:tcW w:w="4981" w:type="dxa"/>
          </w:tcPr>
          <w:p>
            <w:pPr>
              <w:pStyle w:val="TableParagraph"/>
              <w:rPr>
                <w:sz w:val="20"/>
              </w:rPr>
            </w:pPr>
            <w:r>
              <w:rPr>
                <w:sz w:val="20"/>
              </w:rPr>
              <w:t>B] Disinterested but Permissibly Predisposed</w:t>
            </w:r>
          </w:p>
        </w:tc>
        <w:tc>
          <w:tcPr>
            <w:tcW w:w="881" w:type="dxa"/>
          </w:tcPr>
          <w:p>
            <w:pPr>
              <w:pStyle w:val="TableParagraph"/>
              <w:ind w:left="382"/>
              <w:rPr>
                <w:sz w:val="20"/>
              </w:rPr>
            </w:pPr>
            <w:r>
              <w:rPr>
                <w:sz w:val="20"/>
              </w:rPr>
              <w:t>401</w:t>
            </w:r>
          </w:p>
        </w:tc>
      </w:tr>
      <w:tr>
        <w:trPr>
          <w:trHeight w:val="244" w:hRule="atLeast"/>
        </w:trPr>
        <w:tc>
          <w:tcPr>
            <w:tcW w:w="4981" w:type="dxa"/>
          </w:tcPr>
          <w:p>
            <w:pPr>
              <w:pStyle w:val="TableParagraph"/>
              <w:ind w:left="770"/>
              <w:rPr>
                <w:sz w:val="20"/>
              </w:rPr>
            </w:pPr>
            <w:r>
              <w:rPr>
                <w:sz w:val="20"/>
              </w:rPr>
              <w:t>1. Generally</w:t>
            </w:r>
          </w:p>
        </w:tc>
        <w:tc>
          <w:tcPr>
            <w:tcW w:w="881" w:type="dxa"/>
          </w:tcPr>
          <w:p>
            <w:pPr>
              <w:pStyle w:val="TableParagraph"/>
              <w:ind w:left="384"/>
              <w:rPr>
                <w:sz w:val="20"/>
              </w:rPr>
            </w:pPr>
            <w:r>
              <w:rPr>
                <w:sz w:val="20"/>
              </w:rPr>
              <w:t>401</w:t>
            </w:r>
          </w:p>
        </w:tc>
      </w:tr>
      <w:tr>
        <w:trPr>
          <w:trHeight w:val="244" w:hRule="atLeast"/>
        </w:trPr>
        <w:tc>
          <w:tcPr>
            <w:tcW w:w="4981" w:type="dxa"/>
          </w:tcPr>
          <w:p>
            <w:pPr>
              <w:pStyle w:val="TableParagraph"/>
              <w:ind w:left="770"/>
              <w:rPr>
                <w:sz w:val="20"/>
              </w:rPr>
            </w:pPr>
            <w:r>
              <w:rPr>
                <w:sz w:val="20"/>
              </w:rPr>
              <w:t>2. Public Adjusters</w:t>
            </w:r>
          </w:p>
        </w:tc>
        <w:tc>
          <w:tcPr>
            <w:tcW w:w="881" w:type="dxa"/>
          </w:tcPr>
          <w:p>
            <w:pPr>
              <w:pStyle w:val="TableParagraph"/>
              <w:ind w:left="383"/>
              <w:rPr>
                <w:sz w:val="20"/>
              </w:rPr>
            </w:pPr>
            <w:r>
              <w:rPr>
                <w:sz w:val="20"/>
              </w:rPr>
              <w:t>404</w:t>
            </w:r>
          </w:p>
        </w:tc>
      </w:tr>
      <w:tr>
        <w:trPr>
          <w:trHeight w:val="244" w:hRule="atLeast"/>
        </w:trPr>
        <w:tc>
          <w:tcPr>
            <w:tcW w:w="4981" w:type="dxa"/>
          </w:tcPr>
          <w:p>
            <w:pPr>
              <w:pStyle w:val="TableParagraph"/>
              <w:ind w:left="770"/>
              <w:rPr>
                <w:sz w:val="20"/>
              </w:rPr>
            </w:pPr>
            <w:r>
              <w:rPr>
                <w:sz w:val="20"/>
              </w:rPr>
              <w:t>3. Building Damage Estimators</w:t>
            </w:r>
          </w:p>
        </w:tc>
        <w:tc>
          <w:tcPr>
            <w:tcW w:w="881" w:type="dxa"/>
          </w:tcPr>
          <w:p>
            <w:pPr>
              <w:pStyle w:val="TableParagraph"/>
              <w:ind w:left="384"/>
              <w:rPr>
                <w:sz w:val="20"/>
              </w:rPr>
            </w:pPr>
            <w:r>
              <w:rPr>
                <w:sz w:val="20"/>
              </w:rPr>
              <w:t>411</w:t>
            </w:r>
          </w:p>
        </w:tc>
      </w:tr>
      <w:tr>
        <w:trPr>
          <w:trHeight w:val="244" w:hRule="atLeast"/>
        </w:trPr>
        <w:tc>
          <w:tcPr>
            <w:tcW w:w="4981" w:type="dxa"/>
          </w:tcPr>
          <w:p>
            <w:pPr>
              <w:pStyle w:val="TableParagraph"/>
              <w:rPr>
                <w:sz w:val="20"/>
              </w:rPr>
            </w:pPr>
            <w:r>
              <w:rPr>
                <w:sz w:val="20"/>
              </w:rPr>
              <w:t>C] Fees</w:t>
            </w:r>
          </w:p>
        </w:tc>
        <w:tc>
          <w:tcPr>
            <w:tcW w:w="881" w:type="dxa"/>
          </w:tcPr>
          <w:p>
            <w:pPr>
              <w:pStyle w:val="TableParagraph"/>
              <w:ind w:left="384"/>
              <w:rPr>
                <w:sz w:val="20"/>
              </w:rPr>
            </w:pPr>
            <w:r>
              <w:rPr>
                <w:sz w:val="20"/>
              </w:rPr>
              <w:t>414</w:t>
            </w:r>
          </w:p>
        </w:tc>
      </w:tr>
      <w:tr>
        <w:trPr>
          <w:trHeight w:val="244" w:hRule="atLeast"/>
        </w:trPr>
        <w:tc>
          <w:tcPr>
            <w:tcW w:w="4981" w:type="dxa"/>
          </w:tcPr>
          <w:p>
            <w:pPr>
              <w:pStyle w:val="TableParagraph"/>
              <w:rPr>
                <w:sz w:val="20"/>
              </w:rPr>
            </w:pPr>
            <w:r>
              <w:rPr>
                <w:sz w:val="20"/>
              </w:rPr>
              <w:t>D] Replacement of an Appraiser</w:t>
            </w:r>
          </w:p>
        </w:tc>
        <w:tc>
          <w:tcPr>
            <w:tcW w:w="881" w:type="dxa"/>
          </w:tcPr>
          <w:p>
            <w:pPr>
              <w:pStyle w:val="TableParagraph"/>
              <w:ind w:left="361"/>
              <w:rPr>
                <w:sz w:val="20"/>
              </w:rPr>
            </w:pPr>
            <w:r>
              <w:rPr>
                <w:sz w:val="20"/>
              </w:rPr>
              <w:t>420</w:t>
            </w:r>
          </w:p>
        </w:tc>
      </w:tr>
      <w:tr>
        <w:trPr>
          <w:trHeight w:val="244" w:hRule="atLeast"/>
        </w:trPr>
        <w:tc>
          <w:tcPr>
            <w:tcW w:w="4981" w:type="dxa"/>
          </w:tcPr>
          <w:p>
            <w:pPr>
              <w:pStyle w:val="TableParagraph"/>
              <w:rPr>
                <w:sz w:val="20"/>
              </w:rPr>
            </w:pPr>
            <w:r>
              <w:rPr>
                <w:sz w:val="20"/>
              </w:rPr>
              <w:t>E] Liability of the Appraiser</w:t>
            </w:r>
          </w:p>
        </w:tc>
        <w:tc>
          <w:tcPr>
            <w:tcW w:w="881" w:type="dxa"/>
          </w:tcPr>
          <w:p>
            <w:pPr>
              <w:pStyle w:val="TableParagraph"/>
              <w:ind w:left="384"/>
              <w:rPr>
                <w:sz w:val="20"/>
              </w:rPr>
            </w:pPr>
            <w:r>
              <w:rPr>
                <w:sz w:val="20"/>
              </w:rPr>
              <w:t>421</w:t>
            </w:r>
          </w:p>
        </w:tc>
      </w:tr>
      <w:tr>
        <w:trPr>
          <w:trHeight w:val="659" w:hRule="atLeast"/>
        </w:trPr>
        <w:tc>
          <w:tcPr>
            <w:tcW w:w="4981" w:type="dxa"/>
          </w:tcPr>
          <w:p>
            <w:pPr>
              <w:pStyle w:val="TableParagraph"/>
              <w:rPr>
                <w:sz w:val="20"/>
              </w:rPr>
            </w:pPr>
            <w:r>
              <w:rPr>
                <w:sz w:val="20"/>
              </w:rPr>
              <w:t>F] Expenses for Consultants Hired by</w:t>
            </w:r>
          </w:p>
          <w:p>
            <w:pPr>
              <w:pStyle w:val="TableParagraph"/>
              <w:spacing w:line="245" w:lineRule="exact"/>
              <w:ind w:left="546"/>
              <w:rPr>
                <w:sz w:val="20"/>
              </w:rPr>
            </w:pPr>
            <w:r>
              <w:rPr>
                <w:sz w:val="20"/>
              </w:rPr>
              <w:t>The Appraiser</w:t>
            </w:r>
          </w:p>
        </w:tc>
        <w:tc>
          <w:tcPr>
            <w:tcW w:w="881" w:type="dxa"/>
          </w:tcPr>
          <w:p>
            <w:pPr>
              <w:pStyle w:val="TableParagraph"/>
              <w:spacing w:line="240" w:lineRule="auto" w:before="3"/>
              <w:ind w:left="0"/>
              <w:rPr>
                <w:rFonts w:ascii="Times New Roman"/>
                <w:sz w:val="19"/>
              </w:rPr>
            </w:pPr>
          </w:p>
          <w:p>
            <w:pPr>
              <w:pStyle w:val="TableParagraph"/>
              <w:spacing w:line="240" w:lineRule="auto" w:before="1"/>
              <w:ind w:left="384"/>
              <w:rPr>
                <w:sz w:val="20"/>
              </w:rPr>
            </w:pPr>
            <w:r>
              <w:rPr>
                <w:sz w:val="20"/>
              </w:rPr>
              <w:t>424</w:t>
            </w:r>
          </w:p>
        </w:tc>
      </w:tr>
      <w:tr>
        <w:trPr>
          <w:trHeight w:val="643" w:hRule="atLeast"/>
        </w:trPr>
        <w:tc>
          <w:tcPr>
            <w:tcW w:w="4981" w:type="dxa"/>
          </w:tcPr>
          <w:p>
            <w:pPr>
              <w:pStyle w:val="TableParagraph"/>
              <w:tabs>
                <w:tab w:pos="769" w:val="left" w:leader="none"/>
              </w:tabs>
              <w:spacing w:line="240" w:lineRule="auto" w:before="134"/>
              <w:rPr>
                <w:sz w:val="26"/>
              </w:rPr>
            </w:pPr>
            <w:r>
              <w:rPr>
                <w:spacing w:val="2"/>
                <w:sz w:val="26"/>
              </w:rPr>
              <w:t>A]</w:t>
              <w:tab/>
            </w:r>
            <w:r>
              <w:rPr>
                <w:sz w:val="26"/>
              </w:rPr>
              <w:t>QUALIFICATIONS</w:t>
            </w:r>
          </w:p>
        </w:tc>
        <w:tc>
          <w:tcPr>
            <w:tcW w:w="881" w:type="dxa"/>
          </w:tcPr>
          <w:p>
            <w:pPr>
              <w:pStyle w:val="TableParagraph"/>
              <w:spacing w:line="240" w:lineRule="auto"/>
              <w:ind w:left="0"/>
              <w:rPr>
                <w:rFonts w:ascii="Times New Roman"/>
                <w:sz w:val="22"/>
              </w:rPr>
            </w:pPr>
          </w:p>
        </w:tc>
      </w:tr>
      <w:tr>
        <w:trPr>
          <w:trHeight w:val="482" w:hRule="atLeast"/>
        </w:trPr>
        <w:tc>
          <w:tcPr>
            <w:tcW w:w="4981" w:type="dxa"/>
          </w:tcPr>
          <w:p>
            <w:pPr>
              <w:pStyle w:val="TableParagraph"/>
              <w:tabs>
                <w:tab w:pos="3095" w:val="left" w:leader="none"/>
                <w:tab w:pos="3585" w:val="left" w:leader="none"/>
              </w:tabs>
              <w:spacing w:line="240" w:lineRule="auto" w:before="133"/>
              <w:ind w:left="770"/>
              <w:rPr>
                <w:sz w:val="26"/>
              </w:rPr>
            </w:pPr>
            <w:r>
              <w:rPr>
                <w:sz w:val="26"/>
              </w:rPr>
              <w:t>“Competency,”</w:t>
              <w:tab/>
              <w:t>a</w:t>
              <w:tab/>
              <w:t>common</w:t>
            </w:r>
          </w:p>
        </w:tc>
        <w:tc>
          <w:tcPr>
            <w:tcW w:w="881" w:type="dxa"/>
          </w:tcPr>
          <w:p>
            <w:pPr>
              <w:pStyle w:val="TableParagraph"/>
              <w:spacing w:line="240" w:lineRule="auto" w:before="133"/>
              <w:ind w:left="0" w:right="48"/>
              <w:jc w:val="right"/>
              <w:rPr>
                <w:sz w:val="26"/>
              </w:rPr>
            </w:pPr>
            <w:r>
              <w:rPr>
                <w:sz w:val="26"/>
              </w:rPr>
              <w:t>policy</w:t>
            </w:r>
          </w:p>
        </w:tc>
      </w:tr>
      <w:tr>
        <w:trPr>
          <w:trHeight w:val="290" w:hRule="atLeast"/>
        </w:trPr>
        <w:tc>
          <w:tcPr>
            <w:tcW w:w="4981" w:type="dxa"/>
          </w:tcPr>
          <w:p>
            <w:pPr>
              <w:pStyle w:val="TableParagraph"/>
              <w:tabs>
                <w:tab w:pos="1741" w:val="left" w:leader="none"/>
                <w:tab w:pos="2292" w:val="left" w:leader="none"/>
                <w:tab w:pos="2988" w:val="left" w:leader="none"/>
                <w:tab w:pos="4476" w:val="left" w:leader="none"/>
              </w:tabs>
              <w:spacing w:line="270" w:lineRule="exact"/>
              <w:rPr>
                <w:sz w:val="26"/>
              </w:rPr>
            </w:pPr>
            <w:r>
              <w:rPr>
                <w:sz w:val="26"/>
              </w:rPr>
              <w:t>prerequisite</w:t>
              <w:tab/>
              <w:t>for</w:t>
              <w:tab/>
              <w:t>any</w:t>
              <w:tab/>
              <w:t>appraiser,</w:t>
              <w:tab/>
              <w:t>has</w:t>
            </w:r>
          </w:p>
        </w:tc>
        <w:tc>
          <w:tcPr>
            <w:tcW w:w="881" w:type="dxa"/>
          </w:tcPr>
          <w:p>
            <w:pPr>
              <w:pStyle w:val="TableParagraph"/>
              <w:spacing w:line="270" w:lineRule="exact"/>
              <w:ind w:left="0" w:right="51"/>
              <w:jc w:val="right"/>
              <w:rPr>
                <w:sz w:val="26"/>
              </w:rPr>
            </w:pPr>
            <w:r>
              <w:rPr>
                <w:w w:val="95"/>
                <w:sz w:val="26"/>
              </w:rPr>
              <w:t>been</w:t>
            </w:r>
          </w:p>
        </w:tc>
      </w:tr>
    </w:tbl>
    <w:p>
      <w:pPr>
        <w:pStyle w:val="BodyText"/>
        <w:spacing w:line="242" w:lineRule="auto" w:before="3"/>
        <w:ind w:left="1520" w:right="1519"/>
        <w:jc w:val="both"/>
      </w:pPr>
      <w:r>
        <w:rPr/>
        <w:t>defined</w:t>
      </w:r>
      <w:r>
        <w:rPr>
          <w:spacing w:val="-24"/>
        </w:rPr>
        <w:t> </w:t>
      </w:r>
      <w:r>
        <w:rPr/>
        <w:t>in</w:t>
      </w:r>
      <w:r>
        <w:rPr>
          <w:spacing w:val="-21"/>
        </w:rPr>
        <w:t> </w:t>
      </w:r>
      <w:r>
        <w:rPr/>
        <w:t>this</w:t>
      </w:r>
      <w:r>
        <w:rPr>
          <w:spacing w:val="-21"/>
        </w:rPr>
        <w:t> </w:t>
      </w:r>
      <w:r>
        <w:rPr/>
        <w:t>context</w:t>
      </w:r>
      <w:r>
        <w:rPr>
          <w:spacing w:val="-22"/>
        </w:rPr>
        <w:t> </w:t>
      </w:r>
      <w:r>
        <w:rPr/>
        <w:t>as</w:t>
      </w:r>
      <w:r>
        <w:rPr>
          <w:spacing w:val="-22"/>
        </w:rPr>
        <w:t> </w:t>
      </w:r>
      <w:r>
        <w:rPr/>
        <w:t>an</w:t>
      </w:r>
      <w:r>
        <w:rPr>
          <w:spacing w:val="-21"/>
        </w:rPr>
        <w:t> </w:t>
      </w:r>
      <w:r>
        <w:rPr/>
        <w:t>appraiser</w:t>
      </w:r>
      <w:r>
        <w:rPr>
          <w:spacing w:val="-24"/>
        </w:rPr>
        <w:t> </w:t>
      </w:r>
      <w:r>
        <w:rPr/>
        <w:t>who</w:t>
      </w:r>
      <w:r>
        <w:rPr>
          <w:spacing w:val="-22"/>
        </w:rPr>
        <w:t> </w:t>
      </w:r>
      <w:r>
        <w:rPr/>
        <w:t>has a reasonable basis for reaching an intelligent decision.</w:t>
      </w:r>
      <w:r>
        <w:rPr>
          <w:vertAlign w:val="superscript"/>
        </w:rPr>
        <w:t>712</w:t>
      </w:r>
      <w:r>
        <w:rPr>
          <w:vertAlign w:val="baseline"/>
        </w:rPr>
        <w:t> The competence of the </w:t>
      </w:r>
      <w:r>
        <w:rPr>
          <w:spacing w:val="-5"/>
          <w:vertAlign w:val="baseline"/>
        </w:rPr>
        <w:t>appraiser </w:t>
      </w:r>
      <w:r>
        <w:rPr>
          <w:vertAlign w:val="baseline"/>
        </w:rPr>
        <w:t>is</w:t>
      </w:r>
      <w:r>
        <w:rPr>
          <w:spacing w:val="-21"/>
          <w:vertAlign w:val="baseline"/>
        </w:rPr>
        <w:t> </w:t>
      </w:r>
      <w:r>
        <w:rPr>
          <w:vertAlign w:val="baseline"/>
        </w:rPr>
        <w:t>generally</w:t>
      </w:r>
      <w:r>
        <w:rPr>
          <w:spacing w:val="-23"/>
          <w:vertAlign w:val="baseline"/>
        </w:rPr>
        <w:t> </w:t>
      </w:r>
      <w:r>
        <w:rPr>
          <w:vertAlign w:val="baseline"/>
        </w:rPr>
        <w:t>not</w:t>
      </w:r>
      <w:r>
        <w:rPr>
          <w:spacing w:val="-25"/>
          <w:vertAlign w:val="baseline"/>
        </w:rPr>
        <w:t> </w:t>
      </w:r>
      <w:r>
        <w:rPr>
          <w:vertAlign w:val="baseline"/>
        </w:rPr>
        <w:t>an</w:t>
      </w:r>
      <w:r>
        <w:rPr>
          <w:spacing w:val="-22"/>
          <w:vertAlign w:val="baseline"/>
        </w:rPr>
        <w:t> </w:t>
      </w:r>
      <w:r>
        <w:rPr>
          <w:vertAlign w:val="baseline"/>
        </w:rPr>
        <w:t>issue</w:t>
      </w:r>
      <w:r>
        <w:rPr>
          <w:spacing w:val="-22"/>
          <w:vertAlign w:val="baseline"/>
        </w:rPr>
        <w:t> </w:t>
      </w:r>
      <w:r>
        <w:rPr>
          <w:vertAlign w:val="baseline"/>
        </w:rPr>
        <w:t>or</w:t>
      </w:r>
      <w:r>
        <w:rPr>
          <w:spacing w:val="-24"/>
          <w:vertAlign w:val="baseline"/>
        </w:rPr>
        <w:t> </w:t>
      </w:r>
      <w:r>
        <w:rPr>
          <w:vertAlign w:val="baseline"/>
        </w:rPr>
        <w:t>subject</w:t>
      </w:r>
      <w:r>
        <w:rPr>
          <w:spacing w:val="-22"/>
          <w:vertAlign w:val="baseline"/>
        </w:rPr>
        <w:t> </w:t>
      </w:r>
      <w:r>
        <w:rPr>
          <w:vertAlign w:val="baseline"/>
        </w:rPr>
        <w:t>of</w:t>
      </w:r>
      <w:r>
        <w:rPr>
          <w:spacing w:val="-20"/>
          <w:vertAlign w:val="baseline"/>
        </w:rPr>
        <w:t> </w:t>
      </w:r>
      <w:r>
        <w:rPr>
          <w:vertAlign w:val="baseline"/>
        </w:rPr>
        <w:t>challenge as it is patent that a party to the policy will endeavor not to select an incompetent</w:t>
      </w:r>
      <w:r>
        <w:rPr>
          <w:spacing w:val="53"/>
          <w:vertAlign w:val="baseline"/>
        </w:rPr>
        <w:t> </w:t>
      </w:r>
      <w:r>
        <w:rPr>
          <w:vertAlign w:val="baseline"/>
        </w:rPr>
        <w:t>to represent his interests. To the extent that a party</w:t>
      </w:r>
      <w:r>
        <w:rPr>
          <w:spacing w:val="-31"/>
          <w:vertAlign w:val="baseline"/>
        </w:rPr>
        <w:t> </w:t>
      </w:r>
      <w:r>
        <w:rPr>
          <w:vertAlign w:val="baseline"/>
        </w:rPr>
        <w:t>hires</w:t>
      </w:r>
      <w:r>
        <w:rPr>
          <w:spacing w:val="-30"/>
          <w:vertAlign w:val="baseline"/>
        </w:rPr>
        <w:t> </w:t>
      </w:r>
      <w:r>
        <w:rPr>
          <w:vertAlign w:val="baseline"/>
        </w:rPr>
        <w:t>one</w:t>
      </w:r>
      <w:r>
        <w:rPr>
          <w:spacing w:val="-26"/>
          <w:vertAlign w:val="baseline"/>
        </w:rPr>
        <w:t> </w:t>
      </w:r>
      <w:r>
        <w:rPr>
          <w:vertAlign w:val="baseline"/>
        </w:rPr>
        <w:t>not</w:t>
      </w:r>
      <w:r>
        <w:rPr>
          <w:spacing w:val="-27"/>
          <w:vertAlign w:val="baseline"/>
        </w:rPr>
        <w:t> </w:t>
      </w:r>
      <w:r>
        <w:rPr>
          <w:vertAlign w:val="baseline"/>
        </w:rPr>
        <w:t>“competent,”</w:t>
      </w:r>
      <w:r>
        <w:rPr>
          <w:spacing w:val="-28"/>
          <w:vertAlign w:val="baseline"/>
        </w:rPr>
        <w:t> </w:t>
      </w:r>
      <w:r>
        <w:rPr>
          <w:vertAlign w:val="baseline"/>
        </w:rPr>
        <w:t>that</w:t>
      </w:r>
      <w:r>
        <w:rPr>
          <w:spacing w:val="-28"/>
          <w:vertAlign w:val="baseline"/>
        </w:rPr>
        <w:t> </w:t>
      </w:r>
      <w:r>
        <w:rPr>
          <w:vertAlign w:val="baseline"/>
        </w:rPr>
        <w:t>party</w:t>
      </w:r>
      <w:r>
        <w:rPr>
          <w:spacing w:val="-29"/>
          <w:vertAlign w:val="baseline"/>
        </w:rPr>
        <w:t> </w:t>
      </w:r>
      <w:r>
        <w:rPr>
          <w:vertAlign w:val="baseline"/>
        </w:rPr>
        <w:t>will bear</w:t>
      </w:r>
      <w:r>
        <w:rPr>
          <w:spacing w:val="-36"/>
          <w:vertAlign w:val="baseline"/>
        </w:rPr>
        <w:t> </w:t>
      </w:r>
      <w:r>
        <w:rPr>
          <w:vertAlign w:val="baseline"/>
        </w:rPr>
        <w:t>the</w:t>
      </w:r>
      <w:r>
        <w:rPr>
          <w:spacing w:val="-35"/>
          <w:vertAlign w:val="baseline"/>
        </w:rPr>
        <w:t> </w:t>
      </w:r>
      <w:r>
        <w:rPr>
          <w:vertAlign w:val="baseline"/>
        </w:rPr>
        <w:t>consequences</w:t>
      </w:r>
      <w:r>
        <w:rPr>
          <w:spacing w:val="-36"/>
          <w:vertAlign w:val="baseline"/>
        </w:rPr>
        <w:t> </w:t>
      </w:r>
      <w:r>
        <w:rPr>
          <w:spacing w:val="-4"/>
          <w:vertAlign w:val="baseline"/>
        </w:rPr>
        <w:t>when</w:t>
      </w:r>
      <w:r>
        <w:rPr>
          <w:spacing w:val="-37"/>
          <w:vertAlign w:val="baseline"/>
        </w:rPr>
        <w:t> </w:t>
      </w:r>
      <w:r>
        <w:rPr>
          <w:spacing w:val="-3"/>
          <w:vertAlign w:val="baseline"/>
        </w:rPr>
        <w:t>the</w:t>
      </w:r>
      <w:r>
        <w:rPr>
          <w:spacing w:val="-37"/>
          <w:vertAlign w:val="baseline"/>
        </w:rPr>
        <w:t> </w:t>
      </w:r>
      <w:r>
        <w:rPr>
          <w:vertAlign w:val="baseline"/>
        </w:rPr>
        <w:t>opinions</w:t>
      </w:r>
      <w:r>
        <w:rPr>
          <w:spacing w:val="-36"/>
          <w:vertAlign w:val="baseline"/>
        </w:rPr>
        <w:t> </w:t>
      </w:r>
      <w:r>
        <w:rPr>
          <w:vertAlign w:val="baseline"/>
        </w:rPr>
        <w:t>and arguments of the appraiser are</w:t>
      </w:r>
      <w:r>
        <w:rPr>
          <w:spacing w:val="-14"/>
          <w:vertAlign w:val="baseline"/>
        </w:rPr>
        <w:t> </w:t>
      </w:r>
      <w:r>
        <w:rPr>
          <w:vertAlign w:val="baseline"/>
        </w:rPr>
        <w:t>weighted.</w:t>
      </w:r>
    </w:p>
    <w:p>
      <w:pPr>
        <w:pStyle w:val="BodyText"/>
        <w:spacing w:before="12"/>
        <w:rPr>
          <w:sz w:val="25"/>
        </w:rPr>
      </w:pPr>
    </w:p>
    <w:p>
      <w:pPr>
        <w:pStyle w:val="BodyText"/>
        <w:spacing w:line="242" w:lineRule="auto"/>
        <w:ind w:left="1520" w:right="1510" w:firstLine="720"/>
      </w:pPr>
      <w:r>
        <w:rPr/>
        <w:t>Different</w:t>
      </w:r>
      <w:r>
        <w:rPr>
          <w:spacing w:val="-28"/>
        </w:rPr>
        <w:t> </w:t>
      </w:r>
      <w:r>
        <w:rPr/>
        <w:t>formulations</w:t>
      </w:r>
      <w:r>
        <w:rPr>
          <w:spacing w:val="-28"/>
        </w:rPr>
        <w:t> </w:t>
      </w:r>
      <w:r>
        <w:rPr/>
        <w:t>of</w:t>
      </w:r>
      <w:r>
        <w:rPr>
          <w:spacing w:val="-28"/>
        </w:rPr>
        <w:t> </w:t>
      </w:r>
      <w:r>
        <w:rPr/>
        <w:t>policy</w:t>
      </w:r>
      <w:r>
        <w:rPr>
          <w:spacing w:val="-32"/>
        </w:rPr>
        <w:t> </w:t>
      </w:r>
      <w:r>
        <w:rPr/>
        <w:t>language present a common theme with minor</w:t>
      </w:r>
      <w:r>
        <w:rPr>
          <w:spacing w:val="64"/>
        </w:rPr>
        <w:t> </w:t>
      </w:r>
      <w:r>
        <w:rPr/>
        <w:t>twists.</w:t>
      </w:r>
    </w:p>
    <w:p>
      <w:pPr>
        <w:pStyle w:val="BodyText"/>
        <w:spacing w:before="11"/>
        <w:rPr>
          <w:sz w:val="15"/>
        </w:rPr>
      </w:pPr>
      <w:r>
        <w:rPr/>
        <w:pict>
          <v:shape style="position:absolute;margin-left:162pt;margin-top:12.149956pt;width:143.9pt;height:.1pt;mso-position-horizontal-relative:page;mso-position-vertical-relative:paragraph;z-index:-251658240;mso-wrap-distance-left:0;mso-wrap-distance-right:0" coordorigin="3240,243" coordsize="2878,0" path="m3240,243l6118,243e" filled="false" stroked="true" strokeweight=".84pt" strokecolor="#000000">
            <v:path arrowok="t"/>
            <v:stroke dashstyle="solid"/>
            <w10:wrap type="topAndBottom"/>
          </v:shape>
        </w:pict>
      </w:r>
    </w:p>
    <w:p>
      <w:pPr>
        <w:pStyle w:val="ListParagraph"/>
        <w:numPr>
          <w:ilvl w:val="0"/>
          <w:numId w:val="1"/>
        </w:numPr>
        <w:tabs>
          <w:tab w:pos="1421" w:val="left" w:leader="none"/>
        </w:tabs>
        <w:spacing w:line="240" w:lineRule="auto" w:before="149" w:after="0"/>
        <w:ind w:left="1421" w:right="401" w:hanging="1421"/>
        <w:jc w:val="left"/>
        <w:rPr>
          <w:sz w:val="18"/>
        </w:rPr>
      </w:pPr>
      <w:r>
        <w:rPr>
          <w:sz w:val="18"/>
          <w:u w:val="single"/>
        </w:rPr>
        <w:t>American Union Ins. Co. v. Stull Bros. Co</w:t>
      </w:r>
      <w:r>
        <w:rPr>
          <w:sz w:val="18"/>
        </w:rPr>
        <w:t>., 126 N.J. Eq. 64, 7 A.2d 866</w:t>
      </w:r>
      <w:r>
        <w:rPr>
          <w:spacing w:val="10"/>
          <w:sz w:val="18"/>
        </w:rPr>
        <w:t> </w:t>
      </w:r>
      <w:r>
        <w:rPr>
          <w:sz w:val="18"/>
        </w:rPr>
        <w:t>(1939).</w:t>
      </w:r>
    </w:p>
    <w:p>
      <w:pPr>
        <w:spacing w:after="0" w:line="240" w:lineRule="auto"/>
        <w:jc w:val="left"/>
        <w:rPr>
          <w:sz w:val="18"/>
        </w:rPr>
        <w:sectPr>
          <w:footerReference w:type="default" r:id="rId5"/>
          <w:type w:val="continuous"/>
          <w:pgSz w:w="12240" w:h="15840"/>
          <w:pgMar w:footer="2273" w:top="1500" w:bottom="2460" w:left="1720" w:right="1720"/>
          <w:pgNumType w:start="374"/>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8"/>
        <w:jc w:val="both"/>
      </w:pPr>
      <w:bookmarkStart w:name="Law and Procedure 336" w:id="2"/>
      <w:bookmarkEnd w:id="2"/>
      <w:r>
        <w:rPr/>
      </w:r>
      <w:r>
        <w:rPr/>
        <w:t>Some formulations contain the word “competent” as found in many HO 3 homeowner forms. Other formulations include “competent and disinterested,” “competent and impartial,” as well as “competent and independent.”</w:t>
      </w:r>
    </w:p>
    <w:p>
      <w:pPr>
        <w:pStyle w:val="BodyText"/>
      </w:pPr>
    </w:p>
    <w:p>
      <w:pPr>
        <w:pStyle w:val="BodyText"/>
        <w:spacing w:line="242" w:lineRule="auto"/>
        <w:ind w:left="1520" w:right="1517" w:firstLine="720"/>
        <w:jc w:val="both"/>
      </w:pPr>
      <w:r>
        <w:rPr/>
        <w:t>While it is generally accepted that the appraiser appointed must be competent</w:t>
      </w:r>
      <w:r>
        <w:rPr>
          <w:spacing w:val="-29"/>
        </w:rPr>
        <w:t> </w:t>
      </w:r>
      <w:r>
        <w:rPr/>
        <w:t>and disinterested,</w:t>
      </w:r>
      <w:r>
        <w:rPr>
          <w:vertAlign w:val="superscript"/>
        </w:rPr>
        <w:t>713</w:t>
      </w:r>
      <w:r>
        <w:rPr>
          <w:vertAlign w:val="baseline"/>
        </w:rPr>
        <w:t> an appraiser in other losses, </w:t>
      </w:r>
      <w:r>
        <w:rPr>
          <w:spacing w:val="-23"/>
          <w:vertAlign w:val="superscript"/>
        </w:rPr>
        <w:t>714</w:t>
      </w:r>
      <w:r>
        <w:rPr>
          <w:spacing w:val="-23"/>
          <w:vertAlign w:val="baseline"/>
        </w:rPr>
        <w:t> </w:t>
      </w:r>
      <w:r>
        <w:rPr>
          <w:vertAlign w:val="baseline"/>
        </w:rPr>
        <w:t>or an appraiser who has been a public adjuster,</w:t>
      </w:r>
      <w:r>
        <w:rPr>
          <w:vertAlign w:val="superscript"/>
        </w:rPr>
        <w:t>715</w:t>
      </w:r>
      <w:r>
        <w:rPr>
          <w:vertAlign w:val="baseline"/>
        </w:rPr>
        <w:t> or an appraiser who has </w:t>
      </w:r>
      <w:r>
        <w:rPr>
          <w:spacing w:val="-9"/>
          <w:vertAlign w:val="baseline"/>
        </w:rPr>
        <w:t>been </w:t>
      </w:r>
      <w:r>
        <w:rPr>
          <w:vertAlign w:val="baseline"/>
        </w:rPr>
        <w:t>employed</w:t>
      </w:r>
      <w:r>
        <w:rPr>
          <w:spacing w:val="-30"/>
          <w:vertAlign w:val="baseline"/>
        </w:rPr>
        <w:t> </w:t>
      </w:r>
      <w:r>
        <w:rPr>
          <w:vertAlign w:val="baseline"/>
        </w:rPr>
        <w:t>by</w:t>
      </w:r>
      <w:r>
        <w:rPr>
          <w:spacing w:val="-28"/>
          <w:vertAlign w:val="baseline"/>
        </w:rPr>
        <w:t> </w:t>
      </w:r>
      <w:r>
        <w:rPr>
          <w:vertAlign w:val="baseline"/>
        </w:rPr>
        <w:t>the</w:t>
      </w:r>
      <w:r>
        <w:rPr>
          <w:spacing w:val="-27"/>
          <w:vertAlign w:val="baseline"/>
        </w:rPr>
        <w:t> </w:t>
      </w:r>
      <w:r>
        <w:rPr>
          <w:vertAlign w:val="baseline"/>
        </w:rPr>
        <w:t>same</w:t>
      </w:r>
      <w:r>
        <w:rPr>
          <w:spacing w:val="-27"/>
          <w:vertAlign w:val="baseline"/>
        </w:rPr>
        <w:t> </w:t>
      </w:r>
      <w:r>
        <w:rPr>
          <w:vertAlign w:val="baseline"/>
        </w:rPr>
        <w:t>carrier</w:t>
      </w:r>
      <w:r>
        <w:rPr>
          <w:spacing w:val="-31"/>
          <w:vertAlign w:val="baseline"/>
        </w:rPr>
        <w:t> </w:t>
      </w:r>
      <w:r>
        <w:rPr>
          <w:vertAlign w:val="baseline"/>
        </w:rPr>
        <w:t>to</w:t>
      </w:r>
      <w:r>
        <w:rPr>
          <w:spacing w:val="-28"/>
          <w:vertAlign w:val="baseline"/>
        </w:rPr>
        <w:t> </w:t>
      </w:r>
      <w:r>
        <w:rPr>
          <w:vertAlign w:val="baseline"/>
        </w:rPr>
        <w:t>appraise</w:t>
      </w:r>
      <w:r>
        <w:rPr>
          <w:spacing w:val="-30"/>
          <w:vertAlign w:val="baseline"/>
        </w:rPr>
        <w:t> </w:t>
      </w:r>
      <w:r>
        <w:rPr>
          <w:vertAlign w:val="baseline"/>
        </w:rPr>
        <w:t>prior losses have all been held to be qualified.</w:t>
      </w:r>
      <w:r>
        <w:rPr>
          <w:vertAlign w:val="superscript"/>
        </w:rPr>
        <w:t>716</w:t>
      </w:r>
      <w:r>
        <w:rPr>
          <w:vertAlign w:val="baseline"/>
        </w:rPr>
        <w:t> </w:t>
      </w:r>
      <w:r>
        <w:rPr>
          <w:spacing w:val="-17"/>
          <w:vertAlign w:val="baseline"/>
        </w:rPr>
        <w:t>As </w:t>
      </w:r>
      <w:r>
        <w:rPr>
          <w:vertAlign w:val="baseline"/>
        </w:rPr>
        <w:t>long as there is no evidence that the appraiser's actions are performed in a dishonest manner or with a lack of integrity or where he or she has acted improperly in making an award, or has an interest in the result, the appraiser generally will be deemed competent.</w:t>
      </w:r>
      <w:r>
        <w:rPr>
          <w:vertAlign w:val="superscript"/>
        </w:rPr>
        <w:t>717</w:t>
      </w:r>
    </w:p>
    <w:p>
      <w:pPr>
        <w:pStyle w:val="BodyText"/>
        <w:spacing w:before="10"/>
        <w:rPr>
          <w:sz w:val="25"/>
        </w:rPr>
      </w:pPr>
    </w:p>
    <w:p>
      <w:pPr>
        <w:pStyle w:val="BodyText"/>
        <w:spacing w:line="242" w:lineRule="auto"/>
        <w:ind w:left="1520" w:right="1521" w:firstLine="720"/>
        <w:jc w:val="both"/>
      </w:pPr>
      <w:r>
        <w:rPr/>
        <w:t>Appraisers</w:t>
      </w:r>
      <w:r>
        <w:rPr>
          <w:spacing w:val="-12"/>
        </w:rPr>
        <w:t> </w:t>
      </w:r>
      <w:r>
        <w:rPr/>
        <w:t>need</w:t>
      </w:r>
      <w:r>
        <w:rPr>
          <w:spacing w:val="-13"/>
        </w:rPr>
        <w:t> </w:t>
      </w:r>
      <w:r>
        <w:rPr/>
        <w:t>not</w:t>
      </w:r>
      <w:r>
        <w:rPr>
          <w:spacing w:val="-10"/>
        </w:rPr>
        <w:t> </w:t>
      </w:r>
      <w:r>
        <w:rPr/>
        <w:t>be</w:t>
      </w:r>
      <w:r>
        <w:rPr>
          <w:spacing w:val="-9"/>
        </w:rPr>
        <w:t> </w:t>
      </w:r>
      <w:r>
        <w:rPr/>
        <w:t>experts</w:t>
      </w:r>
      <w:r>
        <w:rPr>
          <w:spacing w:val="-9"/>
        </w:rPr>
        <w:t> </w:t>
      </w:r>
      <w:r>
        <w:rPr/>
        <w:t>as</w:t>
      </w:r>
      <w:r>
        <w:rPr>
          <w:spacing w:val="-9"/>
        </w:rPr>
        <w:t> </w:t>
      </w:r>
      <w:r>
        <w:rPr/>
        <w:t>to</w:t>
      </w:r>
      <w:r>
        <w:rPr>
          <w:spacing w:val="-9"/>
        </w:rPr>
        <w:t> </w:t>
      </w:r>
      <w:r>
        <w:rPr>
          <w:spacing w:val="-5"/>
        </w:rPr>
        <w:t>the </w:t>
      </w:r>
      <w:r>
        <w:rPr/>
        <w:t>type</w:t>
      </w:r>
      <w:r>
        <w:rPr>
          <w:spacing w:val="-34"/>
        </w:rPr>
        <w:t> </w:t>
      </w:r>
      <w:r>
        <w:rPr/>
        <w:t>of</w:t>
      </w:r>
      <w:r>
        <w:rPr>
          <w:spacing w:val="-33"/>
        </w:rPr>
        <w:t> </w:t>
      </w:r>
      <w:r>
        <w:rPr/>
        <w:t>property</w:t>
      </w:r>
      <w:r>
        <w:rPr>
          <w:spacing w:val="-35"/>
        </w:rPr>
        <w:t> </w:t>
      </w:r>
      <w:r>
        <w:rPr/>
        <w:t>being</w:t>
      </w:r>
      <w:r>
        <w:rPr>
          <w:spacing w:val="-33"/>
        </w:rPr>
        <w:t> </w:t>
      </w:r>
      <w:r>
        <w:rPr/>
        <w:t>evaluated</w:t>
      </w:r>
      <w:r>
        <w:rPr>
          <w:spacing w:val="-35"/>
        </w:rPr>
        <w:t> </w:t>
      </w:r>
      <w:r>
        <w:rPr/>
        <w:t>but</w:t>
      </w:r>
      <w:r>
        <w:rPr>
          <w:spacing w:val="-34"/>
        </w:rPr>
        <w:t> </w:t>
      </w:r>
      <w:r>
        <w:rPr/>
        <w:t>must</w:t>
      </w:r>
      <w:r>
        <w:rPr>
          <w:spacing w:val="-35"/>
        </w:rPr>
        <w:t> </w:t>
      </w:r>
      <w:r>
        <w:rPr/>
        <w:t>only</w:t>
      </w:r>
    </w:p>
    <w:p>
      <w:pPr>
        <w:pStyle w:val="BodyText"/>
        <w:spacing w:before="11"/>
        <w:rPr>
          <w:sz w:val="23"/>
        </w:rPr>
      </w:pPr>
      <w:r>
        <w:rPr/>
        <w:pict>
          <v:shape style="position:absolute;margin-left:162pt;margin-top:17.080460pt;width:143.9pt;height:.1pt;mso-position-horizontal-relative:page;mso-position-vertical-relative:paragraph;z-index:-251657216;mso-wrap-distance-left:0;mso-wrap-distance-right:0" coordorigin="3240,342" coordsize="2878,0" path="m3240,342l6118,342e" filled="false" stroked="true" strokeweight=".84pt" strokecolor="#000000">
            <v:path arrowok="t"/>
            <v:stroke dashstyle="solid"/>
            <w10:wrap type="topAndBottom"/>
          </v:shape>
        </w:pict>
      </w:r>
    </w:p>
    <w:p>
      <w:pPr>
        <w:pStyle w:val="ListParagraph"/>
        <w:numPr>
          <w:ilvl w:val="0"/>
          <w:numId w:val="1"/>
        </w:numPr>
        <w:tabs>
          <w:tab w:pos="1440" w:val="left" w:leader="none"/>
        </w:tabs>
        <w:spacing w:line="244" w:lineRule="auto" w:before="140" w:after="0"/>
        <w:ind w:left="1160" w:right="1166" w:firstLine="0"/>
        <w:jc w:val="left"/>
        <w:rPr>
          <w:sz w:val="18"/>
        </w:rPr>
      </w:pPr>
      <w:r>
        <w:rPr>
          <w:sz w:val="18"/>
        </w:rPr>
        <w:t>N.Y. Ins. Law §3404 (Lines 123-140 of the Standard Fire Policy); 44 </w:t>
      </w:r>
      <w:r>
        <w:rPr>
          <w:spacing w:val="-3"/>
          <w:sz w:val="18"/>
        </w:rPr>
        <w:t>Am. </w:t>
      </w:r>
      <w:r>
        <w:rPr>
          <w:sz w:val="18"/>
        </w:rPr>
        <w:t>Jur.2d</w:t>
      </w:r>
      <w:r>
        <w:rPr>
          <w:sz w:val="18"/>
          <w:u w:val="single"/>
        </w:rPr>
        <w:t> Insurance</w:t>
      </w:r>
      <w:r>
        <w:rPr>
          <w:sz w:val="18"/>
        </w:rPr>
        <w:t> §1688</w:t>
      </w:r>
      <w:r>
        <w:rPr>
          <w:spacing w:val="1"/>
          <w:sz w:val="18"/>
        </w:rPr>
        <w:t> </w:t>
      </w:r>
      <w:r>
        <w:rPr>
          <w:sz w:val="18"/>
        </w:rPr>
        <w:t>(1982).</w:t>
      </w:r>
    </w:p>
    <w:p>
      <w:pPr>
        <w:pStyle w:val="ListParagraph"/>
        <w:numPr>
          <w:ilvl w:val="0"/>
          <w:numId w:val="1"/>
        </w:numPr>
        <w:tabs>
          <w:tab w:pos="1411" w:val="left" w:leader="none"/>
        </w:tabs>
        <w:spacing w:line="207" w:lineRule="exact" w:before="0" w:after="0"/>
        <w:ind w:left="1410" w:right="0" w:hanging="251"/>
        <w:jc w:val="left"/>
        <w:rPr>
          <w:sz w:val="18"/>
        </w:rPr>
      </w:pPr>
      <w:r>
        <w:rPr>
          <w:sz w:val="18"/>
          <w:u w:val="single"/>
        </w:rPr>
        <w:t>Continental Ins. Co. v. Vallandingham &amp; Gentry</w:t>
      </w:r>
      <w:r>
        <w:rPr>
          <w:sz w:val="18"/>
        </w:rPr>
        <w:t>, 116 Ky. 287, 76 S.W. 22</w:t>
      </w:r>
      <w:r>
        <w:rPr>
          <w:spacing w:val="2"/>
          <w:sz w:val="18"/>
        </w:rPr>
        <w:t> </w:t>
      </w:r>
      <w:r>
        <w:rPr>
          <w:sz w:val="18"/>
        </w:rPr>
        <w:t>(1903);</w:t>
      </w:r>
    </w:p>
    <w:p>
      <w:pPr>
        <w:spacing w:before="4"/>
        <w:ind w:left="1160" w:right="0" w:firstLine="0"/>
        <w:jc w:val="left"/>
        <w:rPr>
          <w:rFonts w:ascii="Times New Roman"/>
          <w:sz w:val="18"/>
        </w:rPr>
      </w:pPr>
      <w:r>
        <w:rPr>
          <w:rFonts w:ascii="Times New Roman"/>
          <w:sz w:val="18"/>
          <w:u w:val="single"/>
        </w:rPr>
        <w:t>Stemmer v. Scottish Ins. Co.</w:t>
      </w:r>
      <w:r>
        <w:rPr>
          <w:rFonts w:ascii="Times New Roman"/>
          <w:sz w:val="18"/>
        </w:rPr>
        <w:t>, 33 Or. 65, 53 P. 498 (1898); </w:t>
      </w:r>
      <w:r>
        <w:rPr>
          <w:rFonts w:ascii="Times New Roman"/>
          <w:sz w:val="18"/>
          <w:u w:val="single"/>
        </w:rPr>
        <w:t>Van Winkle v. Continental</w:t>
      </w:r>
    </w:p>
    <w:p>
      <w:pPr>
        <w:spacing w:line="178" w:lineRule="exact" w:before="5"/>
        <w:ind w:left="1160" w:right="0" w:firstLine="0"/>
        <w:jc w:val="left"/>
        <w:rPr>
          <w:rFonts w:ascii="Times New Roman"/>
          <w:sz w:val="18"/>
        </w:rPr>
      </w:pPr>
      <w:r>
        <w:rPr>
          <w:rFonts w:ascii="Times New Roman"/>
          <w:sz w:val="18"/>
          <w:u w:val="single"/>
        </w:rPr>
        <w:t>Fire Ins. Co.</w:t>
      </w:r>
      <w:r>
        <w:rPr>
          <w:rFonts w:ascii="Times New Roman"/>
          <w:sz w:val="18"/>
        </w:rPr>
        <w:t>, 55 W. Va. 286, 47 S.E. 82 (1904).</w:t>
      </w:r>
    </w:p>
    <w:p>
      <w:pPr>
        <w:pStyle w:val="ListParagraph"/>
        <w:numPr>
          <w:ilvl w:val="0"/>
          <w:numId w:val="1"/>
        </w:numPr>
        <w:tabs>
          <w:tab w:pos="1411" w:val="left" w:leader="none"/>
        </w:tabs>
        <w:spacing w:line="240" w:lineRule="exact" w:before="0" w:after="0"/>
        <w:ind w:left="1410" w:right="0" w:hanging="251"/>
        <w:jc w:val="left"/>
        <w:rPr>
          <w:sz w:val="18"/>
        </w:rPr>
      </w:pPr>
      <w:r>
        <w:rPr>
          <w:sz w:val="18"/>
          <w:u w:val="single"/>
        </w:rPr>
        <w:t>Meyerson v. Hartford Fire Ins. Co.</w:t>
      </w:r>
      <w:r>
        <w:rPr>
          <w:sz w:val="18"/>
        </w:rPr>
        <w:t>, 16 Misc. 286, 38 N.Y.S.112 (1896), </w:t>
      </w:r>
      <w:r>
        <w:rPr>
          <w:i/>
          <w:sz w:val="18"/>
        </w:rPr>
        <w:t>aff’d,</w:t>
      </w:r>
      <w:r>
        <w:rPr>
          <w:i/>
          <w:spacing w:val="9"/>
          <w:sz w:val="18"/>
        </w:rPr>
        <w:t> </w:t>
      </w:r>
      <w:r>
        <w:rPr>
          <w:sz w:val="18"/>
        </w:rPr>
        <w:t>17</w:t>
      </w:r>
    </w:p>
    <w:p>
      <w:pPr>
        <w:spacing w:before="4"/>
        <w:ind w:left="1160" w:right="0" w:firstLine="0"/>
        <w:jc w:val="left"/>
        <w:rPr>
          <w:rFonts w:ascii="Times New Roman"/>
          <w:sz w:val="18"/>
        </w:rPr>
      </w:pPr>
      <w:r>
        <w:rPr>
          <w:rFonts w:ascii="Times New Roman"/>
          <w:sz w:val="18"/>
        </w:rPr>
        <w:t>Misc.121, 39 N.Y.S. 329 (1896).</w:t>
      </w:r>
    </w:p>
    <w:p>
      <w:pPr>
        <w:pStyle w:val="ListParagraph"/>
        <w:numPr>
          <w:ilvl w:val="0"/>
          <w:numId w:val="1"/>
        </w:numPr>
        <w:tabs>
          <w:tab w:pos="1429" w:val="left" w:leader="none"/>
        </w:tabs>
        <w:spacing w:line="261" w:lineRule="auto" w:before="62" w:after="0"/>
        <w:ind w:left="1160" w:right="1465" w:firstLine="0"/>
        <w:jc w:val="left"/>
        <w:rPr>
          <w:sz w:val="18"/>
        </w:rPr>
      </w:pPr>
      <w:r>
        <w:rPr>
          <w:sz w:val="18"/>
          <w:u w:val="single"/>
        </w:rPr>
        <w:t>Remington Paper Co. v. London Assur. Corp. of England</w:t>
      </w:r>
      <w:r>
        <w:rPr>
          <w:sz w:val="18"/>
        </w:rPr>
        <w:t>, 12 A.D. 218, 43 N.Y.S 431 (4</w:t>
      </w:r>
      <w:r>
        <w:rPr>
          <w:position w:val="7"/>
          <w:sz w:val="10"/>
        </w:rPr>
        <w:t>th </w:t>
      </w:r>
      <w:r>
        <w:rPr>
          <w:sz w:val="18"/>
        </w:rPr>
        <w:t>Dept.</w:t>
      </w:r>
      <w:r>
        <w:rPr>
          <w:spacing w:val="-4"/>
          <w:sz w:val="18"/>
        </w:rPr>
        <w:t> </w:t>
      </w:r>
      <w:r>
        <w:rPr>
          <w:sz w:val="18"/>
        </w:rPr>
        <w:t>1896).</w:t>
      </w:r>
    </w:p>
    <w:p>
      <w:pPr>
        <w:pStyle w:val="ListParagraph"/>
        <w:numPr>
          <w:ilvl w:val="0"/>
          <w:numId w:val="1"/>
        </w:numPr>
        <w:tabs>
          <w:tab w:pos="1429" w:val="left" w:leader="none"/>
        </w:tabs>
        <w:spacing w:line="263" w:lineRule="exact" w:before="0" w:after="0"/>
        <w:ind w:left="1428" w:right="0" w:hanging="269"/>
        <w:jc w:val="left"/>
        <w:rPr>
          <w:sz w:val="18"/>
        </w:rPr>
      </w:pPr>
      <w:r>
        <w:rPr>
          <w:sz w:val="18"/>
          <w:u w:val="single"/>
        </w:rPr>
        <w:t>Levin v. Northwestern Nat’l. Ins. Co.</w:t>
      </w:r>
      <w:r>
        <w:rPr>
          <w:sz w:val="24"/>
        </w:rPr>
        <w:t>, </w:t>
      </w:r>
      <w:r>
        <w:rPr>
          <w:sz w:val="18"/>
        </w:rPr>
        <w:t>185 F. 981 (D.C.N.D.</w:t>
      </w:r>
      <w:r>
        <w:rPr>
          <w:spacing w:val="-12"/>
          <w:sz w:val="18"/>
        </w:rPr>
        <w:t> </w:t>
      </w:r>
      <w:r>
        <w:rPr>
          <w:sz w:val="18"/>
        </w:rPr>
        <w:t>1911).</w:t>
      </w:r>
    </w:p>
    <w:p>
      <w:pPr>
        <w:spacing w:after="0" w:line="263" w:lineRule="exact"/>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5"/>
        <w:jc w:val="both"/>
      </w:pPr>
      <w:bookmarkStart w:name="Law and Procedure 337" w:id="3"/>
      <w:bookmarkEnd w:id="3"/>
      <w:r>
        <w:rPr/>
      </w:r>
      <w:r>
        <w:rPr/>
        <w:t>show a reasonable level of intelligence. It has been held that an appraiser need not be an expert in handling the kinds of property insured.</w:t>
      </w:r>
      <w:r>
        <w:rPr>
          <w:vertAlign w:val="superscript"/>
        </w:rPr>
        <w:t>718</w:t>
      </w:r>
    </w:p>
    <w:p>
      <w:pPr>
        <w:pStyle w:val="BodyText"/>
        <w:spacing w:before="1"/>
      </w:pPr>
    </w:p>
    <w:p>
      <w:pPr>
        <w:pStyle w:val="BodyText"/>
        <w:spacing w:line="242" w:lineRule="auto"/>
        <w:ind w:left="1520" w:right="1515" w:firstLine="720"/>
        <w:jc w:val="both"/>
      </w:pPr>
      <w:r>
        <w:rPr/>
        <w:t>The same court additionally did not find an</w:t>
      </w:r>
      <w:r>
        <w:rPr>
          <w:spacing w:val="-25"/>
        </w:rPr>
        <w:t> </w:t>
      </w:r>
      <w:r>
        <w:rPr/>
        <w:t>appraiser’s</w:t>
      </w:r>
      <w:r>
        <w:rPr>
          <w:spacing w:val="-25"/>
        </w:rPr>
        <w:t> </w:t>
      </w:r>
      <w:r>
        <w:rPr/>
        <w:t>lack</w:t>
      </w:r>
      <w:r>
        <w:rPr>
          <w:spacing w:val="-22"/>
        </w:rPr>
        <w:t> </w:t>
      </w:r>
      <w:r>
        <w:rPr/>
        <w:t>of</w:t>
      </w:r>
      <w:r>
        <w:rPr>
          <w:spacing w:val="-22"/>
        </w:rPr>
        <w:t> </w:t>
      </w:r>
      <w:r>
        <w:rPr/>
        <w:t>training</w:t>
      </w:r>
      <w:r>
        <w:rPr>
          <w:spacing w:val="-24"/>
        </w:rPr>
        <w:t> </w:t>
      </w:r>
      <w:r>
        <w:rPr/>
        <w:t>and</w:t>
      </w:r>
      <w:r>
        <w:rPr>
          <w:spacing w:val="-24"/>
        </w:rPr>
        <w:t> </w:t>
      </w:r>
      <w:r>
        <w:rPr/>
        <w:t>unfamiliarity with</w:t>
      </w:r>
      <w:r>
        <w:rPr>
          <w:spacing w:val="-21"/>
        </w:rPr>
        <w:t> </w:t>
      </w:r>
      <w:r>
        <w:rPr/>
        <w:t>state</w:t>
      </w:r>
      <w:r>
        <w:rPr>
          <w:spacing w:val="-21"/>
        </w:rPr>
        <w:t> </w:t>
      </w:r>
      <w:r>
        <w:rPr/>
        <w:t>procedures</w:t>
      </w:r>
      <w:r>
        <w:rPr>
          <w:spacing w:val="-21"/>
        </w:rPr>
        <w:t> </w:t>
      </w:r>
      <w:r>
        <w:rPr/>
        <w:t>and</w:t>
      </w:r>
      <w:r>
        <w:rPr>
          <w:spacing w:val="-21"/>
        </w:rPr>
        <w:t> </w:t>
      </w:r>
      <w:r>
        <w:rPr/>
        <w:t>law</w:t>
      </w:r>
      <w:r>
        <w:rPr>
          <w:spacing w:val="-23"/>
        </w:rPr>
        <w:t> </w:t>
      </w:r>
      <w:r>
        <w:rPr/>
        <w:t>to</w:t>
      </w:r>
      <w:r>
        <w:rPr>
          <w:spacing w:val="-21"/>
        </w:rPr>
        <w:t> </w:t>
      </w:r>
      <w:r>
        <w:rPr/>
        <w:t>be</w:t>
      </w:r>
      <w:r>
        <w:rPr>
          <w:spacing w:val="-20"/>
        </w:rPr>
        <w:t> </w:t>
      </w:r>
      <w:r>
        <w:rPr/>
        <w:t>indicative of</w:t>
      </w:r>
      <w:r>
        <w:rPr>
          <w:spacing w:val="-16"/>
        </w:rPr>
        <w:t> </w:t>
      </w:r>
      <w:r>
        <w:rPr/>
        <w:t>bad</w:t>
      </w:r>
      <w:r>
        <w:rPr>
          <w:spacing w:val="-14"/>
        </w:rPr>
        <w:t> </w:t>
      </w:r>
      <w:r>
        <w:rPr/>
        <w:t>faith.</w:t>
      </w:r>
      <w:r>
        <w:rPr>
          <w:spacing w:val="-18"/>
        </w:rPr>
        <w:t> </w:t>
      </w:r>
      <w:r>
        <w:rPr/>
        <w:t>There,</w:t>
      </w:r>
      <w:r>
        <w:rPr>
          <w:spacing w:val="-18"/>
        </w:rPr>
        <w:t> </w:t>
      </w:r>
      <w:r>
        <w:rPr/>
        <w:t>the</w:t>
      </w:r>
      <w:r>
        <w:rPr>
          <w:spacing w:val="-16"/>
        </w:rPr>
        <w:t> </w:t>
      </w:r>
      <w:r>
        <w:rPr/>
        <w:t>adjuster</w:t>
      </w:r>
      <w:r>
        <w:rPr>
          <w:spacing w:val="-19"/>
        </w:rPr>
        <w:t> </w:t>
      </w:r>
      <w:r>
        <w:rPr/>
        <w:t>was</w:t>
      </w:r>
      <w:r>
        <w:rPr>
          <w:spacing w:val="-16"/>
        </w:rPr>
        <w:t> </w:t>
      </w:r>
      <w:r>
        <w:rPr/>
        <w:t>based</w:t>
      </w:r>
      <w:r>
        <w:rPr>
          <w:spacing w:val="-15"/>
        </w:rPr>
        <w:t> </w:t>
      </w:r>
      <w:r>
        <w:rPr/>
        <w:t>out of</w:t>
      </w:r>
      <w:r>
        <w:rPr>
          <w:spacing w:val="-22"/>
        </w:rPr>
        <w:t> </w:t>
      </w:r>
      <w:r>
        <w:rPr/>
        <w:t>state</w:t>
      </w:r>
      <w:r>
        <w:rPr>
          <w:spacing w:val="-27"/>
        </w:rPr>
        <w:t> </w:t>
      </w:r>
      <w:r>
        <w:rPr/>
        <w:t>and</w:t>
      </w:r>
      <w:r>
        <w:rPr>
          <w:spacing w:val="-24"/>
        </w:rPr>
        <w:t> </w:t>
      </w:r>
      <w:r>
        <w:rPr/>
        <w:t>had</w:t>
      </w:r>
      <w:r>
        <w:rPr>
          <w:spacing w:val="-24"/>
        </w:rPr>
        <w:t> </w:t>
      </w:r>
      <w:r>
        <w:rPr/>
        <w:t>over</w:t>
      </w:r>
      <w:r>
        <w:rPr>
          <w:spacing w:val="-25"/>
        </w:rPr>
        <w:t> </w:t>
      </w:r>
      <w:r>
        <w:rPr/>
        <w:t>20</w:t>
      </w:r>
      <w:r>
        <w:rPr>
          <w:spacing w:val="-24"/>
        </w:rPr>
        <w:t> </w:t>
      </w:r>
      <w:r>
        <w:rPr/>
        <w:t>years</w:t>
      </w:r>
      <w:r>
        <w:rPr>
          <w:spacing w:val="-25"/>
        </w:rPr>
        <w:t> </w:t>
      </w:r>
      <w:r>
        <w:rPr/>
        <w:t>of</w:t>
      </w:r>
      <w:r>
        <w:rPr>
          <w:spacing w:val="-24"/>
        </w:rPr>
        <w:t> </w:t>
      </w:r>
      <w:r>
        <w:rPr/>
        <w:t>experience</w:t>
      </w:r>
      <w:r>
        <w:rPr>
          <w:spacing w:val="-23"/>
        </w:rPr>
        <w:t> </w:t>
      </w:r>
      <w:r>
        <w:rPr/>
        <w:t>in the field, though had no specific training pertinent</w:t>
      </w:r>
      <w:r>
        <w:rPr>
          <w:spacing w:val="-33"/>
        </w:rPr>
        <w:t> </w:t>
      </w:r>
      <w:r>
        <w:rPr/>
        <w:t>to</w:t>
      </w:r>
      <w:r>
        <w:rPr>
          <w:spacing w:val="-34"/>
        </w:rPr>
        <w:t> </w:t>
      </w:r>
      <w:r>
        <w:rPr/>
        <w:t>Oklahoma.</w:t>
      </w:r>
      <w:r>
        <w:rPr>
          <w:spacing w:val="-36"/>
        </w:rPr>
        <w:t> </w:t>
      </w:r>
      <w:r>
        <w:rPr/>
        <w:t>The</w:t>
      </w:r>
      <w:r>
        <w:rPr>
          <w:spacing w:val="-33"/>
        </w:rPr>
        <w:t> </w:t>
      </w:r>
      <w:r>
        <w:rPr/>
        <w:t>adjuster’s</w:t>
      </w:r>
      <w:r>
        <w:rPr>
          <w:spacing w:val="-31"/>
        </w:rPr>
        <w:t> </w:t>
      </w:r>
      <w:r>
        <w:rPr/>
        <w:t>absence of knowledge as to various legal concepts at his</w:t>
      </w:r>
      <w:r>
        <w:rPr>
          <w:spacing w:val="-34"/>
        </w:rPr>
        <w:t> </w:t>
      </w:r>
      <w:r>
        <w:rPr/>
        <w:t>deposition</w:t>
      </w:r>
      <w:r>
        <w:rPr>
          <w:spacing w:val="-32"/>
        </w:rPr>
        <w:t> </w:t>
      </w:r>
      <w:r>
        <w:rPr/>
        <w:t>“[struck]</w:t>
      </w:r>
      <w:r>
        <w:rPr>
          <w:spacing w:val="-31"/>
        </w:rPr>
        <w:t> </w:t>
      </w:r>
      <w:r>
        <w:rPr/>
        <w:t>the</w:t>
      </w:r>
      <w:r>
        <w:rPr>
          <w:spacing w:val="-33"/>
        </w:rPr>
        <w:t> </w:t>
      </w:r>
      <w:r>
        <w:rPr/>
        <w:t>court</w:t>
      </w:r>
      <w:r>
        <w:rPr>
          <w:spacing w:val="-36"/>
        </w:rPr>
        <w:t> </w:t>
      </w:r>
      <w:r>
        <w:rPr/>
        <w:t>as</w:t>
      </w:r>
      <w:r>
        <w:rPr>
          <w:spacing w:val="-32"/>
        </w:rPr>
        <w:t> </w:t>
      </w:r>
      <w:r>
        <w:rPr/>
        <w:t>proving</w:t>
      </w:r>
      <w:r>
        <w:rPr>
          <w:spacing w:val="-37"/>
        </w:rPr>
        <w:t> </w:t>
      </w:r>
      <w:r>
        <w:rPr/>
        <w:t>little or nothing as to the fitness of [the adjuster], a non-lawyer, to perform the claims handling tasks assigned to him” and no aspect of state law which unique to the state and relevant to the case was</w:t>
      </w:r>
      <w:r>
        <w:rPr>
          <w:spacing w:val="-4"/>
        </w:rPr>
        <w:t> </w:t>
      </w:r>
      <w:r>
        <w:rPr/>
        <w:t>raised.</w:t>
      </w:r>
      <w:r>
        <w:rPr>
          <w:u w:val="single"/>
          <w:vertAlign w:val="superscript"/>
        </w:rPr>
        <w:t>719</w:t>
      </w:r>
    </w:p>
    <w:p>
      <w:pPr>
        <w:pStyle w:val="BodyText"/>
        <w:spacing w:before="10"/>
        <w:rPr>
          <w:sz w:val="25"/>
        </w:rPr>
      </w:pPr>
    </w:p>
    <w:p>
      <w:pPr>
        <w:pStyle w:val="BodyText"/>
        <w:spacing w:line="242" w:lineRule="auto"/>
        <w:ind w:left="1520" w:right="1520" w:firstLine="720"/>
        <w:jc w:val="both"/>
      </w:pPr>
      <w:r>
        <w:rPr/>
        <w:t>The</w:t>
      </w:r>
      <w:r>
        <w:rPr>
          <w:spacing w:val="-23"/>
        </w:rPr>
        <w:t> </w:t>
      </w:r>
      <w:r>
        <w:rPr/>
        <w:t>Michigan</w:t>
      </w:r>
      <w:r>
        <w:rPr>
          <w:spacing w:val="-20"/>
        </w:rPr>
        <w:t> </w:t>
      </w:r>
      <w:r>
        <w:rPr/>
        <w:t>Court</w:t>
      </w:r>
      <w:r>
        <w:rPr>
          <w:spacing w:val="-26"/>
        </w:rPr>
        <w:t> </w:t>
      </w:r>
      <w:r>
        <w:rPr/>
        <w:t>of</w:t>
      </w:r>
      <w:r>
        <w:rPr>
          <w:spacing w:val="-21"/>
        </w:rPr>
        <w:t> </w:t>
      </w:r>
      <w:r>
        <w:rPr/>
        <w:t>Appeals</w:t>
      </w:r>
      <w:r>
        <w:rPr>
          <w:spacing w:val="-19"/>
        </w:rPr>
        <w:t> </w:t>
      </w:r>
      <w:r>
        <w:rPr/>
        <w:t>offered</w:t>
      </w:r>
      <w:r>
        <w:rPr>
          <w:spacing w:val="-22"/>
        </w:rPr>
        <w:t> </w:t>
      </w:r>
      <w:r>
        <w:rPr/>
        <w:t>a concise and accurate explanation of what is required of the appraiser when it comes to independence.</w:t>
      </w:r>
    </w:p>
    <w:p>
      <w:pPr>
        <w:pStyle w:val="BodyText"/>
        <w:rPr>
          <w:sz w:val="20"/>
        </w:rPr>
      </w:pPr>
    </w:p>
    <w:p>
      <w:pPr>
        <w:pStyle w:val="BodyText"/>
        <w:rPr>
          <w:sz w:val="20"/>
        </w:rPr>
      </w:pPr>
    </w:p>
    <w:p>
      <w:pPr>
        <w:pStyle w:val="BodyText"/>
        <w:rPr>
          <w:sz w:val="20"/>
        </w:rPr>
      </w:pPr>
    </w:p>
    <w:p>
      <w:pPr>
        <w:pStyle w:val="BodyText"/>
        <w:spacing w:before="5"/>
        <w:rPr>
          <w:sz w:val="21"/>
        </w:rPr>
      </w:pPr>
      <w:r>
        <w:rPr/>
        <w:pict>
          <v:shape style="position:absolute;margin-left:162pt;margin-top:15.528233pt;width:143.9pt;height:.1pt;mso-position-horizontal-relative:page;mso-position-vertical-relative:paragraph;z-index:-251656192;mso-wrap-distance-left:0;mso-wrap-distance-right:0" coordorigin="3240,311" coordsize="2878,0" path="m3240,311l6118,311e" filled="false" stroked="true" strokeweight=".84pt" strokecolor="#000000">
            <v:path arrowok="t"/>
            <v:stroke dashstyle="solid"/>
            <w10:wrap type="topAndBottom"/>
          </v:shape>
        </w:pict>
      </w:r>
    </w:p>
    <w:p>
      <w:pPr>
        <w:pStyle w:val="ListParagraph"/>
        <w:numPr>
          <w:ilvl w:val="0"/>
          <w:numId w:val="1"/>
        </w:numPr>
        <w:tabs>
          <w:tab w:pos="1414" w:val="left" w:leader="none"/>
        </w:tabs>
        <w:spacing w:line="244" w:lineRule="auto" w:before="140" w:after="0"/>
        <w:ind w:left="1160" w:right="1159" w:firstLine="0"/>
        <w:jc w:val="both"/>
        <w:rPr>
          <w:sz w:val="18"/>
        </w:rPr>
      </w:pPr>
      <w:r>
        <w:rPr>
          <w:sz w:val="18"/>
        </w:rPr>
        <w:t>6</w:t>
      </w:r>
      <w:r>
        <w:rPr>
          <w:spacing w:val="-10"/>
          <w:sz w:val="18"/>
        </w:rPr>
        <w:t> </w:t>
      </w:r>
      <w:r>
        <w:rPr>
          <w:sz w:val="18"/>
        </w:rPr>
        <w:t>Appleman,</w:t>
      </w:r>
      <w:r>
        <w:rPr>
          <w:spacing w:val="-9"/>
          <w:sz w:val="18"/>
        </w:rPr>
        <w:t> </w:t>
      </w:r>
      <w:r>
        <w:rPr>
          <w:sz w:val="18"/>
          <w:u w:val="single"/>
        </w:rPr>
        <w:t>Insurance</w:t>
      </w:r>
      <w:r>
        <w:rPr>
          <w:spacing w:val="-9"/>
          <w:sz w:val="18"/>
          <w:u w:val="single"/>
        </w:rPr>
        <w:t> </w:t>
      </w:r>
      <w:r>
        <w:rPr>
          <w:sz w:val="18"/>
          <w:u w:val="single"/>
        </w:rPr>
        <w:t>Law</w:t>
      </w:r>
      <w:r>
        <w:rPr>
          <w:spacing w:val="-12"/>
          <w:sz w:val="18"/>
          <w:u w:val="single"/>
        </w:rPr>
        <w:t> </w:t>
      </w:r>
      <w:r>
        <w:rPr>
          <w:sz w:val="18"/>
          <w:u w:val="single"/>
        </w:rPr>
        <w:t>&amp;</w:t>
      </w:r>
      <w:r>
        <w:rPr>
          <w:spacing w:val="-8"/>
          <w:sz w:val="18"/>
          <w:u w:val="single"/>
        </w:rPr>
        <w:t> </w:t>
      </w:r>
      <w:r>
        <w:rPr>
          <w:sz w:val="18"/>
          <w:u w:val="single"/>
        </w:rPr>
        <w:t>Practice</w:t>
      </w:r>
      <w:r>
        <w:rPr>
          <w:spacing w:val="-9"/>
          <w:sz w:val="18"/>
        </w:rPr>
        <w:t> </w:t>
      </w:r>
      <w:r>
        <w:rPr>
          <w:sz w:val="18"/>
        </w:rPr>
        <w:t>§3927</w:t>
      </w:r>
      <w:r>
        <w:rPr>
          <w:spacing w:val="-6"/>
          <w:sz w:val="18"/>
        </w:rPr>
        <w:t> </w:t>
      </w:r>
      <w:r>
        <w:rPr>
          <w:sz w:val="18"/>
        </w:rPr>
        <w:t>at</w:t>
      </w:r>
      <w:r>
        <w:rPr>
          <w:spacing w:val="-7"/>
          <w:sz w:val="18"/>
        </w:rPr>
        <w:t> </w:t>
      </w:r>
      <w:r>
        <w:rPr>
          <w:sz w:val="18"/>
        </w:rPr>
        <w:t>551</w:t>
      </w:r>
      <w:r>
        <w:rPr>
          <w:spacing w:val="-6"/>
          <w:sz w:val="18"/>
        </w:rPr>
        <w:t> </w:t>
      </w:r>
      <w:r>
        <w:rPr>
          <w:sz w:val="18"/>
        </w:rPr>
        <w:t>(1972);</w:t>
      </w:r>
      <w:r>
        <w:rPr>
          <w:spacing w:val="30"/>
          <w:sz w:val="18"/>
          <w:u w:val="single"/>
        </w:rPr>
        <w:t> </w:t>
      </w:r>
      <w:r>
        <w:rPr>
          <w:sz w:val="18"/>
          <w:u w:val="single"/>
        </w:rPr>
        <w:t>American</w:t>
      </w:r>
      <w:r>
        <w:rPr>
          <w:spacing w:val="-8"/>
          <w:sz w:val="18"/>
          <w:u w:val="single"/>
        </w:rPr>
        <w:t> </w:t>
      </w:r>
      <w:r>
        <w:rPr>
          <w:sz w:val="18"/>
          <w:u w:val="single"/>
        </w:rPr>
        <w:t>Union</w:t>
      </w:r>
      <w:r>
        <w:rPr>
          <w:spacing w:val="-6"/>
          <w:sz w:val="18"/>
          <w:u w:val="single"/>
        </w:rPr>
        <w:t> </w:t>
      </w:r>
      <w:r>
        <w:rPr>
          <w:sz w:val="18"/>
          <w:u w:val="single"/>
        </w:rPr>
        <w:t>Ins.</w:t>
      </w:r>
      <w:r>
        <w:rPr>
          <w:spacing w:val="-7"/>
          <w:sz w:val="18"/>
          <w:u w:val="single"/>
        </w:rPr>
        <w:t> </w:t>
      </w:r>
      <w:r>
        <w:rPr>
          <w:sz w:val="18"/>
          <w:u w:val="single"/>
        </w:rPr>
        <w:t>Co. v. Stull Bros. Co.</w:t>
      </w:r>
      <w:r>
        <w:rPr>
          <w:sz w:val="18"/>
        </w:rPr>
        <w:t>, 126 N.J. Eq. 64, 7 A.2d 866 (1939) (case involved a public adjuster serving as appraiser of building and machinery damage who was neither builder nor machinery</w:t>
      </w:r>
      <w:r>
        <w:rPr>
          <w:spacing w:val="-20"/>
          <w:sz w:val="18"/>
        </w:rPr>
        <w:t> </w:t>
      </w:r>
      <w:r>
        <w:rPr>
          <w:sz w:val="18"/>
        </w:rPr>
        <w:t>expert,</w:t>
      </w:r>
      <w:r>
        <w:rPr>
          <w:spacing w:val="-15"/>
          <w:sz w:val="18"/>
        </w:rPr>
        <w:t> </w:t>
      </w:r>
      <w:r>
        <w:rPr>
          <w:sz w:val="18"/>
        </w:rPr>
        <w:t>held</w:t>
      </w:r>
      <w:r>
        <w:rPr>
          <w:spacing w:val="-15"/>
          <w:sz w:val="18"/>
        </w:rPr>
        <w:t> </w:t>
      </w:r>
      <w:r>
        <w:rPr>
          <w:sz w:val="18"/>
        </w:rPr>
        <w:t>competent);</w:t>
      </w:r>
      <w:r>
        <w:rPr>
          <w:spacing w:val="20"/>
          <w:sz w:val="18"/>
        </w:rPr>
        <w:t> </w:t>
      </w:r>
      <w:r>
        <w:rPr>
          <w:sz w:val="18"/>
          <w:u w:val="single"/>
        </w:rPr>
        <w:t>Gear</w:t>
      </w:r>
      <w:r>
        <w:rPr>
          <w:spacing w:val="-14"/>
          <w:sz w:val="18"/>
          <w:u w:val="single"/>
        </w:rPr>
        <w:t> </w:t>
      </w:r>
      <w:r>
        <w:rPr>
          <w:sz w:val="18"/>
          <w:u w:val="single"/>
        </w:rPr>
        <w:t>v.</w:t>
      </w:r>
      <w:r>
        <w:rPr>
          <w:spacing w:val="-12"/>
          <w:sz w:val="18"/>
          <w:u w:val="single"/>
        </w:rPr>
        <w:t> </w:t>
      </w:r>
      <w:r>
        <w:rPr>
          <w:sz w:val="18"/>
          <w:u w:val="single"/>
        </w:rPr>
        <w:t>Webster</w:t>
      </w:r>
      <w:r>
        <w:rPr>
          <w:sz w:val="18"/>
        </w:rPr>
        <w:t>,</w:t>
      </w:r>
      <w:r>
        <w:rPr>
          <w:spacing w:val="-13"/>
          <w:sz w:val="18"/>
        </w:rPr>
        <w:t> </w:t>
      </w:r>
      <w:r>
        <w:rPr>
          <w:sz w:val="18"/>
        </w:rPr>
        <w:t>258</w:t>
      </w:r>
      <w:r>
        <w:rPr>
          <w:spacing w:val="-11"/>
          <w:sz w:val="18"/>
        </w:rPr>
        <w:t> </w:t>
      </w:r>
      <w:r>
        <w:rPr>
          <w:sz w:val="18"/>
        </w:rPr>
        <w:t>Cal.</w:t>
      </w:r>
      <w:r>
        <w:rPr>
          <w:spacing w:val="-13"/>
          <w:sz w:val="18"/>
        </w:rPr>
        <w:t> </w:t>
      </w:r>
      <w:r>
        <w:rPr>
          <w:sz w:val="18"/>
        </w:rPr>
        <w:t>App.2d</w:t>
      </w:r>
      <w:r>
        <w:rPr>
          <w:spacing w:val="-14"/>
          <w:sz w:val="18"/>
        </w:rPr>
        <w:t> </w:t>
      </w:r>
      <w:r>
        <w:rPr>
          <w:sz w:val="18"/>
        </w:rPr>
        <w:t>57,</w:t>
      </w:r>
      <w:r>
        <w:rPr>
          <w:spacing w:val="-16"/>
          <w:sz w:val="18"/>
        </w:rPr>
        <w:t> </w:t>
      </w:r>
      <w:r>
        <w:rPr>
          <w:sz w:val="18"/>
        </w:rPr>
        <w:t>65</w:t>
      </w:r>
      <w:r>
        <w:rPr>
          <w:spacing w:val="-14"/>
          <w:sz w:val="18"/>
        </w:rPr>
        <w:t> </w:t>
      </w:r>
      <w:r>
        <w:rPr>
          <w:sz w:val="18"/>
        </w:rPr>
        <w:t>Cal.</w:t>
      </w:r>
      <w:r>
        <w:rPr>
          <w:spacing w:val="-14"/>
          <w:sz w:val="18"/>
        </w:rPr>
        <w:t> </w:t>
      </w:r>
      <w:r>
        <w:rPr>
          <w:sz w:val="18"/>
        </w:rPr>
        <w:t>Rptr.</w:t>
      </w:r>
      <w:r>
        <w:rPr>
          <w:spacing w:val="-14"/>
          <w:sz w:val="18"/>
        </w:rPr>
        <w:t> </w:t>
      </w:r>
      <w:r>
        <w:rPr>
          <w:sz w:val="18"/>
        </w:rPr>
        <w:t>255 (5</w:t>
      </w:r>
      <w:r>
        <w:rPr>
          <w:position w:val="7"/>
          <w:sz w:val="10"/>
        </w:rPr>
        <w:t>th </w:t>
      </w:r>
      <w:r>
        <w:rPr>
          <w:sz w:val="18"/>
        </w:rPr>
        <w:t>Dist.</w:t>
      </w:r>
      <w:r>
        <w:rPr>
          <w:spacing w:val="-4"/>
          <w:sz w:val="18"/>
        </w:rPr>
        <w:t> </w:t>
      </w:r>
      <w:r>
        <w:rPr>
          <w:sz w:val="18"/>
        </w:rPr>
        <w:t>1968).</w:t>
      </w:r>
    </w:p>
    <w:p>
      <w:pPr>
        <w:pStyle w:val="ListParagraph"/>
        <w:numPr>
          <w:ilvl w:val="0"/>
          <w:numId w:val="1"/>
        </w:numPr>
        <w:tabs>
          <w:tab w:pos="1447" w:val="left" w:leader="none"/>
        </w:tabs>
        <w:spacing w:line="261" w:lineRule="auto" w:before="0" w:after="0"/>
        <w:ind w:left="1160" w:right="1167" w:firstLine="0"/>
        <w:jc w:val="both"/>
        <w:rPr>
          <w:sz w:val="18"/>
        </w:rPr>
      </w:pPr>
      <w:r>
        <w:rPr>
          <w:sz w:val="18"/>
          <w:u w:val="single"/>
        </w:rPr>
        <w:t>LeBlanc v. The Travelers Home &amp; Marine Ins. Co.</w:t>
      </w:r>
      <w:r>
        <w:rPr>
          <w:sz w:val="18"/>
        </w:rPr>
        <w:t>, 2011 WL 2748616 (W.D. Okla 2011).</w:t>
      </w:r>
    </w:p>
    <w:p>
      <w:pPr>
        <w:spacing w:after="0" w:line="261" w:lineRule="auto"/>
        <w:jc w:val="both"/>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2240" w:right="2236"/>
        <w:jc w:val="both"/>
      </w:pPr>
      <w:bookmarkStart w:name="Law and Procedure 338" w:id="4"/>
      <w:bookmarkEnd w:id="4"/>
      <w:r>
        <w:rPr/>
      </w:r>
      <w:r>
        <w:rPr/>
        <w:t>“The definition of ‘independent’ is “[not] dependent; not subject to control, restriction, modification,</w:t>
      </w:r>
      <w:r>
        <w:rPr>
          <w:spacing w:val="-52"/>
        </w:rPr>
        <w:t> </w:t>
      </w:r>
      <w:r>
        <w:rPr/>
        <w:t>or limitation from a given outside source.” Blacks Law Dictionary </w:t>
      </w:r>
      <w:r>
        <w:rPr>
          <w:spacing w:val="-10"/>
        </w:rPr>
        <w:t>(6</w:t>
      </w:r>
      <w:r>
        <w:rPr>
          <w:spacing w:val="-10"/>
          <w:vertAlign w:val="superscript"/>
        </w:rPr>
        <w:t>th</w:t>
      </w:r>
      <w:r>
        <w:rPr>
          <w:spacing w:val="-10"/>
          <w:vertAlign w:val="baseline"/>
        </w:rPr>
        <w:t> </w:t>
      </w:r>
      <w:r>
        <w:rPr>
          <w:vertAlign w:val="baseline"/>
        </w:rPr>
        <w:t>ed.) The definition of “impartial” is “[f]avoring neither; disinterested; </w:t>
      </w:r>
      <w:r>
        <w:rPr>
          <w:spacing w:val="7"/>
          <w:vertAlign w:val="baseline"/>
        </w:rPr>
        <w:t>treating </w:t>
      </w:r>
      <w:r>
        <w:rPr>
          <w:spacing w:val="8"/>
          <w:vertAlign w:val="baseline"/>
        </w:rPr>
        <w:t>all </w:t>
      </w:r>
      <w:r>
        <w:rPr>
          <w:spacing w:val="10"/>
          <w:vertAlign w:val="baseline"/>
        </w:rPr>
        <w:t>alike; </w:t>
      </w:r>
      <w:r>
        <w:rPr>
          <w:spacing w:val="8"/>
          <w:vertAlign w:val="baseline"/>
        </w:rPr>
        <w:t>unbiased; </w:t>
      </w:r>
      <w:r>
        <w:rPr>
          <w:vertAlign w:val="baseline"/>
        </w:rPr>
        <w:t>equitable, fair and just.” </w:t>
      </w:r>
      <w:r>
        <w:rPr>
          <w:i/>
          <w:vertAlign w:val="baseline"/>
        </w:rPr>
        <w:t>Id. </w:t>
      </w:r>
      <w:r>
        <w:rPr>
          <w:vertAlign w:val="baseline"/>
        </w:rPr>
        <w:t>The implication</w:t>
      </w:r>
      <w:r>
        <w:rPr>
          <w:spacing w:val="-28"/>
          <w:vertAlign w:val="baseline"/>
        </w:rPr>
        <w:t> </w:t>
      </w:r>
      <w:r>
        <w:rPr>
          <w:vertAlign w:val="baseline"/>
        </w:rPr>
        <w:t>is</w:t>
      </w:r>
      <w:r>
        <w:rPr>
          <w:spacing w:val="-27"/>
          <w:vertAlign w:val="baseline"/>
        </w:rPr>
        <w:t> </w:t>
      </w:r>
      <w:r>
        <w:rPr>
          <w:vertAlign w:val="baseline"/>
        </w:rPr>
        <w:t>that</w:t>
      </w:r>
      <w:r>
        <w:rPr>
          <w:spacing w:val="-30"/>
          <w:vertAlign w:val="baseline"/>
        </w:rPr>
        <w:t> </w:t>
      </w:r>
      <w:r>
        <w:rPr>
          <w:vertAlign w:val="baseline"/>
        </w:rPr>
        <w:t>the</w:t>
      </w:r>
      <w:r>
        <w:rPr>
          <w:spacing w:val="-28"/>
          <w:vertAlign w:val="baseline"/>
        </w:rPr>
        <w:t> </w:t>
      </w:r>
      <w:r>
        <w:rPr>
          <w:vertAlign w:val="baseline"/>
        </w:rPr>
        <w:t>independent appraiser may be biased </w:t>
      </w:r>
      <w:r>
        <w:rPr>
          <w:spacing w:val="-4"/>
          <w:vertAlign w:val="baseline"/>
        </w:rPr>
        <w:t>toward</w:t>
      </w:r>
      <w:r>
        <w:rPr>
          <w:spacing w:val="63"/>
          <w:vertAlign w:val="baseline"/>
        </w:rPr>
        <w:t> </w:t>
      </w:r>
      <w:r>
        <w:rPr>
          <w:vertAlign w:val="baseline"/>
        </w:rPr>
        <w:t>the party who hires and pays him, as long as he retains the ability to base his recommendation on his own judgment. The umpire, in contrast, may not favor either party; he must serve only </w:t>
      </w:r>
      <w:r>
        <w:rPr>
          <w:spacing w:val="-3"/>
          <w:vertAlign w:val="baseline"/>
        </w:rPr>
        <w:t>equity, </w:t>
      </w:r>
      <w:r>
        <w:rPr>
          <w:vertAlign w:val="baseline"/>
        </w:rPr>
        <w:t>fairness and</w:t>
      </w:r>
      <w:r>
        <w:rPr>
          <w:spacing w:val="-2"/>
          <w:vertAlign w:val="baseline"/>
        </w:rPr>
        <w:t> </w:t>
      </w:r>
      <w:r>
        <w:rPr>
          <w:vertAlign w:val="baseline"/>
        </w:rPr>
        <w:t>justice.</w:t>
      </w:r>
    </w:p>
    <w:p>
      <w:pPr>
        <w:pStyle w:val="BodyText"/>
        <w:spacing w:before="8"/>
        <w:rPr>
          <w:sz w:val="25"/>
        </w:rPr>
      </w:pPr>
    </w:p>
    <w:p>
      <w:pPr>
        <w:pStyle w:val="BodyText"/>
        <w:spacing w:line="242" w:lineRule="auto"/>
        <w:ind w:left="2240" w:right="2238"/>
        <w:jc w:val="both"/>
      </w:pPr>
      <w:r>
        <w:rPr/>
        <w:t>Because</w:t>
      </w:r>
      <w:r>
        <w:rPr>
          <w:spacing w:val="-46"/>
        </w:rPr>
        <w:t> </w:t>
      </w:r>
      <w:r>
        <w:rPr>
          <w:spacing w:val="-3"/>
        </w:rPr>
        <w:t>“independent</w:t>
      </w:r>
      <w:r>
        <w:rPr>
          <w:spacing w:val="-45"/>
        </w:rPr>
        <w:t> </w:t>
      </w:r>
      <w:r>
        <w:rPr/>
        <w:t>appraisers” may feel biased toward the </w:t>
      </w:r>
      <w:r>
        <w:rPr>
          <w:spacing w:val="-4"/>
        </w:rPr>
        <w:t>party </w:t>
      </w:r>
      <w:r>
        <w:rPr/>
        <w:t>who hired them, this construction </w:t>
      </w:r>
      <w:r>
        <w:rPr>
          <w:spacing w:val="7"/>
        </w:rPr>
        <w:t>leaves </w:t>
      </w:r>
      <w:r>
        <w:rPr>
          <w:spacing w:val="8"/>
        </w:rPr>
        <w:t>intact </w:t>
      </w:r>
      <w:r>
        <w:rPr>
          <w:spacing w:val="5"/>
        </w:rPr>
        <w:t>the </w:t>
      </w:r>
      <w:r>
        <w:rPr>
          <w:spacing w:val="6"/>
        </w:rPr>
        <w:t>rule that </w:t>
      </w:r>
      <w:r>
        <w:rPr/>
        <w:t>appraisers</w:t>
      </w:r>
      <w:r>
        <w:rPr>
          <w:spacing w:val="-28"/>
        </w:rPr>
        <w:t> </w:t>
      </w:r>
      <w:r>
        <w:rPr/>
        <w:t>are</w:t>
      </w:r>
      <w:r>
        <w:rPr>
          <w:spacing w:val="-26"/>
        </w:rPr>
        <w:t> </w:t>
      </w:r>
      <w:r>
        <w:rPr/>
        <w:t>not</w:t>
      </w:r>
      <w:r>
        <w:rPr>
          <w:spacing w:val="-30"/>
        </w:rPr>
        <w:t> </w:t>
      </w:r>
      <w:r>
        <w:rPr/>
        <w:t>disqualified</w:t>
      </w:r>
      <w:r>
        <w:rPr>
          <w:spacing w:val="-27"/>
        </w:rPr>
        <w:t> </w:t>
      </w:r>
      <w:r>
        <w:rPr/>
        <w:t>from their appointments on the basis of </w:t>
      </w:r>
      <w:r>
        <w:rPr>
          <w:spacing w:val="6"/>
        </w:rPr>
        <w:t>having </w:t>
      </w:r>
      <w:r>
        <w:rPr>
          <w:spacing w:val="8"/>
        </w:rPr>
        <w:t>previously </w:t>
      </w:r>
      <w:r>
        <w:rPr>
          <w:spacing w:val="6"/>
        </w:rPr>
        <w:t>served </w:t>
      </w:r>
      <w:r>
        <w:rPr>
          <w:spacing w:val="4"/>
        </w:rPr>
        <w:t>as </w:t>
      </w:r>
      <w:r>
        <w:rPr/>
        <w:t>adjusters...”</w:t>
      </w:r>
      <w:r>
        <w:rPr>
          <w:vertAlign w:val="superscript"/>
        </w:rPr>
        <w:t>720</w:t>
      </w:r>
    </w:p>
    <w:p>
      <w:pPr>
        <w:pStyle w:val="BodyText"/>
        <w:rPr>
          <w:sz w:val="20"/>
        </w:rPr>
      </w:pPr>
    </w:p>
    <w:p>
      <w:pPr>
        <w:pStyle w:val="BodyText"/>
        <w:spacing w:before="5"/>
        <w:rPr>
          <w:sz w:val="28"/>
        </w:rPr>
      </w:pPr>
      <w:r>
        <w:rPr/>
        <w:pict>
          <v:shape style="position:absolute;margin-left:162pt;margin-top:19.825264pt;width:143.9pt;height:.1pt;mso-position-horizontal-relative:page;mso-position-vertical-relative:paragraph;z-index:-251655168;mso-wrap-distance-left:0;mso-wrap-distance-right:0" coordorigin="3240,397" coordsize="2878,0" path="m3240,397l6118,397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
        </w:numPr>
        <w:tabs>
          <w:tab w:pos="1450" w:val="left" w:leader="none"/>
        </w:tabs>
        <w:spacing w:line="254" w:lineRule="auto" w:before="80" w:after="0"/>
        <w:ind w:left="1160" w:right="1166" w:firstLine="0"/>
        <w:jc w:val="both"/>
        <w:rPr>
          <w:sz w:val="18"/>
        </w:rPr>
      </w:pPr>
      <w:r>
        <w:rPr>
          <w:sz w:val="18"/>
          <w:u w:val="single"/>
        </w:rPr>
        <w:t>Auto-Owners Ins. Co. v. Allied Adjustors &amp; Appraisers</w:t>
      </w:r>
      <w:r>
        <w:rPr>
          <w:sz w:val="18"/>
        </w:rPr>
        <w:t>, 238 Mich. App. 394, 605 N.W.2d</w:t>
      </w:r>
      <w:r>
        <w:rPr>
          <w:spacing w:val="-13"/>
          <w:sz w:val="18"/>
        </w:rPr>
        <w:t> </w:t>
      </w:r>
      <w:r>
        <w:rPr>
          <w:sz w:val="18"/>
        </w:rPr>
        <w:t>685</w:t>
      </w:r>
      <w:r>
        <w:rPr>
          <w:spacing w:val="17"/>
          <w:sz w:val="18"/>
        </w:rPr>
        <w:t> </w:t>
      </w:r>
      <w:r>
        <w:rPr>
          <w:sz w:val="18"/>
        </w:rPr>
        <w:t>(Mich</w:t>
      </w:r>
      <w:r>
        <w:rPr>
          <w:spacing w:val="-12"/>
          <w:sz w:val="18"/>
        </w:rPr>
        <w:t> </w:t>
      </w:r>
      <w:r>
        <w:rPr>
          <w:sz w:val="18"/>
        </w:rPr>
        <w:t>Ct.</w:t>
      </w:r>
      <w:r>
        <w:rPr>
          <w:spacing w:val="-13"/>
          <w:sz w:val="18"/>
        </w:rPr>
        <w:t> </w:t>
      </w:r>
      <w:r>
        <w:rPr>
          <w:sz w:val="18"/>
        </w:rPr>
        <w:t>App.</w:t>
      </w:r>
      <w:r>
        <w:rPr>
          <w:spacing w:val="-14"/>
          <w:sz w:val="18"/>
        </w:rPr>
        <w:t> </w:t>
      </w:r>
      <w:r>
        <w:rPr>
          <w:sz w:val="18"/>
        </w:rPr>
        <w:t>1999);</w:t>
      </w:r>
      <w:r>
        <w:rPr>
          <w:spacing w:val="-13"/>
          <w:sz w:val="18"/>
        </w:rPr>
        <w:t> </w:t>
      </w:r>
      <w:r>
        <w:rPr>
          <w:i/>
          <w:sz w:val="18"/>
        </w:rPr>
        <w:t>See</w:t>
      </w:r>
      <w:r>
        <w:rPr>
          <w:i/>
          <w:spacing w:val="-16"/>
          <w:sz w:val="18"/>
        </w:rPr>
        <w:t> </w:t>
      </w:r>
      <w:r>
        <w:rPr>
          <w:i/>
          <w:sz w:val="18"/>
        </w:rPr>
        <w:t>also</w:t>
      </w:r>
      <w:r>
        <w:rPr>
          <w:sz w:val="18"/>
        </w:rPr>
        <w:t>,</w:t>
      </w:r>
      <w:r>
        <w:rPr>
          <w:spacing w:val="-14"/>
          <w:sz w:val="18"/>
        </w:rPr>
        <w:t> </w:t>
      </w:r>
      <w:r>
        <w:rPr>
          <w:sz w:val="18"/>
          <w:u w:val="single"/>
        </w:rPr>
        <w:t>Hartford</w:t>
      </w:r>
      <w:r>
        <w:rPr>
          <w:spacing w:val="-12"/>
          <w:sz w:val="18"/>
          <w:u w:val="single"/>
        </w:rPr>
        <w:t> </w:t>
      </w:r>
      <w:r>
        <w:rPr>
          <w:sz w:val="18"/>
          <w:u w:val="single"/>
        </w:rPr>
        <w:t>Ins.</w:t>
      </w:r>
      <w:r>
        <w:rPr>
          <w:spacing w:val="-14"/>
          <w:sz w:val="18"/>
          <w:u w:val="single"/>
        </w:rPr>
        <w:t> </w:t>
      </w:r>
      <w:r>
        <w:rPr>
          <w:sz w:val="18"/>
          <w:u w:val="single"/>
        </w:rPr>
        <w:t>Co.</w:t>
      </w:r>
      <w:r>
        <w:rPr>
          <w:spacing w:val="-14"/>
          <w:sz w:val="18"/>
          <w:u w:val="single"/>
        </w:rPr>
        <w:t> </w:t>
      </w:r>
      <w:r>
        <w:rPr>
          <w:sz w:val="18"/>
          <w:u w:val="single"/>
        </w:rPr>
        <w:t>v.</w:t>
      </w:r>
      <w:r>
        <w:rPr>
          <w:spacing w:val="-15"/>
          <w:sz w:val="18"/>
          <w:u w:val="single"/>
        </w:rPr>
        <w:t> </w:t>
      </w:r>
      <w:r>
        <w:rPr>
          <w:sz w:val="18"/>
          <w:u w:val="single"/>
        </w:rPr>
        <w:t>Miller</w:t>
      </w:r>
      <w:r>
        <w:rPr>
          <w:sz w:val="18"/>
        </w:rPr>
        <w:t>,</w:t>
      </w:r>
      <w:r>
        <w:rPr>
          <w:spacing w:val="-12"/>
          <w:sz w:val="18"/>
        </w:rPr>
        <w:t> </w:t>
      </w:r>
      <w:r>
        <w:rPr>
          <w:sz w:val="18"/>
        </w:rPr>
        <w:t>2006</w:t>
      </w:r>
      <w:r>
        <w:rPr>
          <w:spacing w:val="-14"/>
          <w:sz w:val="18"/>
        </w:rPr>
        <w:t> </w:t>
      </w:r>
      <w:r>
        <w:rPr>
          <w:sz w:val="18"/>
        </w:rPr>
        <w:t>WL</w:t>
      </w:r>
      <w:r>
        <w:rPr>
          <w:spacing w:val="-15"/>
          <w:sz w:val="18"/>
        </w:rPr>
        <w:t> </w:t>
      </w:r>
      <w:r>
        <w:rPr>
          <w:sz w:val="18"/>
        </w:rPr>
        <w:t>2844124 (E.D. Mich. 2006).</w:t>
      </w:r>
    </w:p>
    <w:p>
      <w:pPr>
        <w:spacing w:after="0" w:line="254" w:lineRule="auto"/>
        <w:jc w:val="both"/>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7" w:firstLine="720"/>
        <w:jc w:val="both"/>
      </w:pPr>
      <w:bookmarkStart w:name="Law and Procedure 339" w:id="5"/>
      <w:bookmarkEnd w:id="5"/>
      <w:r>
        <w:rPr/>
      </w:r>
      <w:r>
        <w:rPr/>
        <w:t>Michigan’s current statutory provision</w:t>
      </w:r>
      <w:r>
        <w:rPr>
          <w:spacing w:val="-52"/>
        </w:rPr>
        <w:t> </w:t>
      </w:r>
      <w:r>
        <w:rPr/>
        <w:t>on this issue requires that a “competent, independent appraiser” be chosen upon a written demand, and that appraisers then select a “competent, impartial umpire.” </w:t>
      </w:r>
      <w:r>
        <w:rPr>
          <w:spacing w:val="-5"/>
        </w:rPr>
        <w:t>The </w:t>
      </w:r>
      <w:r>
        <w:rPr/>
        <w:t>court has recently identified the legislature’s intent</w:t>
      </w:r>
      <w:r>
        <w:rPr>
          <w:spacing w:val="-20"/>
        </w:rPr>
        <w:t> </w:t>
      </w:r>
      <w:r>
        <w:rPr/>
        <w:t>in</w:t>
      </w:r>
      <w:r>
        <w:rPr>
          <w:spacing w:val="-17"/>
        </w:rPr>
        <w:t> </w:t>
      </w:r>
      <w:r>
        <w:rPr/>
        <w:t>enacting</w:t>
      </w:r>
      <w:r>
        <w:rPr>
          <w:spacing w:val="-16"/>
        </w:rPr>
        <w:t> </w:t>
      </w:r>
      <w:r>
        <w:rPr/>
        <w:t>this</w:t>
      </w:r>
      <w:r>
        <w:rPr>
          <w:spacing w:val="-14"/>
        </w:rPr>
        <w:t> </w:t>
      </w:r>
      <w:r>
        <w:rPr/>
        <w:t>language,</w:t>
      </w:r>
      <w:r>
        <w:rPr>
          <w:spacing w:val="-12"/>
        </w:rPr>
        <w:t> </w:t>
      </w:r>
      <w:r>
        <w:rPr/>
        <w:t>which</w:t>
      </w:r>
      <w:r>
        <w:rPr>
          <w:spacing w:val="-18"/>
        </w:rPr>
        <w:t> </w:t>
      </w:r>
      <w:r>
        <w:rPr/>
        <w:t>prior</w:t>
      </w:r>
      <w:r>
        <w:rPr>
          <w:spacing w:val="-17"/>
        </w:rPr>
        <w:t> </w:t>
      </w:r>
      <w:r>
        <w:rPr/>
        <w:t>to 1990</w:t>
      </w:r>
      <w:r>
        <w:rPr>
          <w:spacing w:val="-37"/>
        </w:rPr>
        <w:t> </w:t>
      </w:r>
      <w:r>
        <w:rPr/>
        <w:t>required</w:t>
      </w:r>
      <w:r>
        <w:rPr>
          <w:spacing w:val="-35"/>
        </w:rPr>
        <w:t> </w:t>
      </w:r>
      <w:r>
        <w:rPr/>
        <w:t>that</w:t>
      </w:r>
      <w:r>
        <w:rPr>
          <w:spacing w:val="-36"/>
        </w:rPr>
        <w:t> </w:t>
      </w:r>
      <w:r>
        <w:rPr/>
        <w:t>both</w:t>
      </w:r>
      <w:r>
        <w:rPr>
          <w:spacing w:val="-35"/>
        </w:rPr>
        <w:t> </w:t>
      </w:r>
      <w:r>
        <w:rPr/>
        <w:t>appraisers</w:t>
      </w:r>
      <w:r>
        <w:rPr>
          <w:spacing w:val="-34"/>
        </w:rPr>
        <w:t> </w:t>
      </w:r>
      <w:r>
        <w:rPr/>
        <w:t>and</w:t>
      </w:r>
      <w:r>
        <w:rPr>
          <w:spacing w:val="-34"/>
        </w:rPr>
        <w:t> </w:t>
      </w:r>
      <w:r>
        <w:rPr/>
        <w:t>umpires adhere to the same standard of “competent and disinterested.” </w:t>
      </w:r>
      <w:r>
        <w:rPr>
          <w:spacing w:val="3"/>
        </w:rPr>
        <w:t>In </w:t>
      </w:r>
      <w:r>
        <w:rPr/>
        <w:t>the court’s view, the amended language reflects the legislature’s expectation of a higher standard of fairness required</w:t>
      </w:r>
      <w:r>
        <w:rPr>
          <w:spacing w:val="-12"/>
        </w:rPr>
        <w:t> </w:t>
      </w:r>
      <w:r>
        <w:rPr/>
        <w:t>by</w:t>
      </w:r>
      <w:r>
        <w:rPr>
          <w:spacing w:val="-13"/>
        </w:rPr>
        <w:t> </w:t>
      </w:r>
      <w:r>
        <w:rPr/>
        <w:t>an</w:t>
      </w:r>
      <w:r>
        <w:rPr>
          <w:spacing w:val="-8"/>
        </w:rPr>
        <w:t> </w:t>
      </w:r>
      <w:r>
        <w:rPr/>
        <w:t>umpire</w:t>
      </w:r>
      <w:r>
        <w:rPr>
          <w:spacing w:val="-10"/>
        </w:rPr>
        <w:t> </w:t>
      </w:r>
      <w:r>
        <w:rPr/>
        <w:t>than</w:t>
      </w:r>
      <w:r>
        <w:rPr>
          <w:spacing w:val="-11"/>
        </w:rPr>
        <w:t> </w:t>
      </w:r>
      <w:r>
        <w:rPr/>
        <w:t>by</w:t>
      </w:r>
      <w:r>
        <w:rPr>
          <w:spacing w:val="-13"/>
        </w:rPr>
        <w:t> </w:t>
      </w:r>
      <w:r>
        <w:rPr/>
        <w:t>an</w:t>
      </w:r>
      <w:r>
        <w:rPr>
          <w:spacing w:val="-11"/>
        </w:rPr>
        <w:t> </w:t>
      </w:r>
      <w:r>
        <w:rPr>
          <w:spacing w:val="-4"/>
        </w:rPr>
        <w:t>appraiser.</w:t>
      </w:r>
      <w:r>
        <w:rPr>
          <w:spacing w:val="-4"/>
          <w:vertAlign w:val="superscript"/>
        </w:rPr>
        <w:t>721</w:t>
      </w:r>
      <w:r>
        <w:rPr>
          <w:spacing w:val="-4"/>
          <w:vertAlign w:val="baseline"/>
        </w:rPr>
        <w:t> </w:t>
      </w:r>
      <w:r>
        <w:rPr>
          <w:vertAlign w:val="baseline"/>
        </w:rPr>
        <w:t>This view is largely</w:t>
      </w:r>
      <w:r>
        <w:rPr>
          <w:spacing w:val="-11"/>
          <w:vertAlign w:val="baseline"/>
        </w:rPr>
        <w:t> </w:t>
      </w:r>
      <w:r>
        <w:rPr>
          <w:vertAlign w:val="baseline"/>
        </w:rPr>
        <w:t>universal.</w:t>
      </w:r>
    </w:p>
    <w:p>
      <w:pPr>
        <w:pStyle w:val="BodyText"/>
        <w:spacing w:before="9"/>
        <w:rPr>
          <w:sz w:val="25"/>
        </w:rPr>
      </w:pPr>
    </w:p>
    <w:p>
      <w:pPr>
        <w:pStyle w:val="BodyText"/>
        <w:spacing w:line="242" w:lineRule="auto" w:before="1"/>
        <w:ind w:left="1520" w:right="1517" w:firstLine="720"/>
        <w:jc w:val="both"/>
      </w:pPr>
      <w:r>
        <w:rPr/>
        <w:t>With respect to policy </w:t>
      </w:r>
      <w:r>
        <w:rPr>
          <w:spacing w:val="-3"/>
        </w:rPr>
        <w:t>mandated </w:t>
      </w:r>
      <w:r>
        <w:rPr/>
        <w:t>competence, parties are free to specify the credentials of party-appointed appraisers. (Subject, of course, to the Standard Fire Insurance Policy in states where it applies.) Competent</w:t>
      </w:r>
      <w:r>
        <w:rPr>
          <w:spacing w:val="-33"/>
        </w:rPr>
        <w:t> </w:t>
      </w:r>
      <w:r>
        <w:rPr/>
        <w:t>is</w:t>
      </w:r>
      <w:r>
        <w:rPr>
          <w:spacing w:val="-31"/>
        </w:rPr>
        <w:t> </w:t>
      </w:r>
      <w:r>
        <w:rPr/>
        <w:t>not</w:t>
      </w:r>
      <w:r>
        <w:rPr>
          <w:spacing w:val="-34"/>
        </w:rPr>
        <w:t> </w:t>
      </w:r>
      <w:r>
        <w:rPr/>
        <w:t>synonymous</w:t>
      </w:r>
      <w:r>
        <w:rPr>
          <w:spacing w:val="-29"/>
        </w:rPr>
        <w:t> </w:t>
      </w:r>
      <w:r>
        <w:rPr/>
        <w:t>with</w:t>
      </w:r>
      <w:r>
        <w:rPr>
          <w:spacing w:val="-31"/>
        </w:rPr>
        <w:t> </w:t>
      </w:r>
      <w:r>
        <w:rPr/>
        <w:t>neutrality</w:t>
      </w:r>
      <w:r>
        <w:rPr>
          <w:spacing w:val="-33"/>
        </w:rPr>
        <w:t> </w:t>
      </w:r>
      <w:r>
        <w:rPr/>
        <w:t>or independence.</w:t>
      </w:r>
      <w:r>
        <w:rPr>
          <w:spacing w:val="5"/>
        </w:rPr>
        <w:t> </w:t>
      </w:r>
      <w:r>
        <w:rPr>
          <w:spacing w:val="2"/>
        </w:rPr>
        <w:t>An</w:t>
      </w:r>
      <w:r>
        <w:rPr>
          <w:spacing w:val="-32"/>
        </w:rPr>
        <w:t> </w:t>
      </w:r>
      <w:r>
        <w:rPr/>
        <w:t>appraiser</w:t>
      </w:r>
      <w:r>
        <w:rPr>
          <w:spacing w:val="-35"/>
        </w:rPr>
        <w:t> </w:t>
      </w:r>
      <w:r>
        <w:rPr/>
        <w:t>appointed</w:t>
      </w:r>
      <w:r>
        <w:rPr>
          <w:spacing w:val="-32"/>
        </w:rPr>
        <w:t> </w:t>
      </w:r>
      <w:r>
        <w:rPr/>
        <w:t>by</w:t>
      </w:r>
      <w:r>
        <w:rPr>
          <w:spacing w:val="-36"/>
        </w:rPr>
        <w:t> </w:t>
      </w:r>
      <w:r>
        <w:rPr/>
        <w:t>an insured</w:t>
      </w:r>
      <w:r>
        <w:rPr>
          <w:spacing w:val="-28"/>
        </w:rPr>
        <w:t> </w:t>
      </w:r>
      <w:r>
        <w:rPr/>
        <w:t>who</w:t>
      </w:r>
      <w:r>
        <w:rPr>
          <w:spacing w:val="-23"/>
        </w:rPr>
        <w:t> </w:t>
      </w:r>
      <w:r>
        <w:rPr/>
        <w:t>had</w:t>
      </w:r>
      <w:r>
        <w:rPr>
          <w:spacing w:val="-24"/>
        </w:rPr>
        <w:t> </w:t>
      </w:r>
      <w:r>
        <w:rPr/>
        <w:t>experience</w:t>
      </w:r>
      <w:r>
        <w:rPr>
          <w:spacing w:val="-25"/>
        </w:rPr>
        <w:t> </w:t>
      </w:r>
      <w:r>
        <w:rPr/>
        <w:t>in</w:t>
      </w:r>
      <w:r>
        <w:rPr>
          <w:spacing w:val="-24"/>
        </w:rPr>
        <w:t> </w:t>
      </w:r>
      <w:r>
        <w:rPr/>
        <w:t>more</w:t>
      </w:r>
      <w:r>
        <w:rPr>
          <w:spacing w:val="-27"/>
        </w:rPr>
        <w:t> </w:t>
      </w:r>
      <w:r>
        <w:rPr/>
        <w:t>than</w:t>
      </w:r>
      <w:r>
        <w:rPr>
          <w:spacing w:val="-23"/>
        </w:rPr>
        <w:t> </w:t>
      </w:r>
      <w:r>
        <w:rPr/>
        <w:t>1800 appraisals and has been published in the</w:t>
      </w:r>
      <w:r>
        <w:rPr>
          <w:spacing w:val="-31"/>
        </w:rPr>
        <w:t> </w:t>
      </w:r>
      <w:r>
        <w:rPr/>
        <w:t>field of appraisals was found to be competent despite being involved in </w:t>
      </w:r>
      <w:r>
        <w:rPr>
          <w:spacing w:val="2"/>
        </w:rPr>
        <w:t>his </w:t>
      </w:r>
      <w:r>
        <w:rPr/>
        <w:t>own personal lawsuit against the carrier in which he had</w:t>
      </w:r>
      <w:r>
        <w:rPr>
          <w:spacing w:val="-46"/>
        </w:rPr>
        <w:t> </w:t>
      </w:r>
      <w:r>
        <w:rPr/>
        <w:t>the same counsel as the insured, worked on </w:t>
      </w:r>
      <w:r>
        <w:rPr>
          <w:spacing w:val="-11"/>
        </w:rPr>
        <w:t>a </w:t>
      </w:r>
      <w:r>
        <w:rPr/>
        <w:t>contingency</w:t>
      </w:r>
      <w:r>
        <w:rPr>
          <w:spacing w:val="-15"/>
        </w:rPr>
        <w:t> </w:t>
      </w:r>
      <w:r>
        <w:rPr/>
        <w:t>fee</w:t>
      </w:r>
      <w:r>
        <w:rPr>
          <w:spacing w:val="-14"/>
        </w:rPr>
        <w:t> </w:t>
      </w:r>
      <w:r>
        <w:rPr/>
        <w:t>basis</w:t>
      </w:r>
      <w:r>
        <w:rPr>
          <w:spacing w:val="-14"/>
        </w:rPr>
        <w:t> </w:t>
      </w:r>
      <w:r>
        <w:rPr/>
        <w:t>and</w:t>
      </w:r>
      <w:r>
        <w:rPr>
          <w:spacing w:val="-12"/>
        </w:rPr>
        <w:t> </w:t>
      </w:r>
      <w:r>
        <w:rPr/>
        <w:t>had</w:t>
      </w:r>
      <w:r>
        <w:rPr>
          <w:spacing w:val="-15"/>
        </w:rPr>
        <w:t> </w:t>
      </w:r>
      <w:r>
        <w:rPr/>
        <w:t>demonstrated animosity against the carrier. </w:t>
      </w:r>
      <w:r>
        <w:rPr>
          <w:spacing w:val="3"/>
        </w:rPr>
        <w:t>It </w:t>
      </w:r>
      <w:r>
        <w:rPr/>
        <w:t>was held</w:t>
      </w:r>
      <w:r>
        <w:rPr>
          <w:spacing w:val="47"/>
        </w:rPr>
        <w:t> </w:t>
      </w:r>
      <w:r>
        <w:rPr/>
        <w:t>that</w:t>
      </w:r>
    </w:p>
    <w:p>
      <w:pPr>
        <w:pStyle w:val="BodyText"/>
        <w:spacing w:before="8"/>
        <w:rPr>
          <w:sz w:val="15"/>
        </w:rPr>
      </w:pPr>
      <w:r>
        <w:rPr/>
        <w:pict>
          <v:shape style="position:absolute;margin-left:162pt;margin-top:12.010942pt;width:143.9pt;height:.1pt;mso-position-horizontal-relative:page;mso-position-vertical-relative:paragraph;z-index:-251654144;mso-wrap-distance-left:0;mso-wrap-distance-right:0" coordorigin="3240,240" coordsize="2878,0" path="m3240,240l6118,240e" filled="false" stroked="true" strokeweight=".84pt" strokecolor="#000000">
            <v:path arrowok="t"/>
            <v:stroke dashstyle="solid"/>
            <w10:wrap type="topAndBottom"/>
          </v:shape>
        </w:pict>
      </w:r>
    </w:p>
    <w:p>
      <w:pPr>
        <w:pStyle w:val="ListParagraph"/>
        <w:numPr>
          <w:ilvl w:val="0"/>
          <w:numId w:val="1"/>
        </w:numPr>
        <w:tabs>
          <w:tab w:pos="1441" w:val="left" w:leader="none"/>
        </w:tabs>
        <w:spacing w:line="244" w:lineRule="auto" w:before="140" w:after="0"/>
        <w:ind w:left="1160" w:right="1161" w:firstLine="0"/>
        <w:jc w:val="left"/>
        <w:rPr>
          <w:sz w:val="18"/>
        </w:rPr>
      </w:pPr>
      <w:r>
        <w:rPr>
          <w:sz w:val="18"/>
          <w:u w:val="single"/>
        </w:rPr>
        <w:t>Auto-Owners Ins. Co. v. Allied Adjustors &amp; Appraisers</w:t>
      </w:r>
      <w:r>
        <w:rPr>
          <w:sz w:val="18"/>
        </w:rPr>
        <w:t>, 238 Mich. App. </w:t>
      </w:r>
      <w:r>
        <w:rPr>
          <w:spacing w:val="2"/>
          <w:sz w:val="18"/>
        </w:rPr>
        <w:t>394, </w:t>
      </w:r>
      <w:r>
        <w:rPr>
          <w:sz w:val="18"/>
        </w:rPr>
        <w:t>605 N.W.2d 685 (Mich Ct. App. 1999) citing MCL</w:t>
      </w:r>
      <w:r>
        <w:rPr>
          <w:spacing w:val="2"/>
          <w:sz w:val="18"/>
        </w:rPr>
        <w:t> </w:t>
      </w:r>
      <w:r>
        <w:rPr>
          <w:sz w:val="18"/>
        </w:rPr>
        <w:t>500.2833(l)(m).</w:t>
      </w:r>
    </w:p>
    <w:p>
      <w:pPr>
        <w:spacing w:after="0" w:line="244"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20"/>
        <w:jc w:val="both"/>
      </w:pPr>
      <w:bookmarkStart w:name="Law and Procedure 340" w:id="6"/>
      <w:bookmarkEnd w:id="6"/>
      <w:r>
        <w:rPr/>
      </w:r>
      <w:r>
        <w:rPr/>
        <w:t>the appraiser was competent by virtue of his vast experience and was not required to be neutral or unbiased.</w:t>
      </w:r>
      <w:r>
        <w:rPr>
          <w:vertAlign w:val="superscript"/>
        </w:rPr>
        <w:t>722</w:t>
      </w:r>
    </w:p>
    <w:p>
      <w:pPr>
        <w:pStyle w:val="BodyText"/>
        <w:spacing w:before="1"/>
      </w:pPr>
    </w:p>
    <w:p>
      <w:pPr>
        <w:pStyle w:val="BodyText"/>
        <w:spacing w:line="242" w:lineRule="auto"/>
        <w:ind w:left="1520" w:right="1517" w:firstLine="720"/>
        <w:jc w:val="both"/>
      </w:pPr>
      <w:r>
        <w:rPr>
          <w:spacing w:val="3"/>
        </w:rPr>
        <w:t>In </w:t>
      </w:r>
      <w:r>
        <w:rPr/>
        <w:t>that case, where the insurer’s complaint actually centered around the appraiser’s neutrality or independence, the court</w:t>
      </w:r>
      <w:r>
        <w:rPr>
          <w:spacing w:val="-10"/>
        </w:rPr>
        <w:t> </w:t>
      </w:r>
      <w:r>
        <w:rPr/>
        <w:t>found</w:t>
      </w:r>
      <w:r>
        <w:rPr>
          <w:spacing w:val="-8"/>
        </w:rPr>
        <w:t> </w:t>
      </w:r>
      <w:r>
        <w:rPr/>
        <w:t>the</w:t>
      </w:r>
      <w:r>
        <w:rPr>
          <w:spacing w:val="-10"/>
        </w:rPr>
        <w:t> </w:t>
      </w:r>
      <w:r>
        <w:rPr/>
        <w:t>appraiser</w:t>
      </w:r>
      <w:r>
        <w:rPr>
          <w:spacing w:val="-9"/>
        </w:rPr>
        <w:t> </w:t>
      </w:r>
      <w:r>
        <w:rPr/>
        <w:t>to</w:t>
      </w:r>
      <w:r>
        <w:rPr>
          <w:spacing w:val="-9"/>
        </w:rPr>
        <w:t> </w:t>
      </w:r>
      <w:r>
        <w:rPr/>
        <w:t>be</w:t>
      </w:r>
      <w:r>
        <w:rPr>
          <w:spacing w:val="-8"/>
        </w:rPr>
        <w:t> </w:t>
      </w:r>
      <w:r>
        <w:rPr/>
        <w:t>competent</w:t>
      </w:r>
      <w:r>
        <w:rPr>
          <w:spacing w:val="-13"/>
        </w:rPr>
        <w:t> </w:t>
      </w:r>
      <w:r>
        <w:rPr/>
        <w:t>to render an appraisal as the term </w:t>
      </w:r>
      <w:r>
        <w:rPr>
          <w:spacing w:val="2"/>
        </w:rPr>
        <w:t>is </w:t>
      </w:r>
      <w:r>
        <w:rPr/>
        <w:t>ordinarily used. The language in the instant appraisal provision provided only that a “competent” appraiser be selected by the parties without defining the term further. Absent a definition within the policy, the court adhered to the presumption that absent a contractual definition it “must presume that this word was intended to be used in its plain and ordinary way as can be ascertained by reference to a dictionary.” Dictionary definitions included “properly or sufficiently qualified or capable,” “adequate for the purpose”,</w:t>
      </w:r>
      <w:r>
        <w:rPr>
          <w:spacing w:val="-55"/>
        </w:rPr>
        <w:t> </w:t>
      </w:r>
      <w:r>
        <w:rPr/>
        <w:t>“legally qualified or fit to perform an act”, among many others. The court ultimately held that the appraiser’s “unquestionable prior experience and/or expertise” rendered him competent as consistent with these</w:t>
      </w:r>
      <w:r>
        <w:rPr>
          <w:spacing w:val="-5"/>
        </w:rPr>
        <w:t> </w:t>
      </w:r>
      <w:r>
        <w:rPr/>
        <w:t>definitions.</w:t>
      </w:r>
      <w:r>
        <w:rPr>
          <w:vertAlign w:val="superscript"/>
        </w:rPr>
        <w:t>723</w:t>
      </w:r>
    </w:p>
    <w:p>
      <w:pPr>
        <w:pStyle w:val="BodyText"/>
        <w:rPr>
          <w:sz w:val="20"/>
        </w:rPr>
      </w:pPr>
    </w:p>
    <w:p>
      <w:pPr>
        <w:pStyle w:val="BodyText"/>
        <w:rPr>
          <w:sz w:val="20"/>
        </w:rPr>
      </w:pPr>
    </w:p>
    <w:p>
      <w:pPr>
        <w:pStyle w:val="BodyText"/>
        <w:rPr>
          <w:sz w:val="20"/>
        </w:rPr>
      </w:pPr>
    </w:p>
    <w:p>
      <w:pPr>
        <w:pStyle w:val="BodyText"/>
        <w:spacing w:before="12"/>
        <w:rPr>
          <w:sz w:val="16"/>
        </w:rPr>
      </w:pPr>
      <w:r>
        <w:rPr/>
        <w:pict>
          <v:shape style="position:absolute;margin-left:162pt;margin-top:12.819097pt;width:143.9pt;height:.1pt;mso-position-horizontal-relative:page;mso-position-vertical-relative:paragraph;z-index:-251653120;mso-wrap-distance-left:0;mso-wrap-distance-right:0" coordorigin="3240,256" coordsize="2878,0" path="m3240,256l6118,256e" filled="false" stroked="true" strokeweight=".84pt" strokecolor="#000000">
            <v:path arrowok="t"/>
            <v:stroke dashstyle="solid"/>
            <w10:wrap type="topAndBottom"/>
          </v:shape>
        </w:pict>
      </w:r>
    </w:p>
    <w:p>
      <w:pPr>
        <w:pStyle w:val="ListParagraph"/>
        <w:numPr>
          <w:ilvl w:val="0"/>
          <w:numId w:val="1"/>
        </w:numPr>
        <w:tabs>
          <w:tab w:pos="1438" w:val="left" w:leader="none"/>
        </w:tabs>
        <w:spacing w:line="247" w:lineRule="auto" w:before="149" w:after="0"/>
        <w:ind w:left="1160" w:right="1168" w:firstLine="0"/>
        <w:jc w:val="left"/>
        <w:rPr>
          <w:sz w:val="18"/>
        </w:rPr>
      </w:pPr>
      <w:r>
        <w:rPr>
          <w:sz w:val="18"/>
          <w:u w:val="single"/>
        </w:rPr>
        <w:t>Citizens Prop. Ins. Corp. v. M.A. &amp; F. H. </w:t>
      </w:r>
      <w:r>
        <w:rPr>
          <w:spacing w:val="2"/>
          <w:sz w:val="18"/>
          <w:u w:val="single"/>
        </w:rPr>
        <w:t>Prop., </w:t>
      </w:r>
      <w:r>
        <w:rPr>
          <w:sz w:val="18"/>
          <w:u w:val="single"/>
        </w:rPr>
        <w:t>Ltd.</w:t>
      </w:r>
      <w:r>
        <w:rPr>
          <w:sz w:val="18"/>
        </w:rPr>
        <w:t>, 948 So.2d 1017, 32 Fla. L. Weekly D537 (Fla. App. 3 Dist.</w:t>
      </w:r>
      <w:r>
        <w:rPr>
          <w:spacing w:val="-1"/>
          <w:sz w:val="18"/>
        </w:rPr>
        <w:t> </w:t>
      </w:r>
      <w:r>
        <w:rPr>
          <w:sz w:val="18"/>
        </w:rPr>
        <w:t>2007).</w:t>
      </w:r>
    </w:p>
    <w:p>
      <w:pPr>
        <w:pStyle w:val="ListParagraph"/>
        <w:numPr>
          <w:ilvl w:val="0"/>
          <w:numId w:val="1"/>
        </w:numPr>
        <w:tabs>
          <w:tab w:pos="1566" w:val="left" w:leader="none"/>
        </w:tabs>
        <w:spacing w:line="256" w:lineRule="auto" w:before="44" w:after="0"/>
        <w:ind w:left="1160" w:right="1168" w:firstLine="0"/>
        <w:jc w:val="left"/>
        <w:rPr>
          <w:sz w:val="18"/>
        </w:rPr>
      </w:pPr>
      <w:r>
        <w:rPr>
          <w:sz w:val="18"/>
          <w:u w:val="single"/>
        </w:rPr>
        <w:t>Citizens Prop. Ins. Corp. v. M.A. &amp; F.H. Prop,, Ltd.</w:t>
      </w:r>
      <w:r>
        <w:rPr>
          <w:sz w:val="18"/>
        </w:rPr>
        <w:t>, 948 So.2d 1017, 32 Fla. L. Weekly D537 (Fla. 3d DCA,</w:t>
      </w:r>
      <w:r>
        <w:rPr>
          <w:spacing w:val="-2"/>
          <w:sz w:val="18"/>
        </w:rPr>
        <w:t> </w:t>
      </w:r>
      <w:r>
        <w:rPr>
          <w:sz w:val="18"/>
        </w:rPr>
        <w:t>2007).</w:t>
      </w:r>
    </w:p>
    <w:p>
      <w:pPr>
        <w:spacing w:after="0" w:line="256"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20" w:firstLine="720"/>
        <w:jc w:val="both"/>
      </w:pPr>
      <w:bookmarkStart w:name="Law and Procedure 341" w:id="7"/>
      <w:bookmarkEnd w:id="7"/>
      <w:r>
        <w:rPr/>
      </w:r>
      <w:r>
        <w:rPr/>
        <w:t>Attorneys have been deemed competent to act as appraisers, though they can not act as attorney for the party hiring them.</w:t>
      </w:r>
      <w:r>
        <w:rPr>
          <w:vertAlign w:val="superscript"/>
        </w:rPr>
        <w:t>724</w:t>
      </w:r>
    </w:p>
    <w:p>
      <w:pPr>
        <w:pStyle w:val="BodyText"/>
        <w:spacing w:before="1"/>
      </w:pPr>
    </w:p>
    <w:p>
      <w:pPr>
        <w:pStyle w:val="BodyText"/>
        <w:spacing w:line="242" w:lineRule="auto"/>
        <w:ind w:left="1520" w:right="1517" w:firstLine="720"/>
        <w:jc w:val="both"/>
      </w:pPr>
      <w:r>
        <w:rPr>
          <w:spacing w:val="3"/>
        </w:rPr>
        <w:t>In </w:t>
      </w:r>
      <w:r>
        <w:rPr/>
        <w:t>California, lawyers, non-lawyers or those</w:t>
      </w:r>
      <w:r>
        <w:rPr>
          <w:spacing w:val="-17"/>
        </w:rPr>
        <w:t> </w:t>
      </w:r>
      <w:r>
        <w:rPr/>
        <w:t>with</w:t>
      </w:r>
      <w:r>
        <w:rPr>
          <w:spacing w:val="-16"/>
        </w:rPr>
        <w:t> </w:t>
      </w:r>
      <w:r>
        <w:rPr/>
        <w:t>special</w:t>
      </w:r>
      <w:r>
        <w:rPr>
          <w:spacing w:val="-16"/>
        </w:rPr>
        <w:t> </w:t>
      </w:r>
      <w:r>
        <w:rPr/>
        <w:t>expertise</w:t>
      </w:r>
      <w:r>
        <w:rPr>
          <w:spacing w:val="-17"/>
        </w:rPr>
        <w:t> </w:t>
      </w:r>
      <w:r>
        <w:rPr/>
        <w:t>in</w:t>
      </w:r>
      <w:r>
        <w:rPr>
          <w:spacing w:val="-14"/>
        </w:rPr>
        <w:t> </w:t>
      </w:r>
      <w:r>
        <w:rPr/>
        <w:t>a</w:t>
      </w:r>
      <w:r>
        <w:rPr>
          <w:spacing w:val="-16"/>
        </w:rPr>
        <w:t> </w:t>
      </w:r>
      <w:r>
        <w:rPr/>
        <w:t>particular</w:t>
      </w:r>
      <w:r>
        <w:rPr>
          <w:spacing w:val="-17"/>
        </w:rPr>
        <w:t> </w:t>
      </w:r>
      <w:r>
        <w:rPr/>
        <w:t>field have</w:t>
      </w:r>
      <w:r>
        <w:rPr>
          <w:spacing w:val="-27"/>
        </w:rPr>
        <w:t> </w:t>
      </w:r>
      <w:r>
        <w:rPr/>
        <w:t>all</w:t>
      </w:r>
      <w:r>
        <w:rPr>
          <w:spacing w:val="-23"/>
        </w:rPr>
        <w:t> </w:t>
      </w:r>
      <w:r>
        <w:rPr/>
        <w:t>been</w:t>
      </w:r>
      <w:r>
        <w:rPr>
          <w:spacing w:val="-27"/>
        </w:rPr>
        <w:t> </w:t>
      </w:r>
      <w:r>
        <w:rPr/>
        <w:t>held</w:t>
      </w:r>
      <w:r>
        <w:rPr>
          <w:spacing w:val="-23"/>
        </w:rPr>
        <w:t> </w:t>
      </w:r>
      <w:r>
        <w:rPr/>
        <w:t>competent</w:t>
      </w:r>
      <w:r>
        <w:rPr>
          <w:spacing w:val="-26"/>
        </w:rPr>
        <w:t> </w:t>
      </w:r>
      <w:r>
        <w:rPr/>
        <w:t>as</w:t>
      </w:r>
      <w:r>
        <w:rPr>
          <w:spacing w:val="-23"/>
        </w:rPr>
        <w:t> </w:t>
      </w:r>
      <w:r>
        <w:rPr>
          <w:spacing w:val="-4"/>
        </w:rPr>
        <w:t>appraisers.</w:t>
      </w:r>
      <w:r>
        <w:rPr>
          <w:spacing w:val="-4"/>
          <w:vertAlign w:val="superscript"/>
        </w:rPr>
        <w:t>725</w:t>
      </w:r>
    </w:p>
    <w:p>
      <w:pPr>
        <w:pStyle w:val="BodyText"/>
        <w:spacing w:before="1"/>
      </w:pPr>
    </w:p>
    <w:p>
      <w:pPr>
        <w:pStyle w:val="BodyText"/>
        <w:spacing w:line="242" w:lineRule="auto" w:before="1"/>
        <w:ind w:left="1520" w:right="1517" w:firstLine="720"/>
        <w:jc w:val="both"/>
      </w:pPr>
      <w:r>
        <w:rPr/>
        <w:t>The prevailing view as enumerated in </w:t>
      </w:r>
      <w:r>
        <w:rPr>
          <w:u w:val="single"/>
        </w:rPr>
        <w:t>Produce</w:t>
      </w:r>
      <w:r>
        <w:rPr>
          <w:spacing w:val="-36"/>
          <w:u w:val="single"/>
        </w:rPr>
        <w:t> </w:t>
      </w:r>
      <w:r>
        <w:rPr>
          <w:u w:val="single"/>
        </w:rPr>
        <w:t>Refrigerating</w:t>
      </w:r>
      <w:r>
        <w:rPr>
          <w:spacing w:val="-34"/>
          <w:u w:val="single"/>
        </w:rPr>
        <w:t> </w:t>
      </w:r>
      <w:r>
        <w:rPr>
          <w:u w:val="single"/>
        </w:rPr>
        <w:t>Co.</w:t>
      </w:r>
      <w:r>
        <w:rPr>
          <w:spacing w:val="-38"/>
          <w:u w:val="single"/>
        </w:rPr>
        <w:t> </w:t>
      </w:r>
      <w:r>
        <w:rPr>
          <w:u w:val="single"/>
        </w:rPr>
        <w:t>v.</w:t>
      </w:r>
      <w:r>
        <w:rPr>
          <w:spacing w:val="-36"/>
          <w:u w:val="single"/>
        </w:rPr>
        <w:t> </w:t>
      </w:r>
      <w:r>
        <w:rPr>
          <w:u w:val="single"/>
        </w:rPr>
        <w:t>Norwich</w:t>
      </w:r>
      <w:r>
        <w:rPr>
          <w:spacing w:val="-36"/>
          <w:u w:val="single"/>
        </w:rPr>
        <w:t> </w:t>
      </w:r>
      <w:r>
        <w:rPr>
          <w:u w:val="single"/>
        </w:rPr>
        <w:t>Union</w:t>
      </w:r>
      <w:r>
        <w:rPr>
          <w:spacing w:val="-34"/>
          <w:u w:val="single"/>
        </w:rPr>
        <w:t> </w:t>
      </w:r>
      <w:r>
        <w:rPr>
          <w:u w:val="single"/>
        </w:rPr>
        <w:t>Fire</w:t>
      </w:r>
      <w:r>
        <w:rPr/>
        <w:t> </w:t>
      </w:r>
      <w:r>
        <w:rPr>
          <w:u w:val="single"/>
        </w:rPr>
        <w:t>Ins. Co.</w:t>
      </w:r>
      <w:r>
        <w:rPr/>
        <w:t>,</w:t>
      </w:r>
      <w:r>
        <w:rPr>
          <w:vertAlign w:val="superscript"/>
        </w:rPr>
        <w:t>726</w:t>
      </w:r>
      <w:r>
        <w:rPr>
          <w:vertAlign w:val="baseline"/>
        </w:rPr>
        <w:t> is that an appraiser chosen by </w:t>
      </w:r>
      <w:r>
        <w:rPr>
          <w:spacing w:val="-11"/>
          <w:vertAlign w:val="baseline"/>
        </w:rPr>
        <w:t>the </w:t>
      </w:r>
      <w:r>
        <w:rPr>
          <w:vertAlign w:val="baseline"/>
        </w:rPr>
        <w:t>insurer did not meet the fair and disinterested standard where there was evidence that the appraiser received a considerable sum each year from the insurer for his appraisal service. </w:t>
      </w:r>
      <w:r>
        <w:rPr>
          <w:spacing w:val="-3"/>
          <w:vertAlign w:val="baseline"/>
        </w:rPr>
        <w:t>When </w:t>
      </w:r>
      <w:r>
        <w:rPr>
          <w:vertAlign w:val="baseline"/>
        </w:rPr>
        <w:t>an appraiser chosen by the insurer is a professional appraiser for insurers for a considerable amount of time and derives a substantial</w:t>
      </w:r>
      <w:r>
        <w:rPr>
          <w:spacing w:val="-15"/>
          <w:vertAlign w:val="baseline"/>
        </w:rPr>
        <w:t> </w:t>
      </w:r>
      <w:r>
        <w:rPr>
          <w:vertAlign w:val="baseline"/>
        </w:rPr>
        <w:t>amount</w:t>
      </w:r>
      <w:r>
        <w:rPr>
          <w:spacing w:val="-15"/>
          <w:vertAlign w:val="baseline"/>
        </w:rPr>
        <w:t> </w:t>
      </w:r>
      <w:r>
        <w:rPr>
          <w:vertAlign w:val="baseline"/>
        </w:rPr>
        <w:t>of</w:t>
      </w:r>
      <w:r>
        <w:rPr>
          <w:spacing w:val="-12"/>
          <w:vertAlign w:val="baseline"/>
        </w:rPr>
        <w:t> </w:t>
      </w:r>
      <w:r>
        <w:rPr>
          <w:vertAlign w:val="baseline"/>
        </w:rPr>
        <w:t>his</w:t>
      </w:r>
      <w:r>
        <w:rPr>
          <w:spacing w:val="-15"/>
          <w:vertAlign w:val="baseline"/>
        </w:rPr>
        <w:t> </w:t>
      </w:r>
      <w:r>
        <w:rPr>
          <w:vertAlign w:val="baseline"/>
        </w:rPr>
        <w:t>income</w:t>
      </w:r>
      <w:r>
        <w:rPr>
          <w:spacing w:val="-13"/>
          <w:vertAlign w:val="baseline"/>
        </w:rPr>
        <w:t> </w:t>
      </w:r>
      <w:r>
        <w:rPr>
          <w:vertAlign w:val="baseline"/>
        </w:rPr>
        <w:t>from</w:t>
      </w:r>
      <w:r>
        <w:rPr>
          <w:spacing w:val="-13"/>
          <w:vertAlign w:val="baseline"/>
        </w:rPr>
        <w:t> </w:t>
      </w:r>
      <w:r>
        <w:rPr>
          <w:vertAlign w:val="baseline"/>
        </w:rPr>
        <w:t>insurers, he is not deemed a fair and impartial appraiser.</w:t>
      </w:r>
      <w:r>
        <w:rPr>
          <w:vertAlign w:val="superscript"/>
        </w:rPr>
        <w:t>727</w:t>
      </w:r>
    </w:p>
    <w:p>
      <w:pPr>
        <w:pStyle w:val="BodyText"/>
        <w:spacing w:before="10"/>
        <w:rPr>
          <w:sz w:val="25"/>
        </w:rPr>
      </w:pPr>
    </w:p>
    <w:p>
      <w:pPr>
        <w:pStyle w:val="BodyText"/>
        <w:spacing w:line="242" w:lineRule="auto"/>
        <w:ind w:left="1520" w:right="1520" w:firstLine="720"/>
        <w:jc w:val="both"/>
      </w:pPr>
      <w:r>
        <w:rPr/>
        <w:t>One California court criticized an </w:t>
      </w:r>
      <w:r>
        <w:rPr>
          <w:spacing w:val="-3"/>
        </w:rPr>
        <w:t>overly rigorous</w:t>
      </w:r>
      <w:r>
        <w:rPr>
          <w:spacing w:val="-34"/>
        </w:rPr>
        <w:t> </w:t>
      </w:r>
      <w:r>
        <w:rPr>
          <w:spacing w:val="-3"/>
        </w:rPr>
        <w:t>standard.</w:t>
      </w:r>
      <w:r>
        <w:rPr>
          <w:spacing w:val="8"/>
        </w:rPr>
        <w:t> </w:t>
      </w:r>
      <w:r>
        <w:rPr/>
        <w:t>There,</w:t>
      </w:r>
      <w:r>
        <w:rPr>
          <w:spacing w:val="-34"/>
        </w:rPr>
        <w:t> </w:t>
      </w:r>
      <w:r>
        <w:rPr/>
        <w:t>an</w:t>
      </w:r>
      <w:r>
        <w:rPr>
          <w:spacing w:val="-32"/>
        </w:rPr>
        <w:t> </w:t>
      </w:r>
      <w:r>
        <w:rPr/>
        <w:t>insured’s</w:t>
      </w:r>
      <w:r>
        <w:rPr>
          <w:spacing w:val="-32"/>
        </w:rPr>
        <w:t> </w:t>
      </w:r>
      <w:r>
        <w:rPr/>
        <w:t>appraiser disclosed</w:t>
      </w:r>
      <w:r>
        <w:rPr>
          <w:spacing w:val="45"/>
        </w:rPr>
        <w:t> </w:t>
      </w:r>
      <w:r>
        <w:rPr/>
        <w:t>that</w:t>
      </w:r>
      <w:r>
        <w:rPr>
          <w:spacing w:val="47"/>
        </w:rPr>
        <w:t> </w:t>
      </w:r>
      <w:r>
        <w:rPr/>
        <w:t>he</w:t>
      </w:r>
      <w:r>
        <w:rPr>
          <w:spacing w:val="45"/>
        </w:rPr>
        <w:t> </w:t>
      </w:r>
      <w:r>
        <w:rPr/>
        <w:t>lacked</w:t>
      </w:r>
      <w:r>
        <w:rPr>
          <w:spacing w:val="45"/>
        </w:rPr>
        <w:t> </w:t>
      </w:r>
      <w:r>
        <w:rPr/>
        <w:t>a</w:t>
      </w:r>
      <w:r>
        <w:rPr>
          <w:spacing w:val="45"/>
        </w:rPr>
        <w:t> </w:t>
      </w:r>
      <w:r>
        <w:rPr/>
        <w:t>financial</w:t>
      </w:r>
      <w:r>
        <w:rPr>
          <w:spacing w:val="44"/>
        </w:rPr>
        <w:t> </w:t>
      </w:r>
      <w:r>
        <w:rPr/>
        <w:t>interest</w:t>
      </w:r>
    </w:p>
    <w:p>
      <w:pPr>
        <w:pStyle w:val="BodyText"/>
        <w:rPr>
          <w:sz w:val="20"/>
        </w:rPr>
      </w:pPr>
    </w:p>
    <w:p>
      <w:pPr>
        <w:pStyle w:val="BodyText"/>
        <w:spacing w:before="5"/>
        <w:rPr>
          <w:sz w:val="14"/>
        </w:rPr>
      </w:pPr>
      <w:r>
        <w:rPr/>
        <w:pict>
          <v:shape style="position:absolute;margin-left:162pt;margin-top:11.272397pt;width:143.9pt;height:.1pt;mso-position-horizontal-relative:page;mso-position-vertical-relative:paragraph;z-index:-251652096;mso-wrap-distance-left:0;mso-wrap-distance-right:0" coordorigin="3240,225" coordsize="2878,0" path="m3240,225l6118,225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
        </w:numPr>
        <w:tabs>
          <w:tab w:pos="1447" w:val="left" w:leader="none"/>
        </w:tabs>
        <w:spacing w:line="261" w:lineRule="auto" w:before="71" w:after="0"/>
        <w:ind w:left="1160" w:right="1168" w:firstLine="0"/>
        <w:jc w:val="left"/>
        <w:rPr>
          <w:sz w:val="18"/>
        </w:rPr>
      </w:pPr>
      <w:r>
        <w:rPr>
          <w:sz w:val="18"/>
          <w:u w:val="single"/>
        </w:rPr>
        <w:t>Glens Falls Ins. Co. of N.Y. v. Garner</w:t>
      </w:r>
      <w:r>
        <w:rPr>
          <w:sz w:val="18"/>
        </w:rPr>
        <w:t>, 229 Ala. 39, 155 So. 533 (1934); Couch on Insurance, §15:134 (2d rev. ed.</w:t>
      </w:r>
      <w:r>
        <w:rPr>
          <w:spacing w:val="2"/>
          <w:sz w:val="18"/>
        </w:rPr>
        <w:t> </w:t>
      </w:r>
      <w:r>
        <w:rPr>
          <w:sz w:val="18"/>
        </w:rPr>
        <w:t>1982).</w:t>
      </w:r>
    </w:p>
    <w:p>
      <w:pPr>
        <w:pStyle w:val="ListParagraph"/>
        <w:numPr>
          <w:ilvl w:val="0"/>
          <w:numId w:val="1"/>
        </w:numPr>
        <w:tabs>
          <w:tab w:pos="1426" w:val="left" w:leader="none"/>
        </w:tabs>
        <w:spacing w:line="226" w:lineRule="exact" w:before="29" w:after="0"/>
        <w:ind w:left="1160" w:right="1163" w:firstLine="0"/>
        <w:jc w:val="left"/>
        <w:rPr>
          <w:sz w:val="18"/>
        </w:rPr>
      </w:pPr>
      <w:r>
        <w:rPr>
          <w:sz w:val="18"/>
          <w:u w:val="single"/>
        </w:rPr>
        <w:t>Gear</w:t>
      </w:r>
      <w:r>
        <w:rPr>
          <w:spacing w:val="-12"/>
          <w:sz w:val="18"/>
          <w:u w:val="single"/>
        </w:rPr>
        <w:t> </w:t>
      </w:r>
      <w:r>
        <w:rPr>
          <w:sz w:val="18"/>
          <w:u w:val="single"/>
        </w:rPr>
        <w:t>v.</w:t>
      </w:r>
      <w:r>
        <w:rPr>
          <w:spacing w:val="-9"/>
          <w:sz w:val="18"/>
          <w:u w:val="single"/>
        </w:rPr>
        <w:t> </w:t>
      </w:r>
      <w:r>
        <w:rPr>
          <w:sz w:val="18"/>
          <w:u w:val="single"/>
        </w:rPr>
        <w:t>Webster</w:t>
      </w:r>
      <w:r>
        <w:rPr>
          <w:sz w:val="18"/>
        </w:rPr>
        <w:t>,</w:t>
      </w:r>
      <w:r>
        <w:rPr>
          <w:spacing w:val="-10"/>
          <w:sz w:val="18"/>
        </w:rPr>
        <w:t> </w:t>
      </w:r>
      <w:r>
        <w:rPr>
          <w:sz w:val="18"/>
        </w:rPr>
        <w:t>258</w:t>
      </w:r>
      <w:r>
        <w:rPr>
          <w:spacing w:val="-8"/>
          <w:sz w:val="18"/>
        </w:rPr>
        <w:t> </w:t>
      </w:r>
      <w:r>
        <w:rPr>
          <w:sz w:val="18"/>
        </w:rPr>
        <w:t>Cal.</w:t>
      </w:r>
      <w:r>
        <w:rPr>
          <w:spacing w:val="-8"/>
          <w:sz w:val="18"/>
        </w:rPr>
        <w:t> </w:t>
      </w:r>
      <w:r>
        <w:rPr>
          <w:sz w:val="18"/>
        </w:rPr>
        <w:t>App.2d</w:t>
      </w:r>
      <w:r>
        <w:rPr>
          <w:spacing w:val="-6"/>
          <w:sz w:val="18"/>
        </w:rPr>
        <w:t> </w:t>
      </w:r>
      <w:r>
        <w:rPr>
          <w:sz w:val="18"/>
        </w:rPr>
        <w:t>57,</w:t>
      </w:r>
      <w:r>
        <w:rPr>
          <w:spacing w:val="-6"/>
          <w:sz w:val="18"/>
        </w:rPr>
        <w:t> </w:t>
      </w:r>
      <w:r>
        <w:rPr>
          <w:sz w:val="18"/>
        </w:rPr>
        <w:t>63</w:t>
      </w:r>
      <w:r>
        <w:rPr>
          <w:spacing w:val="-6"/>
          <w:sz w:val="18"/>
        </w:rPr>
        <w:t> </w:t>
      </w:r>
      <w:r>
        <w:rPr>
          <w:sz w:val="18"/>
        </w:rPr>
        <w:t>(1968)</w:t>
      </w:r>
      <w:r>
        <w:rPr>
          <w:spacing w:val="-8"/>
          <w:sz w:val="18"/>
        </w:rPr>
        <w:t> </w:t>
      </w:r>
      <w:r>
        <w:rPr>
          <w:sz w:val="18"/>
        </w:rPr>
        <w:t>(real</w:t>
      </w:r>
      <w:r>
        <w:rPr>
          <w:spacing w:val="-8"/>
          <w:sz w:val="18"/>
        </w:rPr>
        <w:t> </w:t>
      </w:r>
      <w:r>
        <w:rPr>
          <w:sz w:val="18"/>
        </w:rPr>
        <w:t>estate</w:t>
      </w:r>
      <w:r>
        <w:rPr>
          <w:spacing w:val="-9"/>
          <w:sz w:val="18"/>
        </w:rPr>
        <w:t> </w:t>
      </w:r>
      <w:r>
        <w:rPr>
          <w:sz w:val="18"/>
        </w:rPr>
        <w:t>agents</w:t>
      </w:r>
      <w:r>
        <w:rPr>
          <w:spacing w:val="-7"/>
          <w:sz w:val="18"/>
        </w:rPr>
        <w:t> </w:t>
      </w:r>
      <w:r>
        <w:rPr>
          <w:sz w:val="18"/>
        </w:rPr>
        <w:t>and</w:t>
      </w:r>
      <w:r>
        <w:rPr>
          <w:spacing w:val="-6"/>
          <w:sz w:val="18"/>
        </w:rPr>
        <w:t> </w:t>
      </w:r>
      <w:r>
        <w:rPr>
          <w:sz w:val="18"/>
        </w:rPr>
        <w:t>brokers</w:t>
      </w:r>
      <w:r>
        <w:rPr>
          <w:spacing w:val="-12"/>
          <w:sz w:val="18"/>
        </w:rPr>
        <w:t> </w:t>
      </w:r>
      <w:r>
        <w:rPr>
          <w:sz w:val="18"/>
        </w:rPr>
        <w:t>are</w:t>
      </w:r>
      <w:r>
        <w:rPr>
          <w:spacing w:val="-11"/>
          <w:sz w:val="18"/>
        </w:rPr>
        <w:t> </w:t>
      </w:r>
      <w:r>
        <w:rPr>
          <w:sz w:val="18"/>
        </w:rPr>
        <w:t>held competent as</w:t>
      </w:r>
      <w:r>
        <w:rPr>
          <w:spacing w:val="-1"/>
          <w:sz w:val="18"/>
        </w:rPr>
        <w:t> </w:t>
      </w:r>
      <w:r>
        <w:rPr>
          <w:sz w:val="18"/>
        </w:rPr>
        <w:t>appraisers).</w:t>
      </w:r>
    </w:p>
    <w:p>
      <w:pPr>
        <w:spacing w:line="205" w:lineRule="exact" w:before="0"/>
        <w:ind w:left="1160" w:right="0" w:firstLine="0"/>
        <w:jc w:val="left"/>
        <w:rPr>
          <w:rFonts w:ascii="Times New Roman"/>
          <w:sz w:val="18"/>
        </w:rPr>
      </w:pPr>
      <w:r>
        <w:rPr>
          <w:rFonts w:ascii="Times New Roman"/>
          <w:position w:val="10"/>
          <w:sz w:val="14"/>
        </w:rPr>
        <w:t>726 </w:t>
      </w:r>
      <w:r>
        <w:rPr>
          <w:rFonts w:ascii="Times New Roman"/>
          <w:sz w:val="18"/>
        </w:rPr>
        <w:t>91 Minn. 210, 97 N.W. 875 (1904).</w:t>
      </w:r>
    </w:p>
    <w:p>
      <w:pPr>
        <w:pStyle w:val="ListParagraph"/>
        <w:numPr>
          <w:ilvl w:val="0"/>
          <w:numId w:val="2"/>
        </w:numPr>
        <w:tabs>
          <w:tab w:pos="1402" w:val="left" w:leader="none"/>
        </w:tabs>
        <w:spacing w:line="269" w:lineRule="exact" w:before="0" w:after="0"/>
        <w:ind w:left="1401" w:right="0" w:hanging="242"/>
        <w:jc w:val="left"/>
        <w:rPr>
          <w:sz w:val="18"/>
        </w:rPr>
      </w:pPr>
      <w:r>
        <w:rPr>
          <w:sz w:val="18"/>
          <w:u w:val="single"/>
        </w:rPr>
        <w:t>Mason v. Fire Assoc. of Philadelphia</w:t>
      </w:r>
      <w:r>
        <w:rPr>
          <w:sz w:val="18"/>
        </w:rPr>
        <w:t>, 23 S.D. 431, 122 N.W. 423</w:t>
      </w:r>
      <w:r>
        <w:rPr>
          <w:spacing w:val="20"/>
          <w:sz w:val="18"/>
        </w:rPr>
        <w:t> </w:t>
      </w:r>
      <w:r>
        <w:rPr>
          <w:sz w:val="18"/>
        </w:rPr>
        <w:t>(1909).</w:t>
      </w:r>
    </w:p>
    <w:p>
      <w:pPr>
        <w:spacing w:after="0" w:line="269" w:lineRule="exact"/>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6"/>
        <w:jc w:val="both"/>
      </w:pPr>
      <w:bookmarkStart w:name="Law and Procedure 342" w:id="8"/>
      <w:bookmarkEnd w:id="8"/>
      <w:r>
        <w:rPr/>
      </w:r>
      <w:r>
        <w:rPr/>
        <w:t>and</w:t>
      </w:r>
      <w:r>
        <w:rPr>
          <w:spacing w:val="-10"/>
        </w:rPr>
        <w:t> </w:t>
      </w:r>
      <w:r>
        <w:rPr/>
        <w:t>had</w:t>
      </w:r>
      <w:r>
        <w:rPr>
          <w:spacing w:val="-10"/>
        </w:rPr>
        <w:t> </w:t>
      </w:r>
      <w:r>
        <w:rPr/>
        <w:t>no</w:t>
      </w:r>
      <w:r>
        <w:rPr>
          <w:spacing w:val="-9"/>
        </w:rPr>
        <w:t> </w:t>
      </w:r>
      <w:r>
        <w:rPr/>
        <w:t>prior</w:t>
      </w:r>
      <w:r>
        <w:rPr>
          <w:spacing w:val="-11"/>
        </w:rPr>
        <w:t> </w:t>
      </w:r>
      <w:r>
        <w:rPr/>
        <w:t>dealings</w:t>
      </w:r>
      <w:r>
        <w:rPr>
          <w:spacing w:val="-11"/>
        </w:rPr>
        <w:t> </w:t>
      </w:r>
      <w:r>
        <w:rPr/>
        <w:t>with</w:t>
      </w:r>
      <w:r>
        <w:rPr>
          <w:spacing w:val="-9"/>
        </w:rPr>
        <w:t> </w:t>
      </w:r>
      <w:r>
        <w:rPr/>
        <w:t>the</w:t>
      </w:r>
      <w:r>
        <w:rPr>
          <w:spacing w:val="-10"/>
        </w:rPr>
        <w:t> </w:t>
      </w:r>
      <w:r>
        <w:rPr/>
        <w:t>parties,</w:t>
      </w:r>
      <w:r>
        <w:rPr>
          <w:spacing w:val="-10"/>
        </w:rPr>
        <w:t> </w:t>
      </w:r>
      <w:r>
        <w:rPr/>
        <w:t>but was working at the time as an expert for a different</w:t>
      </w:r>
      <w:r>
        <w:rPr>
          <w:spacing w:val="-9"/>
        </w:rPr>
        <w:t> </w:t>
      </w:r>
      <w:r>
        <w:rPr/>
        <w:t>client</w:t>
      </w:r>
      <w:r>
        <w:rPr>
          <w:spacing w:val="-10"/>
        </w:rPr>
        <w:t> </w:t>
      </w:r>
      <w:r>
        <w:rPr/>
        <w:t>of</w:t>
      </w:r>
      <w:r>
        <w:rPr>
          <w:spacing w:val="-7"/>
        </w:rPr>
        <w:t> </w:t>
      </w:r>
      <w:r>
        <w:rPr/>
        <w:t>the</w:t>
      </w:r>
      <w:r>
        <w:rPr>
          <w:spacing w:val="-7"/>
        </w:rPr>
        <w:t> </w:t>
      </w:r>
      <w:r>
        <w:rPr/>
        <w:t>law</w:t>
      </w:r>
      <w:r>
        <w:rPr>
          <w:spacing w:val="-11"/>
        </w:rPr>
        <w:t> </w:t>
      </w:r>
      <w:r>
        <w:rPr/>
        <w:t>firm</w:t>
      </w:r>
      <w:r>
        <w:rPr>
          <w:spacing w:val="-10"/>
        </w:rPr>
        <w:t> </w:t>
      </w:r>
      <w:r>
        <w:rPr/>
        <w:t>representing</w:t>
      </w:r>
      <w:r>
        <w:rPr>
          <w:spacing w:val="-7"/>
        </w:rPr>
        <w:t> </w:t>
      </w:r>
      <w:r>
        <w:rPr/>
        <w:t>the insureds. The court cited a United States </w:t>
      </w:r>
      <w:r>
        <w:rPr>
          <w:spacing w:val="5"/>
        </w:rPr>
        <w:t>Supreme Court </w:t>
      </w:r>
      <w:r>
        <w:rPr>
          <w:spacing w:val="4"/>
        </w:rPr>
        <w:t>holding </w:t>
      </w:r>
      <w:r>
        <w:rPr>
          <w:spacing w:val="3"/>
        </w:rPr>
        <w:t>that </w:t>
      </w:r>
      <w:r>
        <w:rPr>
          <w:spacing w:val="6"/>
        </w:rPr>
        <w:t>impartial </w:t>
      </w:r>
      <w:r>
        <w:rPr/>
        <w:t>arbitrators are required to disclose dealings which may “‘create an impression of possible bias’”, an objective test. </w:t>
      </w:r>
      <w:r>
        <w:rPr>
          <w:spacing w:val="2"/>
        </w:rPr>
        <w:t>It </w:t>
      </w:r>
      <w:r>
        <w:rPr/>
        <w:t>cited a frequent cause of such </w:t>
      </w:r>
      <w:r>
        <w:rPr>
          <w:spacing w:val="2"/>
        </w:rPr>
        <w:t>bias </w:t>
      </w:r>
      <w:r>
        <w:rPr/>
        <w:t>to be a present or past business</w:t>
      </w:r>
      <w:r>
        <w:rPr>
          <w:spacing w:val="-35"/>
        </w:rPr>
        <w:t> </w:t>
      </w:r>
      <w:r>
        <w:rPr>
          <w:spacing w:val="-3"/>
        </w:rPr>
        <w:t>relationship</w:t>
      </w:r>
      <w:r>
        <w:rPr>
          <w:spacing w:val="-33"/>
        </w:rPr>
        <w:t> </w:t>
      </w:r>
      <w:r>
        <w:rPr>
          <w:spacing w:val="-4"/>
        </w:rPr>
        <w:t>between</w:t>
      </w:r>
      <w:r>
        <w:rPr>
          <w:spacing w:val="-34"/>
        </w:rPr>
        <w:t> </w:t>
      </w:r>
      <w:r>
        <w:rPr/>
        <w:t>an</w:t>
      </w:r>
      <w:r>
        <w:rPr>
          <w:spacing w:val="-34"/>
        </w:rPr>
        <w:t> </w:t>
      </w:r>
      <w:r>
        <w:rPr/>
        <w:t>arbitrator</w:t>
      </w:r>
      <w:r>
        <w:rPr>
          <w:spacing w:val="-34"/>
        </w:rPr>
        <w:t> </w:t>
      </w:r>
      <w:r>
        <w:rPr/>
        <w:t>and a party, witness or counsel. </w:t>
      </w:r>
      <w:r>
        <w:rPr>
          <w:spacing w:val="-3"/>
        </w:rPr>
        <w:t>The </w:t>
      </w:r>
      <w:r>
        <w:rPr/>
        <w:t>court noted that</w:t>
      </w:r>
      <w:r>
        <w:rPr>
          <w:spacing w:val="-20"/>
        </w:rPr>
        <w:t> </w:t>
      </w:r>
      <w:r>
        <w:rPr/>
        <w:t>the</w:t>
      </w:r>
      <w:r>
        <w:rPr>
          <w:spacing w:val="-17"/>
        </w:rPr>
        <w:t> </w:t>
      </w:r>
      <w:r>
        <w:rPr/>
        <w:t>relationship</w:t>
      </w:r>
      <w:r>
        <w:rPr>
          <w:spacing w:val="-17"/>
        </w:rPr>
        <w:t> </w:t>
      </w:r>
      <w:r>
        <w:rPr/>
        <w:t>must</w:t>
      </w:r>
      <w:r>
        <w:rPr>
          <w:spacing w:val="-20"/>
        </w:rPr>
        <w:t> </w:t>
      </w:r>
      <w:r>
        <w:rPr/>
        <w:t>be</w:t>
      </w:r>
      <w:r>
        <w:rPr>
          <w:spacing w:val="-19"/>
        </w:rPr>
        <w:t> </w:t>
      </w:r>
      <w:r>
        <w:rPr/>
        <w:t>a</w:t>
      </w:r>
      <w:r>
        <w:rPr>
          <w:spacing w:val="-19"/>
        </w:rPr>
        <w:t> </w:t>
      </w:r>
      <w:r>
        <w:rPr/>
        <w:t>substantial</w:t>
      </w:r>
      <w:r>
        <w:rPr>
          <w:spacing w:val="-18"/>
        </w:rPr>
        <w:t> </w:t>
      </w:r>
      <w:r>
        <w:rPr/>
        <w:t>one; it deemed the compensation for services as relevant</w:t>
      </w:r>
      <w:r>
        <w:rPr>
          <w:spacing w:val="-16"/>
        </w:rPr>
        <w:t> </w:t>
      </w:r>
      <w:r>
        <w:rPr/>
        <w:t>to</w:t>
      </w:r>
      <w:r>
        <w:rPr>
          <w:spacing w:val="-16"/>
        </w:rPr>
        <w:t> </w:t>
      </w:r>
      <w:r>
        <w:rPr/>
        <w:t>one’s</w:t>
      </w:r>
      <w:r>
        <w:rPr>
          <w:spacing w:val="-15"/>
        </w:rPr>
        <w:t> </w:t>
      </w:r>
      <w:r>
        <w:rPr/>
        <w:t>ability</w:t>
      </w:r>
      <w:r>
        <w:rPr>
          <w:spacing w:val="-17"/>
        </w:rPr>
        <w:t> </w:t>
      </w:r>
      <w:r>
        <w:rPr/>
        <w:t>to</w:t>
      </w:r>
      <w:r>
        <w:rPr>
          <w:spacing w:val="-15"/>
        </w:rPr>
        <w:t> </w:t>
      </w:r>
      <w:r>
        <w:rPr/>
        <w:t>serve</w:t>
      </w:r>
      <w:r>
        <w:rPr>
          <w:spacing w:val="-20"/>
        </w:rPr>
        <w:t> </w:t>
      </w:r>
      <w:r>
        <w:rPr/>
        <w:t>impartially</w:t>
      </w:r>
      <w:r>
        <w:rPr>
          <w:spacing w:val="-14"/>
        </w:rPr>
        <w:t> </w:t>
      </w:r>
      <w:r>
        <w:rPr/>
        <w:t>but not</w:t>
      </w:r>
      <w:r>
        <w:rPr>
          <w:spacing w:val="-29"/>
        </w:rPr>
        <w:t> </w:t>
      </w:r>
      <w:r>
        <w:rPr/>
        <w:t>determinative</w:t>
      </w:r>
      <w:r>
        <w:rPr>
          <w:spacing w:val="-31"/>
        </w:rPr>
        <w:t> </w:t>
      </w:r>
      <w:r>
        <w:rPr/>
        <w:t>in</w:t>
      </w:r>
      <w:r>
        <w:rPr>
          <w:spacing w:val="-30"/>
        </w:rPr>
        <w:t> </w:t>
      </w:r>
      <w:r>
        <w:rPr/>
        <w:t>the</w:t>
      </w:r>
      <w:r>
        <w:rPr>
          <w:spacing w:val="-27"/>
        </w:rPr>
        <w:t> </w:t>
      </w:r>
      <w:r>
        <w:rPr/>
        <w:t>instant</w:t>
      </w:r>
      <w:r>
        <w:rPr>
          <w:spacing w:val="-27"/>
        </w:rPr>
        <w:t> </w:t>
      </w:r>
      <w:r>
        <w:rPr/>
        <w:t>case,</w:t>
      </w:r>
      <w:r>
        <w:rPr>
          <w:spacing w:val="-28"/>
        </w:rPr>
        <w:t> </w:t>
      </w:r>
      <w:r>
        <w:rPr/>
        <w:t>since</w:t>
      </w:r>
      <w:r>
        <w:rPr>
          <w:spacing w:val="-29"/>
        </w:rPr>
        <w:t> </w:t>
      </w:r>
      <w:r>
        <w:rPr/>
        <w:t>any party-selected appraiser must be paid by the retaining party. </w:t>
      </w:r>
      <w:r>
        <w:rPr>
          <w:spacing w:val="2"/>
        </w:rPr>
        <w:t>In </w:t>
      </w:r>
      <w:r>
        <w:rPr/>
        <w:t>short, “[i]mposing overly </w:t>
      </w:r>
      <w:r>
        <w:rPr>
          <w:spacing w:val="-3"/>
        </w:rPr>
        <w:t>rigorous</w:t>
      </w:r>
      <w:r>
        <w:rPr>
          <w:spacing w:val="-34"/>
        </w:rPr>
        <w:t> </w:t>
      </w:r>
      <w:r>
        <w:rPr>
          <w:spacing w:val="-3"/>
        </w:rPr>
        <w:t>standards</w:t>
      </w:r>
      <w:r>
        <w:rPr>
          <w:spacing w:val="-34"/>
        </w:rPr>
        <w:t> </w:t>
      </w:r>
      <w:r>
        <w:rPr/>
        <w:t>on</w:t>
      </w:r>
      <w:r>
        <w:rPr>
          <w:spacing w:val="-34"/>
        </w:rPr>
        <w:t> </w:t>
      </w:r>
      <w:r>
        <w:rPr>
          <w:spacing w:val="-3"/>
        </w:rPr>
        <w:t>party-selected</w:t>
      </w:r>
      <w:r>
        <w:rPr>
          <w:spacing w:val="-33"/>
        </w:rPr>
        <w:t> </w:t>
      </w:r>
      <w:r>
        <w:rPr/>
        <w:t>appraisers in</w:t>
      </w:r>
      <w:r>
        <w:rPr>
          <w:spacing w:val="-18"/>
        </w:rPr>
        <w:t> </w:t>
      </w:r>
      <w:r>
        <w:rPr/>
        <w:t>informal</w:t>
      </w:r>
      <w:r>
        <w:rPr>
          <w:spacing w:val="-17"/>
        </w:rPr>
        <w:t> </w:t>
      </w:r>
      <w:r>
        <w:rPr/>
        <w:t>proceedings…would</w:t>
      </w:r>
      <w:r>
        <w:rPr>
          <w:spacing w:val="-16"/>
        </w:rPr>
        <w:t> </w:t>
      </w:r>
      <w:r>
        <w:rPr/>
        <w:t>be</w:t>
      </w:r>
      <w:r>
        <w:rPr>
          <w:spacing w:val="-18"/>
        </w:rPr>
        <w:t> </w:t>
      </w:r>
      <w:r>
        <w:rPr/>
        <w:t>both</w:t>
      </w:r>
      <w:r>
        <w:rPr>
          <w:spacing w:val="-20"/>
        </w:rPr>
        <w:t> </w:t>
      </w:r>
      <w:r>
        <w:rPr/>
        <w:t>short- sighted and naïve </w:t>
      </w:r>
      <w:r>
        <w:rPr>
          <w:spacing w:val="2"/>
        </w:rPr>
        <w:t>about </w:t>
      </w:r>
      <w:r>
        <w:rPr/>
        <w:t>the realities of modern litigation</w:t>
      </w:r>
      <w:r>
        <w:rPr>
          <w:spacing w:val="-3"/>
        </w:rPr>
        <w:t> </w:t>
      </w:r>
      <w:r>
        <w:rPr/>
        <w:t>practices.”</w:t>
      </w:r>
      <w:r>
        <w:rPr>
          <w:vertAlign w:val="superscript"/>
        </w:rPr>
        <w:t>728</w:t>
      </w:r>
    </w:p>
    <w:p>
      <w:pPr>
        <w:pStyle w:val="BodyText"/>
        <w:spacing w:before="7"/>
        <w:rPr>
          <w:sz w:val="25"/>
        </w:rPr>
      </w:pPr>
    </w:p>
    <w:p>
      <w:pPr>
        <w:pStyle w:val="BodyText"/>
        <w:spacing w:line="242" w:lineRule="auto"/>
        <w:ind w:left="1520" w:right="1516" w:firstLine="720"/>
        <w:jc w:val="both"/>
      </w:pPr>
      <w:r>
        <w:rPr>
          <w:spacing w:val="3"/>
        </w:rPr>
        <w:t>It</w:t>
      </w:r>
      <w:r>
        <w:rPr>
          <w:spacing w:val="-15"/>
        </w:rPr>
        <w:t> </w:t>
      </w:r>
      <w:r>
        <w:rPr/>
        <w:t>has</w:t>
      </w:r>
      <w:r>
        <w:rPr>
          <w:spacing w:val="-11"/>
        </w:rPr>
        <w:t> </w:t>
      </w:r>
      <w:r>
        <w:rPr/>
        <w:t>been</w:t>
      </w:r>
      <w:r>
        <w:rPr>
          <w:spacing w:val="-12"/>
        </w:rPr>
        <w:t> </w:t>
      </w:r>
      <w:r>
        <w:rPr/>
        <w:t>held</w:t>
      </w:r>
      <w:r>
        <w:rPr>
          <w:spacing w:val="-12"/>
        </w:rPr>
        <w:t> </w:t>
      </w:r>
      <w:r>
        <w:rPr/>
        <w:t>that</w:t>
      </w:r>
      <w:r>
        <w:rPr>
          <w:spacing w:val="-13"/>
        </w:rPr>
        <w:t> </w:t>
      </w:r>
      <w:r>
        <w:rPr/>
        <w:t>if</w:t>
      </w:r>
      <w:r>
        <w:rPr>
          <w:spacing w:val="-12"/>
        </w:rPr>
        <w:t> </w:t>
      </w:r>
      <w:r>
        <w:rPr/>
        <w:t>the</w:t>
      </w:r>
      <w:r>
        <w:rPr>
          <w:spacing w:val="-12"/>
        </w:rPr>
        <w:t> </w:t>
      </w:r>
      <w:r>
        <w:rPr/>
        <w:t>insured</w:t>
      </w:r>
      <w:r>
        <w:rPr>
          <w:spacing w:val="-14"/>
        </w:rPr>
        <w:t> </w:t>
      </w:r>
      <w:r>
        <w:rPr/>
        <w:t>knows or has reason to know that the appraiser selected by the insurance company is </w:t>
      </w:r>
      <w:r>
        <w:rPr>
          <w:spacing w:val="-4"/>
        </w:rPr>
        <w:t>not </w:t>
      </w:r>
      <w:r>
        <w:rPr/>
        <w:t>disinterested but fails to assert</w:t>
      </w:r>
      <w:r>
        <w:rPr>
          <w:spacing w:val="56"/>
        </w:rPr>
        <w:t> </w:t>
      </w:r>
      <w:r>
        <w:rPr/>
        <w:t>a challenge,</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4"/>
        </w:rPr>
      </w:pPr>
      <w:r>
        <w:rPr/>
        <w:pict>
          <v:shape style="position:absolute;margin-left:162pt;margin-top:11.431392pt;width:143.9pt;height:.1pt;mso-position-horizontal-relative:page;mso-position-vertical-relative:paragraph;z-index:-251651072;mso-wrap-distance-left:0;mso-wrap-distance-right:0" coordorigin="3240,229" coordsize="2878,0" path="m3240,229l6118,229e" filled="false" stroked="true" strokeweight=".84pt" strokecolor="#000000">
            <v:path arrowok="t"/>
            <v:stroke dashstyle="solid"/>
            <w10:wrap type="topAndBottom"/>
          </v:shape>
        </w:pict>
      </w:r>
    </w:p>
    <w:p>
      <w:pPr>
        <w:pStyle w:val="BodyText"/>
        <w:spacing w:before="10"/>
        <w:rPr>
          <w:sz w:val="13"/>
        </w:rPr>
      </w:pPr>
    </w:p>
    <w:p>
      <w:pPr>
        <w:pStyle w:val="ListParagraph"/>
        <w:numPr>
          <w:ilvl w:val="0"/>
          <w:numId w:val="2"/>
        </w:numPr>
        <w:tabs>
          <w:tab w:pos="1438" w:val="left" w:leader="none"/>
        </w:tabs>
        <w:spacing w:line="249" w:lineRule="auto" w:before="73" w:after="0"/>
        <w:ind w:left="1160" w:right="1162" w:firstLine="0"/>
        <w:jc w:val="both"/>
        <w:rPr>
          <w:sz w:val="18"/>
        </w:rPr>
      </w:pPr>
      <w:r>
        <w:rPr>
          <w:sz w:val="18"/>
          <w:u w:val="single"/>
        </w:rPr>
        <w:t>Mahnke</w:t>
      </w:r>
      <w:r>
        <w:rPr>
          <w:spacing w:val="-10"/>
          <w:sz w:val="18"/>
          <w:u w:val="single"/>
        </w:rPr>
        <w:t> </w:t>
      </w:r>
      <w:r>
        <w:rPr>
          <w:sz w:val="18"/>
          <w:u w:val="single"/>
        </w:rPr>
        <w:t>v.</w:t>
      </w:r>
      <w:r>
        <w:rPr>
          <w:spacing w:val="-8"/>
          <w:sz w:val="18"/>
          <w:u w:val="single"/>
        </w:rPr>
        <w:t> </w:t>
      </w:r>
      <w:r>
        <w:rPr>
          <w:sz w:val="18"/>
          <w:u w:val="single"/>
        </w:rPr>
        <w:t>Superior</w:t>
      </w:r>
      <w:r>
        <w:rPr>
          <w:spacing w:val="-10"/>
          <w:sz w:val="18"/>
          <w:u w:val="single"/>
        </w:rPr>
        <w:t> </w:t>
      </w:r>
      <w:r>
        <w:rPr>
          <w:sz w:val="18"/>
          <w:u w:val="single"/>
        </w:rPr>
        <w:t>Court</w:t>
      </w:r>
      <w:r>
        <w:rPr>
          <w:sz w:val="18"/>
        </w:rPr>
        <w:t>,</w:t>
      </w:r>
      <w:r>
        <w:rPr>
          <w:spacing w:val="-11"/>
          <w:sz w:val="18"/>
        </w:rPr>
        <w:t> </w:t>
      </w:r>
      <w:r>
        <w:rPr>
          <w:sz w:val="18"/>
        </w:rPr>
        <w:t>180</w:t>
      </w:r>
      <w:r>
        <w:rPr>
          <w:spacing w:val="-11"/>
          <w:sz w:val="18"/>
        </w:rPr>
        <w:t> </w:t>
      </w:r>
      <w:r>
        <w:rPr>
          <w:sz w:val="18"/>
        </w:rPr>
        <w:t>Cal.</w:t>
      </w:r>
      <w:r>
        <w:rPr>
          <w:spacing w:val="-11"/>
          <w:sz w:val="18"/>
        </w:rPr>
        <w:t> </w:t>
      </w:r>
      <w:r>
        <w:rPr>
          <w:sz w:val="18"/>
        </w:rPr>
        <w:t>App.4</w:t>
      </w:r>
      <w:r>
        <w:rPr>
          <w:position w:val="7"/>
          <w:sz w:val="10"/>
        </w:rPr>
        <w:t>th</w:t>
      </w:r>
      <w:r>
        <w:rPr>
          <w:spacing w:val="12"/>
          <w:position w:val="7"/>
          <w:sz w:val="10"/>
        </w:rPr>
        <w:t> </w:t>
      </w:r>
      <w:r>
        <w:rPr>
          <w:sz w:val="18"/>
        </w:rPr>
        <w:t>565,</w:t>
      </w:r>
      <w:r>
        <w:rPr>
          <w:spacing w:val="-11"/>
          <w:sz w:val="18"/>
        </w:rPr>
        <w:t> </w:t>
      </w:r>
      <w:r>
        <w:rPr>
          <w:sz w:val="18"/>
        </w:rPr>
        <w:t>103</w:t>
      </w:r>
      <w:r>
        <w:rPr>
          <w:spacing w:val="-11"/>
          <w:sz w:val="18"/>
        </w:rPr>
        <w:t> </w:t>
      </w:r>
      <w:r>
        <w:rPr>
          <w:sz w:val="18"/>
        </w:rPr>
        <w:t>Cal.</w:t>
      </w:r>
      <w:r>
        <w:rPr>
          <w:spacing w:val="-11"/>
          <w:sz w:val="18"/>
        </w:rPr>
        <w:t> </w:t>
      </w:r>
      <w:r>
        <w:rPr>
          <w:sz w:val="18"/>
        </w:rPr>
        <w:t>Rptr.3d</w:t>
      </w:r>
      <w:r>
        <w:rPr>
          <w:spacing w:val="-12"/>
          <w:sz w:val="18"/>
        </w:rPr>
        <w:t> </w:t>
      </w:r>
      <w:r>
        <w:rPr>
          <w:sz w:val="18"/>
        </w:rPr>
        <w:t>197</w:t>
      </w:r>
      <w:r>
        <w:rPr>
          <w:spacing w:val="-10"/>
          <w:sz w:val="18"/>
        </w:rPr>
        <w:t> </w:t>
      </w:r>
      <w:r>
        <w:rPr>
          <w:sz w:val="18"/>
        </w:rPr>
        <w:t>(Ct.</w:t>
      </w:r>
      <w:r>
        <w:rPr>
          <w:spacing w:val="-8"/>
          <w:sz w:val="18"/>
        </w:rPr>
        <w:t> </w:t>
      </w:r>
      <w:r>
        <w:rPr>
          <w:sz w:val="18"/>
        </w:rPr>
        <w:t>App.</w:t>
      </w:r>
      <w:r>
        <w:rPr>
          <w:spacing w:val="-8"/>
          <w:sz w:val="18"/>
        </w:rPr>
        <w:t> </w:t>
      </w:r>
      <w:r>
        <w:rPr>
          <w:sz w:val="18"/>
        </w:rPr>
        <w:t>2009), citing</w:t>
      </w:r>
      <w:r>
        <w:rPr>
          <w:spacing w:val="-5"/>
          <w:sz w:val="18"/>
        </w:rPr>
        <w:t> </w:t>
      </w:r>
      <w:r>
        <w:rPr>
          <w:sz w:val="18"/>
          <w:u w:val="single"/>
        </w:rPr>
        <w:t>Commonwealth</w:t>
      </w:r>
      <w:r>
        <w:rPr>
          <w:spacing w:val="-2"/>
          <w:sz w:val="18"/>
          <w:u w:val="single"/>
        </w:rPr>
        <w:t> </w:t>
      </w:r>
      <w:r>
        <w:rPr>
          <w:sz w:val="18"/>
          <w:u w:val="single"/>
        </w:rPr>
        <w:t>Coatings</w:t>
      </w:r>
      <w:r>
        <w:rPr>
          <w:spacing w:val="-2"/>
          <w:sz w:val="18"/>
          <w:u w:val="single"/>
        </w:rPr>
        <w:t> </w:t>
      </w:r>
      <w:r>
        <w:rPr>
          <w:sz w:val="18"/>
          <w:u w:val="single"/>
        </w:rPr>
        <w:t>Corp.</w:t>
      </w:r>
      <w:r>
        <w:rPr>
          <w:spacing w:val="-2"/>
          <w:sz w:val="18"/>
          <w:u w:val="single"/>
        </w:rPr>
        <w:t> </w:t>
      </w:r>
      <w:r>
        <w:rPr>
          <w:sz w:val="18"/>
          <w:u w:val="single"/>
        </w:rPr>
        <w:t>v.</w:t>
      </w:r>
      <w:r>
        <w:rPr>
          <w:spacing w:val="-1"/>
          <w:sz w:val="18"/>
          <w:u w:val="single"/>
        </w:rPr>
        <w:t> </w:t>
      </w:r>
      <w:r>
        <w:rPr>
          <w:sz w:val="18"/>
          <w:u w:val="single"/>
        </w:rPr>
        <w:t>Continental</w:t>
      </w:r>
      <w:r>
        <w:rPr>
          <w:spacing w:val="-2"/>
          <w:sz w:val="18"/>
          <w:u w:val="single"/>
        </w:rPr>
        <w:t> </w:t>
      </w:r>
      <w:r>
        <w:rPr>
          <w:sz w:val="18"/>
          <w:u w:val="single"/>
        </w:rPr>
        <w:t>Cas.</w:t>
      </w:r>
      <w:r>
        <w:rPr>
          <w:spacing w:val="-3"/>
          <w:sz w:val="18"/>
          <w:u w:val="single"/>
        </w:rPr>
        <w:t> </w:t>
      </w:r>
      <w:r>
        <w:rPr>
          <w:sz w:val="18"/>
          <w:u w:val="single"/>
        </w:rPr>
        <w:t>Co</w:t>
      </w:r>
      <w:r>
        <w:rPr>
          <w:sz w:val="18"/>
        </w:rPr>
        <w:t>.</w:t>
      </w:r>
      <w:r>
        <w:rPr>
          <w:spacing w:val="-3"/>
          <w:sz w:val="18"/>
        </w:rPr>
        <w:t> </w:t>
      </w:r>
      <w:r>
        <w:rPr>
          <w:sz w:val="18"/>
        </w:rPr>
        <w:t>393</w:t>
      </w:r>
      <w:r>
        <w:rPr>
          <w:spacing w:val="-3"/>
          <w:sz w:val="18"/>
        </w:rPr>
        <w:t> </w:t>
      </w:r>
      <w:r>
        <w:rPr>
          <w:sz w:val="18"/>
        </w:rPr>
        <w:t>U.S.</w:t>
      </w:r>
      <w:r>
        <w:rPr>
          <w:spacing w:val="-2"/>
          <w:sz w:val="18"/>
        </w:rPr>
        <w:t> </w:t>
      </w:r>
      <w:r>
        <w:rPr>
          <w:sz w:val="18"/>
        </w:rPr>
        <w:t>145,</w:t>
      </w:r>
      <w:r>
        <w:rPr>
          <w:spacing w:val="-4"/>
          <w:sz w:val="18"/>
        </w:rPr>
        <w:t> </w:t>
      </w:r>
      <w:r>
        <w:rPr>
          <w:sz w:val="18"/>
        </w:rPr>
        <w:t>149,</w:t>
      </w:r>
      <w:r>
        <w:rPr>
          <w:spacing w:val="-4"/>
          <w:sz w:val="18"/>
        </w:rPr>
        <w:t> </w:t>
      </w:r>
      <w:r>
        <w:rPr>
          <w:sz w:val="18"/>
        </w:rPr>
        <w:t>89</w:t>
      </w:r>
      <w:r>
        <w:rPr>
          <w:spacing w:val="-2"/>
          <w:sz w:val="18"/>
        </w:rPr>
        <w:t> </w:t>
      </w:r>
      <w:r>
        <w:rPr>
          <w:sz w:val="18"/>
        </w:rPr>
        <w:t>S.Ct. 337, 21 L.Ed.2d 301</w:t>
      </w:r>
      <w:r>
        <w:rPr>
          <w:spacing w:val="2"/>
          <w:sz w:val="18"/>
        </w:rPr>
        <w:t> </w:t>
      </w:r>
      <w:r>
        <w:rPr>
          <w:sz w:val="18"/>
        </w:rPr>
        <w:t>(1968).</w:t>
      </w:r>
    </w:p>
    <w:p>
      <w:pPr>
        <w:spacing w:after="0" w:line="249" w:lineRule="auto"/>
        <w:jc w:val="both"/>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tabs>
          <w:tab w:pos="2405" w:val="left" w:leader="none"/>
          <w:tab w:pos="3054" w:val="left" w:leader="none"/>
          <w:tab w:pos="3610" w:val="left" w:leader="none"/>
          <w:tab w:pos="4855" w:val="left" w:leader="none"/>
          <w:tab w:pos="5412" w:val="left" w:leader="none"/>
          <w:tab w:pos="5818" w:val="left" w:leader="none"/>
        </w:tabs>
        <w:spacing w:line="242" w:lineRule="auto" w:before="42"/>
        <w:ind w:left="1520" w:right="1524"/>
      </w:pPr>
      <w:bookmarkStart w:name="Law and Procedure 343" w:id="9"/>
      <w:bookmarkEnd w:id="9"/>
      <w:r>
        <w:rPr/>
      </w:r>
      <w:r>
        <w:rPr/>
        <w:t>there</w:t>
        <w:tab/>
        <w:t>are</w:t>
        <w:tab/>
        <w:t>no</w:t>
        <w:tab/>
        <w:t>grounds</w:t>
        <w:tab/>
        <w:t>for</w:t>
        <w:tab/>
        <w:t>a</w:t>
        <w:tab/>
      </w:r>
      <w:r>
        <w:rPr>
          <w:w w:val="95"/>
        </w:rPr>
        <w:t>subsequent </w:t>
      </w:r>
      <w:r>
        <w:rPr/>
        <w:t>complaint by the</w:t>
      </w:r>
      <w:r>
        <w:rPr>
          <w:spacing w:val="-5"/>
        </w:rPr>
        <w:t> </w:t>
      </w:r>
      <w:r>
        <w:rPr/>
        <w:t>insured.</w:t>
      </w:r>
      <w:r>
        <w:rPr>
          <w:vertAlign w:val="superscript"/>
        </w:rPr>
        <w:t>729</w:t>
      </w:r>
    </w:p>
    <w:p>
      <w:pPr>
        <w:pStyle w:val="BodyText"/>
        <w:spacing w:before="1"/>
      </w:pPr>
    </w:p>
    <w:p>
      <w:pPr>
        <w:pStyle w:val="BodyText"/>
        <w:spacing w:line="242" w:lineRule="auto" w:before="1"/>
        <w:ind w:left="1520" w:right="1516" w:firstLine="720"/>
        <w:jc w:val="both"/>
      </w:pPr>
      <w:r>
        <w:rPr>
          <w:spacing w:val="-3"/>
        </w:rPr>
        <w:t>Where </w:t>
      </w:r>
      <w:r>
        <w:rPr/>
        <w:t>an insurer made representations, false at the time, that the insurer’s chosen appraiser</w:t>
      </w:r>
      <w:r>
        <w:rPr>
          <w:spacing w:val="-34"/>
        </w:rPr>
        <w:t> </w:t>
      </w:r>
      <w:r>
        <w:rPr/>
        <w:t>was</w:t>
      </w:r>
      <w:r>
        <w:rPr>
          <w:spacing w:val="-33"/>
        </w:rPr>
        <w:t> </w:t>
      </w:r>
      <w:r>
        <w:rPr/>
        <w:t>not</w:t>
      </w:r>
      <w:r>
        <w:rPr>
          <w:spacing w:val="-32"/>
        </w:rPr>
        <w:t> </w:t>
      </w:r>
      <w:r>
        <w:rPr/>
        <w:t>a</w:t>
      </w:r>
      <w:r>
        <w:rPr>
          <w:spacing w:val="-32"/>
        </w:rPr>
        <w:t> </w:t>
      </w:r>
      <w:r>
        <w:rPr/>
        <w:t>professional</w:t>
      </w:r>
      <w:r>
        <w:rPr>
          <w:spacing w:val="-29"/>
        </w:rPr>
        <w:t> </w:t>
      </w:r>
      <w:r>
        <w:rPr/>
        <w:t>appraiser</w:t>
      </w:r>
      <w:r>
        <w:rPr>
          <w:spacing w:val="7"/>
        </w:rPr>
        <w:t> </w:t>
      </w:r>
      <w:r>
        <w:rPr/>
        <w:t>and had never appraised for the insurer involved, the</w:t>
      </w:r>
      <w:r>
        <w:rPr>
          <w:spacing w:val="-12"/>
        </w:rPr>
        <w:t> </w:t>
      </w:r>
      <w:r>
        <w:rPr/>
        <w:t>appraiser</w:t>
      </w:r>
      <w:r>
        <w:rPr>
          <w:spacing w:val="-14"/>
        </w:rPr>
        <w:t> </w:t>
      </w:r>
      <w:r>
        <w:rPr/>
        <w:t>was</w:t>
      </w:r>
      <w:r>
        <w:rPr>
          <w:spacing w:val="-11"/>
        </w:rPr>
        <w:t> </w:t>
      </w:r>
      <w:r>
        <w:rPr/>
        <w:t>not</w:t>
      </w:r>
      <w:r>
        <w:rPr>
          <w:spacing w:val="-12"/>
        </w:rPr>
        <w:t> </w:t>
      </w:r>
      <w:r>
        <w:rPr/>
        <w:t>unbiased,</w:t>
      </w:r>
      <w:r>
        <w:rPr>
          <w:spacing w:val="-15"/>
        </w:rPr>
        <w:t> </w:t>
      </w:r>
      <w:r>
        <w:rPr/>
        <w:t>unprejudiced and disinterested within the meaning of the policy.</w:t>
      </w:r>
      <w:r>
        <w:rPr>
          <w:vertAlign w:val="superscript"/>
        </w:rPr>
        <w:t>730</w:t>
      </w:r>
    </w:p>
    <w:p>
      <w:pPr>
        <w:pStyle w:val="BodyText"/>
      </w:pPr>
    </w:p>
    <w:p>
      <w:pPr>
        <w:pStyle w:val="BodyText"/>
        <w:spacing w:line="242" w:lineRule="auto"/>
        <w:ind w:left="1520" w:right="1518" w:firstLine="720"/>
        <w:jc w:val="both"/>
      </w:pPr>
      <w:r>
        <w:rPr/>
        <w:t>The carrier’s appraiser may not be employed by the insurance company. </w:t>
      </w:r>
      <w:r>
        <w:rPr>
          <w:spacing w:val="-7"/>
        </w:rPr>
        <w:t>The </w:t>
      </w:r>
      <w:r>
        <w:rPr/>
        <w:t>courts</w:t>
      </w:r>
      <w:r>
        <w:rPr>
          <w:spacing w:val="-32"/>
        </w:rPr>
        <w:t> </w:t>
      </w:r>
      <w:r>
        <w:rPr/>
        <w:t>have</w:t>
      </w:r>
      <w:r>
        <w:rPr>
          <w:spacing w:val="-31"/>
        </w:rPr>
        <w:t> </w:t>
      </w:r>
      <w:r>
        <w:rPr/>
        <w:t>defined</w:t>
      </w:r>
      <w:r>
        <w:rPr>
          <w:spacing w:val="-31"/>
        </w:rPr>
        <w:t> </w:t>
      </w:r>
      <w:r>
        <w:rPr/>
        <w:t>employment</w:t>
      </w:r>
      <w:r>
        <w:rPr>
          <w:spacing w:val="-33"/>
        </w:rPr>
        <w:t> </w:t>
      </w:r>
      <w:r>
        <w:rPr/>
        <w:t>narrowly.</w:t>
      </w:r>
      <w:r>
        <w:rPr>
          <w:spacing w:val="13"/>
        </w:rPr>
        <w:t> </w:t>
      </w:r>
      <w:r>
        <w:rPr/>
        <w:t>An appraiser who draws a salary from an insurance company is deemed employed </w:t>
      </w:r>
      <w:r>
        <w:rPr>
          <w:spacing w:val="-5"/>
        </w:rPr>
        <w:t>by </w:t>
      </w:r>
      <w:r>
        <w:rPr/>
        <w:t>that</w:t>
      </w:r>
      <w:r>
        <w:rPr>
          <w:spacing w:val="-15"/>
        </w:rPr>
        <w:t> </w:t>
      </w:r>
      <w:r>
        <w:rPr/>
        <w:t>company,</w:t>
      </w:r>
      <w:r>
        <w:rPr>
          <w:spacing w:val="-16"/>
        </w:rPr>
        <w:t> </w:t>
      </w:r>
      <w:r>
        <w:rPr/>
        <w:t>but</w:t>
      </w:r>
      <w:r>
        <w:rPr>
          <w:spacing w:val="-15"/>
        </w:rPr>
        <w:t> </w:t>
      </w:r>
      <w:r>
        <w:rPr/>
        <w:t>an</w:t>
      </w:r>
      <w:r>
        <w:rPr>
          <w:spacing w:val="-14"/>
        </w:rPr>
        <w:t> </w:t>
      </w:r>
      <w:r>
        <w:rPr/>
        <w:t>appraiser</w:t>
      </w:r>
      <w:r>
        <w:rPr>
          <w:spacing w:val="-15"/>
        </w:rPr>
        <w:t> </w:t>
      </w:r>
      <w:r>
        <w:rPr/>
        <w:t>paid</w:t>
      </w:r>
      <w:r>
        <w:rPr>
          <w:spacing w:val="-12"/>
        </w:rPr>
        <w:t> </w:t>
      </w:r>
      <w:r>
        <w:rPr/>
        <w:t>on</w:t>
      </w:r>
      <w:r>
        <w:rPr>
          <w:spacing w:val="-10"/>
        </w:rPr>
        <w:t> </w:t>
      </w:r>
      <w:r>
        <w:rPr/>
        <w:t>a</w:t>
      </w:r>
      <w:r>
        <w:rPr>
          <w:spacing w:val="-11"/>
        </w:rPr>
        <w:t> </w:t>
      </w:r>
      <w:r>
        <w:rPr/>
        <w:t>per diem</w:t>
      </w:r>
      <w:r>
        <w:rPr>
          <w:spacing w:val="-20"/>
        </w:rPr>
        <w:t> </w:t>
      </w:r>
      <w:r>
        <w:rPr/>
        <w:t>basis</w:t>
      </w:r>
      <w:r>
        <w:rPr>
          <w:spacing w:val="-19"/>
        </w:rPr>
        <w:t> </w:t>
      </w:r>
      <w:r>
        <w:rPr/>
        <w:t>was</w:t>
      </w:r>
      <w:r>
        <w:rPr>
          <w:spacing w:val="-22"/>
        </w:rPr>
        <w:t> </w:t>
      </w:r>
      <w:r>
        <w:rPr/>
        <w:t>not</w:t>
      </w:r>
      <w:r>
        <w:rPr>
          <w:spacing w:val="-22"/>
        </w:rPr>
        <w:t> </w:t>
      </w:r>
      <w:r>
        <w:rPr/>
        <w:t>deemed</w:t>
      </w:r>
      <w:r>
        <w:rPr>
          <w:spacing w:val="-24"/>
        </w:rPr>
        <w:t> </w:t>
      </w:r>
      <w:r>
        <w:rPr/>
        <w:t>employed</w:t>
      </w:r>
      <w:r>
        <w:rPr>
          <w:spacing w:val="-19"/>
        </w:rPr>
        <w:t> </w:t>
      </w:r>
      <w:r>
        <w:rPr/>
        <w:t>by</w:t>
      </w:r>
      <w:r>
        <w:rPr>
          <w:spacing w:val="-21"/>
        </w:rPr>
        <w:t> </w:t>
      </w:r>
      <w:r>
        <w:rPr/>
        <w:t>said company.</w:t>
      </w:r>
      <w:r>
        <w:rPr>
          <w:vertAlign w:val="superscript"/>
        </w:rPr>
        <w:t>731</w:t>
      </w:r>
    </w:p>
    <w:p>
      <w:pPr>
        <w:pStyle w:val="BodyText"/>
      </w:pPr>
    </w:p>
    <w:p>
      <w:pPr>
        <w:pStyle w:val="BodyText"/>
        <w:spacing w:line="242" w:lineRule="auto"/>
        <w:ind w:left="1520" w:right="1517" w:firstLine="720"/>
        <w:jc w:val="both"/>
      </w:pPr>
      <w:r>
        <w:rPr>
          <w:spacing w:val="3"/>
        </w:rPr>
        <w:t>In</w:t>
      </w:r>
      <w:r>
        <w:rPr>
          <w:spacing w:val="-12"/>
        </w:rPr>
        <w:t> </w:t>
      </w:r>
      <w:r>
        <w:rPr/>
        <w:t>Missouri,</w:t>
      </w:r>
      <w:r>
        <w:rPr>
          <w:spacing w:val="-12"/>
        </w:rPr>
        <w:t> </w:t>
      </w:r>
      <w:r>
        <w:rPr/>
        <w:t>an</w:t>
      </w:r>
      <w:r>
        <w:rPr>
          <w:spacing w:val="-11"/>
        </w:rPr>
        <w:t> </w:t>
      </w:r>
      <w:r>
        <w:rPr/>
        <w:t>insurer’s</w:t>
      </w:r>
      <w:r>
        <w:rPr>
          <w:spacing w:val="-11"/>
        </w:rPr>
        <w:t> </w:t>
      </w:r>
      <w:r>
        <w:rPr/>
        <w:t>appraiser</w:t>
      </w:r>
      <w:r>
        <w:rPr>
          <w:spacing w:val="-14"/>
        </w:rPr>
        <w:t> </w:t>
      </w:r>
      <w:r>
        <w:rPr/>
        <w:t>was</w:t>
      </w:r>
      <w:r>
        <w:rPr>
          <w:spacing w:val="-11"/>
        </w:rPr>
        <w:t> </w:t>
      </w:r>
      <w:r>
        <w:rPr/>
        <w:t>not disinterested as a matter of law where his conduct demonstrated bias and included, among other behavior, seeking advice from the insurer as to an umpire appointment, allowing</w:t>
      </w:r>
      <w:r>
        <w:rPr>
          <w:spacing w:val="-24"/>
        </w:rPr>
        <w:t> </w:t>
      </w:r>
      <w:r>
        <w:rPr/>
        <w:t>the</w:t>
      </w:r>
      <w:r>
        <w:rPr>
          <w:spacing w:val="-24"/>
        </w:rPr>
        <w:t> </w:t>
      </w:r>
      <w:r>
        <w:rPr/>
        <w:t>insurer</w:t>
      </w:r>
      <w:r>
        <w:rPr>
          <w:spacing w:val="-26"/>
        </w:rPr>
        <w:t> </w:t>
      </w:r>
      <w:r>
        <w:rPr/>
        <w:t>to</w:t>
      </w:r>
      <w:r>
        <w:rPr>
          <w:spacing w:val="-23"/>
        </w:rPr>
        <w:t> </w:t>
      </w:r>
      <w:r>
        <w:rPr/>
        <w:t>edit</w:t>
      </w:r>
      <w:r>
        <w:rPr>
          <w:spacing w:val="-23"/>
        </w:rPr>
        <w:t> </w:t>
      </w:r>
      <w:r>
        <w:rPr/>
        <w:t>his</w:t>
      </w:r>
      <w:r>
        <w:rPr>
          <w:spacing w:val="-21"/>
        </w:rPr>
        <w:t> </w:t>
      </w:r>
      <w:r>
        <w:rPr/>
        <w:t>draft</w:t>
      </w:r>
      <w:r>
        <w:rPr>
          <w:spacing w:val="-25"/>
        </w:rPr>
        <w:t> </w:t>
      </w:r>
      <w:r>
        <w:rPr/>
        <w:t>proposal</w:t>
      </w:r>
      <w:r>
        <w:rPr>
          <w:spacing w:val="-20"/>
        </w:rPr>
        <w:t> </w:t>
      </w:r>
      <w:r>
        <w:rPr/>
        <w:t>for appraisal, and prior business dealings with</w:t>
      </w:r>
      <w:r>
        <w:rPr>
          <w:spacing w:val="-6"/>
        </w:rPr>
        <w:t> </w:t>
      </w:r>
      <w:r>
        <w:rPr/>
        <w:t>the</w:t>
      </w:r>
    </w:p>
    <w:p>
      <w:pPr>
        <w:pStyle w:val="BodyText"/>
        <w:spacing w:before="8"/>
        <w:rPr>
          <w:sz w:val="25"/>
        </w:rPr>
      </w:pPr>
      <w:r>
        <w:rPr/>
        <w:pict>
          <v:shape style="position:absolute;margin-left:162pt;margin-top:18.171747pt;width:143.9pt;height:.1pt;mso-position-horizontal-relative:page;mso-position-vertical-relative:paragraph;z-index:-251650048;mso-wrap-distance-left:0;mso-wrap-distance-right:0" coordorigin="3240,363" coordsize="2878,0" path="m3240,363l6118,363e" filled="false" stroked="true" strokeweight=".84pt" strokecolor="#000000">
            <v:path arrowok="t"/>
            <v:stroke dashstyle="solid"/>
            <w10:wrap type="topAndBottom"/>
          </v:shape>
        </w:pict>
      </w:r>
    </w:p>
    <w:p>
      <w:pPr>
        <w:pStyle w:val="ListParagraph"/>
        <w:numPr>
          <w:ilvl w:val="0"/>
          <w:numId w:val="2"/>
        </w:numPr>
        <w:tabs>
          <w:tab w:pos="1411" w:val="left" w:leader="none"/>
        </w:tabs>
        <w:spacing w:line="240" w:lineRule="auto" w:before="140" w:after="0"/>
        <w:ind w:left="1410" w:right="0" w:hanging="251"/>
        <w:jc w:val="left"/>
        <w:rPr>
          <w:i/>
          <w:sz w:val="18"/>
        </w:rPr>
      </w:pPr>
      <w:r>
        <w:rPr>
          <w:sz w:val="18"/>
          <w:u w:val="single"/>
        </w:rPr>
        <w:t>Bradshaw v. Agricultural Ins. Co.</w:t>
      </w:r>
      <w:r>
        <w:rPr>
          <w:sz w:val="18"/>
        </w:rPr>
        <w:t>, 42 N.Y. St. Rptr. 79, 16 N.Y.S 639 (1891),</w:t>
      </w:r>
      <w:r>
        <w:rPr>
          <w:spacing w:val="5"/>
          <w:sz w:val="18"/>
        </w:rPr>
        <w:t> </w:t>
      </w:r>
      <w:r>
        <w:rPr>
          <w:i/>
          <w:sz w:val="18"/>
        </w:rPr>
        <w:t>aff’d,</w:t>
      </w:r>
    </w:p>
    <w:p>
      <w:pPr>
        <w:spacing w:line="178" w:lineRule="exact" w:before="4"/>
        <w:ind w:left="1160" w:right="0" w:firstLine="0"/>
        <w:jc w:val="left"/>
        <w:rPr>
          <w:rFonts w:ascii="Times New Roman"/>
          <w:sz w:val="18"/>
        </w:rPr>
      </w:pPr>
      <w:r>
        <w:rPr>
          <w:rFonts w:ascii="Times New Roman"/>
          <w:sz w:val="18"/>
        </w:rPr>
        <w:t>137 N.Y. 137, 32 N.E. 1055 (1891).</w:t>
      </w:r>
    </w:p>
    <w:p>
      <w:pPr>
        <w:pStyle w:val="ListParagraph"/>
        <w:numPr>
          <w:ilvl w:val="0"/>
          <w:numId w:val="2"/>
        </w:numPr>
        <w:tabs>
          <w:tab w:pos="1418" w:val="left" w:leader="none"/>
        </w:tabs>
        <w:spacing w:line="240" w:lineRule="exact" w:before="0" w:after="0"/>
        <w:ind w:left="1418" w:right="0" w:hanging="258"/>
        <w:jc w:val="left"/>
        <w:rPr>
          <w:sz w:val="18"/>
        </w:rPr>
      </w:pPr>
      <w:r>
        <w:rPr>
          <w:sz w:val="18"/>
          <w:u w:val="single"/>
        </w:rPr>
        <w:t>Kaiser v. Hamburg-Bremen Fire Ins. Co.</w:t>
      </w:r>
      <w:r>
        <w:rPr>
          <w:sz w:val="18"/>
        </w:rPr>
        <w:t>, 59 A.D. 525, 69 N.Y.S. 344 (4</w:t>
      </w:r>
      <w:r>
        <w:rPr>
          <w:position w:val="7"/>
          <w:sz w:val="10"/>
        </w:rPr>
        <w:t>th </w:t>
      </w:r>
      <w:r>
        <w:rPr>
          <w:sz w:val="18"/>
        </w:rPr>
        <w:t>Dept.</w:t>
      </w:r>
      <w:r>
        <w:rPr>
          <w:spacing w:val="-31"/>
          <w:sz w:val="18"/>
        </w:rPr>
        <w:t> </w:t>
      </w:r>
      <w:r>
        <w:rPr>
          <w:sz w:val="18"/>
        </w:rPr>
        <w:t>1901)</w:t>
      </w:r>
    </w:p>
    <w:p>
      <w:pPr>
        <w:spacing w:line="178" w:lineRule="exact" w:before="5"/>
        <w:ind w:left="1160" w:right="0" w:firstLine="0"/>
        <w:jc w:val="left"/>
        <w:rPr>
          <w:rFonts w:ascii="Times New Roman" w:hAnsi="Times New Roman"/>
          <w:sz w:val="18"/>
        </w:rPr>
      </w:pPr>
      <w:r>
        <w:rPr>
          <w:rFonts w:ascii="Times New Roman" w:hAnsi="Times New Roman"/>
          <w:i/>
          <w:sz w:val="18"/>
        </w:rPr>
        <w:t>aff’d</w:t>
      </w:r>
      <w:r>
        <w:rPr>
          <w:rFonts w:ascii="Times New Roman" w:hAnsi="Times New Roman"/>
          <w:sz w:val="18"/>
        </w:rPr>
        <w:t>, 172 N.Y. 663, 65 N.E. 1118 (1902); </w:t>
      </w:r>
      <w:r>
        <w:rPr>
          <w:rFonts w:ascii="Times New Roman" w:hAnsi="Times New Roman"/>
          <w:sz w:val="18"/>
          <w:u w:val="single"/>
        </w:rPr>
        <w:t>Bradshaw</w:t>
      </w:r>
      <w:r>
        <w:rPr>
          <w:rFonts w:ascii="Times New Roman" w:hAnsi="Times New Roman"/>
          <w:sz w:val="18"/>
        </w:rPr>
        <w:t>, </w:t>
      </w:r>
      <w:r>
        <w:rPr>
          <w:rFonts w:ascii="Times New Roman" w:hAnsi="Times New Roman"/>
          <w:sz w:val="18"/>
          <w:u w:val="single"/>
        </w:rPr>
        <w:t>Id</w:t>
      </w:r>
      <w:r>
        <w:rPr>
          <w:rFonts w:ascii="Times New Roman" w:hAnsi="Times New Roman"/>
          <w:sz w:val="18"/>
        </w:rPr>
        <w:t>.</w:t>
      </w:r>
    </w:p>
    <w:p>
      <w:pPr>
        <w:pStyle w:val="ListParagraph"/>
        <w:numPr>
          <w:ilvl w:val="0"/>
          <w:numId w:val="2"/>
        </w:numPr>
        <w:tabs>
          <w:tab w:pos="1411" w:val="left" w:leader="none"/>
        </w:tabs>
        <w:spacing w:line="240" w:lineRule="exact" w:before="0" w:after="0"/>
        <w:ind w:left="1410" w:right="0" w:hanging="251"/>
        <w:jc w:val="left"/>
        <w:rPr>
          <w:sz w:val="18"/>
        </w:rPr>
      </w:pPr>
      <w:r>
        <w:rPr>
          <w:sz w:val="18"/>
          <w:u w:val="single"/>
        </w:rPr>
        <w:t>Equitable Fire &amp; Marine Ins. Co. of Providence, R.I. v. Stieffens</w:t>
      </w:r>
      <w:r>
        <w:rPr>
          <w:sz w:val="18"/>
        </w:rPr>
        <w:t>, 154 Va. 281, 153</w:t>
      </w:r>
    </w:p>
    <w:p>
      <w:pPr>
        <w:spacing w:before="4"/>
        <w:ind w:left="1160" w:right="0" w:firstLine="0"/>
        <w:jc w:val="left"/>
        <w:rPr>
          <w:rFonts w:ascii="Times New Roman"/>
          <w:sz w:val="18"/>
        </w:rPr>
      </w:pPr>
      <w:r>
        <w:rPr>
          <w:rFonts w:ascii="Times New Roman"/>
          <w:sz w:val="18"/>
        </w:rPr>
        <w:t>S.E. 731 (1980).</w:t>
      </w:r>
    </w:p>
    <w:p>
      <w:pPr>
        <w:spacing w:after="0"/>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7"/>
        <w:jc w:val="both"/>
      </w:pPr>
      <w:bookmarkStart w:name="Law and Procedure 344" w:id="10"/>
      <w:bookmarkEnd w:id="10"/>
      <w:r>
        <w:rPr/>
      </w:r>
      <w:r>
        <w:rPr/>
        <w:t>insurer which provided an indirect financial stake in the appraisal’s outcome. </w:t>
      </w:r>
      <w:r>
        <w:rPr>
          <w:spacing w:val="3"/>
        </w:rPr>
        <w:t>In </w:t>
      </w:r>
      <w:r>
        <w:rPr/>
        <w:t>Missouri, where a policy allows an amount of loss to be determined through the process of appraisal, individuals</w:t>
      </w:r>
      <w:r>
        <w:rPr>
          <w:spacing w:val="-7"/>
        </w:rPr>
        <w:t> </w:t>
      </w:r>
      <w:r>
        <w:rPr/>
        <w:t>selected</w:t>
      </w:r>
      <w:r>
        <w:rPr>
          <w:spacing w:val="-10"/>
        </w:rPr>
        <w:t> </w:t>
      </w:r>
      <w:r>
        <w:rPr/>
        <w:t>to</w:t>
      </w:r>
      <w:r>
        <w:rPr>
          <w:spacing w:val="-9"/>
        </w:rPr>
        <w:t> </w:t>
      </w:r>
      <w:r>
        <w:rPr/>
        <w:t>act</w:t>
      </w:r>
      <w:r>
        <w:rPr>
          <w:spacing w:val="-14"/>
        </w:rPr>
        <w:t> </w:t>
      </w:r>
      <w:r>
        <w:rPr/>
        <w:t>as</w:t>
      </w:r>
      <w:r>
        <w:rPr>
          <w:spacing w:val="-10"/>
        </w:rPr>
        <w:t> </w:t>
      </w:r>
      <w:r>
        <w:rPr/>
        <w:t>the</w:t>
      </w:r>
      <w:r>
        <w:rPr>
          <w:spacing w:val="-12"/>
        </w:rPr>
        <w:t> </w:t>
      </w:r>
      <w:r>
        <w:rPr/>
        <w:t>appraisers</w:t>
      </w:r>
      <w:r>
        <w:rPr>
          <w:spacing w:val="-12"/>
        </w:rPr>
        <w:t> </w:t>
      </w:r>
      <w:r>
        <w:rPr/>
        <w:t>or umpire “must not be interested, biased or prejudiced.” The standard of fairness and impartiality is strictly applied, and Missouri courts have declared awards to be void and unenforceable where interested appraisers have been involved in formulating an award. The Missouri Supreme Court has said “The fairness</w:t>
      </w:r>
      <w:r>
        <w:rPr>
          <w:spacing w:val="-17"/>
        </w:rPr>
        <w:t> </w:t>
      </w:r>
      <w:r>
        <w:rPr/>
        <w:t>and</w:t>
      </w:r>
      <w:r>
        <w:rPr>
          <w:spacing w:val="-13"/>
        </w:rPr>
        <w:t> </w:t>
      </w:r>
      <w:r>
        <w:rPr/>
        <w:t>impartiality</w:t>
      </w:r>
      <w:r>
        <w:rPr>
          <w:spacing w:val="-17"/>
        </w:rPr>
        <w:t> </w:t>
      </w:r>
      <w:r>
        <w:rPr/>
        <w:t>of</w:t>
      </w:r>
      <w:r>
        <w:rPr>
          <w:spacing w:val="-13"/>
        </w:rPr>
        <w:t> </w:t>
      </w:r>
      <w:r>
        <w:rPr/>
        <w:t>an</w:t>
      </w:r>
      <w:r>
        <w:rPr>
          <w:spacing w:val="-15"/>
        </w:rPr>
        <w:t> </w:t>
      </w:r>
      <w:r>
        <w:rPr/>
        <w:t>appraiser</w:t>
      </w:r>
      <w:r>
        <w:rPr>
          <w:spacing w:val="-19"/>
        </w:rPr>
        <w:t> </w:t>
      </w:r>
      <w:r>
        <w:rPr/>
        <w:t>should be, like that of a juror, not only </w:t>
      </w:r>
      <w:r>
        <w:rPr>
          <w:spacing w:val="-3"/>
        </w:rPr>
        <w:t>above </w:t>
      </w:r>
      <w:r>
        <w:rPr/>
        <w:t>reproach, but above suspicion.” The </w:t>
      </w:r>
      <w:r>
        <w:rPr>
          <w:spacing w:val="-3"/>
        </w:rPr>
        <w:t>court </w:t>
      </w:r>
      <w:r>
        <w:rPr/>
        <w:t>supplied examples of circumstances </w:t>
      </w:r>
      <w:r>
        <w:rPr>
          <w:spacing w:val="-5"/>
        </w:rPr>
        <w:t>where </w:t>
      </w:r>
      <w:r>
        <w:rPr/>
        <w:t>bias may be implicated, such as frequent or habitual employment for a party as an </w:t>
      </w:r>
      <w:r>
        <w:rPr>
          <w:spacing w:val="25"/>
        </w:rPr>
        <w:t>apprai </w:t>
      </w:r>
      <w:r>
        <w:rPr>
          <w:spacing w:val="22"/>
        </w:rPr>
        <w:t>ser, </w:t>
      </w:r>
      <w:r>
        <w:rPr>
          <w:spacing w:val="26"/>
        </w:rPr>
        <w:t>conduct </w:t>
      </w:r>
      <w:r>
        <w:rPr>
          <w:spacing w:val="18"/>
        </w:rPr>
        <w:t>whi </w:t>
      </w:r>
      <w:r>
        <w:rPr>
          <w:spacing w:val="15"/>
        </w:rPr>
        <w:t>ch </w:t>
      </w:r>
      <w:r>
        <w:rPr>
          <w:spacing w:val="26"/>
        </w:rPr>
        <w:t>clearly </w:t>
      </w:r>
      <w:r>
        <w:rPr/>
        <w:t>communicates acting in their interest, or any financial</w:t>
      </w:r>
      <w:r>
        <w:rPr>
          <w:spacing w:val="-1"/>
        </w:rPr>
        <w:t> </w:t>
      </w:r>
      <w:r>
        <w:rPr/>
        <w:t>interest.</w:t>
      </w:r>
      <w:r>
        <w:rPr>
          <w:vertAlign w:val="superscript"/>
        </w:rPr>
        <w:t>732</w:t>
      </w:r>
    </w:p>
    <w:p>
      <w:pPr>
        <w:pStyle w:val="BodyText"/>
        <w:spacing w:before="7"/>
        <w:rPr>
          <w:sz w:val="25"/>
        </w:rPr>
      </w:pPr>
    </w:p>
    <w:p>
      <w:pPr>
        <w:pStyle w:val="BodyText"/>
        <w:spacing w:line="242" w:lineRule="auto"/>
        <w:ind w:left="1520" w:right="1520" w:firstLine="720"/>
        <w:jc w:val="both"/>
      </w:pPr>
      <w:r>
        <w:rPr/>
        <w:t>A Georgia court correctly rejected an award where the absence of impartiality on the</w:t>
      </w:r>
      <w:r>
        <w:rPr>
          <w:spacing w:val="-18"/>
        </w:rPr>
        <w:t> </w:t>
      </w:r>
      <w:r>
        <w:rPr/>
        <w:t>part</w:t>
      </w:r>
      <w:r>
        <w:rPr>
          <w:spacing w:val="-21"/>
        </w:rPr>
        <w:t> </w:t>
      </w:r>
      <w:r>
        <w:rPr/>
        <w:t>of</w:t>
      </w:r>
      <w:r>
        <w:rPr>
          <w:spacing w:val="-17"/>
        </w:rPr>
        <w:t> </w:t>
      </w:r>
      <w:r>
        <w:rPr/>
        <w:t>an</w:t>
      </w:r>
      <w:r>
        <w:rPr>
          <w:spacing w:val="-18"/>
        </w:rPr>
        <w:t> </w:t>
      </w:r>
      <w:r>
        <w:rPr/>
        <w:t>insurer’s</w:t>
      </w:r>
      <w:r>
        <w:rPr>
          <w:spacing w:val="-17"/>
        </w:rPr>
        <w:t> </w:t>
      </w:r>
      <w:r>
        <w:rPr/>
        <w:t>appraiser</w:t>
      </w:r>
      <w:r>
        <w:rPr>
          <w:spacing w:val="-19"/>
        </w:rPr>
        <w:t> </w:t>
      </w:r>
      <w:r>
        <w:rPr/>
        <w:t>was</w:t>
      </w:r>
      <w:r>
        <w:rPr>
          <w:spacing w:val="-17"/>
        </w:rPr>
        <w:t> </w:t>
      </w:r>
      <w:r>
        <w:rPr/>
        <w:t>shown</w:t>
      </w:r>
      <w:r>
        <w:rPr>
          <w:spacing w:val="-15"/>
        </w:rPr>
        <w:t> </w:t>
      </w:r>
      <w:r>
        <w:rPr/>
        <w:t>by uncontradicted evidence. The appraiser </w:t>
      </w:r>
      <w:r>
        <w:rPr>
          <w:spacing w:val="-5"/>
        </w:rPr>
        <w:t>in </w:t>
      </w:r>
      <w:r>
        <w:rPr/>
        <w:t>question</w:t>
      </w:r>
      <w:r>
        <w:rPr>
          <w:spacing w:val="-23"/>
        </w:rPr>
        <w:t> </w:t>
      </w:r>
      <w:r>
        <w:rPr/>
        <w:t>had</w:t>
      </w:r>
      <w:r>
        <w:rPr>
          <w:spacing w:val="-23"/>
        </w:rPr>
        <w:t> </w:t>
      </w:r>
      <w:r>
        <w:rPr/>
        <w:t>been</w:t>
      </w:r>
      <w:r>
        <w:rPr>
          <w:spacing w:val="-24"/>
        </w:rPr>
        <w:t> </w:t>
      </w:r>
      <w:r>
        <w:rPr/>
        <w:t>employed</w:t>
      </w:r>
      <w:r>
        <w:rPr>
          <w:spacing w:val="-22"/>
        </w:rPr>
        <w:t> </w:t>
      </w:r>
      <w:r>
        <w:rPr/>
        <w:t>by</w:t>
      </w:r>
      <w:r>
        <w:rPr>
          <w:spacing w:val="-24"/>
        </w:rPr>
        <w:t> </w:t>
      </w:r>
      <w:r>
        <w:rPr/>
        <w:t>the</w:t>
      </w:r>
      <w:r>
        <w:rPr>
          <w:spacing w:val="-25"/>
        </w:rPr>
        <w:t> </w:t>
      </w:r>
      <w:r>
        <w:rPr/>
        <w:t>insurer</w:t>
      </w:r>
      <w:r>
        <w:rPr>
          <w:spacing w:val="-27"/>
        </w:rPr>
        <w:t> </w:t>
      </w:r>
      <w:r>
        <w:rPr>
          <w:spacing w:val="-5"/>
        </w:rPr>
        <w:t>for </w:t>
      </w:r>
      <w:r>
        <w:rPr/>
        <w:t>several weeks prior to the meeting of the appraisers, received payment of ten dollars</w:t>
      </w:r>
      <w:r>
        <w:rPr>
          <w:spacing w:val="18"/>
        </w:rPr>
        <w:t> </w:t>
      </w:r>
      <w:r>
        <w:rPr/>
        <w:t>a</w:t>
      </w:r>
    </w:p>
    <w:p>
      <w:pPr>
        <w:pStyle w:val="BodyText"/>
        <w:spacing w:before="1"/>
        <w:rPr>
          <w:sz w:val="19"/>
        </w:rPr>
      </w:pPr>
      <w:r>
        <w:rPr/>
        <w:pict>
          <v:shape style="position:absolute;margin-left:162pt;margin-top:14.099297pt;width:143.9pt;height:.1pt;mso-position-horizontal-relative:page;mso-position-vertical-relative:paragraph;z-index:-251649024;mso-wrap-distance-left:0;mso-wrap-distance-right:0" coordorigin="3240,282" coordsize="2878,0" path="m3240,282l6118,282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2"/>
        </w:numPr>
        <w:tabs>
          <w:tab w:pos="1494" w:val="left" w:leader="none"/>
        </w:tabs>
        <w:spacing w:line="254" w:lineRule="auto" w:before="71" w:after="0"/>
        <w:ind w:left="1160" w:right="1164" w:firstLine="0"/>
        <w:jc w:val="both"/>
        <w:rPr>
          <w:sz w:val="18"/>
        </w:rPr>
      </w:pPr>
      <w:r>
        <w:rPr>
          <w:sz w:val="18"/>
          <w:u w:val="single"/>
        </w:rPr>
        <w:t>Tamko Bldg. Products, Inc. v. Factory Mut. Ins. Co.</w:t>
      </w:r>
      <w:r>
        <w:rPr>
          <w:sz w:val="18"/>
        </w:rPr>
        <w:t>, 890 F.Supp.2d 1129 (E.D. Mo. 2012),</w:t>
      </w:r>
      <w:r>
        <w:rPr>
          <w:spacing w:val="-11"/>
          <w:sz w:val="18"/>
        </w:rPr>
        <w:t> </w:t>
      </w:r>
      <w:r>
        <w:rPr>
          <w:sz w:val="18"/>
        </w:rPr>
        <w:t>citing</w:t>
      </w:r>
      <w:r>
        <w:rPr>
          <w:spacing w:val="-12"/>
          <w:sz w:val="18"/>
        </w:rPr>
        <w:t> </w:t>
      </w:r>
      <w:r>
        <w:rPr>
          <w:sz w:val="18"/>
          <w:u w:val="single"/>
        </w:rPr>
        <w:t>Orr</w:t>
      </w:r>
      <w:r>
        <w:rPr>
          <w:spacing w:val="-14"/>
          <w:sz w:val="18"/>
          <w:u w:val="single"/>
        </w:rPr>
        <w:t> </w:t>
      </w:r>
      <w:r>
        <w:rPr>
          <w:sz w:val="18"/>
          <w:u w:val="single"/>
        </w:rPr>
        <w:t>v.</w:t>
      </w:r>
      <w:r>
        <w:rPr>
          <w:spacing w:val="-13"/>
          <w:sz w:val="18"/>
          <w:u w:val="single"/>
        </w:rPr>
        <w:t> </w:t>
      </w:r>
      <w:r>
        <w:rPr>
          <w:sz w:val="18"/>
          <w:u w:val="single"/>
        </w:rPr>
        <w:t>Farmer’s</w:t>
      </w:r>
      <w:r>
        <w:rPr>
          <w:spacing w:val="-15"/>
          <w:sz w:val="18"/>
          <w:u w:val="single"/>
        </w:rPr>
        <w:t> </w:t>
      </w:r>
      <w:r>
        <w:rPr>
          <w:sz w:val="18"/>
          <w:u w:val="single"/>
        </w:rPr>
        <w:t>Mut.</w:t>
      </w:r>
      <w:r>
        <w:rPr>
          <w:spacing w:val="-14"/>
          <w:sz w:val="18"/>
          <w:u w:val="single"/>
        </w:rPr>
        <w:t> </w:t>
      </w:r>
      <w:r>
        <w:rPr>
          <w:sz w:val="18"/>
          <w:u w:val="single"/>
        </w:rPr>
        <w:t>Hail</w:t>
      </w:r>
      <w:r>
        <w:rPr>
          <w:spacing w:val="-14"/>
          <w:sz w:val="18"/>
          <w:u w:val="single"/>
        </w:rPr>
        <w:t> </w:t>
      </w:r>
      <w:r>
        <w:rPr>
          <w:sz w:val="18"/>
          <w:u w:val="single"/>
        </w:rPr>
        <w:t>Ins.</w:t>
      </w:r>
      <w:r>
        <w:rPr>
          <w:spacing w:val="-11"/>
          <w:sz w:val="18"/>
          <w:u w:val="single"/>
        </w:rPr>
        <w:t> </w:t>
      </w:r>
      <w:r>
        <w:rPr>
          <w:sz w:val="18"/>
          <w:u w:val="single"/>
        </w:rPr>
        <w:t>Co.</w:t>
      </w:r>
      <w:r>
        <w:rPr>
          <w:spacing w:val="-11"/>
          <w:sz w:val="18"/>
          <w:u w:val="single"/>
        </w:rPr>
        <w:t> </w:t>
      </w:r>
      <w:r>
        <w:rPr>
          <w:sz w:val="18"/>
          <w:u w:val="single"/>
        </w:rPr>
        <w:t>of</w:t>
      </w:r>
      <w:r>
        <w:rPr>
          <w:spacing w:val="-13"/>
          <w:sz w:val="18"/>
          <w:u w:val="single"/>
        </w:rPr>
        <w:t> </w:t>
      </w:r>
      <w:r>
        <w:rPr>
          <w:sz w:val="18"/>
          <w:u w:val="single"/>
        </w:rPr>
        <w:t>Missouri</w:t>
      </w:r>
      <w:r>
        <w:rPr>
          <w:sz w:val="18"/>
        </w:rPr>
        <w:t>,</w:t>
      </w:r>
      <w:r>
        <w:rPr>
          <w:spacing w:val="-10"/>
          <w:sz w:val="18"/>
        </w:rPr>
        <w:t> </w:t>
      </w:r>
      <w:r>
        <w:rPr>
          <w:sz w:val="18"/>
        </w:rPr>
        <w:t>356</w:t>
      </w:r>
      <w:r>
        <w:rPr>
          <w:spacing w:val="-10"/>
          <w:sz w:val="18"/>
        </w:rPr>
        <w:t> </w:t>
      </w:r>
      <w:r>
        <w:rPr>
          <w:sz w:val="18"/>
        </w:rPr>
        <w:t>Mo.</w:t>
      </w:r>
      <w:r>
        <w:rPr>
          <w:spacing w:val="-10"/>
          <w:sz w:val="18"/>
        </w:rPr>
        <w:t> </w:t>
      </w:r>
      <w:r>
        <w:rPr>
          <w:sz w:val="18"/>
        </w:rPr>
        <w:t>372,</w:t>
      </w:r>
      <w:r>
        <w:rPr>
          <w:spacing w:val="-11"/>
          <w:sz w:val="18"/>
        </w:rPr>
        <w:t> </w:t>
      </w:r>
      <w:r>
        <w:rPr>
          <w:sz w:val="18"/>
        </w:rPr>
        <w:t>201</w:t>
      </w:r>
      <w:r>
        <w:rPr>
          <w:spacing w:val="-11"/>
          <w:sz w:val="18"/>
        </w:rPr>
        <w:t> </w:t>
      </w:r>
      <w:r>
        <w:rPr>
          <w:sz w:val="18"/>
        </w:rPr>
        <w:t>S.W.2d</w:t>
      </w:r>
      <w:r>
        <w:rPr>
          <w:spacing w:val="-10"/>
          <w:sz w:val="18"/>
        </w:rPr>
        <w:t> </w:t>
      </w:r>
      <w:r>
        <w:rPr>
          <w:sz w:val="18"/>
        </w:rPr>
        <w:t>952, 957 (1947).</w:t>
      </w:r>
    </w:p>
    <w:p>
      <w:pPr>
        <w:spacing w:after="0" w:line="254" w:lineRule="auto"/>
        <w:jc w:val="both"/>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9"/>
        <w:jc w:val="both"/>
      </w:pPr>
      <w:bookmarkStart w:name="Law and Procedure 345" w:id="11"/>
      <w:bookmarkEnd w:id="11"/>
      <w:r>
        <w:rPr/>
      </w:r>
      <w:r>
        <w:rPr/>
        <w:t>day for his services, and even swore, “After they</w:t>
      </w:r>
      <w:r>
        <w:rPr>
          <w:spacing w:val="-18"/>
        </w:rPr>
        <w:t> </w:t>
      </w:r>
      <w:r>
        <w:rPr/>
        <w:t>employed</w:t>
      </w:r>
      <w:r>
        <w:rPr>
          <w:spacing w:val="-13"/>
        </w:rPr>
        <w:t> </w:t>
      </w:r>
      <w:r>
        <w:rPr/>
        <w:t>me</w:t>
      </w:r>
      <w:r>
        <w:rPr>
          <w:spacing w:val="-13"/>
        </w:rPr>
        <w:t> </w:t>
      </w:r>
      <w:r>
        <w:rPr/>
        <w:t>as</w:t>
      </w:r>
      <w:r>
        <w:rPr>
          <w:spacing w:val="-12"/>
        </w:rPr>
        <w:t> </w:t>
      </w:r>
      <w:r>
        <w:rPr/>
        <w:t>adjuster,</w:t>
      </w:r>
      <w:r>
        <w:rPr>
          <w:spacing w:val="-15"/>
        </w:rPr>
        <w:t> </w:t>
      </w:r>
      <w:r>
        <w:rPr/>
        <w:t>paying</w:t>
      </w:r>
      <w:r>
        <w:rPr>
          <w:spacing w:val="-11"/>
        </w:rPr>
        <w:t> </w:t>
      </w:r>
      <w:r>
        <w:rPr/>
        <w:t>me</w:t>
      </w:r>
      <w:r>
        <w:rPr>
          <w:spacing w:val="-14"/>
        </w:rPr>
        <w:t> </w:t>
      </w:r>
      <w:r>
        <w:rPr>
          <w:spacing w:val="-4"/>
        </w:rPr>
        <w:t>$10 </w:t>
      </w:r>
      <w:r>
        <w:rPr/>
        <w:t>a day, I came up here investigating this loss and had them name me as appraiser.” </w:t>
      </w:r>
      <w:r>
        <w:rPr>
          <w:spacing w:val="-6"/>
        </w:rPr>
        <w:t>The </w:t>
      </w:r>
      <w:r>
        <w:rPr/>
        <w:t>requirement</w:t>
      </w:r>
      <w:r>
        <w:rPr>
          <w:spacing w:val="-38"/>
        </w:rPr>
        <w:t> </w:t>
      </w:r>
      <w:r>
        <w:rPr>
          <w:spacing w:val="-3"/>
        </w:rPr>
        <w:t>that</w:t>
      </w:r>
      <w:r>
        <w:rPr>
          <w:spacing w:val="-37"/>
        </w:rPr>
        <w:t> </w:t>
      </w:r>
      <w:r>
        <w:rPr/>
        <w:t>an</w:t>
      </w:r>
      <w:r>
        <w:rPr>
          <w:spacing w:val="-35"/>
        </w:rPr>
        <w:t> </w:t>
      </w:r>
      <w:r>
        <w:rPr/>
        <w:t>appraiser</w:t>
      </w:r>
      <w:r>
        <w:rPr>
          <w:spacing w:val="-35"/>
        </w:rPr>
        <w:t> </w:t>
      </w:r>
      <w:r>
        <w:rPr/>
        <w:t>be</w:t>
      </w:r>
      <w:r>
        <w:rPr>
          <w:spacing w:val="-34"/>
        </w:rPr>
        <w:t> </w:t>
      </w:r>
      <w:r>
        <w:rPr/>
        <w:t>impartial</w:t>
      </w:r>
      <w:r>
        <w:rPr>
          <w:spacing w:val="-33"/>
        </w:rPr>
        <w:t> </w:t>
      </w:r>
      <w:r>
        <w:rPr/>
        <w:t>and disinterested was found to be substantiated</w:t>
      </w:r>
      <w:r>
        <w:rPr>
          <w:spacing w:val="-37"/>
        </w:rPr>
        <w:t> </w:t>
      </w:r>
      <w:r>
        <w:rPr/>
        <w:t>in law,</w:t>
      </w:r>
      <w:r>
        <w:rPr>
          <w:spacing w:val="-36"/>
        </w:rPr>
        <w:t> </w:t>
      </w:r>
      <w:r>
        <w:rPr>
          <w:spacing w:val="-3"/>
        </w:rPr>
        <w:t>the</w:t>
      </w:r>
      <w:r>
        <w:rPr>
          <w:spacing w:val="-37"/>
        </w:rPr>
        <w:t> </w:t>
      </w:r>
      <w:r>
        <w:rPr/>
        <w:t>insurance</w:t>
      </w:r>
      <w:r>
        <w:rPr>
          <w:spacing w:val="-34"/>
        </w:rPr>
        <w:t> </w:t>
      </w:r>
      <w:r>
        <w:rPr/>
        <w:t>contract</w:t>
      </w:r>
      <w:r>
        <w:rPr>
          <w:spacing w:val="-35"/>
        </w:rPr>
        <w:t> </w:t>
      </w:r>
      <w:r>
        <w:rPr/>
        <w:t>and</w:t>
      </w:r>
      <w:r>
        <w:rPr>
          <w:spacing w:val="-35"/>
        </w:rPr>
        <w:t> </w:t>
      </w:r>
      <w:r>
        <w:rPr/>
        <w:t>the</w:t>
      </w:r>
      <w:r>
        <w:rPr>
          <w:spacing w:val="-34"/>
        </w:rPr>
        <w:t> </w:t>
      </w:r>
      <w:r>
        <w:rPr/>
        <w:t>oath</w:t>
      </w:r>
      <w:r>
        <w:rPr>
          <w:spacing w:val="-34"/>
        </w:rPr>
        <w:t> </w:t>
      </w:r>
      <w:r>
        <w:rPr/>
        <w:t>taken by the</w:t>
      </w:r>
      <w:r>
        <w:rPr>
          <w:spacing w:val="-3"/>
        </w:rPr>
        <w:t> </w:t>
      </w:r>
      <w:r>
        <w:rPr/>
        <w:t>appraisers.</w:t>
      </w:r>
      <w:r>
        <w:rPr>
          <w:vertAlign w:val="superscript"/>
        </w:rPr>
        <w:t>733</w:t>
      </w:r>
    </w:p>
    <w:p>
      <w:pPr>
        <w:pStyle w:val="BodyText"/>
        <w:spacing w:before="12"/>
        <w:rPr>
          <w:sz w:val="25"/>
        </w:rPr>
      </w:pPr>
    </w:p>
    <w:p>
      <w:pPr>
        <w:pStyle w:val="BodyText"/>
        <w:spacing w:line="242" w:lineRule="auto"/>
        <w:ind w:left="1520" w:right="1521" w:firstLine="777"/>
        <w:jc w:val="both"/>
      </w:pPr>
      <w:r>
        <w:rPr/>
        <w:t>Because</w:t>
      </w:r>
      <w:r>
        <w:rPr>
          <w:spacing w:val="-15"/>
        </w:rPr>
        <w:t> </w:t>
      </w:r>
      <w:r>
        <w:rPr/>
        <w:t>of</w:t>
      </w:r>
      <w:r>
        <w:rPr>
          <w:spacing w:val="-14"/>
        </w:rPr>
        <w:t> </w:t>
      </w:r>
      <w:r>
        <w:rPr/>
        <w:t>the</w:t>
      </w:r>
      <w:r>
        <w:rPr>
          <w:spacing w:val="-16"/>
        </w:rPr>
        <w:t> </w:t>
      </w:r>
      <w:r>
        <w:rPr/>
        <w:t>obvious</w:t>
      </w:r>
      <w:r>
        <w:rPr>
          <w:spacing w:val="-13"/>
        </w:rPr>
        <w:t> </w:t>
      </w:r>
      <w:r>
        <w:rPr/>
        <w:t>bias,</w:t>
      </w:r>
      <w:r>
        <w:rPr>
          <w:spacing w:val="-16"/>
        </w:rPr>
        <w:t> </w:t>
      </w:r>
      <w:r>
        <w:rPr>
          <w:spacing w:val="-3"/>
        </w:rPr>
        <w:t>employees </w:t>
      </w:r>
      <w:r>
        <w:rPr/>
        <w:t>of</w:t>
      </w:r>
      <w:r>
        <w:rPr>
          <w:spacing w:val="-18"/>
        </w:rPr>
        <w:t> </w:t>
      </w:r>
      <w:r>
        <w:rPr/>
        <w:t>one</w:t>
      </w:r>
      <w:r>
        <w:rPr>
          <w:spacing w:val="-19"/>
        </w:rPr>
        <w:t> </w:t>
      </w:r>
      <w:r>
        <w:rPr/>
        <w:t>of</w:t>
      </w:r>
      <w:r>
        <w:rPr>
          <w:spacing w:val="-17"/>
        </w:rPr>
        <w:t> </w:t>
      </w:r>
      <w:r>
        <w:rPr/>
        <w:t>the</w:t>
      </w:r>
      <w:r>
        <w:rPr>
          <w:spacing w:val="-19"/>
        </w:rPr>
        <w:t> </w:t>
      </w:r>
      <w:r>
        <w:rPr/>
        <w:t>parties</w:t>
      </w:r>
      <w:r>
        <w:rPr>
          <w:spacing w:val="-19"/>
        </w:rPr>
        <w:t> </w:t>
      </w:r>
      <w:r>
        <w:rPr/>
        <w:t>or</w:t>
      </w:r>
      <w:r>
        <w:rPr>
          <w:spacing w:val="-21"/>
        </w:rPr>
        <w:t> </w:t>
      </w:r>
      <w:r>
        <w:rPr/>
        <w:t>agents</w:t>
      </w:r>
      <w:r>
        <w:rPr>
          <w:spacing w:val="-19"/>
        </w:rPr>
        <w:t> </w:t>
      </w:r>
      <w:r>
        <w:rPr/>
        <w:t>or</w:t>
      </w:r>
      <w:r>
        <w:rPr>
          <w:spacing w:val="-16"/>
        </w:rPr>
        <w:t> </w:t>
      </w:r>
      <w:r>
        <w:rPr/>
        <w:t>sub-agents</w:t>
      </w:r>
      <w:r>
        <w:rPr>
          <w:spacing w:val="-17"/>
        </w:rPr>
        <w:t> </w:t>
      </w:r>
      <w:r>
        <w:rPr>
          <w:spacing w:val="-7"/>
        </w:rPr>
        <w:t>of </w:t>
      </w:r>
      <w:r>
        <w:rPr/>
        <w:t>the insurer are disqualified from acting </w:t>
      </w:r>
      <w:r>
        <w:rPr>
          <w:spacing w:val="-7"/>
        </w:rPr>
        <w:t>as </w:t>
      </w:r>
      <w:r>
        <w:rPr/>
        <w:t>appraisers.</w:t>
      </w:r>
      <w:r>
        <w:rPr>
          <w:vertAlign w:val="superscript"/>
        </w:rPr>
        <w:t>734</w:t>
      </w:r>
    </w:p>
    <w:p>
      <w:pPr>
        <w:pStyle w:val="BodyText"/>
        <w:spacing w:before="1"/>
      </w:pPr>
    </w:p>
    <w:p>
      <w:pPr>
        <w:pStyle w:val="BodyText"/>
        <w:spacing w:line="242" w:lineRule="auto"/>
        <w:ind w:left="1520" w:right="1516" w:firstLine="720"/>
        <w:jc w:val="both"/>
      </w:pPr>
      <w:r>
        <w:rPr/>
        <w:t>A professional appraiser employed </w:t>
      </w:r>
      <w:r>
        <w:rPr>
          <w:spacing w:val="-5"/>
        </w:rPr>
        <w:t>over </w:t>
      </w:r>
      <w:r>
        <w:rPr/>
        <w:t>a</w:t>
      </w:r>
      <w:r>
        <w:rPr>
          <w:spacing w:val="-17"/>
        </w:rPr>
        <w:t> </w:t>
      </w:r>
      <w:r>
        <w:rPr/>
        <w:t>thousand</w:t>
      </w:r>
      <w:r>
        <w:rPr>
          <w:spacing w:val="-15"/>
        </w:rPr>
        <w:t> </w:t>
      </w:r>
      <w:r>
        <w:rPr/>
        <w:t>times</w:t>
      </w:r>
      <w:r>
        <w:rPr>
          <w:spacing w:val="-15"/>
        </w:rPr>
        <w:t> </w:t>
      </w:r>
      <w:r>
        <w:rPr/>
        <w:t>by</w:t>
      </w:r>
      <w:r>
        <w:rPr>
          <w:spacing w:val="-16"/>
        </w:rPr>
        <w:t> </w:t>
      </w:r>
      <w:r>
        <w:rPr/>
        <w:t>insurance</w:t>
      </w:r>
      <w:r>
        <w:rPr>
          <w:spacing w:val="-16"/>
        </w:rPr>
        <w:t> </w:t>
      </w:r>
      <w:r>
        <w:rPr/>
        <w:t>companies</w:t>
      </w:r>
      <w:r>
        <w:rPr>
          <w:spacing w:val="-18"/>
        </w:rPr>
        <w:t> </w:t>
      </w:r>
      <w:r>
        <w:rPr/>
        <w:t>has been held not to be a disinterested person. </w:t>
      </w:r>
      <w:r>
        <w:rPr>
          <w:spacing w:val="-3"/>
        </w:rPr>
        <w:t>Where </w:t>
      </w:r>
      <w:r>
        <w:rPr/>
        <w:t>an appraiser has acted for the insurance company for a significant period of time</w:t>
      </w:r>
      <w:r>
        <w:rPr>
          <w:spacing w:val="-13"/>
        </w:rPr>
        <w:t> </w:t>
      </w:r>
      <w:r>
        <w:rPr/>
        <w:t>and</w:t>
      </w:r>
      <w:r>
        <w:rPr>
          <w:spacing w:val="-10"/>
        </w:rPr>
        <w:t> </w:t>
      </w:r>
      <w:r>
        <w:rPr/>
        <w:t>has</w:t>
      </w:r>
      <w:r>
        <w:rPr>
          <w:spacing w:val="-10"/>
        </w:rPr>
        <w:t> </w:t>
      </w:r>
      <w:r>
        <w:rPr/>
        <w:t>received</w:t>
      </w:r>
      <w:r>
        <w:rPr>
          <w:spacing w:val="-10"/>
        </w:rPr>
        <w:t> </w:t>
      </w:r>
      <w:r>
        <w:rPr/>
        <w:t>a</w:t>
      </w:r>
      <w:r>
        <w:rPr>
          <w:spacing w:val="-11"/>
        </w:rPr>
        <w:t> </w:t>
      </w:r>
      <w:r>
        <w:rPr/>
        <w:t>significant</w:t>
      </w:r>
      <w:r>
        <w:rPr>
          <w:spacing w:val="-13"/>
        </w:rPr>
        <w:t> </w:t>
      </w:r>
      <w:r>
        <w:rPr/>
        <w:t>amount</w:t>
      </w:r>
      <w:r>
        <w:rPr>
          <w:spacing w:val="-11"/>
        </w:rPr>
        <w:t> </w:t>
      </w:r>
      <w:r>
        <w:rPr/>
        <w:t>of compensation, he is no longer deemed disinterested.</w:t>
      </w:r>
      <w:r>
        <w:rPr>
          <w:vertAlign w:val="superscript"/>
        </w:rPr>
        <w:t>735</w:t>
      </w:r>
    </w:p>
    <w:p>
      <w:pPr>
        <w:pStyle w:val="BodyText"/>
      </w:pPr>
    </w:p>
    <w:p>
      <w:pPr>
        <w:pStyle w:val="BodyText"/>
        <w:spacing w:line="242" w:lineRule="auto"/>
        <w:ind w:left="1520" w:right="1518" w:firstLine="720"/>
        <w:jc w:val="both"/>
      </w:pPr>
      <w:r>
        <w:rPr/>
        <w:t>While a single prior experience working for either party as an appraiser will not, in and of itself, disqualify the appraiser, an extensive history</w:t>
      </w:r>
      <w:r>
        <w:rPr>
          <w:spacing w:val="-31"/>
        </w:rPr>
        <w:t> </w:t>
      </w:r>
      <w:r>
        <w:rPr/>
        <w:t>of</w:t>
      </w:r>
      <w:r>
        <w:rPr>
          <w:spacing w:val="-27"/>
        </w:rPr>
        <w:t> </w:t>
      </w:r>
      <w:r>
        <w:rPr/>
        <w:t>working</w:t>
      </w:r>
      <w:r>
        <w:rPr>
          <w:spacing w:val="-27"/>
        </w:rPr>
        <w:t> </w:t>
      </w:r>
      <w:r>
        <w:rPr/>
        <w:t>for</w:t>
      </w:r>
      <w:r>
        <w:rPr>
          <w:spacing w:val="-28"/>
        </w:rPr>
        <w:t> </w:t>
      </w:r>
      <w:r>
        <w:rPr/>
        <w:t>or</w:t>
      </w:r>
      <w:r>
        <w:rPr>
          <w:spacing w:val="-32"/>
        </w:rPr>
        <w:t> </w:t>
      </w:r>
      <w:r>
        <w:rPr/>
        <w:t>with</w:t>
      </w:r>
      <w:r>
        <w:rPr>
          <w:spacing w:val="-30"/>
        </w:rPr>
        <w:t> </w:t>
      </w:r>
      <w:r>
        <w:rPr/>
        <w:t>one</w:t>
      </w:r>
      <w:r>
        <w:rPr>
          <w:spacing w:val="-29"/>
        </w:rPr>
        <w:t> </w:t>
      </w:r>
      <w:r>
        <w:rPr/>
        <w:t>company</w:t>
      </w:r>
      <w:r>
        <w:rPr>
          <w:spacing w:val="-30"/>
        </w:rPr>
        <w:t> </w:t>
      </w:r>
      <w:r>
        <w:rPr/>
        <w:t>over</w:t>
      </w:r>
    </w:p>
    <w:p>
      <w:pPr>
        <w:pStyle w:val="BodyText"/>
        <w:spacing w:before="10"/>
        <w:rPr>
          <w:sz w:val="16"/>
        </w:rPr>
      </w:pPr>
      <w:r>
        <w:rPr/>
        <w:pict>
          <v:shape style="position:absolute;margin-left:162pt;margin-top:12.714786pt;width:143.9pt;height:.1pt;mso-position-horizontal-relative:page;mso-position-vertical-relative:paragraph;z-index:-251648000;mso-wrap-distance-left:0;mso-wrap-distance-right:0" coordorigin="3240,254" coordsize="2878,0" path="m3240,254l6118,254e" filled="false" stroked="true" strokeweight=".84pt" strokecolor="#000000">
            <v:path arrowok="t"/>
            <v:stroke dashstyle="solid"/>
            <w10:wrap type="topAndBottom"/>
          </v:shape>
        </w:pict>
      </w:r>
    </w:p>
    <w:p>
      <w:pPr>
        <w:pStyle w:val="BodyText"/>
        <w:spacing w:before="10"/>
        <w:rPr>
          <w:sz w:val="13"/>
        </w:rPr>
      </w:pPr>
    </w:p>
    <w:p>
      <w:pPr>
        <w:pStyle w:val="ListParagraph"/>
        <w:numPr>
          <w:ilvl w:val="0"/>
          <w:numId w:val="2"/>
        </w:numPr>
        <w:tabs>
          <w:tab w:pos="1447" w:val="left" w:leader="none"/>
        </w:tabs>
        <w:spacing w:line="245" w:lineRule="exact" w:before="72" w:after="0"/>
        <w:ind w:left="1446" w:right="0" w:hanging="287"/>
        <w:jc w:val="left"/>
        <w:rPr>
          <w:sz w:val="18"/>
        </w:rPr>
      </w:pPr>
      <w:r>
        <w:rPr>
          <w:sz w:val="18"/>
          <w:u w:val="single"/>
        </w:rPr>
        <w:t>National Fire Ins. Co. of Hartford v. Bennett</w:t>
      </w:r>
      <w:r>
        <w:rPr>
          <w:sz w:val="18"/>
        </w:rPr>
        <w:t>, 137 S.E. 570 (Ga. Ct. App.</w:t>
      </w:r>
      <w:r>
        <w:rPr>
          <w:spacing w:val="3"/>
          <w:sz w:val="18"/>
        </w:rPr>
        <w:t> </w:t>
      </w:r>
      <w:r>
        <w:rPr>
          <w:sz w:val="18"/>
        </w:rPr>
        <w:t>1927).</w:t>
      </w:r>
    </w:p>
    <w:p>
      <w:pPr>
        <w:pStyle w:val="ListParagraph"/>
        <w:numPr>
          <w:ilvl w:val="0"/>
          <w:numId w:val="2"/>
        </w:numPr>
        <w:tabs>
          <w:tab w:pos="1421" w:val="left" w:leader="none"/>
        </w:tabs>
        <w:spacing w:line="216" w:lineRule="exact" w:before="0" w:after="0"/>
        <w:ind w:left="1420" w:right="0" w:hanging="261"/>
        <w:jc w:val="left"/>
        <w:rPr>
          <w:sz w:val="18"/>
        </w:rPr>
      </w:pPr>
      <w:r>
        <w:rPr>
          <w:i/>
          <w:sz w:val="18"/>
        </w:rPr>
        <w:t>Couch on Insurance </w:t>
      </w:r>
      <w:r>
        <w:rPr>
          <w:sz w:val="18"/>
        </w:rPr>
        <w:t>§50:142 (2d rev. ed.</w:t>
      </w:r>
      <w:r>
        <w:rPr>
          <w:spacing w:val="2"/>
          <w:sz w:val="18"/>
        </w:rPr>
        <w:t> </w:t>
      </w:r>
      <w:r>
        <w:rPr>
          <w:sz w:val="18"/>
        </w:rPr>
        <w:t>1982).</w:t>
      </w:r>
    </w:p>
    <w:p>
      <w:pPr>
        <w:pStyle w:val="ListParagraph"/>
        <w:numPr>
          <w:ilvl w:val="0"/>
          <w:numId w:val="2"/>
        </w:numPr>
        <w:tabs>
          <w:tab w:pos="1411" w:val="left" w:leader="none"/>
        </w:tabs>
        <w:spacing w:line="240" w:lineRule="exact" w:before="0" w:after="0"/>
        <w:ind w:left="1410" w:right="0" w:hanging="251"/>
        <w:jc w:val="left"/>
        <w:rPr>
          <w:sz w:val="18"/>
        </w:rPr>
      </w:pPr>
      <w:r>
        <w:rPr>
          <w:sz w:val="18"/>
          <w:u w:val="single"/>
        </w:rPr>
        <w:t>Coon v. National Fire Ins. Co. of Hartford</w:t>
      </w:r>
      <w:r>
        <w:rPr>
          <w:sz w:val="18"/>
        </w:rPr>
        <w:t>, 126 Misc. 75, 213 N.Y.S 407</w:t>
      </w:r>
      <w:r>
        <w:rPr>
          <w:spacing w:val="8"/>
          <w:sz w:val="18"/>
        </w:rPr>
        <w:t> </w:t>
      </w:r>
      <w:r>
        <w:rPr>
          <w:sz w:val="18"/>
        </w:rPr>
        <w:t>(1925),</w:t>
      </w:r>
    </w:p>
    <w:p>
      <w:pPr>
        <w:spacing w:before="4"/>
        <w:ind w:left="1160" w:right="0" w:firstLine="0"/>
        <w:jc w:val="left"/>
        <w:rPr>
          <w:rFonts w:ascii="Times New Roman" w:hAnsi="Times New Roman"/>
          <w:sz w:val="18"/>
        </w:rPr>
      </w:pPr>
      <w:r>
        <w:rPr>
          <w:rFonts w:ascii="Times New Roman" w:hAnsi="Times New Roman"/>
          <w:i/>
          <w:sz w:val="18"/>
        </w:rPr>
        <w:t>aff’d, </w:t>
      </w:r>
      <w:r>
        <w:rPr>
          <w:rFonts w:ascii="Times New Roman" w:hAnsi="Times New Roman"/>
          <w:sz w:val="18"/>
        </w:rPr>
        <w:t>213 A.D. 812, 218 N.Y.S. 722 (4</w:t>
      </w:r>
      <w:r>
        <w:rPr>
          <w:rFonts w:ascii="Times New Roman" w:hAnsi="Times New Roman"/>
          <w:position w:val="7"/>
          <w:sz w:val="10"/>
        </w:rPr>
        <w:t>th </w:t>
      </w:r>
      <w:r>
        <w:rPr>
          <w:rFonts w:ascii="Times New Roman" w:hAnsi="Times New Roman"/>
          <w:sz w:val="18"/>
        </w:rPr>
        <w:t>Dept. 1926), </w:t>
      </w:r>
      <w:r>
        <w:rPr>
          <w:rFonts w:ascii="Times New Roman" w:hAnsi="Times New Roman"/>
          <w:i/>
          <w:sz w:val="18"/>
        </w:rPr>
        <w:t>aff’d, </w:t>
      </w:r>
      <w:r>
        <w:rPr>
          <w:rFonts w:ascii="Times New Roman" w:hAnsi="Times New Roman"/>
          <w:sz w:val="18"/>
        </w:rPr>
        <w:t>246 N.Y. 594, 159 N.E. 635</w:t>
      </w:r>
    </w:p>
    <w:p>
      <w:pPr>
        <w:spacing w:line="244" w:lineRule="auto" w:before="4"/>
        <w:ind w:left="1160" w:right="1480" w:firstLine="0"/>
        <w:jc w:val="left"/>
        <w:rPr>
          <w:rFonts w:ascii="Times New Roman"/>
          <w:sz w:val="18"/>
        </w:rPr>
      </w:pPr>
      <w:r>
        <w:rPr>
          <w:rFonts w:ascii="Times New Roman"/>
          <w:sz w:val="18"/>
        </w:rPr>
        <w:t>(1927); </w:t>
      </w:r>
      <w:r>
        <w:rPr>
          <w:rFonts w:ascii="Times New Roman"/>
          <w:sz w:val="18"/>
          <w:u w:val="single"/>
        </w:rPr>
        <w:t>Sterling Spinning &amp; Stamping Works v. Knickerbocker Ins. Co. of N.Y.</w:t>
      </w:r>
      <w:r>
        <w:rPr>
          <w:rFonts w:ascii="Times New Roman"/>
          <w:sz w:val="18"/>
        </w:rPr>
        <w:t>, 137 Misc. 349, 242 N.Y.S. 201 (1930).</w:t>
      </w:r>
    </w:p>
    <w:p>
      <w:pPr>
        <w:spacing w:after="0" w:line="244" w:lineRule="auto"/>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0"/>
      </w:pPr>
      <w:bookmarkStart w:name="Law and Procedure 346" w:id="12"/>
      <w:bookmarkEnd w:id="12"/>
      <w:r>
        <w:rPr/>
      </w:r>
      <w:r>
        <w:rPr/>
        <w:t>a period of years will often disqualify the appraiser.</w:t>
      </w:r>
      <w:r>
        <w:rPr>
          <w:vertAlign w:val="superscript"/>
        </w:rPr>
        <w:t>736</w:t>
      </w:r>
    </w:p>
    <w:p>
      <w:pPr>
        <w:pStyle w:val="BodyText"/>
        <w:spacing w:before="1"/>
      </w:pPr>
    </w:p>
    <w:p>
      <w:pPr>
        <w:pStyle w:val="BodyText"/>
        <w:spacing w:line="242" w:lineRule="auto" w:before="1"/>
        <w:ind w:left="1520" w:right="1516" w:firstLine="720"/>
        <w:jc w:val="both"/>
      </w:pPr>
      <w:r>
        <w:rPr/>
        <w:t>However, it has been held that an appraiser</w:t>
      </w:r>
      <w:r>
        <w:rPr>
          <w:spacing w:val="-29"/>
        </w:rPr>
        <w:t> </w:t>
      </w:r>
      <w:r>
        <w:rPr/>
        <w:t>selected</w:t>
      </w:r>
      <w:r>
        <w:rPr>
          <w:spacing w:val="-28"/>
        </w:rPr>
        <w:t> </w:t>
      </w:r>
      <w:r>
        <w:rPr/>
        <w:t>by</w:t>
      </w:r>
      <w:r>
        <w:rPr>
          <w:spacing w:val="-29"/>
        </w:rPr>
        <w:t> </w:t>
      </w:r>
      <w:r>
        <w:rPr/>
        <w:t>an</w:t>
      </w:r>
      <w:r>
        <w:rPr>
          <w:spacing w:val="-28"/>
        </w:rPr>
        <w:t> </w:t>
      </w:r>
      <w:r>
        <w:rPr/>
        <w:t>insurer</w:t>
      </w:r>
      <w:r>
        <w:rPr>
          <w:spacing w:val="-29"/>
        </w:rPr>
        <w:t> </w:t>
      </w:r>
      <w:r>
        <w:rPr/>
        <w:t>was</w:t>
      </w:r>
      <w:r>
        <w:rPr>
          <w:spacing w:val="-27"/>
        </w:rPr>
        <w:t> </w:t>
      </w:r>
      <w:r>
        <w:rPr/>
        <w:t>not</w:t>
      </w:r>
      <w:r>
        <w:rPr>
          <w:spacing w:val="-27"/>
        </w:rPr>
        <w:t> </w:t>
      </w:r>
      <w:r>
        <w:rPr/>
        <w:t>shown to</w:t>
      </w:r>
      <w:r>
        <w:rPr>
          <w:spacing w:val="-15"/>
        </w:rPr>
        <w:t> </w:t>
      </w:r>
      <w:r>
        <w:rPr/>
        <w:t>be</w:t>
      </w:r>
      <w:r>
        <w:rPr>
          <w:spacing w:val="-15"/>
        </w:rPr>
        <w:t> </w:t>
      </w:r>
      <w:r>
        <w:rPr/>
        <w:t>biased</w:t>
      </w:r>
      <w:r>
        <w:rPr>
          <w:spacing w:val="-14"/>
        </w:rPr>
        <w:t> </w:t>
      </w:r>
      <w:r>
        <w:rPr/>
        <w:t>against</w:t>
      </w:r>
      <w:r>
        <w:rPr>
          <w:spacing w:val="-15"/>
        </w:rPr>
        <w:t> </w:t>
      </w:r>
      <w:r>
        <w:rPr/>
        <w:t>the</w:t>
      </w:r>
      <w:r>
        <w:rPr>
          <w:spacing w:val="-18"/>
        </w:rPr>
        <w:t> </w:t>
      </w:r>
      <w:r>
        <w:rPr/>
        <w:t>insureds</w:t>
      </w:r>
      <w:r>
        <w:rPr>
          <w:spacing w:val="-15"/>
        </w:rPr>
        <w:t> </w:t>
      </w:r>
      <w:r>
        <w:rPr/>
        <w:t>even</w:t>
      </w:r>
      <w:r>
        <w:rPr>
          <w:spacing w:val="-15"/>
        </w:rPr>
        <w:t> </w:t>
      </w:r>
      <w:r>
        <w:rPr/>
        <w:t>though the adjuster had hired him as an engineer to inspect</w:t>
      </w:r>
      <w:r>
        <w:rPr>
          <w:spacing w:val="-22"/>
        </w:rPr>
        <w:t> </w:t>
      </w:r>
      <w:r>
        <w:rPr/>
        <w:t>the</w:t>
      </w:r>
      <w:r>
        <w:rPr>
          <w:spacing w:val="-20"/>
        </w:rPr>
        <w:t> </w:t>
      </w:r>
      <w:r>
        <w:rPr/>
        <w:t>house</w:t>
      </w:r>
      <w:r>
        <w:rPr>
          <w:spacing w:val="-19"/>
        </w:rPr>
        <w:t> </w:t>
      </w:r>
      <w:r>
        <w:rPr/>
        <w:t>and</w:t>
      </w:r>
      <w:r>
        <w:rPr>
          <w:spacing w:val="-19"/>
        </w:rPr>
        <w:t> </w:t>
      </w:r>
      <w:r>
        <w:rPr/>
        <w:t>determine</w:t>
      </w:r>
      <w:r>
        <w:rPr>
          <w:spacing w:val="-22"/>
        </w:rPr>
        <w:t> </w:t>
      </w:r>
      <w:r>
        <w:rPr/>
        <w:t>the</w:t>
      </w:r>
      <w:r>
        <w:rPr>
          <w:spacing w:val="-20"/>
        </w:rPr>
        <w:t> </w:t>
      </w:r>
      <w:r>
        <w:rPr/>
        <w:t>damage from a plumbing leak. The appraiser was not an employee of the insurer and nothing indicated that the insurer influenced or exercised control over him particularly where, as</w:t>
      </w:r>
      <w:r>
        <w:rPr>
          <w:spacing w:val="-23"/>
        </w:rPr>
        <w:t> </w:t>
      </w:r>
      <w:r>
        <w:rPr/>
        <w:t>here,</w:t>
      </w:r>
      <w:r>
        <w:rPr>
          <w:spacing w:val="-27"/>
        </w:rPr>
        <w:t> </w:t>
      </w:r>
      <w:r>
        <w:rPr/>
        <w:t>the</w:t>
      </w:r>
      <w:r>
        <w:rPr>
          <w:spacing w:val="-24"/>
        </w:rPr>
        <w:t> </w:t>
      </w:r>
      <w:r>
        <w:rPr/>
        <w:t>insureds’</w:t>
      </w:r>
      <w:r>
        <w:rPr>
          <w:spacing w:val="-24"/>
        </w:rPr>
        <w:t> </w:t>
      </w:r>
      <w:r>
        <w:rPr/>
        <w:t>appraiser</w:t>
      </w:r>
      <w:r>
        <w:rPr>
          <w:spacing w:val="-28"/>
        </w:rPr>
        <w:t> </w:t>
      </w:r>
      <w:r>
        <w:rPr/>
        <w:t>and</w:t>
      </w:r>
      <w:r>
        <w:rPr>
          <w:spacing w:val="-26"/>
        </w:rPr>
        <w:t> </w:t>
      </w:r>
      <w:r>
        <w:rPr/>
        <w:t>the</w:t>
      </w:r>
      <w:r>
        <w:rPr>
          <w:spacing w:val="-25"/>
        </w:rPr>
        <w:t> </w:t>
      </w:r>
      <w:r>
        <w:rPr/>
        <w:t>umpire entered the final award. The mere showing of a pre-existing relationship, without more, does not support a finding a bias of an insurer’s appraiser.</w:t>
      </w:r>
      <w:r>
        <w:rPr>
          <w:vertAlign w:val="superscript"/>
        </w:rPr>
        <w:t>737</w:t>
      </w:r>
    </w:p>
    <w:p>
      <w:pPr>
        <w:pStyle w:val="BodyText"/>
        <w:spacing w:before="9"/>
        <w:rPr>
          <w:sz w:val="25"/>
        </w:rPr>
      </w:pPr>
    </w:p>
    <w:p>
      <w:pPr>
        <w:pStyle w:val="BodyText"/>
        <w:spacing w:line="242" w:lineRule="auto" w:before="1"/>
        <w:ind w:left="1520" w:right="1520" w:firstLine="720"/>
        <w:jc w:val="both"/>
      </w:pPr>
      <w:r>
        <w:rPr>
          <w:spacing w:val="3"/>
        </w:rPr>
        <w:t>In </w:t>
      </w:r>
      <w:r>
        <w:rPr/>
        <w:t>determining whether to disqualify</w:t>
      </w:r>
      <w:r>
        <w:rPr>
          <w:spacing w:val="-39"/>
        </w:rPr>
        <w:t> </w:t>
      </w:r>
      <w:r>
        <w:rPr>
          <w:spacing w:val="-4"/>
        </w:rPr>
        <w:t>one </w:t>
      </w:r>
      <w:r>
        <w:rPr/>
        <w:t>of</w:t>
      </w:r>
      <w:r>
        <w:rPr>
          <w:spacing w:val="-18"/>
        </w:rPr>
        <w:t> </w:t>
      </w:r>
      <w:r>
        <w:rPr/>
        <w:t>the</w:t>
      </w:r>
      <w:r>
        <w:rPr>
          <w:spacing w:val="-19"/>
        </w:rPr>
        <w:t> </w:t>
      </w:r>
      <w:r>
        <w:rPr/>
        <w:t>appraisers,</w:t>
      </w:r>
      <w:r>
        <w:rPr>
          <w:spacing w:val="-24"/>
        </w:rPr>
        <w:t> </w:t>
      </w:r>
      <w:r>
        <w:rPr/>
        <w:t>it</w:t>
      </w:r>
      <w:r>
        <w:rPr>
          <w:spacing w:val="-22"/>
        </w:rPr>
        <w:t> </w:t>
      </w:r>
      <w:r>
        <w:rPr/>
        <w:t>is</w:t>
      </w:r>
      <w:r>
        <w:rPr>
          <w:spacing w:val="-21"/>
        </w:rPr>
        <w:t> </w:t>
      </w:r>
      <w:r>
        <w:rPr/>
        <w:t>not</w:t>
      </w:r>
      <w:r>
        <w:rPr>
          <w:spacing w:val="-20"/>
        </w:rPr>
        <w:t> </w:t>
      </w:r>
      <w:r>
        <w:rPr/>
        <w:t>necessary</w:t>
      </w:r>
      <w:r>
        <w:rPr>
          <w:spacing w:val="-23"/>
        </w:rPr>
        <w:t> </w:t>
      </w:r>
      <w:r>
        <w:rPr/>
        <w:t>to</w:t>
      </w:r>
      <w:r>
        <w:rPr>
          <w:spacing w:val="-19"/>
        </w:rPr>
        <w:t> </w:t>
      </w:r>
      <w:r>
        <w:rPr/>
        <w:t>establish actual fraud or bias on the part of the appraiser.</w:t>
      </w:r>
      <w:r>
        <w:rPr>
          <w:spacing w:val="-17"/>
        </w:rPr>
        <w:t> </w:t>
      </w:r>
      <w:r>
        <w:rPr/>
        <w:t>Rather,</w:t>
      </w:r>
      <w:r>
        <w:rPr>
          <w:spacing w:val="-18"/>
        </w:rPr>
        <w:t> </w:t>
      </w:r>
      <w:r>
        <w:rPr/>
        <w:t>it</w:t>
      </w:r>
      <w:r>
        <w:rPr>
          <w:spacing w:val="-14"/>
        </w:rPr>
        <w:t> </w:t>
      </w:r>
      <w:r>
        <w:rPr/>
        <w:t>has</w:t>
      </w:r>
      <w:r>
        <w:rPr>
          <w:spacing w:val="-11"/>
        </w:rPr>
        <w:t> </w:t>
      </w:r>
      <w:r>
        <w:rPr/>
        <w:t>been</w:t>
      </w:r>
      <w:r>
        <w:rPr>
          <w:spacing w:val="-12"/>
        </w:rPr>
        <w:t> </w:t>
      </w:r>
      <w:r>
        <w:rPr/>
        <w:t>held</w:t>
      </w:r>
      <w:r>
        <w:rPr>
          <w:spacing w:val="-11"/>
        </w:rPr>
        <w:t> </w:t>
      </w:r>
      <w:r>
        <w:rPr/>
        <w:t>sufficient</w:t>
      </w:r>
      <w:r>
        <w:rPr>
          <w:spacing w:val="-15"/>
        </w:rPr>
        <w:t> </w:t>
      </w:r>
      <w:r>
        <w:rPr/>
        <w:t>to establish merely an impression of possible bias.</w:t>
      </w:r>
      <w:r>
        <w:rPr>
          <w:vertAlign w:val="superscript"/>
        </w:rPr>
        <w:t>738</w:t>
      </w:r>
    </w:p>
    <w:p>
      <w:pPr>
        <w:pStyle w:val="BodyText"/>
        <w:rPr>
          <w:sz w:val="20"/>
        </w:rPr>
      </w:pPr>
    </w:p>
    <w:p>
      <w:pPr>
        <w:pStyle w:val="BodyText"/>
        <w:rPr>
          <w:sz w:val="20"/>
        </w:rPr>
      </w:pPr>
    </w:p>
    <w:p>
      <w:pPr>
        <w:pStyle w:val="BodyText"/>
        <w:rPr>
          <w:sz w:val="20"/>
        </w:rPr>
      </w:pPr>
    </w:p>
    <w:p>
      <w:pPr>
        <w:pStyle w:val="BodyText"/>
        <w:spacing w:before="5"/>
        <w:rPr>
          <w:sz w:val="15"/>
        </w:rPr>
      </w:pPr>
      <w:r>
        <w:rPr/>
        <w:pict>
          <v:shape style="position:absolute;margin-left:162pt;margin-top:11.878232pt;width:143.9pt;height:.1pt;mso-position-horizontal-relative:page;mso-position-vertical-relative:paragraph;z-index:-251646976;mso-wrap-distance-left:0;mso-wrap-distance-right:0" coordorigin="3240,238" coordsize="2878,0" path="m3240,238l6118,238e" filled="false" stroked="true" strokeweight=".84pt" strokecolor="#000000">
            <v:path arrowok="t"/>
            <v:stroke dashstyle="solid"/>
            <w10:wrap type="topAndBottom"/>
          </v:shape>
        </w:pict>
      </w:r>
    </w:p>
    <w:p>
      <w:pPr>
        <w:pStyle w:val="ListParagraph"/>
        <w:numPr>
          <w:ilvl w:val="0"/>
          <w:numId w:val="2"/>
        </w:numPr>
        <w:tabs>
          <w:tab w:pos="1421" w:val="left" w:leader="none"/>
        </w:tabs>
        <w:spacing w:line="244" w:lineRule="auto" w:before="140" w:after="0"/>
        <w:ind w:left="1160" w:right="1163" w:firstLine="0"/>
        <w:jc w:val="left"/>
        <w:rPr>
          <w:sz w:val="18"/>
        </w:rPr>
      </w:pPr>
      <w:r>
        <w:rPr>
          <w:sz w:val="18"/>
        </w:rPr>
        <w:t>44 </w:t>
      </w:r>
      <w:r>
        <w:rPr>
          <w:spacing w:val="-3"/>
          <w:sz w:val="18"/>
        </w:rPr>
        <w:t>Am. </w:t>
      </w:r>
      <w:r>
        <w:rPr>
          <w:sz w:val="18"/>
        </w:rPr>
        <w:t>Jur.2d </w:t>
      </w:r>
      <w:r>
        <w:rPr>
          <w:sz w:val="18"/>
          <w:u w:val="single"/>
        </w:rPr>
        <w:t>Insurance</w:t>
      </w:r>
      <w:r>
        <w:rPr>
          <w:sz w:val="18"/>
        </w:rPr>
        <w:t> §1689 (1982); Couch on Insurance §50:139-140 (2d rev. ed. 1982).</w:t>
      </w:r>
    </w:p>
    <w:p>
      <w:pPr>
        <w:pStyle w:val="ListParagraph"/>
        <w:numPr>
          <w:ilvl w:val="0"/>
          <w:numId w:val="2"/>
        </w:numPr>
        <w:tabs>
          <w:tab w:pos="1433" w:val="left" w:leader="none"/>
        </w:tabs>
        <w:spacing w:line="261" w:lineRule="auto" w:before="0" w:after="0"/>
        <w:ind w:left="1160" w:right="1163" w:firstLine="0"/>
        <w:jc w:val="left"/>
        <w:rPr>
          <w:sz w:val="18"/>
        </w:rPr>
      </w:pPr>
      <w:r>
        <w:rPr>
          <w:sz w:val="18"/>
          <w:u w:val="single"/>
        </w:rPr>
        <w:t>Franco v. Slavonic Mut. Fire Ins. Assoc.</w:t>
      </w:r>
      <w:r>
        <w:rPr>
          <w:sz w:val="18"/>
        </w:rPr>
        <w:t>, 154 S.W.3d 777 (Tex. Ct.-Houston</w:t>
      </w:r>
      <w:r>
        <w:rPr>
          <w:spacing w:val="-24"/>
          <w:sz w:val="18"/>
        </w:rPr>
        <w:t> </w:t>
      </w:r>
      <w:r>
        <w:rPr>
          <w:sz w:val="18"/>
        </w:rPr>
        <w:t>14</w:t>
      </w:r>
      <w:r>
        <w:rPr>
          <w:position w:val="7"/>
          <w:sz w:val="10"/>
        </w:rPr>
        <w:t>th </w:t>
      </w:r>
      <w:r>
        <w:rPr>
          <w:sz w:val="18"/>
        </w:rPr>
        <w:t>Dist. 2004).</w:t>
      </w:r>
    </w:p>
    <w:p>
      <w:pPr>
        <w:pStyle w:val="ListParagraph"/>
        <w:numPr>
          <w:ilvl w:val="0"/>
          <w:numId w:val="2"/>
        </w:numPr>
        <w:tabs>
          <w:tab w:pos="1430" w:val="left" w:leader="none"/>
        </w:tabs>
        <w:spacing w:line="250" w:lineRule="exact" w:before="0" w:after="0"/>
        <w:ind w:left="1430" w:right="0" w:hanging="270"/>
        <w:jc w:val="left"/>
        <w:rPr>
          <w:sz w:val="18"/>
        </w:rPr>
      </w:pPr>
      <w:r>
        <w:rPr>
          <w:sz w:val="18"/>
          <w:u w:val="single"/>
        </w:rPr>
        <w:t>Commonwealth</w:t>
      </w:r>
      <w:r>
        <w:rPr>
          <w:spacing w:val="-3"/>
          <w:sz w:val="18"/>
          <w:u w:val="single"/>
        </w:rPr>
        <w:t> </w:t>
      </w:r>
      <w:r>
        <w:rPr>
          <w:sz w:val="18"/>
          <w:u w:val="single"/>
        </w:rPr>
        <w:t>Coating</w:t>
      </w:r>
      <w:r>
        <w:rPr>
          <w:spacing w:val="-6"/>
          <w:sz w:val="18"/>
          <w:u w:val="single"/>
        </w:rPr>
        <w:t> </w:t>
      </w:r>
      <w:r>
        <w:rPr>
          <w:sz w:val="18"/>
          <w:u w:val="single"/>
        </w:rPr>
        <w:t>Co.</w:t>
      </w:r>
      <w:r>
        <w:rPr>
          <w:spacing w:val="-4"/>
          <w:sz w:val="18"/>
          <w:u w:val="single"/>
        </w:rPr>
        <w:t> </w:t>
      </w:r>
      <w:r>
        <w:rPr>
          <w:sz w:val="18"/>
          <w:u w:val="single"/>
        </w:rPr>
        <w:t>v.</w:t>
      </w:r>
      <w:r>
        <w:rPr>
          <w:spacing w:val="-4"/>
          <w:sz w:val="18"/>
          <w:u w:val="single"/>
        </w:rPr>
        <w:t> </w:t>
      </w:r>
      <w:r>
        <w:rPr>
          <w:sz w:val="18"/>
          <w:u w:val="single"/>
        </w:rPr>
        <w:t>Continental</w:t>
      </w:r>
      <w:r>
        <w:rPr>
          <w:spacing w:val="-5"/>
          <w:sz w:val="18"/>
          <w:u w:val="single"/>
        </w:rPr>
        <w:t> </w:t>
      </w:r>
      <w:r>
        <w:rPr>
          <w:sz w:val="18"/>
          <w:u w:val="single"/>
        </w:rPr>
        <w:t>Cas.</w:t>
      </w:r>
      <w:r>
        <w:rPr>
          <w:spacing w:val="-5"/>
          <w:sz w:val="18"/>
          <w:u w:val="single"/>
        </w:rPr>
        <w:t> </w:t>
      </w:r>
      <w:r>
        <w:rPr>
          <w:sz w:val="18"/>
          <w:u w:val="single"/>
        </w:rPr>
        <w:t>Corp</w:t>
      </w:r>
      <w:r>
        <w:rPr>
          <w:sz w:val="18"/>
        </w:rPr>
        <w:t>.,</w:t>
      </w:r>
      <w:r>
        <w:rPr>
          <w:spacing w:val="-5"/>
          <w:sz w:val="18"/>
        </w:rPr>
        <w:t> </w:t>
      </w:r>
      <w:r>
        <w:rPr>
          <w:sz w:val="18"/>
        </w:rPr>
        <w:t>393</w:t>
      </w:r>
      <w:r>
        <w:rPr>
          <w:spacing w:val="-3"/>
          <w:sz w:val="18"/>
        </w:rPr>
        <w:t> </w:t>
      </w:r>
      <w:r>
        <w:rPr>
          <w:sz w:val="18"/>
        </w:rPr>
        <w:t>U.S.</w:t>
      </w:r>
      <w:r>
        <w:rPr>
          <w:spacing w:val="-3"/>
          <w:sz w:val="18"/>
        </w:rPr>
        <w:t> </w:t>
      </w:r>
      <w:r>
        <w:rPr>
          <w:sz w:val="18"/>
        </w:rPr>
        <w:t>145,</w:t>
      </w:r>
      <w:r>
        <w:rPr>
          <w:spacing w:val="-4"/>
          <w:sz w:val="18"/>
        </w:rPr>
        <w:t> </w:t>
      </w:r>
      <w:r>
        <w:rPr>
          <w:sz w:val="18"/>
        </w:rPr>
        <w:t>89</w:t>
      </w:r>
      <w:r>
        <w:rPr>
          <w:spacing w:val="-3"/>
          <w:sz w:val="18"/>
        </w:rPr>
        <w:t> </w:t>
      </w:r>
      <w:r>
        <w:rPr>
          <w:sz w:val="18"/>
        </w:rPr>
        <w:t>S.Ct.</w:t>
      </w:r>
      <w:r>
        <w:rPr>
          <w:spacing w:val="-5"/>
          <w:sz w:val="18"/>
        </w:rPr>
        <w:t> </w:t>
      </w:r>
      <w:r>
        <w:rPr>
          <w:sz w:val="18"/>
        </w:rPr>
        <w:t>337,</w:t>
      </w:r>
      <w:r>
        <w:rPr>
          <w:spacing w:val="-3"/>
          <w:sz w:val="18"/>
        </w:rPr>
        <w:t> </w:t>
      </w:r>
      <w:r>
        <w:rPr>
          <w:sz w:val="18"/>
        </w:rPr>
        <w:t>21</w:t>
      </w:r>
    </w:p>
    <w:p>
      <w:pPr>
        <w:spacing w:line="244" w:lineRule="auto" w:before="14"/>
        <w:ind w:left="1160" w:right="860" w:firstLine="0"/>
        <w:jc w:val="left"/>
        <w:rPr>
          <w:rFonts w:ascii="Times New Roman"/>
          <w:sz w:val="18"/>
        </w:rPr>
      </w:pPr>
      <w:r>
        <w:rPr>
          <w:rFonts w:ascii="Times New Roman"/>
          <w:sz w:val="18"/>
        </w:rPr>
        <w:t>L.</w:t>
      </w:r>
      <w:r>
        <w:rPr>
          <w:rFonts w:ascii="Times New Roman"/>
          <w:spacing w:val="-11"/>
          <w:sz w:val="18"/>
        </w:rPr>
        <w:t> </w:t>
      </w:r>
      <w:r>
        <w:rPr>
          <w:rFonts w:ascii="Times New Roman"/>
          <w:sz w:val="18"/>
        </w:rPr>
        <w:t>Ed.2d</w:t>
      </w:r>
      <w:r>
        <w:rPr>
          <w:rFonts w:ascii="Times New Roman"/>
          <w:spacing w:val="-13"/>
          <w:sz w:val="18"/>
        </w:rPr>
        <w:t> </w:t>
      </w:r>
      <w:r>
        <w:rPr>
          <w:rFonts w:ascii="Times New Roman"/>
          <w:sz w:val="18"/>
        </w:rPr>
        <w:t>301</w:t>
      </w:r>
      <w:r>
        <w:rPr>
          <w:rFonts w:ascii="Times New Roman"/>
          <w:spacing w:val="-12"/>
          <w:sz w:val="18"/>
        </w:rPr>
        <w:t> </w:t>
      </w:r>
      <w:r>
        <w:rPr>
          <w:rFonts w:ascii="Times New Roman"/>
          <w:sz w:val="18"/>
        </w:rPr>
        <w:t>(1968);</w:t>
      </w:r>
      <w:r>
        <w:rPr>
          <w:rFonts w:ascii="Times New Roman"/>
          <w:spacing w:val="-13"/>
          <w:sz w:val="18"/>
        </w:rPr>
        <w:t> </w:t>
      </w:r>
      <w:r>
        <w:rPr>
          <w:rFonts w:ascii="Times New Roman"/>
          <w:sz w:val="18"/>
          <w:u w:val="single"/>
        </w:rPr>
        <w:t>Johnston</w:t>
      </w:r>
      <w:r>
        <w:rPr>
          <w:rFonts w:ascii="Times New Roman"/>
          <w:spacing w:val="-13"/>
          <w:sz w:val="18"/>
          <w:u w:val="single"/>
        </w:rPr>
        <w:t> </w:t>
      </w:r>
      <w:r>
        <w:rPr>
          <w:rFonts w:ascii="Times New Roman"/>
          <w:sz w:val="18"/>
          <w:u w:val="single"/>
        </w:rPr>
        <w:t>v.</w:t>
      </w:r>
      <w:r>
        <w:rPr>
          <w:rFonts w:ascii="Times New Roman"/>
          <w:spacing w:val="-13"/>
          <w:sz w:val="18"/>
          <w:u w:val="single"/>
        </w:rPr>
        <w:t> </w:t>
      </w:r>
      <w:r>
        <w:rPr>
          <w:rFonts w:ascii="Times New Roman"/>
          <w:sz w:val="18"/>
          <w:u w:val="single"/>
        </w:rPr>
        <w:t>Security</w:t>
      </w:r>
      <w:r>
        <w:rPr>
          <w:rFonts w:ascii="Times New Roman"/>
          <w:spacing w:val="-16"/>
          <w:sz w:val="18"/>
          <w:u w:val="single"/>
        </w:rPr>
        <w:t> </w:t>
      </w:r>
      <w:r>
        <w:rPr>
          <w:rFonts w:ascii="Times New Roman"/>
          <w:sz w:val="18"/>
          <w:u w:val="single"/>
        </w:rPr>
        <w:t>Ins.</w:t>
      </w:r>
      <w:r>
        <w:rPr>
          <w:rFonts w:ascii="Times New Roman"/>
          <w:spacing w:val="-14"/>
          <w:sz w:val="18"/>
          <w:u w:val="single"/>
        </w:rPr>
        <w:t> </w:t>
      </w:r>
      <w:r>
        <w:rPr>
          <w:rFonts w:ascii="Times New Roman"/>
          <w:sz w:val="18"/>
          <w:u w:val="single"/>
        </w:rPr>
        <w:t>Co.</w:t>
      </w:r>
      <w:r>
        <w:rPr>
          <w:rFonts w:ascii="Times New Roman"/>
          <w:sz w:val="18"/>
        </w:rPr>
        <w:t>,</w:t>
      </w:r>
      <w:r>
        <w:rPr>
          <w:rFonts w:ascii="Times New Roman"/>
          <w:spacing w:val="-12"/>
          <w:sz w:val="18"/>
        </w:rPr>
        <w:t> </w:t>
      </w:r>
      <w:r>
        <w:rPr>
          <w:rFonts w:ascii="Times New Roman"/>
          <w:sz w:val="18"/>
        </w:rPr>
        <w:t>6</w:t>
      </w:r>
      <w:r>
        <w:rPr>
          <w:rFonts w:ascii="Times New Roman"/>
          <w:spacing w:val="-12"/>
          <w:sz w:val="18"/>
        </w:rPr>
        <w:t> </w:t>
      </w:r>
      <w:r>
        <w:rPr>
          <w:rFonts w:ascii="Times New Roman"/>
          <w:sz w:val="18"/>
        </w:rPr>
        <w:t>Cal.</w:t>
      </w:r>
      <w:r>
        <w:rPr>
          <w:rFonts w:ascii="Times New Roman"/>
          <w:spacing w:val="-13"/>
          <w:sz w:val="18"/>
        </w:rPr>
        <w:t> </w:t>
      </w:r>
      <w:r>
        <w:rPr>
          <w:rFonts w:ascii="Times New Roman"/>
          <w:sz w:val="18"/>
        </w:rPr>
        <w:t>App.3d</w:t>
      </w:r>
      <w:r>
        <w:rPr>
          <w:rFonts w:ascii="Times New Roman"/>
          <w:spacing w:val="-13"/>
          <w:sz w:val="18"/>
        </w:rPr>
        <w:t> </w:t>
      </w:r>
      <w:r>
        <w:rPr>
          <w:rFonts w:ascii="Times New Roman"/>
          <w:sz w:val="18"/>
        </w:rPr>
        <w:t>839,</w:t>
      </w:r>
      <w:r>
        <w:rPr>
          <w:rFonts w:ascii="Times New Roman"/>
          <w:spacing w:val="-13"/>
          <w:sz w:val="18"/>
        </w:rPr>
        <w:t> </w:t>
      </w:r>
      <w:r>
        <w:rPr>
          <w:rFonts w:ascii="Times New Roman"/>
          <w:sz w:val="18"/>
        </w:rPr>
        <w:t>86</w:t>
      </w:r>
      <w:r>
        <w:rPr>
          <w:rFonts w:ascii="Times New Roman"/>
          <w:spacing w:val="-12"/>
          <w:sz w:val="18"/>
        </w:rPr>
        <w:t> </w:t>
      </w:r>
      <w:r>
        <w:rPr>
          <w:rFonts w:ascii="Times New Roman"/>
          <w:sz w:val="18"/>
        </w:rPr>
        <w:t>Cal.</w:t>
      </w:r>
      <w:r>
        <w:rPr>
          <w:rFonts w:ascii="Times New Roman"/>
          <w:spacing w:val="-13"/>
          <w:sz w:val="18"/>
        </w:rPr>
        <w:t> </w:t>
      </w:r>
      <w:r>
        <w:rPr>
          <w:rFonts w:ascii="Times New Roman"/>
          <w:sz w:val="18"/>
        </w:rPr>
        <w:t>Rptr.</w:t>
      </w:r>
      <w:r>
        <w:rPr>
          <w:rFonts w:ascii="Times New Roman"/>
          <w:spacing w:val="-12"/>
          <w:sz w:val="18"/>
        </w:rPr>
        <w:t> </w:t>
      </w:r>
      <w:r>
        <w:rPr>
          <w:rFonts w:ascii="Times New Roman"/>
          <w:sz w:val="18"/>
        </w:rPr>
        <w:t>133</w:t>
      </w:r>
      <w:r>
        <w:rPr>
          <w:rFonts w:ascii="Times New Roman"/>
          <w:spacing w:val="-10"/>
          <w:sz w:val="18"/>
        </w:rPr>
        <w:t> </w:t>
      </w:r>
      <w:r>
        <w:rPr>
          <w:rFonts w:ascii="Times New Roman"/>
          <w:sz w:val="18"/>
        </w:rPr>
        <w:t>(2d Dist. 1970); </w:t>
      </w:r>
      <w:r>
        <w:rPr>
          <w:rFonts w:ascii="Times New Roman"/>
          <w:sz w:val="18"/>
          <w:u w:val="single"/>
        </w:rPr>
        <w:t>Ceriale v. Amco Ins. Co.</w:t>
      </w:r>
      <w:r>
        <w:rPr>
          <w:rFonts w:ascii="Times New Roman"/>
          <w:sz w:val="18"/>
        </w:rPr>
        <w:t>, 48 Cal. App. 4</w:t>
      </w:r>
      <w:r>
        <w:rPr>
          <w:rFonts w:ascii="Times New Roman"/>
          <w:position w:val="7"/>
          <w:sz w:val="10"/>
        </w:rPr>
        <w:t>th </w:t>
      </w:r>
      <w:r>
        <w:rPr>
          <w:rFonts w:ascii="Times New Roman"/>
          <w:sz w:val="18"/>
        </w:rPr>
        <w:t>500, 55 Cal. Rptr.2d 685</w:t>
      </w:r>
      <w:r>
        <w:rPr>
          <w:rFonts w:ascii="Times New Roman"/>
          <w:spacing w:val="16"/>
          <w:sz w:val="18"/>
        </w:rPr>
        <w:t> </w:t>
      </w:r>
      <w:r>
        <w:rPr>
          <w:rFonts w:ascii="Times New Roman"/>
          <w:sz w:val="18"/>
        </w:rPr>
        <w:t>(1996).</w:t>
      </w:r>
    </w:p>
    <w:p>
      <w:pPr>
        <w:spacing w:after="0" w:line="244" w:lineRule="auto"/>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6" w:firstLine="837"/>
        <w:jc w:val="both"/>
      </w:pPr>
      <w:bookmarkStart w:name="Law and Procedure 347" w:id="13"/>
      <w:bookmarkEnd w:id="13"/>
      <w:r>
        <w:rPr/>
      </w:r>
      <w:r>
        <w:rPr/>
        <w:t>Appraisers may not be subject to the direction of either of the parties.</w:t>
      </w:r>
      <w:r>
        <w:rPr>
          <w:vertAlign w:val="superscript"/>
        </w:rPr>
        <w:t>739</w:t>
      </w:r>
      <w:r>
        <w:rPr>
          <w:vertAlign w:val="baseline"/>
        </w:rPr>
        <w:t> Appraisers are not agents of the party appointing them. </w:t>
      </w:r>
      <w:r>
        <w:rPr>
          <w:spacing w:val="3"/>
          <w:vertAlign w:val="baseline"/>
        </w:rPr>
        <w:t>It </w:t>
      </w:r>
      <w:r>
        <w:rPr>
          <w:vertAlign w:val="baseline"/>
        </w:rPr>
        <w:t>is for this reason they cannot be found</w:t>
      </w:r>
      <w:r>
        <w:rPr>
          <w:spacing w:val="-24"/>
          <w:vertAlign w:val="baseline"/>
        </w:rPr>
        <w:t> </w:t>
      </w:r>
      <w:r>
        <w:rPr>
          <w:vertAlign w:val="baseline"/>
        </w:rPr>
        <w:t>guilty of the illegal practice of law. </w:t>
      </w:r>
      <w:r>
        <w:rPr>
          <w:spacing w:val="2"/>
          <w:vertAlign w:val="baseline"/>
        </w:rPr>
        <w:t>If </w:t>
      </w:r>
      <w:r>
        <w:rPr>
          <w:vertAlign w:val="baseline"/>
        </w:rPr>
        <w:t>the appraisers were subject to the direction of the party</w:t>
      </w:r>
      <w:r>
        <w:rPr>
          <w:spacing w:val="-39"/>
          <w:vertAlign w:val="baseline"/>
        </w:rPr>
        <w:t> </w:t>
      </w:r>
      <w:r>
        <w:rPr>
          <w:vertAlign w:val="baseline"/>
        </w:rPr>
        <w:t>who </w:t>
      </w:r>
      <w:r>
        <w:rPr>
          <w:spacing w:val="5"/>
          <w:vertAlign w:val="baseline"/>
        </w:rPr>
        <w:t>appointed </w:t>
      </w:r>
      <w:r>
        <w:rPr>
          <w:spacing w:val="4"/>
          <w:vertAlign w:val="baseline"/>
        </w:rPr>
        <w:t>them, the </w:t>
      </w:r>
      <w:r>
        <w:rPr>
          <w:spacing w:val="5"/>
          <w:vertAlign w:val="baseline"/>
        </w:rPr>
        <w:t>entire appraisal </w:t>
      </w:r>
      <w:r>
        <w:rPr>
          <w:vertAlign w:val="baseline"/>
        </w:rPr>
        <w:t>proceeding would be a useless</w:t>
      </w:r>
      <w:r>
        <w:rPr>
          <w:spacing w:val="-12"/>
          <w:vertAlign w:val="baseline"/>
        </w:rPr>
        <w:t> </w:t>
      </w:r>
      <w:r>
        <w:rPr>
          <w:vertAlign w:val="baseline"/>
        </w:rPr>
        <w:t>ceremony.</w:t>
      </w:r>
      <w:r>
        <w:rPr>
          <w:vertAlign w:val="superscript"/>
        </w:rPr>
        <w:t>740</w:t>
      </w:r>
    </w:p>
    <w:p>
      <w:pPr>
        <w:pStyle w:val="BodyText"/>
        <w:spacing w:before="12"/>
        <w:rPr>
          <w:sz w:val="25"/>
        </w:rPr>
      </w:pPr>
    </w:p>
    <w:p>
      <w:pPr>
        <w:pStyle w:val="BodyText"/>
        <w:spacing w:line="242" w:lineRule="auto"/>
        <w:ind w:left="1520" w:right="1519" w:firstLine="720"/>
        <w:jc w:val="both"/>
      </w:pPr>
      <w:r>
        <w:rPr/>
        <w:t>One court declined to invalidate </w:t>
      </w:r>
      <w:r>
        <w:rPr>
          <w:spacing w:val="-6"/>
        </w:rPr>
        <w:t>an </w:t>
      </w:r>
      <w:r>
        <w:rPr/>
        <w:t>award despite the fact that the umpire and insurer’s appraiser met without the insured’s appraiser in order to </w:t>
      </w:r>
      <w:r>
        <w:rPr>
          <w:spacing w:val="2"/>
        </w:rPr>
        <w:t>sign </w:t>
      </w:r>
      <w:r>
        <w:rPr/>
        <w:t>the award. The insured admitted that its appraiser had submitted its position to the other </w:t>
      </w:r>
      <w:r>
        <w:rPr>
          <w:spacing w:val="-3"/>
        </w:rPr>
        <w:t>two </w:t>
      </w:r>
      <w:r>
        <w:rPr/>
        <w:t>and</w:t>
      </w:r>
      <w:r>
        <w:rPr>
          <w:spacing w:val="-29"/>
        </w:rPr>
        <w:t> </w:t>
      </w:r>
      <w:r>
        <w:rPr/>
        <w:t>the umpire had testified that he “fully considered all submissions” before rendering the award. The</w:t>
      </w:r>
      <w:r>
        <w:rPr>
          <w:spacing w:val="-34"/>
        </w:rPr>
        <w:t> </w:t>
      </w:r>
      <w:r>
        <w:rPr/>
        <w:t>communication</w:t>
      </w:r>
      <w:r>
        <w:rPr>
          <w:spacing w:val="-33"/>
        </w:rPr>
        <w:t> </w:t>
      </w:r>
      <w:r>
        <w:rPr>
          <w:spacing w:val="-4"/>
        </w:rPr>
        <w:t>was</w:t>
      </w:r>
      <w:r>
        <w:rPr>
          <w:spacing w:val="-35"/>
        </w:rPr>
        <w:t> </w:t>
      </w:r>
      <w:r>
        <w:rPr/>
        <w:t>not</w:t>
      </w:r>
      <w:r>
        <w:rPr>
          <w:spacing w:val="-37"/>
        </w:rPr>
        <w:t> </w:t>
      </w:r>
      <w:r>
        <w:rPr/>
        <w:t>deemed</w:t>
      </w:r>
      <w:r>
        <w:rPr>
          <w:spacing w:val="-35"/>
        </w:rPr>
        <w:t> </w:t>
      </w:r>
      <w:r>
        <w:rPr/>
        <w:t>sufficient to invalidate the award, as the insured was given both notice and an opportunity to be heard by both and did not show fraudulent intent.</w:t>
      </w:r>
      <w:r>
        <w:rPr>
          <w:vertAlign w:val="superscript"/>
        </w:rPr>
        <w:t>741</w:t>
      </w:r>
    </w:p>
    <w:p>
      <w:pPr>
        <w:pStyle w:val="BodyText"/>
        <w:spacing w:before="10"/>
        <w:rPr>
          <w:sz w:val="25"/>
        </w:rPr>
      </w:pPr>
    </w:p>
    <w:p>
      <w:pPr>
        <w:pStyle w:val="BodyText"/>
        <w:spacing w:line="242" w:lineRule="auto"/>
        <w:ind w:left="1520" w:right="1516" w:firstLine="720"/>
        <w:jc w:val="both"/>
      </w:pPr>
      <w:r>
        <w:rPr/>
        <w:t>Obviously, an insured may never act as their own appraiser under any circumstances. Any award made under these circumstances must be vacated.</w:t>
      </w:r>
    </w:p>
    <w:p>
      <w:pPr>
        <w:pStyle w:val="BodyText"/>
        <w:spacing w:before="10"/>
        <w:rPr>
          <w:sz w:val="25"/>
        </w:rPr>
      </w:pPr>
      <w:r>
        <w:rPr/>
        <w:pict>
          <v:shape style="position:absolute;margin-left:162pt;margin-top:18.238432pt;width:143.9pt;height:.1pt;mso-position-horizontal-relative:page;mso-position-vertical-relative:paragraph;z-index:-251645952;mso-wrap-distance-left:0;mso-wrap-distance-right:0" coordorigin="3240,365" coordsize="2878,0" path="m3240,365l6118,365e" filled="false" stroked="true" strokeweight=".84pt" strokecolor="#000000">
            <v:path arrowok="t"/>
            <v:stroke dashstyle="solid"/>
            <w10:wrap type="topAndBottom"/>
          </v:shape>
        </w:pict>
      </w:r>
    </w:p>
    <w:p>
      <w:pPr>
        <w:pStyle w:val="ListParagraph"/>
        <w:numPr>
          <w:ilvl w:val="0"/>
          <w:numId w:val="2"/>
        </w:numPr>
        <w:tabs>
          <w:tab w:pos="1411" w:val="left" w:leader="none"/>
        </w:tabs>
        <w:spacing w:line="244" w:lineRule="auto" w:before="140" w:after="0"/>
        <w:ind w:left="1160" w:right="1471" w:firstLine="0"/>
        <w:jc w:val="left"/>
        <w:rPr>
          <w:sz w:val="18"/>
        </w:rPr>
      </w:pPr>
      <w:r>
        <w:rPr>
          <w:sz w:val="18"/>
          <w:u w:val="single"/>
        </w:rPr>
        <w:t>Shawnee Fire Ins. Co. v. Pontfield</w:t>
      </w:r>
      <w:r>
        <w:rPr>
          <w:sz w:val="18"/>
        </w:rPr>
        <w:t>, 110 Md.358, 72 A.835 (1909); </w:t>
      </w:r>
      <w:r>
        <w:rPr>
          <w:sz w:val="18"/>
          <w:u w:val="single"/>
        </w:rPr>
        <w:t>Fritz v. British America Assur.Co.</w:t>
      </w:r>
      <w:r>
        <w:rPr>
          <w:sz w:val="18"/>
        </w:rPr>
        <w:t>, 208 Pa. 268, 57 A. 573 (1904); 6 Appleman, </w:t>
      </w:r>
      <w:r>
        <w:rPr>
          <w:sz w:val="18"/>
          <w:u w:val="single"/>
        </w:rPr>
        <w:t>Insurance Law</w:t>
      </w:r>
      <w:r>
        <w:rPr>
          <w:spacing w:val="-2"/>
          <w:sz w:val="18"/>
          <w:u w:val="single"/>
        </w:rPr>
        <w:t> </w:t>
      </w:r>
      <w:r>
        <w:rPr>
          <w:sz w:val="18"/>
          <w:u w:val="single"/>
        </w:rPr>
        <w:t>&amp;</w:t>
      </w:r>
    </w:p>
    <w:p>
      <w:pPr>
        <w:spacing w:line="178" w:lineRule="exact" w:before="0"/>
        <w:ind w:left="1160" w:right="0" w:firstLine="0"/>
        <w:jc w:val="left"/>
        <w:rPr>
          <w:rFonts w:ascii="Times New Roman" w:hAnsi="Times New Roman"/>
          <w:sz w:val="18"/>
        </w:rPr>
      </w:pPr>
      <w:r>
        <w:rPr>
          <w:rFonts w:ascii="Times New Roman" w:hAnsi="Times New Roman"/>
          <w:sz w:val="18"/>
          <w:u w:val="single"/>
        </w:rPr>
        <w:t>Practice</w:t>
      </w:r>
      <w:r>
        <w:rPr>
          <w:rFonts w:ascii="Times New Roman" w:hAnsi="Times New Roman"/>
          <w:sz w:val="18"/>
        </w:rPr>
        <w:t>, §3927 at 547 (1972).</w:t>
      </w:r>
    </w:p>
    <w:p>
      <w:pPr>
        <w:pStyle w:val="ListParagraph"/>
        <w:numPr>
          <w:ilvl w:val="0"/>
          <w:numId w:val="2"/>
        </w:numPr>
        <w:tabs>
          <w:tab w:pos="1411" w:val="left" w:leader="none"/>
        </w:tabs>
        <w:spacing w:line="240" w:lineRule="exact" w:before="0" w:after="0"/>
        <w:ind w:left="1410" w:right="0" w:hanging="251"/>
        <w:jc w:val="left"/>
        <w:rPr>
          <w:sz w:val="18"/>
        </w:rPr>
      </w:pPr>
      <w:r>
        <w:rPr>
          <w:sz w:val="18"/>
          <w:u w:val="single"/>
        </w:rPr>
        <w:t>Norwich Union Fire Ins. Soc. Ltd. v. Cohen</w:t>
      </w:r>
      <w:r>
        <w:rPr>
          <w:sz w:val="18"/>
        </w:rPr>
        <w:t>, 68 F.2d 42 (10</w:t>
      </w:r>
      <w:r>
        <w:rPr>
          <w:position w:val="7"/>
          <w:sz w:val="10"/>
        </w:rPr>
        <w:t>th </w:t>
      </w:r>
      <w:r>
        <w:rPr>
          <w:sz w:val="18"/>
        </w:rPr>
        <w:t>Cir. 1933); </w:t>
      </w:r>
      <w:r>
        <w:rPr>
          <w:sz w:val="18"/>
          <w:u w:val="single"/>
        </w:rPr>
        <w:t>Hyland</w:t>
      </w:r>
      <w:r>
        <w:rPr>
          <w:spacing w:val="7"/>
          <w:sz w:val="18"/>
          <w:u w:val="single"/>
        </w:rPr>
        <w:t> </w:t>
      </w:r>
      <w:r>
        <w:rPr>
          <w:sz w:val="18"/>
          <w:u w:val="single"/>
        </w:rPr>
        <w:t>v.</w:t>
      </w:r>
    </w:p>
    <w:p>
      <w:pPr>
        <w:spacing w:line="182" w:lineRule="exact" w:before="5"/>
        <w:ind w:left="1160" w:right="0" w:firstLine="0"/>
        <w:jc w:val="left"/>
        <w:rPr>
          <w:rFonts w:ascii="Times New Roman" w:hAnsi="Times New Roman"/>
          <w:sz w:val="18"/>
        </w:rPr>
      </w:pPr>
      <w:r>
        <w:rPr>
          <w:rFonts w:ascii="Times New Roman" w:hAnsi="Times New Roman"/>
          <w:sz w:val="18"/>
          <w:u w:val="single"/>
        </w:rPr>
        <w:t>Millers Nat. Ins. Co.</w:t>
      </w:r>
      <w:r>
        <w:rPr>
          <w:rFonts w:ascii="Times New Roman" w:hAnsi="Times New Roman"/>
          <w:sz w:val="18"/>
        </w:rPr>
        <w:t>, 58 F.2d 1003 (N.D. Cal. 1932), </w:t>
      </w:r>
      <w:r>
        <w:rPr>
          <w:rFonts w:ascii="Times New Roman" w:hAnsi="Times New Roman"/>
          <w:i/>
          <w:sz w:val="18"/>
        </w:rPr>
        <w:t>aff’d, </w:t>
      </w:r>
      <w:r>
        <w:rPr>
          <w:rFonts w:ascii="Times New Roman" w:hAnsi="Times New Roman"/>
          <w:sz w:val="18"/>
        </w:rPr>
        <w:t>91 F.2nd 735 (9</w:t>
      </w:r>
      <w:r>
        <w:rPr>
          <w:rFonts w:ascii="Times New Roman" w:hAnsi="Times New Roman"/>
          <w:position w:val="7"/>
          <w:sz w:val="10"/>
        </w:rPr>
        <w:t>th </w:t>
      </w:r>
      <w:r>
        <w:rPr>
          <w:rFonts w:ascii="Times New Roman" w:hAnsi="Times New Roman"/>
          <w:sz w:val="18"/>
        </w:rPr>
        <w:t>Cir. 1937).</w:t>
      </w:r>
    </w:p>
    <w:p>
      <w:pPr>
        <w:spacing w:line="235" w:lineRule="exact" w:before="0"/>
        <w:ind w:left="1160" w:right="0" w:firstLine="0"/>
        <w:jc w:val="left"/>
        <w:rPr>
          <w:rFonts w:ascii="Times New Roman"/>
          <w:sz w:val="18"/>
        </w:rPr>
      </w:pPr>
      <w:r>
        <w:rPr>
          <w:rFonts w:ascii="Times New Roman"/>
          <w:position w:val="9"/>
          <w:sz w:val="14"/>
        </w:rPr>
        <w:t>741</w:t>
      </w:r>
      <w:r>
        <w:rPr>
          <w:rFonts w:ascii="Times New Roman"/>
          <w:sz w:val="18"/>
          <w:u w:val="single"/>
        </w:rPr>
        <w:t>Glendale LLC v. Amco Ins. Co.</w:t>
      </w:r>
      <w:r>
        <w:rPr>
          <w:rFonts w:ascii="Times New Roman"/>
          <w:sz w:val="18"/>
        </w:rPr>
        <w:t>, 2012 WL 2917920 (W.D.N.C., 2012).</w:t>
      </w:r>
    </w:p>
    <w:p>
      <w:pPr>
        <w:spacing w:after="0" w:line="235" w:lineRule="exact"/>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20" w:firstLine="720"/>
        <w:jc w:val="both"/>
      </w:pPr>
      <w:bookmarkStart w:name="Law and Procedure 348" w:id="14"/>
      <w:bookmarkEnd w:id="14"/>
      <w:r>
        <w:rPr/>
      </w:r>
      <w:r>
        <w:rPr/>
        <w:t>Courts around the country have had varied views on the independence </w:t>
      </w:r>
      <w:r>
        <w:rPr>
          <w:spacing w:val="-4"/>
        </w:rPr>
        <w:t>and </w:t>
      </w:r>
      <w:r>
        <w:rPr/>
        <w:t>qualifications</w:t>
      </w:r>
      <w:r>
        <w:rPr>
          <w:spacing w:val="-29"/>
        </w:rPr>
        <w:t> </w:t>
      </w:r>
      <w:r>
        <w:rPr/>
        <w:t>of</w:t>
      </w:r>
      <w:r>
        <w:rPr>
          <w:spacing w:val="-29"/>
        </w:rPr>
        <w:t> </w:t>
      </w:r>
      <w:r>
        <w:rPr/>
        <w:t>an</w:t>
      </w:r>
      <w:r>
        <w:rPr>
          <w:spacing w:val="-29"/>
        </w:rPr>
        <w:t> </w:t>
      </w:r>
      <w:r>
        <w:rPr/>
        <w:t>appraiser</w:t>
      </w:r>
      <w:r>
        <w:rPr>
          <w:spacing w:val="-32"/>
        </w:rPr>
        <w:t> </w:t>
      </w:r>
      <w:r>
        <w:rPr/>
        <w:t>who</w:t>
      </w:r>
      <w:r>
        <w:rPr>
          <w:spacing w:val="-29"/>
        </w:rPr>
        <w:t> </w:t>
      </w:r>
      <w:r>
        <w:rPr/>
        <w:t>is</w:t>
      </w:r>
      <w:r>
        <w:rPr>
          <w:spacing w:val="-31"/>
        </w:rPr>
        <w:t> </w:t>
      </w:r>
      <w:r>
        <w:rPr/>
        <w:t>working</w:t>
      </w:r>
      <w:r>
        <w:rPr>
          <w:spacing w:val="-28"/>
        </w:rPr>
        <w:t> </w:t>
      </w:r>
      <w:r>
        <w:rPr/>
        <w:t>on a contingency fee</w:t>
      </w:r>
      <w:r>
        <w:rPr>
          <w:spacing w:val="-4"/>
        </w:rPr>
        <w:t> </w:t>
      </w:r>
      <w:r>
        <w:rPr/>
        <w:t>basis.</w:t>
      </w:r>
      <w:r>
        <w:rPr>
          <w:vertAlign w:val="superscript"/>
        </w:rPr>
        <w:t>742</w:t>
      </w:r>
    </w:p>
    <w:p>
      <w:pPr>
        <w:pStyle w:val="BodyText"/>
        <w:spacing w:before="1"/>
      </w:pPr>
    </w:p>
    <w:p>
      <w:pPr>
        <w:pStyle w:val="BodyText"/>
        <w:spacing w:line="242" w:lineRule="auto"/>
        <w:ind w:left="1520" w:right="1517" w:firstLine="720"/>
        <w:jc w:val="both"/>
      </w:pPr>
      <w:r>
        <w:rPr>
          <w:spacing w:val="3"/>
        </w:rPr>
        <w:t>In </w:t>
      </w:r>
      <w:r>
        <w:rPr/>
        <w:t>California, though the arbitration statutes </w:t>
      </w:r>
      <w:r>
        <w:rPr>
          <w:spacing w:val="4"/>
        </w:rPr>
        <w:t>differentiate </w:t>
      </w:r>
      <w:r>
        <w:rPr>
          <w:spacing w:val="2"/>
        </w:rPr>
        <w:t>between </w:t>
      </w:r>
      <w:r>
        <w:rPr/>
        <w:t>a party appraiser</w:t>
      </w:r>
      <w:r>
        <w:rPr>
          <w:spacing w:val="-23"/>
        </w:rPr>
        <w:t> </w:t>
      </w:r>
      <w:r>
        <w:rPr/>
        <w:t>and</w:t>
      </w:r>
      <w:r>
        <w:rPr>
          <w:spacing w:val="-19"/>
        </w:rPr>
        <w:t> </w:t>
      </w:r>
      <w:r>
        <w:rPr/>
        <w:t>the</w:t>
      </w:r>
      <w:r>
        <w:rPr>
          <w:spacing w:val="-20"/>
        </w:rPr>
        <w:t> </w:t>
      </w:r>
      <w:r>
        <w:rPr/>
        <w:t>neutral</w:t>
      </w:r>
      <w:r>
        <w:rPr>
          <w:spacing w:val="-20"/>
        </w:rPr>
        <w:t> </w:t>
      </w:r>
      <w:r>
        <w:rPr/>
        <w:t>appraiser,</w:t>
      </w:r>
      <w:r>
        <w:rPr>
          <w:spacing w:val="-21"/>
        </w:rPr>
        <w:t> </w:t>
      </w:r>
      <w:r>
        <w:rPr/>
        <w:t>the</w:t>
      </w:r>
      <w:r>
        <w:rPr>
          <w:spacing w:val="-18"/>
        </w:rPr>
        <w:t> </w:t>
      </w:r>
      <w:r>
        <w:rPr/>
        <w:t>courts have stated that they are held to the same “competent</w:t>
      </w:r>
      <w:r>
        <w:rPr>
          <w:spacing w:val="-44"/>
        </w:rPr>
        <w:t> </w:t>
      </w:r>
      <w:r>
        <w:rPr/>
        <w:t>and</w:t>
      </w:r>
      <w:r>
        <w:rPr>
          <w:spacing w:val="-42"/>
        </w:rPr>
        <w:t> </w:t>
      </w:r>
      <w:r>
        <w:rPr/>
        <w:t>disinterested”standard.</w:t>
      </w:r>
      <w:r>
        <w:rPr>
          <w:vertAlign w:val="superscript"/>
        </w:rPr>
        <w:t>743</w:t>
      </w:r>
      <w:r>
        <w:rPr>
          <w:spacing w:val="-47"/>
          <w:vertAlign w:val="baseline"/>
        </w:rPr>
        <w:t> </w:t>
      </w:r>
      <w:r>
        <w:rPr>
          <w:spacing w:val="-16"/>
          <w:vertAlign w:val="baseline"/>
        </w:rPr>
        <w:t>The </w:t>
      </w:r>
      <w:r>
        <w:rPr>
          <w:vertAlign w:val="baseline"/>
        </w:rPr>
        <w:t>insurance company’s duty of good faith </w:t>
      </w:r>
      <w:r>
        <w:rPr>
          <w:spacing w:val="-4"/>
          <w:vertAlign w:val="baseline"/>
        </w:rPr>
        <w:t>and </w:t>
      </w:r>
      <w:r>
        <w:rPr>
          <w:vertAlign w:val="baseline"/>
        </w:rPr>
        <w:t>fair dealing in its claims practices with the insured, coupled with the obligations of appraisers generally, require that all of the appraisers in the appraisal process be disinterested.</w:t>
      </w:r>
      <w:r>
        <w:rPr>
          <w:vertAlign w:val="superscript"/>
        </w:rPr>
        <w:t>744</w:t>
      </w:r>
    </w:p>
    <w:p>
      <w:pPr>
        <w:pStyle w:val="BodyText"/>
        <w:spacing w:before="11"/>
        <w:rPr>
          <w:sz w:val="25"/>
        </w:rPr>
      </w:pPr>
    </w:p>
    <w:p>
      <w:pPr>
        <w:pStyle w:val="BodyText"/>
        <w:spacing w:line="242" w:lineRule="auto"/>
        <w:ind w:left="1520" w:right="1518" w:firstLine="720"/>
        <w:jc w:val="both"/>
      </w:pPr>
      <w:r>
        <w:rPr/>
        <w:t>The Michigan Court of Appeals has</w:t>
      </w:r>
      <w:r>
        <w:rPr>
          <w:spacing w:val="-20"/>
        </w:rPr>
        <w:t> </w:t>
      </w:r>
      <w:r>
        <w:rPr/>
        <w:t>held that an appraiser is not necessarily interested because</w:t>
      </w:r>
      <w:r>
        <w:rPr>
          <w:spacing w:val="-18"/>
        </w:rPr>
        <w:t> </w:t>
      </w:r>
      <w:r>
        <w:rPr/>
        <w:t>he</w:t>
      </w:r>
      <w:r>
        <w:rPr>
          <w:spacing w:val="-21"/>
        </w:rPr>
        <w:t> </w:t>
      </w:r>
      <w:r>
        <w:rPr/>
        <w:t>was</w:t>
      </w:r>
      <w:r>
        <w:rPr>
          <w:spacing w:val="-18"/>
        </w:rPr>
        <w:t> </w:t>
      </w:r>
      <w:r>
        <w:rPr/>
        <w:t>once</w:t>
      </w:r>
      <w:r>
        <w:rPr>
          <w:spacing w:val="-17"/>
        </w:rPr>
        <w:t> </w:t>
      </w:r>
      <w:r>
        <w:rPr/>
        <w:t>under</w:t>
      </w:r>
      <w:r>
        <w:rPr>
          <w:spacing w:val="-21"/>
        </w:rPr>
        <w:t> </w:t>
      </w:r>
      <w:r>
        <w:rPr/>
        <w:t>contract</w:t>
      </w:r>
      <w:r>
        <w:rPr>
          <w:spacing w:val="-20"/>
        </w:rPr>
        <w:t> </w:t>
      </w:r>
      <w:r>
        <w:rPr/>
        <w:t>with</w:t>
      </w:r>
      <w:r>
        <w:rPr>
          <w:spacing w:val="-19"/>
        </w:rPr>
        <w:t> </w:t>
      </w:r>
      <w:r>
        <w:rPr/>
        <w:t>the party who hired him to appraise the loss. The fact</w:t>
      </w:r>
      <w:r>
        <w:rPr>
          <w:spacing w:val="-24"/>
        </w:rPr>
        <w:t> </w:t>
      </w:r>
      <w:r>
        <w:rPr/>
        <w:t>that</w:t>
      </w:r>
      <w:r>
        <w:rPr>
          <w:spacing w:val="-22"/>
        </w:rPr>
        <w:t> </w:t>
      </w:r>
      <w:r>
        <w:rPr/>
        <w:t>he</w:t>
      </w:r>
      <w:r>
        <w:rPr>
          <w:spacing w:val="-22"/>
        </w:rPr>
        <w:t> </w:t>
      </w:r>
      <w:r>
        <w:rPr/>
        <w:t>has</w:t>
      </w:r>
      <w:r>
        <w:rPr>
          <w:spacing w:val="-21"/>
        </w:rPr>
        <w:t> </w:t>
      </w:r>
      <w:r>
        <w:rPr/>
        <w:t>previously</w:t>
      </w:r>
      <w:r>
        <w:rPr>
          <w:spacing w:val="-21"/>
        </w:rPr>
        <w:t> </w:t>
      </w:r>
      <w:r>
        <w:rPr/>
        <w:t>made</w:t>
      </w:r>
      <w:r>
        <w:rPr>
          <w:spacing w:val="-23"/>
        </w:rPr>
        <w:t> </w:t>
      </w:r>
      <w:r>
        <w:rPr/>
        <w:t>a</w:t>
      </w:r>
      <w:r>
        <w:rPr>
          <w:spacing w:val="-24"/>
        </w:rPr>
        <w:t> </w:t>
      </w:r>
      <w:r>
        <w:rPr/>
        <w:t>calculation of the loss also does not automatically disqualify him in the absence of a showing</w:t>
      </w:r>
      <w:r>
        <w:rPr>
          <w:spacing w:val="20"/>
        </w:rPr>
        <w:t> </w:t>
      </w:r>
      <w:r>
        <w:rPr/>
        <w:t>of</w:t>
      </w:r>
    </w:p>
    <w:p>
      <w:pPr>
        <w:pStyle w:val="BodyText"/>
        <w:spacing w:before="9"/>
        <w:rPr>
          <w:sz w:val="23"/>
        </w:rPr>
      </w:pPr>
      <w:r>
        <w:rPr/>
        <w:pict>
          <v:shape style="position:absolute;margin-left:162pt;margin-top:16.980459pt;width:143.9pt;height:.1pt;mso-position-horizontal-relative:page;mso-position-vertical-relative:paragraph;z-index:-251644928;mso-wrap-distance-left:0;mso-wrap-distance-right:0" coordorigin="3240,340" coordsize="2878,0" path="m3240,340l6118,340e" filled="false" stroked="true" strokeweight=".84pt" strokecolor="#000000">
            <v:path arrowok="t"/>
            <v:stroke dashstyle="solid"/>
            <w10:wrap type="topAndBottom"/>
          </v:shape>
        </w:pict>
      </w:r>
    </w:p>
    <w:p>
      <w:pPr>
        <w:spacing w:line="244" w:lineRule="auto" w:before="140"/>
        <w:ind w:left="1160" w:right="1163" w:firstLine="0"/>
        <w:jc w:val="both"/>
        <w:rPr>
          <w:rFonts w:ascii="Times New Roman" w:hAnsi="Times New Roman"/>
          <w:sz w:val="18"/>
        </w:rPr>
      </w:pPr>
      <w:r>
        <w:rPr>
          <w:rFonts w:ascii="Times New Roman" w:hAnsi="Times New Roman"/>
          <w:position w:val="10"/>
          <w:sz w:val="14"/>
        </w:rPr>
        <w:t>742</w:t>
      </w:r>
      <w:r>
        <w:rPr>
          <w:rFonts w:ascii="Times New Roman" w:hAnsi="Times New Roman"/>
          <w:spacing w:val="4"/>
          <w:position w:val="10"/>
          <w:sz w:val="14"/>
        </w:rPr>
        <w:t> </w:t>
      </w:r>
      <w:r>
        <w:rPr>
          <w:rFonts w:ascii="Times New Roman" w:hAnsi="Times New Roman"/>
          <w:sz w:val="18"/>
        </w:rPr>
        <w:t>Michelle</w:t>
      </w:r>
      <w:r>
        <w:rPr>
          <w:rFonts w:ascii="Times New Roman" w:hAnsi="Times New Roman"/>
          <w:spacing w:val="-7"/>
          <w:sz w:val="18"/>
        </w:rPr>
        <w:t> </w:t>
      </w:r>
      <w:r>
        <w:rPr>
          <w:rFonts w:ascii="Times New Roman" w:hAnsi="Times New Roman"/>
          <w:sz w:val="18"/>
        </w:rPr>
        <w:t>L.</w:t>
      </w:r>
      <w:r>
        <w:rPr>
          <w:rFonts w:ascii="Times New Roman" w:hAnsi="Times New Roman"/>
          <w:spacing w:val="-8"/>
          <w:sz w:val="18"/>
        </w:rPr>
        <w:t> </w:t>
      </w:r>
      <w:r>
        <w:rPr>
          <w:rFonts w:ascii="Times New Roman" w:hAnsi="Times New Roman"/>
          <w:sz w:val="18"/>
        </w:rPr>
        <w:t>Lehmann,</w:t>
      </w:r>
      <w:r>
        <w:rPr>
          <w:rFonts w:ascii="Times New Roman" w:hAnsi="Times New Roman"/>
          <w:spacing w:val="-8"/>
          <w:sz w:val="18"/>
        </w:rPr>
        <w:t> </w:t>
      </w:r>
      <w:r>
        <w:rPr>
          <w:rFonts w:ascii="Times New Roman" w:hAnsi="Times New Roman"/>
          <w:i/>
          <w:sz w:val="18"/>
        </w:rPr>
        <w:t>Setting</w:t>
      </w:r>
      <w:r>
        <w:rPr>
          <w:rFonts w:ascii="Times New Roman" w:hAnsi="Times New Roman"/>
          <w:i/>
          <w:spacing w:val="-5"/>
          <w:sz w:val="18"/>
        </w:rPr>
        <w:t> </w:t>
      </w:r>
      <w:r>
        <w:rPr>
          <w:rFonts w:ascii="Times New Roman" w:hAnsi="Times New Roman"/>
          <w:i/>
          <w:sz w:val="18"/>
        </w:rPr>
        <w:t>Aside</w:t>
      </w:r>
      <w:r>
        <w:rPr>
          <w:rFonts w:ascii="Times New Roman" w:hAnsi="Times New Roman"/>
          <w:i/>
          <w:spacing w:val="-8"/>
          <w:sz w:val="18"/>
        </w:rPr>
        <w:t> </w:t>
      </w:r>
      <w:r>
        <w:rPr>
          <w:rFonts w:ascii="Times New Roman" w:hAnsi="Times New Roman"/>
          <w:i/>
          <w:sz w:val="18"/>
        </w:rPr>
        <w:t>Arbitration</w:t>
      </w:r>
      <w:r>
        <w:rPr>
          <w:rFonts w:ascii="Times New Roman" w:hAnsi="Times New Roman"/>
          <w:i/>
          <w:spacing w:val="-6"/>
          <w:sz w:val="18"/>
        </w:rPr>
        <w:t> </w:t>
      </w:r>
      <w:r>
        <w:rPr>
          <w:rFonts w:ascii="Times New Roman" w:hAnsi="Times New Roman"/>
          <w:i/>
          <w:sz w:val="18"/>
        </w:rPr>
        <w:t>Awards</w:t>
      </w:r>
      <w:r>
        <w:rPr>
          <w:rFonts w:ascii="Times New Roman" w:hAnsi="Times New Roman"/>
          <w:i/>
          <w:spacing w:val="-8"/>
          <w:sz w:val="18"/>
        </w:rPr>
        <w:t> </w:t>
      </w:r>
      <w:r>
        <w:rPr>
          <w:rFonts w:ascii="Times New Roman" w:hAnsi="Times New Roman"/>
          <w:i/>
          <w:sz w:val="18"/>
        </w:rPr>
        <w:t>On</w:t>
      </w:r>
      <w:r>
        <w:rPr>
          <w:rFonts w:ascii="Times New Roman" w:hAnsi="Times New Roman"/>
          <w:i/>
          <w:spacing w:val="-5"/>
          <w:sz w:val="18"/>
        </w:rPr>
        <w:t> </w:t>
      </w:r>
      <w:r>
        <w:rPr>
          <w:rFonts w:ascii="Times New Roman" w:hAnsi="Times New Roman"/>
          <w:i/>
          <w:sz w:val="18"/>
        </w:rPr>
        <w:t>The</w:t>
      </w:r>
      <w:r>
        <w:rPr>
          <w:rFonts w:ascii="Times New Roman" w:hAnsi="Times New Roman"/>
          <w:i/>
          <w:spacing w:val="-8"/>
          <w:sz w:val="18"/>
        </w:rPr>
        <w:t> </w:t>
      </w:r>
      <w:r>
        <w:rPr>
          <w:rFonts w:ascii="Times New Roman" w:hAnsi="Times New Roman"/>
          <w:i/>
          <w:sz w:val="18"/>
        </w:rPr>
        <w:t>Grounds</w:t>
      </w:r>
      <w:r>
        <w:rPr>
          <w:rFonts w:ascii="Times New Roman" w:hAnsi="Times New Roman"/>
          <w:i/>
          <w:spacing w:val="-10"/>
          <w:sz w:val="18"/>
        </w:rPr>
        <w:t> </w:t>
      </w:r>
      <w:r>
        <w:rPr>
          <w:rFonts w:ascii="Times New Roman" w:hAnsi="Times New Roman"/>
          <w:i/>
          <w:sz w:val="18"/>
        </w:rPr>
        <w:t>of</w:t>
      </w:r>
      <w:r>
        <w:rPr>
          <w:rFonts w:ascii="Times New Roman" w:hAnsi="Times New Roman"/>
          <w:i/>
          <w:spacing w:val="-7"/>
          <w:sz w:val="18"/>
        </w:rPr>
        <w:t> </w:t>
      </w:r>
      <w:r>
        <w:rPr>
          <w:rFonts w:ascii="Times New Roman" w:hAnsi="Times New Roman"/>
          <w:i/>
          <w:sz w:val="18"/>
        </w:rPr>
        <w:t>Interest</w:t>
      </w:r>
      <w:r>
        <w:rPr>
          <w:rFonts w:ascii="Times New Roman" w:hAnsi="Times New Roman"/>
          <w:i/>
          <w:spacing w:val="-8"/>
          <w:sz w:val="18"/>
        </w:rPr>
        <w:t> </w:t>
      </w:r>
      <w:r>
        <w:rPr>
          <w:rFonts w:ascii="Times New Roman" w:hAnsi="Times New Roman"/>
          <w:i/>
          <w:sz w:val="18"/>
        </w:rPr>
        <w:t>or </w:t>
      </w:r>
      <w:r>
        <w:rPr>
          <w:rFonts w:ascii="Times New Roman" w:hAnsi="Times New Roman"/>
          <w:i/>
          <w:sz w:val="18"/>
        </w:rPr>
        <w:t>Bias of Arbitrators-Insurance Appraisals or Arbitrations</w:t>
      </w:r>
      <w:r>
        <w:rPr>
          <w:rFonts w:ascii="Times New Roman" w:hAnsi="Times New Roman"/>
          <w:sz w:val="18"/>
        </w:rPr>
        <w:t>, 62 ALR 5</w:t>
      </w:r>
      <w:r>
        <w:rPr>
          <w:rFonts w:ascii="Times New Roman" w:hAnsi="Times New Roman"/>
          <w:position w:val="7"/>
          <w:sz w:val="10"/>
        </w:rPr>
        <w:t>th </w:t>
      </w:r>
      <w:r>
        <w:rPr>
          <w:rFonts w:ascii="Times New Roman" w:hAnsi="Times New Roman"/>
          <w:sz w:val="18"/>
        </w:rPr>
        <w:t>675 (1998); </w:t>
      </w:r>
      <w:r>
        <w:rPr>
          <w:rFonts w:ascii="Times New Roman" w:hAnsi="Times New Roman"/>
          <w:sz w:val="18"/>
          <w:u w:val="single"/>
        </w:rPr>
        <w:t>Linford Lounge,</w:t>
      </w:r>
      <w:r>
        <w:rPr>
          <w:rFonts w:ascii="Times New Roman" w:hAnsi="Times New Roman"/>
          <w:spacing w:val="-6"/>
          <w:sz w:val="18"/>
          <w:u w:val="single"/>
        </w:rPr>
        <w:t> </w:t>
      </w:r>
      <w:r>
        <w:rPr>
          <w:rFonts w:ascii="Times New Roman" w:hAnsi="Times New Roman"/>
          <w:sz w:val="18"/>
          <w:u w:val="single"/>
        </w:rPr>
        <w:t>Inc.</w:t>
      </w:r>
      <w:r>
        <w:rPr>
          <w:rFonts w:ascii="Times New Roman" w:hAnsi="Times New Roman"/>
          <w:spacing w:val="-5"/>
          <w:sz w:val="18"/>
          <w:u w:val="single"/>
        </w:rPr>
        <w:t> </w:t>
      </w:r>
      <w:r>
        <w:rPr>
          <w:rFonts w:ascii="Times New Roman" w:hAnsi="Times New Roman"/>
          <w:sz w:val="18"/>
          <w:u w:val="single"/>
        </w:rPr>
        <w:t>v.</w:t>
      </w:r>
      <w:r>
        <w:rPr>
          <w:rFonts w:ascii="Times New Roman" w:hAnsi="Times New Roman"/>
          <w:spacing w:val="-3"/>
          <w:sz w:val="18"/>
          <w:u w:val="single"/>
        </w:rPr>
        <w:t> </w:t>
      </w:r>
      <w:r>
        <w:rPr>
          <w:rFonts w:ascii="Times New Roman" w:hAnsi="Times New Roman"/>
          <w:sz w:val="18"/>
          <w:u w:val="single"/>
        </w:rPr>
        <w:t>Michigan</w:t>
      </w:r>
      <w:r>
        <w:rPr>
          <w:rFonts w:ascii="Times New Roman" w:hAnsi="Times New Roman"/>
          <w:spacing w:val="-2"/>
          <w:sz w:val="18"/>
          <w:u w:val="single"/>
        </w:rPr>
        <w:t> </w:t>
      </w:r>
      <w:r>
        <w:rPr>
          <w:rFonts w:ascii="Times New Roman" w:hAnsi="Times New Roman"/>
          <w:sz w:val="18"/>
          <w:u w:val="single"/>
        </w:rPr>
        <w:t>Basic</w:t>
      </w:r>
      <w:r>
        <w:rPr>
          <w:rFonts w:ascii="Times New Roman" w:hAnsi="Times New Roman"/>
          <w:spacing w:val="-4"/>
          <w:sz w:val="18"/>
          <w:u w:val="single"/>
        </w:rPr>
        <w:t> </w:t>
      </w:r>
      <w:r>
        <w:rPr>
          <w:rFonts w:ascii="Times New Roman" w:hAnsi="Times New Roman"/>
          <w:sz w:val="18"/>
          <w:u w:val="single"/>
        </w:rPr>
        <w:t>Property</w:t>
      </w:r>
      <w:r>
        <w:rPr>
          <w:rFonts w:ascii="Times New Roman" w:hAnsi="Times New Roman"/>
          <w:spacing w:val="-7"/>
          <w:sz w:val="18"/>
          <w:u w:val="single"/>
        </w:rPr>
        <w:t> </w:t>
      </w:r>
      <w:r>
        <w:rPr>
          <w:rFonts w:ascii="Times New Roman" w:hAnsi="Times New Roman"/>
          <w:sz w:val="18"/>
          <w:u w:val="single"/>
        </w:rPr>
        <w:t>Ins.</w:t>
      </w:r>
      <w:r>
        <w:rPr>
          <w:rFonts w:ascii="Times New Roman" w:hAnsi="Times New Roman"/>
          <w:spacing w:val="-2"/>
          <w:sz w:val="18"/>
          <w:u w:val="single"/>
        </w:rPr>
        <w:t> </w:t>
      </w:r>
      <w:r>
        <w:rPr>
          <w:rFonts w:ascii="Times New Roman" w:hAnsi="Times New Roman"/>
          <w:sz w:val="18"/>
          <w:u w:val="single"/>
        </w:rPr>
        <w:t>Ass’n.</w:t>
      </w:r>
      <w:r>
        <w:rPr>
          <w:rFonts w:ascii="Times New Roman" w:hAnsi="Times New Roman"/>
          <w:sz w:val="18"/>
        </w:rPr>
        <w:t>,</w:t>
      </w:r>
      <w:r>
        <w:rPr>
          <w:rFonts w:ascii="Times New Roman" w:hAnsi="Times New Roman"/>
          <w:spacing w:val="-1"/>
          <w:sz w:val="18"/>
        </w:rPr>
        <w:t> </w:t>
      </w:r>
      <w:r>
        <w:rPr>
          <w:rFonts w:ascii="Times New Roman" w:hAnsi="Times New Roman"/>
          <w:sz w:val="18"/>
        </w:rPr>
        <w:t>77</w:t>
      </w:r>
      <w:r>
        <w:rPr>
          <w:rFonts w:ascii="Times New Roman" w:hAnsi="Times New Roman"/>
          <w:spacing w:val="-3"/>
          <w:sz w:val="18"/>
        </w:rPr>
        <w:t> </w:t>
      </w:r>
      <w:r>
        <w:rPr>
          <w:rFonts w:ascii="Times New Roman" w:hAnsi="Times New Roman"/>
          <w:sz w:val="18"/>
        </w:rPr>
        <w:t>Mich.</w:t>
      </w:r>
      <w:r>
        <w:rPr>
          <w:rFonts w:ascii="Times New Roman" w:hAnsi="Times New Roman"/>
          <w:spacing w:val="-5"/>
          <w:sz w:val="18"/>
        </w:rPr>
        <w:t> </w:t>
      </w:r>
      <w:r>
        <w:rPr>
          <w:rFonts w:ascii="Times New Roman" w:hAnsi="Times New Roman"/>
          <w:sz w:val="18"/>
        </w:rPr>
        <w:t>App.</w:t>
      </w:r>
      <w:r>
        <w:rPr>
          <w:rFonts w:ascii="Times New Roman" w:hAnsi="Times New Roman"/>
          <w:spacing w:val="-4"/>
          <w:sz w:val="18"/>
        </w:rPr>
        <w:t> </w:t>
      </w:r>
      <w:r>
        <w:rPr>
          <w:rFonts w:ascii="Times New Roman" w:hAnsi="Times New Roman"/>
          <w:sz w:val="18"/>
        </w:rPr>
        <w:t>710,</w:t>
      </w:r>
      <w:r>
        <w:rPr>
          <w:rFonts w:ascii="Times New Roman" w:hAnsi="Times New Roman"/>
          <w:spacing w:val="-4"/>
          <w:sz w:val="18"/>
        </w:rPr>
        <w:t> </w:t>
      </w:r>
      <w:r>
        <w:rPr>
          <w:rFonts w:ascii="Times New Roman" w:hAnsi="Times New Roman"/>
          <w:sz w:val="18"/>
        </w:rPr>
        <w:t>259</w:t>
      </w:r>
      <w:r>
        <w:rPr>
          <w:rFonts w:ascii="Times New Roman" w:hAnsi="Times New Roman"/>
          <w:spacing w:val="-3"/>
          <w:sz w:val="18"/>
        </w:rPr>
        <w:t> </w:t>
      </w:r>
      <w:r>
        <w:rPr>
          <w:rFonts w:ascii="Times New Roman" w:hAnsi="Times New Roman"/>
          <w:sz w:val="18"/>
        </w:rPr>
        <w:t>N.W.2d</w:t>
      </w:r>
      <w:r>
        <w:rPr>
          <w:rFonts w:ascii="Times New Roman" w:hAnsi="Times New Roman"/>
          <w:spacing w:val="-3"/>
          <w:sz w:val="18"/>
        </w:rPr>
        <w:t> </w:t>
      </w:r>
      <w:r>
        <w:rPr>
          <w:rFonts w:ascii="Times New Roman" w:hAnsi="Times New Roman"/>
          <w:sz w:val="18"/>
        </w:rPr>
        <w:t>201 (1977);</w:t>
      </w:r>
      <w:r>
        <w:rPr>
          <w:rFonts w:ascii="Times New Roman" w:hAnsi="Times New Roman"/>
          <w:spacing w:val="-15"/>
          <w:sz w:val="18"/>
        </w:rPr>
        <w:t> </w:t>
      </w:r>
      <w:r>
        <w:rPr>
          <w:rFonts w:ascii="Times New Roman" w:hAnsi="Times New Roman"/>
          <w:sz w:val="18"/>
          <w:u w:val="single"/>
        </w:rPr>
        <w:t>Central</w:t>
      </w:r>
      <w:r>
        <w:rPr>
          <w:rFonts w:ascii="Times New Roman" w:hAnsi="Times New Roman"/>
          <w:spacing w:val="-15"/>
          <w:sz w:val="18"/>
          <w:u w:val="single"/>
        </w:rPr>
        <w:t> </w:t>
      </w:r>
      <w:r>
        <w:rPr>
          <w:rFonts w:ascii="Times New Roman" w:hAnsi="Times New Roman"/>
          <w:sz w:val="18"/>
          <w:u w:val="single"/>
        </w:rPr>
        <w:t>Life</w:t>
      </w:r>
      <w:r>
        <w:rPr>
          <w:rFonts w:ascii="Times New Roman" w:hAnsi="Times New Roman"/>
          <w:spacing w:val="-15"/>
          <w:sz w:val="18"/>
          <w:u w:val="single"/>
        </w:rPr>
        <w:t> </w:t>
      </w:r>
      <w:r>
        <w:rPr>
          <w:rFonts w:ascii="Times New Roman" w:hAnsi="Times New Roman"/>
          <w:sz w:val="18"/>
          <w:u w:val="single"/>
        </w:rPr>
        <w:t>Ins.</w:t>
      </w:r>
      <w:r>
        <w:rPr>
          <w:rFonts w:ascii="Times New Roman" w:hAnsi="Times New Roman"/>
          <w:spacing w:val="-15"/>
          <w:sz w:val="18"/>
          <w:u w:val="single"/>
        </w:rPr>
        <w:t> </w:t>
      </w:r>
      <w:r>
        <w:rPr>
          <w:rFonts w:ascii="Times New Roman" w:hAnsi="Times New Roman"/>
          <w:sz w:val="18"/>
          <w:u w:val="single"/>
        </w:rPr>
        <w:t>Co.</w:t>
      </w:r>
      <w:r>
        <w:rPr>
          <w:rFonts w:ascii="Times New Roman" w:hAnsi="Times New Roman"/>
          <w:spacing w:val="-14"/>
          <w:sz w:val="18"/>
          <w:u w:val="single"/>
        </w:rPr>
        <w:t> </w:t>
      </w:r>
      <w:r>
        <w:rPr>
          <w:rFonts w:ascii="Times New Roman" w:hAnsi="Times New Roman"/>
          <w:sz w:val="18"/>
          <w:u w:val="single"/>
        </w:rPr>
        <w:t>v.</w:t>
      </w:r>
      <w:r>
        <w:rPr>
          <w:rFonts w:ascii="Times New Roman" w:hAnsi="Times New Roman"/>
          <w:spacing w:val="-14"/>
          <w:sz w:val="18"/>
          <w:u w:val="single"/>
        </w:rPr>
        <w:t> </w:t>
      </w:r>
      <w:r>
        <w:rPr>
          <w:rFonts w:ascii="Times New Roman" w:hAnsi="Times New Roman"/>
          <w:sz w:val="18"/>
          <w:u w:val="single"/>
        </w:rPr>
        <w:t>Aetna</w:t>
      </w:r>
      <w:r>
        <w:rPr>
          <w:rFonts w:ascii="Times New Roman" w:hAnsi="Times New Roman"/>
          <w:spacing w:val="-15"/>
          <w:sz w:val="18"/>
          <w:u w:val="single"/>
        </w:rPr>
        <w:t> </w:t>
      </w:r>
      <w:r>
        <w:rPr>
          <w:rFonts w:ascii="Times New Roman" w:hAnsi="Times New Roman"/>
          <w:sz w:val="18"/>
          <w:u w:val="single"/>
        </w:rPr>
        <w:t>Cas.</w:t>
      </w:r>
      <w:r>
        <w:rPr>
          <w:rFonts w:ascii="Times New Roman" w:hAnsi="Times New Roman"/>
          <w:spacing w:val="-16"/>
          <w:sz w:val="18"/>
          <w:u w:val="single"/>
        </w:rPr>
        <w:t> </w:t>
      </w:r>
      <w:r>
        <w:rPr>
          <w:rFonts w:ascii="Times New Roman" w:hAnsi="Times New Roman"/>
          <w:sz w:val="18"/>
          <w:u w:val="single"/>
        </w:rPr>
        <w:t>&amp;</w:t>
      </w:r>
      <w:r>
        <w:rPr>
          <w:rFonts w:ascii="Times New Roman" w:hAnsi="Times New Roman"/>
          <w:spacing w:val="-15"/>
          <w:sz w:val="18"/>
          <w:u w:val="single"/>
        </w:rPr>
        <w:t> </w:t>
      </w:r>
      <w:r>
        <w:rPr>
          <w:rFonts w:ascii="Times New Roman" w:hAnsi="Times New Roman"/>
          <w:sz w:val="18"/>
          <w:u w:val="single"/>
        </w:rPr>
        <w:t>Sur.</w:t>
      </w:r>
      <w:r>
        <w:rPr>
          <w:rFonts w:ascii="Times New Roman" w:hAnsi="Times New Roman"/>
          <w:spacing w:val="-14"/>
          <w:sz w:val="18"/>
          <w:u w:val="single"/>
        </w:rPr>
        <w:t> </w:t>
      </w:r>
      <w:r>
        <w:rPr>
          <w:rFonts w:ascii="Times New Roman" w:hAnsi="Times New Roman"/>
          <w:sz w:val="18"/>
          <w:u w:val="single"/>
        </w:rPr>
        <w:t>Co.</w:t>
      </w:r>
      <w:r>
        <w:rPr>
          <w:rFonts w:ascii="Times New Roman" w:hAnsi="Times New Roman"/>
          <w:sz w:val="18"/>
        </w:rPr>
        <w:t>,</w:t>
      </w:r>
      <w:r>
        <w:rPr>
          <w:rFonts w:ascii="Times New Roman" w:hAnsi="Times New Roman"/>
          <w:spacing w:val="-14"/>
          <w:sz w:val="18"/>
        </w:rPr>
        <w:t> </w:t>
      </w:r>
      <w:r>
        <w:rPr>
          <w:rFonts w:ascii="Times New Roman" w:hAnsi="Times New Roman"/>
          <w:sz w:val="18"/>
        </w:rPr>
        <w:t>466</w:t>
      </w:r>
      <w:r>
        <w:rPr>
          <w:rFonts w:ascii="Times New Roman" w:hAnsi="Times New Roman"/>
          <w:spacing w:val="-13"/>
          <w:sz w:val="18"/>
        </w:rPr>
        <w:t> </w:t>
      </w:r>
      <w:r>
        <w:rPr>
          <w:rFonts w:ascii="Times New Roman" w:hAnsi="Times New Roman"/>
          <w:sz w:val="18"/>
        </w:rPr>
        <w:t>N.W.2d</w:t>
      </w:r>
      <w:r>
        <w:rPr>
          <w:rFonts w:ascii="Times New Roman" w:hAnsi="Times New Roman"/>
          <w:spacing w:val="-12"/>
          <w:sz w:val="18"/>
        </w:rPr>
        <w:t> </w:t>
      </w:r>
      <w:r>
        <w:rPr>
          <w:rFonts w:ascii="Times New Roman" w:hAnsi="Times New Roman"/>
          <w:sz w:val="18"/>
        </w:rPr>
        <w:t>257</w:t>
      </w:r>
      <w:r>
        <w:rPr>
          <w:rFonts w:ascii="Times New Roman" w:hAnsi="Times New Roman"/>
          <w:spacing w:val="-12"/>
          <w:sz w:val="18"/>
        </w:rPr>
        <w:t> </w:t>
      </w:r>
      <w:r>
        <w:rPr>
          <w:rFonts w:ascii="Times New Roman" w:hAnsi="Times New Roman"/>
          <w:sz w:val="18"/>
        </w:rPr>
        <w:t>(Iowa</w:t>
      </w:r>
      <w:r>
        <w:rPr>
          <w:rFonts w:ascii="Times New Roman" w:hAnsi="Times New Roman"/>
          <w:spacing w:val="-15"/>
          <w:sz w:val="18"/>
        </w:rPr>
        <w:t> </w:t>
      </w:r>
      <w:r>
        <w:rPr>
          <w:rFonts w:ascii="Times New Roman" w:hAnsi="Times New Roman"/>
          <w:sz w:val="18"/>
        </w:rPr>
        <w:t>1991);</w:t>
      </w:r>
      <w:r>
        <w:rPr>
          <w:rFonts w:ascii="Times New Roman" w:hAnsi="Times New Roman"/>
          <w:spacing w:val="-14"/>
          <w:sz w:val="18"/>
        </w:rPr>
        <w:t> </w:t>
      </w:r>
      <w:r>
        <w:rPr>
          <w:rFonts w:ascii="Times New Roman" w:hAnsi="Times New Roman"/>
          <w:sz w:val="18"/>
          <w:u w:val="single"/>
        </w:rPr>
        <w:t>Galvis v.</w:t>
      </w:r>
      <w:r>
        <w:rPr>
          <w:rFonts w:ascii="Times New Roman" w:hAnsi="Times New Roman"/>
          <w:spacing w:val="-10"/>
          <w:sz w:val="18"/>
          <w:u w:val="single"/>
        </w:rPr>
        <w:t> </w:t>
      </w:r>
      <w:r>
        <w:rPr>
          <w:rFonts w:ascii="Times New Roman" w:hAnsi="Times New Roman"/>
          <w:sz w:val="18"/>
          <w:u w:val="single"/>
        </w:rPr>
        <w:t>Allstate</w:t>
      </w:r>
      <w:r>
        <w:rPr>
          <w:rFonts w:ascii="Times New Roman" w:hAnsi="Times New Roman"/>
          <w:spacing w:val="-10"/>
          <w:sz w:val="18"/>
          <w:u w:val="single"/>
        </w:rPr>
        <w:t> </w:t>
      </w:r>
      <w:r>
        <w:rPr>
          <w:rFonts w:ascii="Times New Roman" w:hAnsi="Times New Roman"/>
          <w:sz w:val="18"/>
          <w:u w:val="single"/>
        </w:rPr>
        <w:t>Ins.</w:t>
      </w:r>
      <w:r>
        <w:rPr>
          <w:rFonts w:ascii="Times New Roman" w:hAnsi="Times New Roman"/>
          <w:spacing w:val="-9"/>
          <w:sz w:val="18"/>
          <w:u w:val="single"/>
        </w:rPr>
        <w:t> </w:t>
      </w:r>
      <w:r>
        <w:rPr>
          <w:rFonts w:ascii="Times New Roman" w:hAnsi="Times New Roman"/>
          <w:sz w:val="18"/>
          <w:u w:val="single"/>
        </w:rPr>
        <w:t>Co.</w:t>
      </w:r>
      <w:r>
        <w:rPr>
          <w:rFonts w:ascii="Times New Roman" w:hAnsi="Times New Roman"/>
          <w:sz w:val="18"/>
        </w:rPr>
        <w:t>,</w:t>
      </w:r>
      <w:r>
        <w:rPr>
          <w:rFonts w:ascii="Times New Roman" w:hAnsi="Times New Roman"/>
          <w:spacing w:val="-8"/>
          <w:sz w:val="18"/>
        </w:rPr>
        <w:t> </w:t>
      </w:r>
      <w:r>
        <w:rPr>
          <w:rFonts w:ascii="Times New Roman" w:hAnsi="Times New Roman"/>
          <w:sz w:val="18"/>
        </w:rPr>
        <w:t>721</w:t>
      </w:r>
      <w:r>
        <w:rPr>
          <w:rFonts w:ascii="Times New Roman" w:hAnsi="Times New Roman"/>
          <w:spacing w:val="-8"/>
          <w:sz w:val="18"/>
        </w:rPr>
        <w:t> </w:t>
      </w:r>
      <w:r>
        <w:rPr>
          <w:rFonts w:ascii="Times New Roman" w:hAnsi="Times New Roman"/>
          <w:sz w:val="18"/>
        </w:rPr>
        <w:t>So.2d</w:t>
      </w:r>
      <w:r>
        <w:rPr>
          <w:rFonts w:ascii="Times New Roman" w:hAnsi="Times New Roman"/>
          <w:spacing w:val="-8"/>
          <w:sz w:val="18"/>
        </w:rPr>
        <w:t> </w:t>
      </w:r>
      <w:r>
        <w:rPr>
          <w:rFonts w:ascii="Times New Roman" w:hAnsi="Times New Roman"/>
          <w:sz w:val="18"/>
        </w:rPr>
        <w:t>421</w:t>
      </w:r>
      <w:r>
        <w:rPr>
          <w:rFonts w:ascii="Times New Roman" w:hAnsi="Times New Roman"/>
          <w:spacing w:val="-9"/>
          <w:sz w:val="18"/>
        </w:rPr>
        <w:t> </w:t>
      </w:r>
      <w:r>
        <w:rPr>
          <w:rFonts w:ascii="Times New Roman" w:hAnsi="Times New Roman"/>
          <w:sz w:val="18"/>
        </w:rPr>
        <w:t>(Fla.</w:t>
      </w:r>
      <w:r>
        <w:rPr>
          <w:rFonts w:ascii="Times New Roman" w:hAnsi="Times New Roman"/>
          <w:spacing w:val="-8"/>
          <w:sz w:val="18"/>
        </w:rPr>
        <w:t> </w:t>
      </w:r>
      <w:r>
        <w:rPr>
          <w:rFonts w:ascii="Times New Roman" w:hAnsi="Times New Roman"/>
          <w:sz w:val="18"/>
        </w:rPr>
        <w:t>Dist.</w:t>
      </w:r>
      <w:r>
        <w:rPr>
          <w:rFonts w:ascii="Times New Roman" w:hAnsi="Times New Roman"/>
          <w:spacing w:val="-7"/>
          <w:sz w:val="18"/>
        </w:rPr>
        <w:t> </w:t>
      </w:r>
      <w:r>
        <w:rPr>
          <w:rFonts w:ascii="Times New Roman" w:hAnsi="Times New Roman"/>
          <w:sz w:val="18"/>
        </w:rPr>
        <w:t>Ct.</w:t>
      </w:r>
      <w:r>
        <w:rPr>
          <w:rFonts w:ascii="Times New Roman" w:hAnsi="Times New Roman"/>
          <w:spacing w:val="-6"/>
          <w:sz w:val="18"/>
        </w:rPr>
        <w:t> </w:t>
      </w:r>
      <w:r>
        <w:rPr>
          <w:rFonts w:ascii="Times New Roman" w:hAnsi="Times New Roman"/>
          <w:sz w:val="18"/>
        </w:rPr>
        <w:t>App.</w:t>
      </w:r>
      <w:r>
        <w:rPr>
          <w:rFonts w:ascii="Times New Roman" w:hAnsi="Times New Roman"/>
          <w:spacing w:val="-7"/>
          <w:sz w:val="18"/>
        </w:rPr>
        <w:t> </w:t>
      </w:r>
      <w:r>
        <w:rPr>
          <w:rFonts w:ascii="Times New Roman" w:hAnsi="Times New Roman"/>
          <w:sz w:val="18"/>
        </w:rPr>
        <w:t>3d</w:t>
      </w:r>
      <w:r>
        <w:rPr>
          <w:rFonts w:ascii="Times New Roman" w:hAnsi="Times New Roman"/>
          <w:spacing w:val="-6"/>
          <w:sz w:val="18"/>
        </w:rPr>
        <w:t> </w:t>
      </w:r>
      <w:r>
        <w:rPr>
          <w:rFonts w:ascii="Times New Roman" w:hAnsi="Times New Roman"/>
          <w:sz w:val="18"/>
        </w:rPr>
        <w:t>Dist.</w:t>
      </w:r>
      <w:r>
        <w:rPr>
          <w:rFonts w:ascii="Times New Roman" w:hAnsi="Times New Roman"/>
          <w:spacing w:val="-7"/>
          <w:sz w:val="18"/>
        </w:rPr>
        <w:t> </w:t>
      </w:r>
      <w:r>
        <w:rPr>
          <w:rFonts w:ascii="Times New Roman" w:hAnsi="Times New Roman"/>
          <w:sz w:val="18"/>
        </w:rPr>
        <w:t>1998);</w:t>
      </w:r>
      <w:r>
        <w:rPr>
          <w:rFonts w:ascii="Times New Roman" w:hAnsi="Times New Roman"/>
          <w:spacing w:val="-7"/>
          <w:sz w:val="18"/>
        </w:rPr>
        <w:t> </w:t>
      </w:r>
      <w:r>
        <w:rPr>
          <w:rFonts w:ascii="Times New Roman" w:hAnsi="Times New Roman"/>
          <w:sz w:val="18"/>
          <w:u w:val="single"/>
        </w:rPr>
        <w:t>Rios</w:t>
      </w:r>
      <w:r>
        <w:rPr>
          <w:rFonts w:ascii="Times New Roman" w:hAnsi="Times New Roman"/>
          <w:spacing w:val="-10"/>
          <w:sz w:val="18"/>
          <w:u w:val="single"/>
        </w:rPr>
        <w:t> </w:t>
      </w:r>
      <w:r>
        <w:rPr>
          <w:rFonts w:ascii="Times New Roman" w:hAnsi="Times New Roman"/>
          <w:sz w:val="18"/>
          <w:u w:val="single"/>
        </w:rPr>
        <w:t>v.</w:t>
      </w:r>
      <w:r>
        <w:rPr>
          <w:rFonts w:ascii="Times New Roman" w:hAnsi="Times New Roman"/>
          <w:spacing w:val="-9"/>
          <w:sz w:val="18"/>
          <w:u w:val="single"/>
        </w:rPr>
        <w:t> </w:t>
      </w:r>
      <w:r>
        <w:rPr>
          <w:rFonts w:ascii="Times New Roman" w:hAnsi="Times New Roman"/>
          <w:sz w:val="18"/>
          <w:u w:val="single"/>
        </w:rPr>
        <w:t>Tri-State</w:t>
      </w:r>
      <w:r>
        <w:rPr>
          <w:rFonts w:ascii="Times New Roman" w:hAnsi="Times New Roman"/>
          <w:spacing w:val="-9"/>
          <w:sz w:val="18"/>
          <w:u w:val="single"/>
        </w:rPr>
        <w:t> </w:t>
      </w:r>
      <w:r>
        <w:rPr>
          <w:rFonts w:ascii="Times New Roman" w:hAnsi="Times New Roman"/>
          <w:sz w:val="18"/>
          <w:u w:val="single"/>
        </w:rPr>
        <w:t>Ins. Co.</w:t>
      </w:r>
      <w:r>
        <w:rPr>
          <w:rFonts w:ascii="Times New Roman" w:hAnsi="Times New Roman"/>
          <w:sz w:val="18"/>
        </w:rPr>
        <w:t>, 714 So.2d 547 (Fla. 3d DCA 1998); </w:t>
      </w:r>
      <w:r>
        <w:rPr>
          <w:rFonts w:ascii="Times New Roman" w:hAnsi="Times New Roman"/>
          <w:i/>
          <w:sz w:val="18"/>
        </w:rPr>
        <w:t>contra</w:t>
      </w:r>
      <w:r>
        <w:rPr>
          <w:rFonts w:ascii="Times New Roman" w:hAnsi="Times New Roman"/>
          <w:sz w:val="18"/>
        </w:rPr>
        <w:t>: </w:t>
      </w:r>
      <w:r>
        <w:rPr>
          <w:rFonts w:ascii="Times New Roman" w:hAnsi="Times New Roman"/>
          <w:sz w:val="18"/>
          <w:u w:val="single"/>
        </w:rPr>
        <w:t>Aetna Cas. &amp; Sur. Co. v. Grabbert</w:t>
      </w:r>
      <w:r>
        <w:rPr>
          <w:rFonts w:ascii="Times New Roman" w:hAnsi="Times New Roman"/>
          <w:sz w:val="18"/>
        </w:rPr>
        <w:t>, 590 A.2d 88 (R.I.</w:t>
      </w:r>
      <w:r>
        <w:rPr>
          <w:rFonts w:ascii="Times New Roman" w:hAnsi="Times New Roman"/>
          <w:spacing w:val="2"/>
          <w:sz w:val="18"/>
        </w:rPr>
        <w:t> </w:t>
      </w:r>
      <w:r>
        <w:rPr>
          <w:rFonts w:ascii="Times New Roman" w:hAnsi="Times New Roman"/>
          <w:sz w:val="18"/>
        </w:rPr>
        <w:t>1991).</w:t>
      </w:r>
    </w:p>
    <w:p>
      <w:pPr>
        <w:spacing w:line="261" w:lineRule="auto" w:before="0"/>
        <w:ind w:left="1160" w:right="1165" w:firstLine="0"/>
        <w:jc w:val="both"/>
        <w:rPr>
          <w:rFonts w:ascii="Times New Roman"/>
          <w:sz w:val="18"/>
        </w:rPr>
      </w:pPr>
      <w:r>
        <w:rPr>
          <w:rFonts w:ascii="Times New Roman"/>
          <w:position w:val="10"/>
          <w:sz w:val="14"/>
        </w:rPr>
        <w:t>743</w:t>
      </w:r>
      <w:r>
        <w:rPr>
          <w:rFonts w:ascii="Times New Roman"/>
          <w:sz w:val="14"/>
        </w:rPr>
        <w:t> </w:t>
      </w:r>
      <w:r>
        <w:rPr>
          <w:rFonts w:ascii="Times New Roman"/>
          <w:sz w:val="18"/>
          <w:u w:val="single"/>
        </w:rPr>
        <w:t>Gebers v. State Farm General Ins. Co.</w:t>
      </w:r>
      <w:r>
        <w:rPr>
          <w:rFonts w:ascii="Times New Roman"/>
          <w:sz w:val="18"/>
        </w:rPr>
        <w:t>, 38 Cal. App. 4</w:t>
      </w:r>
      <w:r>
        <w:rPr>
          <w:rFonts w:ascii="Times New Roman"/>
          <w:position w:val="7"/>
          <w:sz w:val="10"/>
        </w:rPr>
        <w:t>th </w:t>
      </w:r>
      <w:r>
        <w:rPr>
          <w:rFonts w:ascii="Times New Roman"/>
          <w:sz w:val="18"/>
        </w:rPr>
        <w:t>1648, 45 Cal. Rptr. 2d 725 (1</w:t>
      </w:r>
      <w:r>
        <w:rPr>
          <w:rFonts w:ascii="Times New Roman"/>
          <w:position w:val="7"/>
          <w:sz w:val="10"/>
        </w:rPr>
        <w:t>st</w:t>
      </w:r>
      <w:r>
        <w:rPr>
          <w:rFonts w:ascii="Times New Roman"/>
          <w:sz w:val="10"/>
        </w:rPr>
        <w:t> </w:t>
      </w:r>
      <w:r>
        <w:rPr>
          <w:rFonts w:ascii="Times New Roman"/>
          <w:sz w:val="18"/>
        </w:rPr>
        <w:t>Dist. 1995).</w:t>
      </w:r>
    </w:p>
    <w:p>
      <w:pPr>
        <w:spacing w:line="163" w:lineRule="auto" w:before="1"/>
        <w:ind w:left="1160" w:right="0" w:firstLine="0"/>
        <w:jc w:val="both"/>
        <w:rPr>
          <w:rFonts w:ascii="Times New Roman"/>
          <w:sz w:val="18"/>
        </w:rPr>
      </w:pPr>
      <w:r>
        <w:rPr>
          <w:rFonts w:ascii="Times New Roman"/>
          <w:sz w:val="14"/>
        </w:rPr>
        <w:t>744</w:t>
      </w:r>
      <w:r>
        <w:rPr>
          <w:rFonts w:ascii="Times New Roman"/>
          <w:position w:val="-9"/>
          <w:sz w:val="14"/>
        </w:rPr>
        <w:t> </w:t>
      </w:r>
      <w:r>
        <w:rPr>
          <w:rFonts w:ascii="Times New Roman"/>
          <w:position w:val="-9"/>
          <w:sz w:val="18"/>
          <w:u w:val="single"/>
        </w:rPr>
        <w:t>Id</w:t>
      </w:r>
      <w:r>
        <w:rPr>
          <w:rFonts w:ascii="Times New Roman"/>
          <w:position w:val="-9"/>
          <w:sz w:val="18"/>
        </w:rPr>
        <w:t>.</w:t>
      </w:r>
    </w:p>
    <w:p>
      <w:pPr>
        <w:spacing w:after="0" w:line="163" w:lineRule="auto"/>
        <w:jc w:val="both"/>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2"/>
        </w:rPr>
      </w:pPr>
    </w:p>
    <w:p>
      <w:pPr>
        <w:pStyle w:val="BodyText"/>
        <w:spacing w:before="76"/>
        <w:ind w:left="1520"/>
      </w:pPr>
      <w:bookmarkStart w:name="Law and Procedure 349" w:id="15"/>
      <w:bookmarkEnd w:id="15"/>
      <w:r>
        <w:rPr/>
      </w:r>
      <w:r>
        <w:rPr/>
        <w:t>prejudicial conduct.</w:t>
      </w:r>
      <w:r>
        <w:rPr>
          <w:vertAlign w:val="superscript"/>
        </w:rPr>
        <w:t>745</w:t>
      </w:r>
    </w:p>
    <w:p>
      <w:pPr>
        <w:pStyle w:val="BodyText"/>
        <w:spacing w:before="1"/>
        <w:rPr>
          <w:sz w:val="23"/>
        </w:rPr>
      </w:pPr>
    </w:p>
    <w:p>
      <w:pPr>
        <w:pStyle w:val="BodyText"/>
        <w:spacing w:line="242" w:lineRule="auto" w:before="41"/>
        <w:ind w:left="1520" w:right="1517" w:firstLine="720"/>
        <w:jc w:val="both"/>
      </w:pPr>
      <w:r>
        <w:rPr>
          <w:spacing w:val="3"/>
        </w:rPr>
        <w:t>In </w:t>
      </w:r>
      <w:r>
        <w:rPr>
          <w:u w:val="single"/>
        </w:rPr>
        <w:t>White v. State Farm Fire &amp; Casualty</w:t>
      </w:r>
      <w:r>
        <w:rPr/>
        <w:t> </w:t>
      </w:r>
      <w:r>
        <w:rPr>
          <w:u w:val="single"/>
        </w:rPr>
        <w:t>Co.</w:t>
      </w:r>
      <w:r>
        <w:rPr/>
        <w:t>,</w:t>
      </w:r>
      <w:r>
        <w:rPr>
          <w:vertAlign w:val="superscript"/>
        </w:rPr>
        <w:t>746</w:t>
      </w:r>
      <w:r>
        <w:rPr>
          <w:vertAlign w:val="baseline"/>
        </w:rPr>
        <w:t> State Farm challenged the </w:t>
      </w:r>
      <w:r>
        <w:rPr>
          <w:spacing w:val="-3"/>
          <w:vertAlign w:val="baseline"/>
        </w:rPr>
        <w:t>insured’s </w:t>
      </w:r>
      <w:r>
        <w:rPr>
          <w:vertAlign w:val="baseline"/>
        </w:rPr>
        <w:t>decision to hire his public adjuster as his appraiser since the insured and the adjuster was under contract which assigned to the adjuster’s firm, ten percent of the total payment on the insured’s claim. State Farm argued that the adjuster had a pecuniary </w:t>
      </w:r>
      <w:r>
        <w:rPr>
          <w:spacing w:val="-2"/>
          <w:vertAlign w:val="baseline"/>
        </w:rPr>
        <w:t>interest</w:t>
      </w:r>
      <w:r>
        <w:rPr>
          <w:spacing w:val="-35"/>
          <w:vertAlign w:val="baseline"/>
        </w:rPr>
        <w:t> </w:t>
      </w:r>
      <w:r>
        <w:rPr>
          <w:vertAlign w:val="baseline"/>
        </w:rPr>
        <w:t>in</w:t>
      </w:r>
      <w:r>
        <w:rPr>
          <w:spacing w:val="-32"/>
          <w:vertAlign w:val="baseline"/>
        </w:rPr>
        <w:t> </w:t>
      </w:r>
      <w:r>
        <w:rPr>
          <w:vertAlign w:val="baseline"/>
        </w:rPr>
        <w:t>the</w:t>
      </w:r>
      <w:r>
        <w:rPr>
          <w:spacing w:val="-32"/>
          <w:vertAlign w:val="baseline"/>
        </w:rPr>
        <w:t> </w:t>
      </w:r>
      <w:r>
        <w:rPr>
          <w:vertAlign w:val="baseline"/>
        </w:rPr>
        <w:t>appraisal’s</w:t>
      </w:r>
      <w:r>
        <w:rPr>
          <w:spacing w:val="-30"/>
          <w:vertAlign w:val="baseline"/>
        </w:rPr>
        <w:t> </w:t>
      </w:r>
      <w:r>
        <w:rPr>
          <w:vertAlign w:val="baseline"/>
        </w:rPr>
        <w:t>outcome</w:t>
      </w:r>
      <w:r>
        <w:rPr>
          <w:spacing w:val="-33"/>
          <w:vertAlign w:val="baseline"/>
        </w:rPr>
        <w:t> </w:t>
      </w:r>
      <w:r>
        <w:rPr>
          <w:vertAlign w:val="baseline"/>
        </w:rPr>
        <w:t>and</w:t>
      </w:r>
      <w:r>
        <w:rPr>
          <w:spacing w:val="-31"/>
          <w:vertAlign w:val="baseline"/>
        </w:rPr>
        <w:t> </w:t>
      </w:r>
      <w:r>
        <w:rPr>
          <w:vertAlign w:val="baseline"/>
        </w:rPr>
        <w:t>was</w:t>
      </w:r>
      <w:r>
        <w:rPr>
          <w:spacing w:val="-30"/>
          <w:vertAlign w:val="baseline"/>
        </w:rPr>
        <w:t> </w:t>
      </w:r>
      <w:r>
        <w:rPr>
          <w:vertAlign w:val="baseline"/>
        </w:rPr>
        <w:t>not “independent” as required under the</w:t>
      </w:r>
      <w:r>
        <w:rPr>
          <w:spacing w:val="-23"/>
          <w:vertAlign w:val="baseline"/>
        </w:rPr>
        <w:t> </w:t>
      </w:r>
      <w:r>
        <w:rPr>
          <w:vertAlign w:val="baseline"/>
        </w:rPr>
        <w:t>statute.</w:t>
      </w:r>
    </w:p>
    <w:p>
      <w:pPr>
        <w:pStyle w:val="BodyText"/>
        <w:spacing w:before="12"/>
        <w:rPr>
          <w:sz w:val="25"/>
        </w:rPr>
      </w:pPr>
    </w:p>
    <w:p>
      <w:pPr>
        <w:pStyle w:val="BodyText"/>
        <w:spacing w:line="242" w:lineRule="auto"/>
        <w:ind w:left="1520" w:right="1519" w:firstLine="720"/>
        <w:jc w:val="both"/>
      </w:pPr>
      <w:r>
        <w:rPr/>
        <w:t>In</w:t>
      </w:r>
      <w:r>
        <w:rPr>
          <w:spacing w:val="-37"/>
        </w:rPr>
        <w:t> </w:t>
      </w:r>
      <w:r>
        <w:rPr/>
        <w:t>making</w:t>
      </w:r>
      <w:r>
        <w:rPr>
          <w:spacing w:val="-36"/>
        </w:rPr>
        <w:t> </w:t>
      </w:r>
      <w:r>
        <w:rPr/>
        <w:t>its</w:t>
      </w:r>
      <w:r>
        <w:rPr>
          <w:spacing w:val="-35"/>
        </w:rPr>
        <w:t> </w:t>
      </w:r>
      <w:r>
        <w:rPr/>
        <w:t>determination,</w:t>
      </w:r>
      <w:r>
        <w:rPr>
          <w:spacing w:val="-37"/>
        </w:rPr>
        <w:t> </w:t>
      </w:r>
      <w:r>
        <w:rPr/>
        <w:t>the</w:t>
      </w:r>
      <w:r>
        <w:rPr>
          <w:spacing w:val="-38"/>
        </w:rPr>
        <w:t> </w:t>
      </w:r>
      <w:r>
        <w:rPr/>
        <w:t>Michigan court</w:t>
      </w:r>
      <w:r>
        <w:rPr>
          <w:spacing w:val="-31"/>
        </w:rPr>
        <w:t> </w:t>
      </w:r>
      <w:r>
        <w:rPr/>
        <w:t>turned</w:t>
      </w:r>
      <w:r>
        <w:rPr>
          <w:spacing w:val="-29"/>
        </w:rPr>
        <w:t> </w:t>
      </w:r>
      <w:r>
        <w:rPr/>
        <w:t>to</w:t>
      </w:r>
      <w:r>
        <w:rPr>
          <w:spacing w:val="-28"/>
        </w:rPr>
        <w:t> </w:t>
      </w:r>
      <w:r>
        <w:rPr/>
        <w:t>cases</w:t>
      </w:r>
      <w:r>
        <w:rPr>
          <w:spacing w:val="-29"/>
        </w:rPr>
        <w:t> </w:t>
      </w:r>
      <w:r>
        <w:rPr/>
        <w:t>from</w:t>
      </w:r>
      <w:r>
        <w:rPr>
          <w:spacing w:val="-31"/>
        </w:rPr>
        <w:t> </w:t>
      </w:r>
      <w:r>
        <w:rPr/>
        <w:t>other</w:t>
      </w:r>
      <w:r>
        <w:rPr>
          <w:spacing w:val="-33"/>
        </w:rPr>
        <w:t> </w:t>
      </w:r>
      <w:r>
        <w:rPr/>
        <w:t>jurisdictions.</w:t>
      </w:r>
      <w:r>
        <w:rPr>
          <w:spacing w:val="13"/>
        </w:rPr>
        <w:t> </w:t>
      </w:r>
      <w:r>
        <w:rPr>
          <w:spacing w:val="3"/>
        </w:rPr>
        <w:t>In </w:t>
      </w:r>
      <w:r>
        <w:rPr/>
        <w:t>Florida,</w:t>
      </w:r>
      <w:r>
        <w:rPr>
          <w:spacing w:val="-34"/>
        </w:rPr>
        <w:t> </w:t>
      </w:r>
      <w:r>
        <w:rPr/>
        <w:t>courts</w:t>
      </w:r>
      <w:r>
        <w:rPr>
          <w:spacing w:val="-32"/>
        </w:rPr>
        <w:t> </w:t>
      </w:r>
      <w:r>
        <w:rPr/>
        <w:t>have</w:t>
      </w:r>
      <w:r>
        <w:rPr>
          <w:spacing w:val="-34"/>
        </w:rPr>
        <w:t> </w:t>
      </w:r>
      <w:r>
        <w:rPr/>
        <w:t>held</w:t>
      </w:r>
      <w:r>
        <w:rPr>
          <w:spacing w:val="-30"/>
        </w:rPr>
        <w:t> </w:t>
      </w:r>
      <w:r>
        <w:rPr/>
        <w:t>that</w:t>
      </w:r>
      <w:r>
        <w:rPr>
          <w:spacing w:val="-33"/>
        </w:rPr>
        <w:t> </w:t>
      </w:r>
      <w:r>
        <w:rPr/>
        <w:t>an</w:t>
      </w:r>
      <w:r>
        <w:rPr>
          <w:spacing w:val="-31"/>
        </w:rPr>
        <w:t> </w:t>
      </w:r>
      <w:r>
        <w:rPr/>
        <w:t>appraiser</w:t>
      </w:r>
      <w:r>
        <w:rPr>
          <w:spacing w:val="-34"/>
        </w:rPr>
        <w:t> </w:t>
      </w:r>
      <w:r>
        <w:rPr/>
        <w:t>may be independent while working under a contingency-fee contract with the party who hired him as long as the other party is made aware of said</w:t>
      </w:r>
      <w:r>
        <w:rPr>
          <w:spacing w:val="-4"/>
        </w:rPr>
        <w:t> </w:t>
      </w:r>
      <w:r>
        <w:rPr/>
        <w:t>agreement.</w:t>
      </w:r>
      <w:r>
        <w:rPr>
          <w:vertAlign w:val="superscript"/>
        </w:rPr>
        <w:t>747</w:t>
      </w:r>
    </w:p>
    <w:p>
      <w:pPr>
        <w:pStyle w:val="BodyText"/>
        <w:spacing w:before="8"/>
        <w:rPr>
          <w:sz w:val="22"/>
        </w:rPr>
      </w:pPr>
    </w:p>
    <w:p>
      <w:pPr>
        <w:pStyle w:val="BodyText"/>
        <w:spacing w:line="242" w:lineRule="auto" w:before="41"/>
        <w:ind w:left="1520" w:right="1517" w:firstLine="720"/>
        <w:jc w:val="both"/>
      </w:pPr>
      <w:r>
        <w:rPr/>
        <w:t>Similarly, the </w:t>
      </w:r>
      <w:r>
        <w:rPr>
          <w:u w:val="single"/>
        </w:rPr>
        <w:t>White</w:t>
      </w:r>
      <w:r>
        <w:rPr/>
        <w:t> court held that “a contingency-fee</w:t>
      </w:r>
      <w:r>
        <w:rPr>
          <w:spacing w:val="-18"/>
        </w:rPr>
        <w:t> </w:t>
      </w:r>
      <w:r>
        <w:rPr/>
        <w:t>agreement</w:t>
      </w:r>
      <w:r>
        <w:rPr>
          <w:spacing w:val="-21"/>
        </w:rPr>
        <w:t> </w:t>
      </w:r>
      <w:r>
        <w:rPr/>
        <w:t>does</w:t>
      </w:r>
      <w:r>
        <w:rPr>
          <w:spacing w:val="-17"/>
        </w:rPr>
        <w:t> </w:t>
      </w:r>
      <w:r>
        <w:rPr/>
        <w:t>not</w:t>
      </w:r>
      <w:r>
        <w:rPr>
          <w:spacing w:val="-17"/>
        </w:rPr>
        <w:t> </w:t>
      </w:r>
      <w:r>
        <w:rPr/>
        <w:t>prohibit an appraiser from being ‘independent’</w:t>
      </w:r>
      <w:r>
        <w:rPr>
          <w:spacing w:val="-19"/>
        </w:rPr>
        <w:t> </w:t>
      </w:r>
      <w:r>
        <w:rPr/>
        <w:t>under </w:t>
      </w:r>
      <w:r>
        <w:rPr>
          <w:u w:val="single"/>
        </w:rPr>
        <w:t>MCL 500.2833</w:t>
      </w:r>
      <w:r>
        <w:rPr/>
        <w:t>" but that the opposing </w:t>
      </w:r>
      <w:r>
        <w:rPr>
          <w:spacing w:val="-4"/>
        </w:rPr>
        <w:t>party </w:t>
      </w:r>
      <w:r>
        <w:rPr/>
        <w:t>must be made aware of such an agreement. Because</w:t>
      </w:r>
      <w:r>
        <w:rPr>
          <w:spacing w:val="-19"/>
        </w:rPr>
        <w:t> </w:t>
      </w:r>
      <w:r>
        <w:rPr/>
        <w:t>the</w:t>
      </w:r>
      <w:r>
        <w:rPr>
          <w:spacing w:val="-20"/>
        </w:rPr>
        <w:t> </w:t>
      </w:r>
      <w:r>
        <w:rPr/>
        <w:t>insured’s</w:t>
      </w:r>
      <w:r>
        <w:rPr>
          <w:spacing w:val="-23"/>
        </w:rPr>
        <w:t> </w:t>
      </w:r>
      <w:r>
        <w:rPr/>
        <w:t>adjuster</w:t>
      </w:r>
      <w:r>
        <w:rPr>
          <w:spacing w:val="-22"/>
        </w:rPr>
        <w:t> </w:t>
      </w:r>
      <w:r>
        <w:rPr/>
        <w:t>was</w:t>
      </w:r>
      <w:r>
        <w:rPr>
          <w:spacing w:val="-19"/>
        </w:rPr>
        <w:t> </w:t>
      </w:r>
      <w:r>
        <w:rPr/>
        <w:t>capable</w:t>
      </w:r>
      <w:r>
        <w:rPr>
          <w:spacing w:val="-17"/>
        </w:rPr>
        <w:t> </w:t>
      </w:r>
      <w:r>
        <w:rPr>
          <w:spacing w:val="-6"/>
        </w:rPr>
        <w:t>of </w:t>
      </w:r>
      <w:r>
        <w:rPr/>
        <w:t>exercising his own judgment regarding</w:t>
      </w:r>
      <w:r>
        <w:rPr>
          <w:spacing w:val="47"/>
        </w:rPr>
        <w:t> </w:t>
      </w:r>
      <w:r>
        <w:rPr/>
        <w:t>the</w:t>
      </w:r>
    </w:p>
    <w:p>
      <w:pPr>
        <w:pStyle w:val="BodyText"/>
        <w:rPr>
          <w:sz w:val="20"/>
        </w:rPr>
      </w:pPr>
    </w:p>
    <w:p>
      <w:pPr>
        <w:pStyle w:val="BodyText"/>
        <w:spacing w:before="5"/>
        <w:rPr>
          <w:sz w:val="19"/>
        </w:rPr>
      </w:pPr>
      <w:r>
        <w:rPr/>
        <w:pict>
          <v:shape style="position:absolute;margin-left:162pt;margin-top:14.331191pt;width:143.9pt;height:.1pt;mso-position-horizontal-relative:page;mso-position-vertical-relative:paragraph;z-index:-251643904;mso-wrap-distance-left:0;mso-wrap-distance-right:0" coordorigin="3240,287" coordsize="2878,0" path="m3240,287l6118,287e" filled="false" stroked="true" strokeweight=".84pt" strokecolor="#000000">
            <v:path arrowok="t"/>
            <v:stroke dashstyle="solid"/>
            <w10:wrap type="topAndBottom"/>
          </v:shape>
        </w:pict>
      </w:r>
    </w:p>
    <w:p>
      <w:pPr>
        <w:pStyle w:val="BodyText"/>
        <w:spacing w:before="4"/>
        <w:rPr>
          <w:sz w:val="10"/>
        </w:rPr>
      </w:pPr>
    </w:p>
    <w:p>
      <w:pPr>
        <w:spacing w:line="248" w:lineRule="exact" w:before="71"/>
        <w:ind w:left="1160" w:right="0" w:firstLine="0"/>
        <w:jc w:val="left"/>
        <w:rPr>
          <w:rFonts w:ascii="Times New Roman"/>
          <w:sz w:val="18"/>
        </w:rPr>
      </w:pPr>
      <w:r>
        <w:rPr>
          <w:rFonts w:ascii="Times New Roman"/>
          <w:position w:val="10"/>
          <w:sz w:val="14"/>
        </w:rPr>
        <w:t>745</w:t>
      </w:r>
      <w:r>
        <w:rPr>
          <w:rFonts w:ascii="Times New Roman"/>
          <w:sz w:val="14"/>
        </w:rPr>
        <w:t> </w:t>
      </w:r>
      <w:r>
        <w:rPr>
          <w:rFonts w:ascii="Times New Roman"/>
          <w:sz w:val="18"/>
          <w:u w:val="single"/>
        </w:rPr>
        <w:t>Linford Lounge</w:t>
      </w:r>
      <w:r>
        <w:rPr>
          <w:rFonts w:ascii="Times New Roman"/>
          <w:sz w:val="18"/>
        </w:rPr>
        <w:t>, 259 N.W.2d 201.</w:t>
      </w:r>
    </w:p>
    <w:p>
      <w:pPr>
        <w:spacing w:line="247" w:lineRule="exact" w:before="0"/>
        <w:ind w:left="1160" w:right="0" w:firstLine="0"/>
        <w:jc w:val="left"/>
        <w:rPr>
          <w:rFonts w:ascii="Times New Roman"/>
          <w:sz w:val="18"/>
        </w:rPr>
      </w:pPr>
      <w:r>
        <w:rPr>
          <w:rFonts w:ascii="Times New Roman"/>
          <w:position w:val="10"/>
          <w:sz w:val="14"/>
        </w:rPr>
        <w:t>746 </w:t>
      </w:r>
      <w:r>
        <w:rPr>
          <w:rFonts w:ascii="Times New Roman"/>
          <w:sz w:val="18"/>
        </w:rPr>
        <w:t>2011 WL 3208150 (Mich.App. 2011).</w:t>
      </w:r>
    </w:p>
    <w:p>
      <w:pPr>
        <w:spacing w:line="269" w:lineRule="exact" w:before="0"/>
        <w:ind w:left="1160" w:right="0" w:firstLine="0"/>
        <w:jc w:val="left"/>
        <w:rPr>
          <w:rFonts w:ascii="Times New Roman"/>
          <w:sz w:val="18"/>
        </w:rPr>
      </w:pPr>
      <w:r>
        <w:rPr>
          <w:rFonts w:ascii="Times New Roman"/>
          <w:position w:val="10"/>
          <w:sz w:val="14"/>
        </w:rPr>
        <w:t>747 </w:t>
      </w:r>
      <w:r>
        <w:rPr>
          <w:rFonts w:ascii="Times New Roman"/>
          <w:i/>
          <w:sz w:val="18"/>
        </w:rPr>
        <w:t>See </w:t>
      </w:r>
      <w:r>
        <w:rPr>
          <w:rFonts w:ascii="Times New Roman"/>
          <w:sz w:val="18"/>
          <w:u w:val="single"/>
        </w:rPr>
        <w:t>Rios v. Tri-State Ins. Co.</w:t>
      </w:r>
      <w:r>
        <w:rPr>
          <w:rFonts w:ascii="Times New Roman"/>
          <w:sz w:val="18"/>
        </w:rPr>
        <w:t>, 714 So.2d 547 (Fla 3d DCA 1998).</w:t>
      </w:r>
    </w:p>
    <w:p>
      <w:pPr>
        <w:spacing w:after="0" w:line="269" w:lineRule="exact"/>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7"/>
        <w:jc w:val="both"/>
      </w:pPr>
      <w:bookmarkStart w:name="Law and Procedure 350" w:id="16"/>
      <w:bookmarkEnd w:id="16"/>
      <w:r>
        <w:rPr/>
      </w:r>
      <w:r>
        <w:rPr/>
        <w:t>value of the loss, he should not be</w:t>
      </w:r>
      <w:r>
        <w:rPr>
          <w:spacing w:val="-29"/>
        </w:rPr>
        <w:t> </w:t>
      </w:r>
      <w:r>
        <w:rPr/>
        <w:t>disqualified to serve as the insured’s appraiser under the “competent</w:t>
      </w:r>
      <w:r>
        <w:rPr>
          <w:spacing w:val="-19"/>
        </w:rPr>
        <w:t> </w:t>
      </w:r>
      <w:r>
        <w:rPr/>
        <w:t>[and]</w:t>
      </w:r>
      <w:r>
        <w:rPr>
          <w:spacing w:val="-14"/>
        </w:rPr>
        <w:t> </w:t>
      </w:r>
      <w:r>
        <w:rPr/>
        <w:t>independent”</w:t>
      </w:r>
      <w:r>
        <w:rPr>
          <w:spacing w:val="-18"/>
        </w:rPr>
        <w:t> </w:t>
      </w:r>
      <w:r>
        <w:rPr/>
        <w:t>standard</w:t>
      </w:r>
      <w:r>
        <w:rPr>
          <w:spacing w:val="-15"/>
        </w:rPr>
        <w:t> </w:t>
      </w:r>
      <w:r>
        <w:rPr>
          <w:spacing w:val="-5"/>
        </w:rPr>
        <w:t>set </w:t>
      </w:r>
      <w:r>
        <w:rPr/>
        <w:t>forth in the statute just because the appraiser and the party who hired him were under contract.</w:t>
      </w:r>
    </w:p>
    <w:p>
      <w:pPr>
        <w:pStyle w:val="BodyText"/>
        <w:spacing w:before="8"/>
        <w:rPr>
          <w:sz w:val="22"/>
        </w:rPr>
      </w:pPr>
    </w:p>
    <w:p>
      <w:pPr>
        <w:pStyle w:val="BodyText"/>
        <w:spacing w:line="242" w:lineRule="auto" w:before="41"/>
        <w:ind w:left="1520" w:right="1516" w:firstLine="720"/>
        <w:jc w:val="both"/>
      </w:pPr>
      <w:r>
        <w:rPr/>
        <w:t>However, in </w:t>
      </w:r>
      <w:r>
        <w:rPr>
          <w:u w:val="single"/>
        </w:rPr>
        <w:t>30-40 East Main Street</w:t>
      </w:r>
      <w:r>
        <w:rPr/>
        <w:t> </w:t>
      </w:r>
      <w:r>
        <w:rPr>
          <w:u w:val="single"/>
        </w:rPr>
        <w:t>Bayshore,</w:t>
      </w:r>
      <w:r>
        <w:rPr>
          <w:spacing w:val="-23"/>
          <w:u w:val="single"/>
        </w:rPr>
        <w:t> </w:t>
      </w:r>
      <w:r>
        <w:rPr>
          <w:u w:val="single"/>
        </w:rPr>
        <w:t>Inc.,</w:t>
      </w:r>
      <w:r>
        <w:rPr>
          <w:spacing w:val="-22"/>
          <w:u w:val="single"/>
        </w:rPr>
        <w:t> </w:t>
      </w:r>
      <w:r>
        <w:rPr>
          <w:u w:val="single"/>
        </w:rPr>
        <w:t>et</w:t>
      </w:r>
      <w:r>
        <w:rPr>
          <w:spacing w:val="-23"/>
          <w:u w:val="single"/>
        </w:rPr>
        <w:t> </w:t>
      </w:r>
      <w:r>
        <w:rPr>
          <w:u w:val="single"/>
        </w:rPr>
        <w:t>al</w:t>
      </w:r>
      <w:r>
        <w:rPr>
          <w:spacing w:val="-18"/>
          <w:u w:val="single"/>
        </w:rPr>
        <w:t> </w:t>
      </w:r>
      <w:r>
        <w:rPr>
          <w:u w:val="single"/>
        </w:rPr>
        <w:t>v.</w:t>
      </w:r>
      <w:r>
        <w:rPr>
          <w:spacing w:val="-19"/>
          <w:u w:val="single"/>
        </w:rPr>
        <w:t> </w:t>
      </w:r>
      <w:r>
        <w:rPr>
          <w:u w:val="single"/>
        </w:rPr>
        <w:t>Republic</w:t>
      </w:r>
      <w:r>
        <w:rPr>
          <w:spacing w:val="-18"/>
          <w:u w:val="single"/>
        </w:rPr>
        <w:t> </w:t>
      </w:r>
      <w:r>
        <w:rPr>
          <w:u w:val="single"/>
        </w:rPr>
        <w:t>Franklin</w:t>
      </w:r>
      <w:r>
        <w:rPr>
          <w:spacing w:val="-17"/>
          <w:u w:val="single"/>
        </w:rPr>
        <w:t> </w:t>
      </w:r>
      <w:r>
        <w:rPr>
          <w:u w:val="single"/>
        </w:rPr>
        <w:t>Ins.</w:t>
      </w:r>
      <w:r>
        <w:rPr>
          <w:spacing w:val="-20"/>
          <w:u w:val="single"/>
        </w:rPr>
        <w:t> </w:t>
      </w:r>
      <w:r>
        <w:rPr>
          <w:u w:val="single"/>
        </w:rPr>
        <w:t>Co.</w:t>
      </w:r>
      <w:r>
        <w:rPr/>
        <w:t> </w:t>
      </w:r>
      <w:r>
        <w:rPr>
          <w:u w:val="single"/>
        </w:rPr>
        <w:t>and Utica Mut. Ins. Co.</w:t>
      </w:r>
      <w:r>
        <w:rPr>
          <w:vertAlign w:val="superscript"/>
        </w:rPr>
        <w:t>748</w:t>
      </w:r>
      <w:r>
        <w:rPr>
          <w:vertAlign w:val="baseline"/>
        </w:rPr>
        <w:t> it was held that </w:t>
      </w:r>
      <w:r>
        <w:rPr>
          <w:spacing w:val="-13"/>
          <w:vertAlign w:val="baseline"/>
        </w:rPr>
        <w:t>an </w:t>
      </w:r>
      <w:r>
        <w:rPr>
          <w:vertAlign w:val="baseline"/>
        </w:rPr>
        <w:t>insurer’s appraiser who performed the initial inspection and submitted an estimate to the carrier at its request was disqualified from acting</w:t>
      </w:r>
      <w:r>
        <w:rPr>
          <w:spacing w:val="-31"/>
          <w:vertAlign w:val="baseline"/>
        </w:rPr>
        <w:t> </w:t>
      </w:r>
      <w:r>
        <w:rPr>
          <w:vertAlign w:val="baseline"/>
        </w:rPr>
        <w:t>as</w:t>
      </w:r>
      <w:r>
        <w:rPr>
          <w:spacing w:val="-31"/>
          <w:vertAlign w:val="baseline"/>
        </w:rPr>
        <w:t> </w:t>
      </w:r>
      <w:r>
        <w:rPr>
          <w:vertAlign w:val="baseline"/>
        </w:rPr>
        <w:t>appraiser</w:t>
      </w:r>
      <w:r>
        <w:rPr>
          <w:spacing w:val="-33"/>
          <w:vertAlign w:val="baseline"/>
        </w:rPr>
        <w:t> </w:t>
      </w:r>
      <w:r>
        <w:rPr>
          <w:vertAlign w:val="baseline"/>
        </w:rPr>
        <w:t>as</w:t>
      </w:r>
      <w:r>
        <w:rPr>
          <w:spacing w:val="-32"/>
          <w:vertAlign w:val="baseline"/>
        </w:rPr>
        <w:t> </w:t>
      </w:r>
      <w:r>
        <w:rPr>
          <w:vertAlign w:val="baseline"/>
        </w:rPr>
        <w:t>being</w:t>
      </w:r>
      <w:r>
        <w:rPr>
          <w:spacing w:val="-31"/>
          <w:vertAlign w:val="baseline"/>
        </w:rPr>
        <w:t> </w:t>
      </w:r>
      <w:r>
        <w:rPr>
          <w:vertAlign w:val="baseline"/>
        </w:rPr>
        <w:t>not</w:t>
      </w:r>
      <w:r>
        <w:rPr>
          <w:spacing w:val="-36"/>
          <w:vertAlign w:val="baseline"/>
        </w:rPr>
        <w:t> </w:t>
      </w:r>
      <w:r>
        <w:rPr>
          <w:spacing w:val="-3"/>
          <w:vertAlign w:val="baseline"/>
        </w:rPr>
        <w:t>“disinterested” </w:t>
      </w:r>
      <w:r>
        <w:rPr>
          <w:vertAlign w:val="baseline"/>
        </w:rPr>
        <w:t>as required by the policy and CPLR §3404 (Standard Fire</w:t>
      </w:r>
      <w:r>
        <w:rPr>
          <w:spacing w:val="-4"/>
          <w:vertAlign w:val="baseline"/>
        </w:rPr>
        <w:t> </w:t>
      </w:r>
      <w:r>
        <w:rPr>
          <w:vertAlign w:val="baseline"/>
        </w:rPr>
        <w:t>Policy).</w:t>
      </w:r>
    </w:p>
    <w:p>
      <w:pPr>
        <w:pStyle w:val="BodyText"/>
      </w:pPr>
    </w:p>
    <w:p>
      <w:pPr>
        <w:pStyle w:val="BodyText"/>
        <w:spacing w:line="242" w:lineRule="auto"/>
        <w:ind w:left="1520" w:right="1520" w:firstLine="720"/>
        <w:jc w:val="both"/>
      </w:pPr>
      <w:r>
        <w:rPr/>
        <w:t>A disqualifying interest can be small,</w:t>
      </w:r>
      <w:r>
        <w:rPr>
          <w:spacing w:val="-28"/>
        </w:rPr>
        <w:t> </w:t>
      </w:r>
      <w:r>
        <w:rPr/>
        <w:t>but it has been held that the interest must be direct,</w:t>
      </w:r>
      <w:r>
        <w:rPr>
          <w:spacing w:val="-34"/>
        </w:rPr>
        <w:t> </w:t>
      </w:r>
      <w:r>
        <w:rPr/>
        <w:t>definite</w:t>
      </w:r>
      <w:r>
        <w:rPr>
          <w:spacing w:val="-34"/>
        </w:rPr>
        <w:t> </w:t>
      </w:r>
      <w:r>
        <w:rPr/>
        <w:t>and</w:t>
      </w:r>
      <w:r>
        <w:rPr>
          <w:spacing w:val="-31"/>
        </w:rPr>
        <w:t> </w:t>
      </w:r>
      <w:r>
        <w:rPr/>
        <w:t>certain</w:t>
      </w:r>
      <w:r>
        <w:rPr>
          <w:spacing w:val="-32"/>
        </w:rPr>
        <w:t> </w:t>
      </w:r>
      <w:r>
        <w:rPr/>
        <w:t>in</w:t>
      </w:r>
      <w:r>
        <w:rPr>
          <w:spacing w:val="-32"/>
        </w:rPr>
        <w:t> </w:t>
      </w:r>
      <w:r>
        <w:rPr/>
        <w:t>order</w:t>
      </w:r>
      <w:r>
        <w:rPr>
          <w:spacing w:val="-35"/>
        </w:rPr>
        <w:t> </w:t>
      </w:r>
      <w:r>
        <w:rPr/>
        <w:t>to</w:t>
      </w:r>
      <w:r>
        <w:rPr>
          <w:spacing w:val="-32"/>
        </w:rPr>
        <w:t> </w:t>
      </w:r>
      <w:r>
        <w:rPr/>
        <w:t>disqualify the appointed</w:t>
      </w:r>
      <w:r>
        <w:rPr>
          <w:spacing w:val="-3"/>
        </w:rPr>
        <w:t> </w:t>
      </w:r>
      <w:r>
        <w:rPr/>
        <w:t>appraiser.</w:t>
      </w:r>
      <w:r>
        <w:rPr>
          <w:vertAlign w:val="superscript"/>
        </w:rPr>
        <w:t>749</w:t>
      </w:r>
    </w:p>
    <w:p>
      <w:pPr>
        <w:pStyle w:val="BodyText"/>
        <w:spacing w:before="1"/>
      </w:pPr>
    </w:p>
    <w:p>
      <w:pPr>
        <w:pStyle w:val="BodyText"/>
        <w:spacing w:line="242" w:lineRule="auto"/>
        <w:ind w:left="1520" w:right="1517" w:firstLine="720"/>
        <w:jc w:val="both"/>
      </w:pPr>
      <w:r>
        <w:rPr>
          <w:spacing w:val="3"/>
        </w:rPr>
        <w:t>It </w:t>
      </w:r>
      <w:r>
        <w:rPr/>
        <w:t>has been held that where both</w:t>
      </w:r>
      <w:r>
        <w:rPr>
          <w:spacing w:val="-38"/>
        </w:rPr>
        <w:t> </w:t>
      </w:r>
      <w:r>
        <w:rPr/>
        <w:t>parties complained</w:t>
      </w:r>
      <w:r>
        <w:rPr>
          <w:spacing w:val="-28"/>
        </w:rPr>
        <w:t> </w:t>
      </w:r>
      <w:r>
        <w:rPr/>
        <w:t>that</w:t>
      </w:r>
      <w:r>
        <w:rPr>
          <w:spacing w:val="-28"/>
        </w:rPr>
        <w:t> </w:t>
      </w:r>
      <w:r>
        <w:rPr/>
        <w:t>the</w:t>
      </w:r>
      <w:r>
        <w:rPr>
          <w:spacing w:val="-30"/>
        </w:rPr>
        <w:t> </w:t>
      </w:r>
      <w:r>
        <w:rPr/>
        <w:t>appraiser</w:t>
      </w:r>
      <w:r>
        <w:rPr>
          <w:spacing w:val="-28"/>
        </w:rPr>
        <w:t> </w:t>
      </w:r>
      <w:r>
        <w:rPr/>
        <w:t>selected</w:t>
      </w:r>
      <w:r>
        <w:rPr>
          <w:spacing w:val="-28"/>
        </w:rPr>
        <w:t> </w:t>
      </w:r>
      <w:r>
        <w:rPr/>
        <w:t>by</w:t>
      </w:r>
      <w:r>
        <w:rPr>
          <w:spacing w:val="-29"/>
        </w:rPr>
        <w:t> </w:t>
      </w:r>
      <w:r>
        <w:rPr/>
        <w:t>the </w:t>
      </w:r>
      <w:r>
        <w:rPr>
          <w:spacing w:val="-3"/>
        </w:rPr>
        <w:t>other</w:t>
      </w:r>
      <w:r>
        <w:rPr>
          <w:spacing w:val="-35"/>
        </w:rPr>
        <w:t> </w:t>
      </w:r>
      <w:r>
        <w:rPr/>
        <w:t>party</w:t>
      </w:r>
      <w:r>
        <w:rPr>
          <w:spacing w:val="-36"/>
        </w:rPr>
        <w:t> </w:t>
      </w:r>
      <w:r>
        <w:rPr/>
        <w:t>was</w:t>
      </w:r>
      <w:r>
        <w:rPr>
          <w:spacing w:val="-33"/>
        </w:rPr>
        <w:t> </w:t>
      </w:r>
      <w:r>
        <w:rPr/>
        <w:t>not</w:t>
      </w:r>
      <w:r>
        <w:rPr>
          <w:spacing w:val="-35"/>
        </w:rPr>
        <w:t> </w:t>
      </w:r>
      <w:r>
        <w:rPr/>
        <w:t>disinterested</w:t>
      </w:r>
      <w:r>
        <w:rPr>
          <w:spacing w:val="-34"/>
        </w:rPr>
        <w:t> </w:t>
      </w:r>
      <w:r>
        <w:rPr/>
        <w:t>but</w:t>
      </w:r>
      <w:r>
        <w:rPr>
          <w:spacing w:val="-34"/>
        </w:rPr>
        <w:t> </w:t>
      </w:r>
      <w:r>
        <w:rPr/>
        <w:t>the</w:t>
      </w:r>
      <w:r>
        <w:rPr>
          <w:spacing w:val="-34"/>
        </w:rPr>
        <w:t> </w:t>
      </w:r>
      <w:r>
        <w:rPr/>
        <w:t>parties </w:t>
      </w:r>
      <w:r>
        <w:rPr>
          <w:spacing w:val="5"/>
        </w:rPr>
        <w:t>nevertheless </w:t>
      </w:r>
      <w:r>
        <w:rPr>
          <w:spacing w:val="4"/>
        </w:rPr>
        <w:t>agreed </w:t>
      </w:r>
      <w:r>
        <w:rPr>
          <w:spacing w:val="2"/>
        </w:rPr>
        <w:t>to </w:t>
      </w:r>
      <w:r>
        <w:rPr>
          <w:spacing w:val="5"/>
        </w:rPr>
        <w:t>proceed </w:t>
      </w:r>
      <w:r>
        <w:rPr>
          <w:spacing w:val="4"/>
        </w:rPr>
        <w:t>with </w:t>
      </w:r>
      <w:r>
        <w:rPr/>
        <w:t>knowledge of the facts, the parties could </w:t>
      </w:r>
      <w:r>
        <w:rPr>
          <w:spacing w:val="-4"/>
        </w:rPr>
        <w:t>not </w:t>
      </w:r>
      <w:r>
        <w:rPr/>
        <w:t>later complain after the award that the</w:t>
      </w:r>
      <w:r>
        <w:rPr>
          <w:spacing w:val="50"/>
        </w:rPr>
        <w:t> </w:t>
      </w:r>
      <w:r>
        <w:rPr/>
        <w:t>other</w:t>
      </w:r>
    </w:p>
    <w:p>
      <w:pPr>
        <w:pStyle w:val="BodyText"/>
        <w:spacing w:before="1"/>
        <w:rPr>
          <w:sz w:val="28"/>
        </w:rPr>
      </w:pPr>
      <w:r>
        <w:rPr/>
        <w:pict>
          <v:shape style="position:absolute;margin-left:162pt;margin-top:19.645542pt;width:143.9pt;height:.1pt;mso-position-horizontal-relative:page;mso-position-vertical-relative:paragraph;z-index:-251642880;mso-wrap-distance-left:0;mso-wrap-distance-right:0" coordorigin="3240,393" coordsize="2878,0" path="m3240,393l6118,393e" filled="false" stroked="true" strokeweight=".84pt" strokecolor="#000000">
            <v:path arrowok="t"/>
            <v:stroke dashstyle="solid"/>
            <w10:wrap type="topAndBottom"/>
          </v:shape>
        </w:pict>
      </w:r>
    </w:p>
    <w:p>
      <w:pPr>
        <w:pStyle w:val="BodyText"/>
        <w:spacing w:before="4"/>
        <w:rPr>
          <w:sz w:val="10"/>
        </w:rPr>
      </w:pPr>
    </w:p>
    <w:p>
      <w:pPr>
        <w:spacing w:line="248" w:lineRule="exact" w:before="71"/>
        <w:ind w:left="1160" w:right="0" w:firstLine="0"/>
        <w:jc w:val="left"/>
        <w:rPr>
          <w:rFonts w:ascii="Times New Roman"/>
          <w:sz w:val="18"/>
        </w:rPr>
      </w:pPr>
      <w:r>
        <w:rPr>
          <w:rFonts w:ascii="Times New Roman"/>
          <w:position w:val="10"/>
          <w:sz w:val="14"/>
        </w:rPr>
        <w:t>748 </w:t>
      </w:r>
      <w:r>
        <w:rPr>
          <w:rFonts w:ascii="Times New Roman"/>
          <w:sz w:val="18"/>
        </w:rPr>
        <w:t>2007 N.Y. Supp. Op. 30400(6).</w:t>
      </w:r>
    </w:p>
    <w:p>
      <w:pPr>
        <w:pStyle w:val="ListParagraph"/>
        <w:numPr>
          <w:ilvl w:val="0"/>
          <w:numId w:val="3"/>
        </w:numPr>
        <w:tabs>
          <w:tab w:pos="1426" w:val="left" w:leader="none"/>
        </w:tabs>
        <w:spacing w:line="248" w:lineRule="exact" w:before="0" w:after="0"/>
        <w:ind w:left="1425" w:right="0" w:hanging="266"/>
        <w:jc w:val="left"/>
        <w:rPr>
          <w:sz w:val="18"/>
        </w:rPr>
      </w:pPr>
      <w:r>
        <w:rPr>
          <w:sz w:val="18"/>
          <w:u w:val="single"/>
        </w:rPr>
        <w:t>McCabe</w:t>
      </w:r>
      <w:r>
        <w:rPr>
          <w:spacing w:val="4"/>
          <w:sz w:val="18"/>
          <w:u w:val="single"/>
        </w:rPr>
        <w:t> </w:t>
      </w:r>
      <w:r>
        <w:rPr>
          <w:sz w:val="18"/>
          <w:u w:val="single"/>
        </w:rPr>
        <w:t>v.</w:t>
      </w:r>
      <w:r>
        <w:rPr>
          <w:spacing w:val="6"/>
          <w:sz w:val="18"/>
          <w:u w:val="single"/>
        </w:rPr>
        <w:t> </w:t>
      </w:r>
      <w:r>
        <w:rPr>
          <w:sz w:val="18"/>
          <w:u w:val="single"/>
        </w:rPr>
        <w:t>State</w:t>
      </w:r>
      <w:r>
        <w:rPr>
          <w:spacing w:val="5"/>
          <w:sz w:val="18"/>
          <w:u w:val="single"/>
        </w:rPr>
        <w:t> </w:t>
      </w:r>
      <w:r>
        <w:rPr>
          <w:sz w:val="18"/>
          <w:u w:val="single"/>
        </w:rPr>
        <w:t>Farm</w:t>
      </w:r>
      <w:r>
        <w:rPr>
          <w:spacing w:val="3"/>
          <w:sz w:val="18"/>
          <w:u w:val="single"/>
        </w:rPr>
        <w:t> </w:t>
      </w:r>
      <w:r>
        <w:rPr>
          <w:sz w:val="18"/>
          <w:u w:val="single"/>
        </w:rPr>
        <w:t>Mut.</w:t>
      </w:r>
      <w:r>
        <w:rPr>
          <w:spacing w:val="6"/>
          <w:sz w:val="18"/>
          <w:u w:val="single"/>
        </w:rPr>
        <w:t> </w:t>
      </w:r>
      <w:r>
        <w:rPr>
          <w:sz w:val="18"/>
          <w:u w:val="single"/>
        </w:rPr>
        <w:t>Automobile</w:t>
      </w:r>
      <w:r>
        <w:rPr>
          <w:spacing w:val="5"/>
          <w:sz w:val="18"/>
          <w:u w:val="single"/>
        </w:rPr>
        <w:t> </w:t>
      </w:r>
      <w:r>
        <w:rPr>
          <w:sz w:val="18"/>
          <w:u w:val="single"/>
        </w:rPr>
        <w:t>Ins.</w:t>
      </w:r>
      <w:r>
        <w:rPr>
          <w:spacing w:val="6"/>
          <w:sz w:val="18"/>
          <w:u w:val="single"/>
        </w:rPr>
        <w:t> </w:t>
      </w:r>
      <w:r>
        <w:rPr>
          <w:sz w:val="18"/>
          <w:u w:val="single"/>
        </w:rPr>
        <w:t>Co.</w:t>
      </w:r>
      <w:r>
        <w:rPr>
          <w:sz w:val="18"/>
        </w:rPr>
        <w:t>,</w:t>
      </w:r>
      <w:r>
        <w:rPr>
          <w:spacing w:val="5"/>
          <w:sz w:val="18"/>
        </w:rPr>
        <w:t> </w:t>
      </w:r>
      <w:r>
        <w:rPr>
          <w:sz w:val="18"/>
        </w:rPr>
        <w:t>36</w:t>
      </w:r>
      <w:r>
        <w:rPr>
          <w:spacing w:val="6"/>
          <w:sz w:val="18"/>
        </w:rPr>
        <w:t> </w:t>
      </w:r>
      <w:r>
        <w:rPr>
          <w:sz w:val="18"/>
        </w:rPr>
        <w:t>F.</w:t>
      </w:r>
      <w:r>
        <w:rPr>
          <w:spacing w:val="7"/>
          <w:sz w:val="18"/>
        </w:rPr>
        <w:t> </w:t>
      </w:r>
      <w:r>
        <w:rPr>
          <w:sz w:val="18"/>
        </w:rPr>
        <w:t>Supp.2d</w:t>
      </w:r>
      <w:r>
        <w:rPr>
          <w:spacing w:val="6"/>
          <w:sz w:val="18"/>
        </w:rPr>
        <w:t> </w:t>
      </w:r>
      <w:r>
        <w:rPr>
          <w:sz w:val="18"/>
        </w:rPr>
        <w:t>666</w:t>
      </w:r>
      <w:r>
        <w:rPr>
          <w:spacing w:val="5"/>
          <w:sz w:val="18"/>
        </w:rPr>
        <w:t> </w:t>
      </w:r>
      <w:r>
        <w:rPr>
          <w:sz w:val="18"/>
        </w:rPr>
        <w:t>(E.D.Pa.</w:t>
      </w:r>
      <w:r>
        <w:rPr>
          <w:spacing w:val="7"/>
          <w:sz w:val="18"/>
        </w:rPr>
        <w:t> </w:t>
      </w:r>
      <w:r>
        <w:rPr>
          <w:sz w:val="18"/>
        </w:rPr>
        <w:t>1989);</w:t>
      </w:r>
    </w:p>
    <w:p>
      <w:pPr>
        <w:spacing w:line="244" w:lineRule="auto" w:before="4"/>
        <w:ind w:left="1160" w:right="860" w:firstLine="0"/>
        <w:jc w:val="left"/>
        <w:rPr>
          <w:rFonts w:ascii="Times New Roman" w:hAnsi="Times New Roman"/>
          <w:sz w:val="18"/>
        </w:rPr>
      </w:pPr>
      <w:r>
        <w:rPr>
          <w:rFonts w:ascii="Times New Roman" w:hAnsi="Times New Roman"/>
          <w:sz w:val="18"/>
        </w:rPr>
        <w:t>Couch on Insurance §50:136-137 (2</w:t>
      </w:r>
      <w:r>
        <w:rPr>
          <w:rFonts w:ascii="Times New Roman" w:hAnsi="Times New Roman"/>
          <w:position w:val="7"/>
          <w:sz w:val="10"/>
        </w:rPr>
        <w:t>nd </w:t>
      </w:r>
      <w:r>
        <w:rPr>
          <w:rFonts w:ascii="Times New Roman" w:hAnsi="Times New Roman"/>
          <w:sz w:val="18"/>
        </w:rPr>
        <w:t>rev. ed. 1982); </w:t>
      </w:r>
      <w:r>
        <w:rPr>
          <w:rFonts w:ascii="Times New Roman" w:hAnsi="Times New Roman"/>
          <w:sz w:val="18"/>
          <w:u w:val="single"/>
        </w:rPr>
        <w:t>National Fire Ins. Co. v. O’Bryan</w:t>
      </w:r>
      <w:r>
        <w:rPr>
          <w:rFonts w:ascii="Times New Roman" w:hAnsi="Times New Roman"/>
          <w:sz w:val="18"/>
        </w:rPr>
        <w:t>, 74 Ark. 198, 87 S.W. 129 (1904).</w:t>
      </w:r>
    </w:p>
    <w:p>
      <w:pPr>
        <w:spacing w:after="0" w:line="244" w:lineRule="auto"/>
        <w:jc w:val="left"/>
        <w:rPr>
          <w:rFonts w:ascii="Times New Roman" w:hAns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2"/>
        </w:rPr>
      </w:pPr>
    </w:p>
    <w:p>
      <w:pPr>
        <w:pStyle w:val="BodyText"/>
        <w:spacing w:before="76"/>
        <w:ind w:left="1520"/>
      </w:pPr>
      <w:bookmarkStart w:name="Law and Procedure 351" w:id="17"/>
      <w:bookmarkEnd w:id="17"/>
      <w:r>
        <w:rPr/>
      </w:r>
      <w:r>
        <w:rPr/>
        <w:t>party’s appraiser was not disinterested.</w:t>
      </w:r>
      <w:r>
        <w:rPr>
          <w:vertAlign w:val="superscript"/>
        </w:rPr>
        <w:t>750</w:t>
      </w:r>
    </w:p>
    <w:p>
      <w:pPr>
        <w:pStyle w:val="BodyText"/>
        <w:spacing w:before="6"/>
      </w:pPr>
    </w:p>
    <w:p>
      <w:pPr>
        <w:pStyle w:val="BodyText"/>
        <w:spacing w:line="242" w:lineRule="auto"/>
        <w:ind w:left="1520" w:right="1517" w:firstLine="720"/>
        <w:jc w:val="both"/>
      </w:pPr>
      <w:r>
        <w:rPr>
          <w:spacing w:val="2"/>
        </w:rPr>
        <w:t>An </w:t>
      </w:r>
      <w:r>
        <w:rPr/>
        <w:t>appraiser who has had previous business relations with the insured is not deemed</w:t>
      </w:r>
      <w:r>
        <w:rPr>
          <w:spacing w:val="-28"/>
        </w:rPr>
        <w:t> </w:t>
      </w:r>
      <w:r>
        <w:rPr/>
        <w:t>ineligible.</w:t>
      </w:r>
      <w:r>
        <w:rPr>
          <w:vertAlign w:val="superscript"/>
        </w:rPr>
        <w:t>751</w:t>
      </w:r>
      <w:r>
        <w:rPr>
          <w:spacing w:val="19"/>
          <w:vertAlign w:val="baseline"/>
        </w:rPr>
        <w:t> </w:t>
      </w:r>
      <w:r>
        <w:rPr>
          <w:vertAlign w:val="baseline"/>
        </w:rPr>
        <w:t>Logic</w:t>
      </w:r>
      <w:r>
        <w:rPr>
          <w:spacing w:val="-26"/>
          <w:vertAlign w:val="baseline"/>
        </w:rPr>
        <w:t> </w:t>
      </w:r>
      <w:r>
        <w:rPr>
          <w:vertAlign w:val="baseline"/>
        </w:rPr>
        <w:t>would</w:t>
      </w:r>
      <w:r>
        <w:rPr>
          <w:spacing w:val="-21"/>
          <w:vertAlign w:val="baseline"/>
        </w:rPr>
        <w:t> </w:t>
      </w:r>
      <w:r>
        <w:rPr>
          <w:vertAlign w:val="baseline"/>
        </w:rPr>
        <w:t>suggest</w:t>
      </w:r>
      <w:r>
        <w:rPr>
          <w:spacing w:val="-22"/>
          <w:vertAlign w:val="baseline"/>
        </w:rPr>
        <w:t> </w:t>
      </w:r>
      <w:r>
        <w:rPr>
          <w:spacing w:val="-12"/>
          <w:vertAlign w:val="baseline"/>
        </w:rPr>
        <w:t>that </w:t>
      </w:r>
      <w:r>
        <w:rPr>
          <w:vertAlign w:val="baseline"/>
        </w:rPr>
        <w:t>the insured’s selection of an appraiser is more likely to survive a challenge than the insurer’s selection</w:t>
      </w:r>
      <w:r>
        <w:rPr>
          <w:spacing w:val="-12"/>
          <w:vertAlign w:val="baseline"/>
        </w:rPr>
        <w:t> </w:t>
      </w:r>
      <w:r>
        <w:rPr>
          <w:vertAlign w:val="baseline"/>
        </w:rPr>
        <w:t>when</w:t>
      </w:r>
      <w:r>
        <w:rPr>
          <w:spacing w:val="-13"/>
          <w:vertAlign w:val="baseline"/>
        </w:rPr>
        <w:t> </w:t>
      </w:r>
      <w:r>
        <w:rPr>
          <w:vertAlign w:val="baseline"/>
        </w:rPr>
        <w:t>the</w:t>
      </w:r>
      <w:r>
        <w:rPr>
          <w:spacing w:val="-12"/>
          <w:vertAlign w:val="baseline"/>
        </w:rPr>
        <w:t> </w:t>
      </w:r>
      <w:r>
        <w:rPr>
          <w:vertAlign w:val="baseline"/>
        </w:rPr>
        <w:t>challenge</w:t>
      </w:r>
      <w:r>
        <w:rPr>
          <w:spacing w:val="-8"/>
          <w:vertAlign w:val="baseline"/>
        </w:rPr>
        <w:t> </w:t>
      </w:r>
      <w:r>
        <w:rPr>
          <w:vertAlign w:val="baseline"/>
        </w:rPr>
        <w:t>is</w:t>
      </w:r>
      <w:r>
        <w:rPr>
          <w:spacing w:val="-9"/>
          <w:vertAlign w:val="baseline"/>
        </w:rPr>
        <w:t> </w:t>
      </w:r>
      <w:r>
        <w:rPr>
          <w:vertAlign w:val="baseline"/>
        </w:rPr>
        <w:t>based</w:t>
      </w:r>
      <w:r>
        <w:rPr>
          <w:spacing w:val="-9"/>
          <w:vertAlign w:val="baseline"/>
        </w:rPr>
        <w:t> </w:t>
      </w:r>
      <w:r>
        <w:rPr>
          <w:vertAlign w:val="baseline"/>
        </w:rPr>
        <w:t>upon</w:t>
      </w:r>
      <w:r>
        <w:rPr>
          <w:spacing w:val="-10"/>
          <w:vertAlign w:val="baseline"/>
        </w:rPr>
        <w:t> </w:t>
      </w:r>
      <w:r>
        <w:rPr>
          <w:spacing w:val="-11"/>
          <w:vertAlign w:val="baseline"/>
        </w:rPr>
        <w:t>a </w:t>
      </w:r>
      <w:r>
        <w:rPr>
          <w:vertAlign w:val="baseline"/>
        </w:rPr>
        <w:t>prior relationship between the appraiser and the</w:t>
      </w:r>
      <w:r>
        <w:rPr>
          <w:spacing w:val="-16"/>
          <w:vertAlign w:val="baseline"/>
        </w:rPr>
        <w:t> </w:t>
      </w:r>
      <w:r>
        <w:rPr>
          <w:vertAlign w:val="baseline"/>
        </w:rPr>
        <w:t>party</w:t>
      </w:r>
      <w:r>
        <w:rPr>
          <w:spacing w:val="-17"/>
          <w:vertAlign w:val="baseline"/>
        </w:rPr>
        <w:t> </w:t>
      </w:r>
      <w:r>
        <w:rPr>
          <w:vertAlign w:val="baseline"/>
        </w:rPr>
        <w:t>who</w:t>
      </w:r>
      <w:r>
        <w:rPr>
          <w:spacing w:val="-15"/>
          <w:vertAlign w:val="baseline"/>
        </w:rPr>
        <w:t> </w:t>
      </w:r>
      <w:r>
        <w:rPr>
          <w:vertAlign w:val="baseline"/>
        </w:rPr>
        <w:t>hired</w:t>
      </w:r>
      <w:r>
        <w:rPr>
          <w:spacing w:val="-15"/>
          <w:vertAlign w:val="baseline"/>
        </w:rPr>
        <w:t> </w:t>
      </w:r>
      <w:r>
        <w:rPr>
          <w:vertAlign w:val="baseline"/>
        </w:rPr>
        <w:t>him</w:t>
      </w:r>
      <w:r>
        <w:rPr>
          <w:spacing w:val="-15"/>
          <w:vertAlign w:val="baseline"/>
        </w:rPr>
        <w:t> </w:t>
      </w:r>
      <w:r>
        <w:rPr>
          <w:vertAlign w:val="baseline"/>
        </w:rPr>
        <w:t>or</w:t>
      </w:r>
      <w:r>
        <w:rPr>
          <w:spacing w:val="-16"/>
          <w:vertAlign w:val="baseline"/>
        </w:rPr>
        <w:t> </w:t>
      </w:r>
      <w:r>
        <w:rPr>
          <w:vertAlign w:val="baseline"/>
        </w:rPr>
        <w:t>her.</w:t>
      </w:r>
      <w:r>
        <w:rPr>
          <w:spacing w:val="40"/>
          <w:vertAlign w:val="baseline"/>
        </w:rPr>
        <w:t> </w:t>
      </w:r>
      <w:r>
        <w:rPr>
          <w:vertAlign w:val="baseline"/>
        </w:rPr>
        <w:t>This</w:t>
      </w:r>
      <w:r>
        <w:rPr>
          <w:spacing w:val="-17"/>
          <w:vertAlign w:val="baseline"/>
        </w:rPr>
        <w:t> </w:t>
      </w:r>
      <w:r>
        <w:rPr>
          <w:vertAlign w:val="baseline"/>
        </w:rPr>
        <w:t>is</w:t>
      </w:r>
      <w:r>
        <w:rPr>
          <w:spacing w:val="-14"/>
          <w:vertAlign w:val="baseline"/>
        </w:rPr>
        <w:t> </w:t>
      </w:r>
      <w:r>
        <w:rPr>
          <w:vertAlign w:val="baseline"/>
        </w:rPr>
        <w:t>generally so</w:t>
      </w:r>
      <w:r>
        <w:rPr>
          <w:spacing w:val="-19"/>
          <w:vertAlign w:val="baseline"/>
        </w:rPr>
        <w:t> </w:t>
      </w:r>
      <w:r>
        <w:rPr>
          <w:vertAlign w:val="baseline"/>
        </w:rPr>
        <w:t>because</w:t>
      </w:r>
      <w:r>
        <w:rPr>
          <w:spacing w:val="-19"/>
          <w:vertAlign w:val="baseline"/>
        </w:rPr>
        <w:t> </w:t>
      </w:r>
      <w:r>
        <w:rPr>
          <w:vertAlign w:val="baseline"/>
        </w:rPr>
        <w:t>an</w:t>
      </w:r>
      <w:r>
        <w:rPr>
          <w:spacing w:val="-22"/>
          <w:vertAlign w:val="baseline"/>
        </w:rPr>
        <w:t> </w:t>
      </w:r>
      <w:r>
        <w:rPr>
          <w:vertAlign w:val="baseline"/>
        </w:rPr>
        <w:t>insured</w:t>
      </w:r>
      <w:r>
        <w:rPr>
          <w:spacing w:val="-22"/>
          <w:vertAlign w:val="baseline"/>
        </w:rPr>
        <w:t> </w:t>
      </w:r>
      <w:r>
        <w:rPr>
          <w:vertAlign w:val="baseline"/>
        </w:rPr>
        <w:t>may</w:t>
      </w:r>
      <w:r>
        <w:rPr>
          <w:spacing w:val="-24"/>
          <w:vertAlign w:val="baseline"/>
        </w:rPr>
        <w:t> </w:t>
      </w:r>
      <w:r>
        <w:rPr>
          <w:vertAlign w:val="baseline"/>
        </w:rPr>
        <w:t>typically</w:t>
      </w:r>
      <w:r>
        <w:rPr>
          <w:spacing w:val="-20"/>
          <w:vertAlign w:val="baseline"/>
        </w:rPr>
        <w:t> </w:t>
      </w:r>
      <w:r>
        <w:rPr>
          <w:vertAlign w:val="baseline"/>
        </w:rPr>
        <w:t>have</w:t>
      </w:r>
      <w:r>
        <w:rPr>
          <w:spacing w:val="-21"/>
          <w:vertAlign w:val="baseline"/>
        </w:rPr>
        <w:t> </w:t>
      </w:r>
      <w:r>
        <w:rPr>
          <w:vertAlign w:val="baseline"/>
        </w:rPr>
        <w:t>had prior dealings with an adjuster, appraiser, or builder on an isolated prior claim or two, whereas the insurer, being in the business of adjusting</w:t>
      </w:r>
      <w:r>
        <w:rPr>
          <w:spacing w:val="-12"/>
          <w:vertAlign w:val="baseline"/>
        </w:rPr>
        <w:t> </w:t>
      </w:r>
      <w:r>
        <w:rPr>
          <w:vertAlign w:val="baseline"/>
        </w:rPr>
        <w:t>losses,</w:t>
      </w:r>
      <w:r>
        <w:rPr>
          <w:spacing w:val="-10"/>
          <w:vertAlign w:val="baseline"/>
        </w:rPr>
        <w:t> </w:t>
      </w:r>
      <w:r>
        <w:rPr>
          <w:vertAlign w:val="baseline"/>
        </w:rPr>
        <w:t>may</w:t>
      </w:r>
      <w:r>
        <w:rPr>
          <w:spacing w:val="-16"/>
          <w:vertAlign w:val="baseline"/>
        </w:rPr>
        <w:t> </w:t>
      </w:r>
      <w:r>
        <w:rPr>
          <w:vertAlign w:val="baseline"/>
        </w:rPr>
        <w:t>have</w:t>
      </w:r>
      <w:r>
        <w:rPr>
          <w:spacing w:val="-14"/>
          <w:vertAlign w:val="baseline"/>
        </w:rPr>
        <w:t> </w:t>
      </w:r>
      <w:r>
        <w:rPr>
          <w:vertAlign w:val="baseline"/>
        </w:rPr>
        <w:t>hired</w:t>
      </w:r>
      <w:r>
        <w:rPr>
          <w:spacing w:val="-13"/>
          <w:vertAlign w:val="baseline"/>
        </w:rPr>
        <w:t> </w:t>
      </w:r>
      <w:r>
        <w:rPr>
          <w:vertAlign w:val="baseline"/>
        </w:rPr>
        <w:t>its</w:t>
      </w:r>
      <w:r>
        <w:rPr>
          <w:spacing w:val="-12"/>
          <w:vertAlign w:val="baseline"/>
        </w:rPr>
        <w:t> </w:t>
      </w:r>
      <w:r>
        <w:rPr>
          <w:vertAlign w:val="baseline"/>
        </w:rPr>
        <w:t>nominated appraiser on literally hundreds of prior claims. </w:t>
      </w:r>
      <w:r>
        <w:rPr>
          <w:spacing w:val="-3"/>
          <w:vertAlign w:val="baseline"/>
        </w:rPr>
        <w:t>Where </w:t>
      </w:r>
      <w:r>
        <w:rPr>
          <w:vertAlign w:val="baseline"/>
        </w:rPr>
        <w:t>the appraiser derives a substantial amount of his or her income from the nominating insurer, such an interest would destroy the independent nature of the relationship between an insurer and its appraiser.</w:t>
      </w:r>
    </w:p>
    <w:p>
      <w:pPr>
        <w:pStyle w:val="BodyText"/>
        <w:spacing w:before="7"/>
        <w:rPr>
          <w:sz w:val="25"/>
        </w:rPr>
      </w:pPr>
    </w:p>
    <w:p>
      <w:pPr>
        <w:pStyle w:val="BodyText"/>
        <w:spacing w:line="242" w:lineRule="auto"/>
        <w:ind w:left="1520" w:right="1517" w:firstLine="720"/>
        <w:jc w:val="both"/>
      </w:pPr>
      <w:r>
        <w:rPr>
          <w:spacing w:val="3"/>
        </w:rPr>
        <w:t>In</w:t>
      </w:r>
      <w:r>
        <w:rPr>
          <w:spacing w:val="-20"/>
        </w:rPr>
        <w:t> </w:t>
      </w:r>
      <w:r>
        <w:rPr/>
        <w:t>Texas,</w:t>
      </w:r>
      <w:r>
        <w:rPr>
          <w:spacing w:val="-21"/>
        </w:rPr>
        <w:t> </w:t>
      </w:r>
      <w:r>
        <w:rPr/>
        <w:t>in</w:t>
      </w:r>
      <w:r>
        <w:rPr>
          <w:spacing w:val="-21"/>
        </w:rPr>
        <w:t> </w:t>
      </w:r>
      <w:r>
        <w:rPr/>
        <w:t>a</w:t>
      </w:r>
      <w:r>
        <w:rPr>
          <w:spacing w:val="-21"/>
        </w:rPr>
        <w:t> </w:t>
      </w:r>
      <w:r>
        <w:rPr/>
        <w:t>case</w:t>
      </w:r>
      <w:r>
        <w:rPr>
          <w:spacing w:val="-21"/>
        </w:rPr>
        <w:t> </w:t>
      </w:r>
      <w:r>
        <w:rPr/>
        <w:t>where</w:t>
      </w:r>
      <w:r>
        <w:rPr>
          <w:spacing w:val="-22"/>
        </w:rPr>
        <w:t> </w:t>
      </w:r>
      <w:r>
        <w:rPr/>
        <w:t>an</w:t>
      </w:r>
      <w:r>
        <w:rPr>
          <w:spacing w:val="-21"/>
        </w:rPr>
        <w:t> </w:t>
      </w:r>
      <w:r>
        <w:rPr/>
        <w:t>appraiser</w:t>
      </w:r>
      <w:r>
        <w:rPr>
          <w:spacing w:val="-21"/>
        </w:rPr>
        <w:t> </w:t>
      </w:r>
      <w:r>
        <w:rPr>
          <w:spacing w:val="-4"/>
        </w:rPr>
        <w:t>for </w:t>
      </w:r>
      <w:r>
        <w:rPr/>
        <w:t>insureds</w:t>
      </w:r>
      <w:r>
        <w:rPr>
          <w:spacing w:val="-28"/>
        </w:rPr>
        <w:t> </w:t>
      </w:r>
      <w:r>
        <w:rPr/>
        <w:t>held</w:t>
      </w:r>
      <w:r>
        <w:rPr>
          <w:spacing w:val="-28"/>
        </w:rPr>
        <w:t> </w:t>
      </w:r>
      <w:r>
        <w:rPr/>
        <w:t>a</w:t>
      </w:r>
      <w:r>
        <w:rPr>
          <w:spacing w:val="-26"/>
        </w:rPr>
        <w:t> </w:t>
      </w:r>
      <w:r>
        <w:rPr/>
        <w:t>preexisting</w:t>
      </w:r>
      <w:r>
        <w:rPr>
          <w:spacing w:val="-29"/>
        </w:rPr>
        <w:t> </w:t>
      </w:r>
      <w:r>
        <w:rPr/>
        <w:t>business</w:t>
      </w:r>
      <w:r>
        <w:rPr>
          <w:spacing w:val="-27"/>
        </w:rPr>
        <w:t> </w:t>
      </w:r>
      <w:r>
        <w:rPr/>
        <w:t>relationship with them, the appraiser was found to have lacked independence. The court designated the</w:t>
      </w:r>
      <w:r>
        <w:rPr>
          <w:spacing w:val="38"/>
        </w:rPr>
        <w:t> </w:t>
      </w:r>
      <w:r>
        <w:rPr/>
        <w:t>circumstances</w:t>
      </w:r>
      <w:r>
        <w:rPr>
          <w:spacing w:val="39"/>
        </w:rPr>
        <w:t> </w:t>
      </w:r>
      <w:r>
        <w:rPr/>
        <w:t>before</w:t>
      </w:r>
      <w:r>
        <w:rPr>
          <w:spacing w:val="39"/>
        </w:rPr>
        <w:t> </w:t>
      </w:r>
      <w:r>
        <w:rPr/>
        <w:t>it</w:t>
      </w:r>
      <w:r>
        <w:rPr>
          <w:spacing w:val="37"/>
        </w:rPr>
        <w:t> </w:t>
      </w:r>
      <w:r>
        <w:rPr/>
        <w:t>“unique”</w:t>
      </w:r>
      <w:r>
        <w:rPr>
          <w:spacing w:val="40"/>
        </w:rPr>
        <w:t> </w:t>
      </w:r>
      <w:r>
        <w:rPr/>
        <w:t>in</w:t>
      </w:r>
      <w:r>
        <w:rPr>
          <w:spacing w:val="39"/>
        </w:rPr>
        <w:t> </w:t>
      </w:r>
      <w:r>
        <w:rPr/>
        <w:t>that</w:t>
      </w:r>
    </w:p>
    <w:p>
      <w:pPr>
        <w:pStyle w:val="BodyText"/>
        <w:rPr>
          <w:sz w:val="20"/>
        </w:rPr>
      </w:pPr>
    </w:p>
    <w:p>
      <w:pPr>
        <w:pStyle w:val="BodyText"/>
        <w:spacing w:before="8"/>
      </w:pPr>
    </w:p>
    <w:p>
      <w:pPr>
        <w:pStyle w:val="ListParagraph"/>
        <w:numPr>
          <w:ilvl w:val="0"/>
          <w:numId w:val="3"/>
        </w:numPr>
        <w:tabs>
          <w:tab w:pos="1416" w:val="left" w:leader="none"/>
        </w:tabs>
        <w:spacing w:line="240" w:lineRule="auto" w:before="72" w:after="0"/>
        <w:ind w:left="1415" w:right="0" w:hanging="256"/>
        <w:jc w:val="left"/>
        <w:rPr>
          <w:sz w:val="18"/>
        </w:rPr>
      </w:pPr>
      <w:r>
        <w:rPr>
          <w:sz w:val="18"/>
          <w:u w:val="single"/>
        </w:rPr>
        <w:t>In</w:t>
      </w:r>
      <w:r>
        <w:rPr>
          <w:spacing w:val="-4"/>
          <w:sz w:val="18"/>
          <w:u w:val="single"/>
        </w:rPr>
        <w:t> </w:t>
      </w:r>
      <w:r>
        <w:rPr>
          <w:sz w:val="18"/>
          <w:u w:val="single"/>
        </w:rPr>
        <w:t>re</w:t>
      </w:r>
      <w:r>
        <w:rPr>
          <w:spacing w:val="-5"/>
          <w:sz w:val="18"/>
          <w:u w:val="single"/>
        </w:rPr>
        <w:t> </w:t>
      </w:r>
      <w:r>
        <w:rPr>
          <w:sz w:val="18"/>
          <w:u w:val="single"/>
        </w:rPr>
        <w:t>176</w:t>
      </w:r>
      <w:r>
        <w:rPr>
          <w:spacing w:val="-5"/>
          <w:sz w:val="18"/>
          <w:u w:val="single"/>
        </w:rPr>
        <w:t> </w:t>
      </w:r>
      <w:r>
        <w:rPr>
          <w:sz w:val="18"/>
          <w:u w:val="single"/>
        </w:rPr>
        <w:t>&amp;</w:t>
      </w:r>
      <w:r>
        <w:rPr>
          <w:spacing w:val="-6"/>
          <w:sz w:val="18"/>
          <w:u w:val="single"/>
        </w:rPr>
        <w:t> </w:t>
      </w:r>
      <w:r>
        <w:rPr>
          <w:sz w:val="18"/>
          <w:u w:val="single"/>
        </w:rPr>
        <w:t>178</w:t>
      </w:r>
      <w:r>
        <w:rPr>
          <w:spacing w:val="-5"/>
          <w:sz w:val="18"/>
          <w:u w:val="single"/>
        </w:rPr>
        <w:t> </w:t>
      </w:r>
      <w:r>
        <w:rPr>
          <w:sz w:val="18"/>
          <w:u w:val="single"/>
        </w:rPr>
        <w:t>East</w:t>
      </w:r>
      <w:r>
        <w:rPr>
          <w:spacing w:val="-5"/>
          <w:sz w:val="18"/>
          <w:u w:val="single"/>
        </w:rPr>
        <w:t> </w:t>
      </w:r>
      <w:r>
        <w:rPr>
          <w:sz w:val="18"/>
          <w:u w:val="single"/>
        </w:rPr>
        <w:t>Main</w:t>
      </w:r>
      <w:r>
        <w:rPr>
          <w:spacing w:val="-3"/>
          <w:sz w:val="18"/>
          <w:u w:val="single"/>
        </w:rPr>
        <w:t> </w:t>
      </w:r>
      <w:r>
        <w:rPr>
          <w:sz w:val="18"/>
          <w:u w:val="single"/>
        </w:rPr>
        <w:t>Street,</w:t>
      </w:r>
      <w:r>
        <w:rPr>
          <w:spacing w:val="-4"/>
          <w:sz w:val="18"/>
          <w:u w:val="single"/>
        </w:rPr>
        <w:t> </w:t>
      </w:r>
      <w:r>
        <w:rPr>
          <w:sz w:val="18"/>
          <w:u w:val="single"/>
        </w:rPr>
        <w:t>Amsterdam,</w:t>
      </w:r>
      <w:r>
        <w:rPr>
          <w:spacing w:val="-5"/>
          <w:sz w:val="18"/>
          <w:u w:val="single"/>
        </w:rPr>
        <w:t> </w:t>
      </w:r>
      <w:r>
        <w:rPr>
          <w:sz w:val="18"/>
          <w:u w:val="single"/>
        </w:rPr>
        <w:t>New</w:t>
      </w:r>
      <w:r>
        <w:rPr>
          <w:spacing w:val="-9"/>
          <w:sz w:val="18"/>
          <w:u w:val="single"/>
        </w:rPr>
        <w:t> </w:t>
      </w:r>
      <w:r>
        <w:rPr>
          <w:sz w:val="18"/>
          <w:u w:val="single"/>
        </w:rPr>
        <w:t>York</w:t>
      </w:r>
      <w:r>
        <w:rPr>
          <w:sz w:val="18"/>
        </w:rPr>
        <w:t>,</w:t>
      </w:r>
      <w:r>
        <w:rPr>
          <w:spacing w:val="-4"/>
          <w:sz w:val="18"/>
        </w:rPr>
        <w:t> </w:t>
      </w:r>
      <w:r>
        <w:rPr>
          <w:sz w:val="18"/>
        </w:rPr>
        <w:t>263</w:t>
      </w:r>
      <w:r>
        <w:rPr>
          <w:spacing w:val="-6"/>
          <w:sz w:val="18"/>
        </w:rPr>
        <w:t> </w:t>
      </w:r>
      <w:r>
        <w:rPr>
          <w:sz w:val="18"/>
        </w:rPr>
        <w:t>N.Y.</w:t>
      </w:r>
      <w:r>
        <w:rPr>
          <w:spacing w:val="-7"/>
          <w:sz w:val="18"/>
        </w:rPr>
        <w:t> </w:t>
      </w:r>
      <w:r>
        <w:rPr>
          <w:sz w:val="18"/>
        </w:rPr>
        <w:t>197,</w:t>
      </w:r>
      <w:r>
        <w:rPr>
          <w:spacing w:val="-6"/>
          <w:sz w:val="18"/>
        </w:rPr>
        <w:t> </w:t>
      </w:r>
      <w:r>
        <w:rPr>
          <w:sz w:val="18"/>
        </w:rPr>
        <w:t>188</w:t>
      </w:r>
      <w:r>
        <w:rPr>
          <w:spacing w:val="-7"/>
          <w:sz w:val="18"/>
        </w:rPr>
        <w:t> </w:t>
      </w:r>
      <w:r>
        <w:rPr>
          <w:sz w:val="18"/>
        </w:rPr>
        <w:t>N.E.</w:t>
      </w:r>
      <w:r>
        <w:rPr>
          <w:spacing w:val="-6"/>
          <w:sz w:val="18"/>
        </w:rPr>
        <w:t> </w:t>
      </w:r>
      <w:r>
        <w:rPr>
          <w:sz w:val="18"/>
        </w:rPr>
        <w:t>647</w:t>
      </w:r>
    </w:p>
    <w:p>
      <w:pPr>
        <w:spacing w:line="178" w:lineRule="exact" w:before="4"/>
        <w:ind w:left="1160" w:right="0" w:firstLine="0"/>
        <w:jc w:val="left"/>
        <w:rPr>
          <w:rFonts w:ascii="Times New Roman"/>
          <w:sz w:val="18"/>
        </w:rPr>
      </w:pPr>
      <w:r>
        <w:rPr>
          <w:rFonts w:ascii="Times New Roman"/>
          <w:sz w:val="18"/>
        </w:rPr>
        <w:t>(1934).</w:t>
      </w:r>
    </w:p>
    <w:p>
      <w:pPr>
        <w:pStyle w:val="ListParagraph"/>
        <w:numPr>
          <w:ilvl w:val="0"/>
          <w:numId w:val="3"/>
        </w:numPr>
        <w:tabs>
          <w:tab w:pos="1428" w:val="left" w:leader="none"/>
        </w:tabs>
        <w:spacing w:line="240" w:lineRule="exact" w:before="0" w:after="0"/>
        <w:ind w:left="1427" w:right="0" w:hanging="268"/>
        <w:jc w:val="left"/>
        <w:rPr>
          <w:sz w:val="18"/>
        </w:rPr>
      </w:pPr>
      <w:r>
        <w:rPr>
          <w:sz w:val="18"/>
          <w:u w:val="single"/>
        </w:rPr>
        <w:t>Meyerson v. Hartford Fire Ins. Co.</w:t>
      </w:r>
      <w:r>
        <w:rPr>
          <w:sz w:val="18"/>
        </w:rPr>
        <w:t>, 16 Misc. 286, 38 N.Y.S.112 (Civ. Ct.</w:t>
      </w:r>
      <w:r>
        <w:rPr>
          <w:spacing w:val="9"/>
          <w:sz w:val="18"/>
        </w:rPr>
        <w:t> </w:t>
      </w:r>
      <w:r>
        <w:rPr>
          <w:sz w:val="18"/>
        </w:rPr>
        <w:t>1896),</w:t>
      </w:r>
    </w:p>
    <w:p>
      <w:pPr>
        <w:spacing w:before="4"/>
        <w:ind w:left="1160" w:right="0" w:firstLine="0"/>
        <w:jc w:val="left"/>
        <w:rPr>
          <w:rFonts w:ascii="Times New Roman" w:hAnsi="Times New Roman"/>
          <w:sz w:val="18"/>
        </w:rPr>
      </w:pPr>
      <w:r>
        <w:rPr>
          <w:rFonts w:ascii="Times New Roman" w:hAnsi="Times New Roman"/>
          <w:i/>
          <w:sz w:val="18"/>
        </w:rPr>
        <w:t>aff’‘d, </w:t>
      </w:r>
      <w:r>
        <w:rPr>
          <w:rFonts w:ascii="Times New Roman" w:hAnsi="Times New Roman"/>
          <w:sz w:val="18"/>
        </w:rPr>
        <w:t>17 Misc. 121, 39 N.Y.S. 329 (App. Div. 1</w:t>
      </w:r>
      <w:r>
        <w:rPr>
          <w:rFonts w:ascii="Times New Roman" w:hAnsi="Times New Roman"/>
          <w:position w:val="7"/>
          <w:sz w:val="10"/>
        </w:rPr>
        <w:t>st </w:t>
      </w:r>
      <w:r>
        <w:rPr>
          <w:rFonts w:ascii="Times New Roman" w:hAnsi="Times New Roman"/>
          <w:sz w:val="18"/>
        </w:rPr>
        <w:t>Dept. 1896).</w:t>
      </w:r>
    </w:p>
    <w:p>
      <w:pPr>
        <w:spacing w:after="0"/>
        <w:jc w:val="left"/>
        <w:rPr>
          <w:rFonts w:ascii="Times New Roman" w:hAnsi="Times New Roman"/>
          <w:sz w:val="18"/>
        </w:rPr>
        <w:sectPr>
          <w:footerReference w:type="default" r:id="rId6"/>
          <w:pgSz w:w="12240" w:h="15840"/>
          <w:pgMar w:footer="2476" w:header="0" w:top="1500" w:bottom="26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7"/>
        <w:jc w:val="both"/>
      </w:pPr>
      <w:bookmarkStart w:name="Law and Procedure 352" w:id="18"/>
      <w:bookmarkEnd w:id="18"/>
      <w:r>
        <w:rPr/>
      </w:r>
      <w:r>
        <w:rPr/>
        <w:t>the appraiser had been hired as an inspector prior to his appointment and became an advocate for the insured rather than a mere inspector. Texas law has established that “a pre-existing relationship, without more, does not support a finding of bias” and requires “‘evidence that the [challenged] appraiser performed ‘some act or conduct tending to exhibit his serving the [insurer’s] interest as a partisan would.’’” The court held that alone, the appraiser’s pre-existing relationship or the fact that he was used as an expert to inspect the property before appraisal were not sufficient grounds to set aside the award. However,</w:t>
      </w:r>
      <w:r>
        <w:rPr>
          <w:spacing w:val="-17"/>
        </w:rPr>
        <w:t> </w:t>
      </w:r>
      <w:r>
        <w:rPr/>
        <w:t>it</w:t>
      </w:r>
      <w:r>
        <w:rPr>
          <w:spacing w:val="-13"/>
        </w:rPr>
        <w:t> </w:t>
      </w:r>
      <w:r>
        <w:rPr/>
        <w:t>observed</w:t>
      </w:r>
      <w:r>
        <w:rPr>
          <w:spacing w:val="-12"/>
        </w:rPr>
        <w:t> </w:t>
      </w:r>
      <w:r>
        <w:rPr/>
        <w:t>a</w:t>
      </w:r>
      <w:r>
        <w:rPr>
          <w:spacing w:val="-12"/>
        </w:rPr>
        <w:t> </w:t>
      </w:r>
      <w:r>
        <w:rPr/>
        <w:t>fact</w:t>
      </w:r>
      <w:r>
        <w:rPr>
          <w:spacing w:val="-12"/>
        </w:rPr>
        <w:t> </w:t>
      </w:r>
      <w:r>
        <w:rPr/>
        <w:t>issue</w:t>
      </w:r>
      <w:r>
        <w:rPr>
          <w:spacing w:val="-11"/>
        </w:rPr>
        <w:t> </w:t>
      </w:r>
      <w:r>
        <w:rPr/>
        <w:t>warranting</w:t>
      </w:r>
      <w:r>
        <w:rPr>
          <w:spacing w:val="-14"/>
        </w:rPr>
        <w:t> </w:t>
      </w:r>
      <w:r>
        <w:rPr/>
        <w:t>a </w:t>
      </w:r>
      <w:r>
        <w:rPr>
          <w:spacing w:val="9"/>
        </w:rPr>
        <w:t>trial </w:t>
      </w:r>
      <w:r>
        <w:rPr>
          <w:spacing w:val="6"/>
        </w:rPr>
        <w:t>as as </w:t>
      </w:r>
      <w:r>
        <w:rPr>
          <w:spacing w:val="4"/>
        </w:rPr>
        <w:t>to </w:t>
      </w:r>
      <w:r>
        <w:rPr>
          <w:spacing w:val="6"/>
        </w:rPr>
        <w:t>whether his </w:t>
      </w:r>
      <w:r>
        <w:rPr>
          <w:spacing w:val="8"/>
        </w:rPr>
        <w:t>conduct </w:t>
      </w:r>
      <w:r>
        <w:rPr/>
        <w:t>demonstrated that he was an unbiased </w:t>
      </w:r>
      <w:r>
        <w:rPr>
          <w:spacing w:val="-4"/>
        </w:rPr>
        <w:t>and</w:t>
      </w:r>
      <w:r>
        <w:rPr>
          <w:spacing w:val="63"/>
        </w:rPr>
        <w:t> </w:t>
      </w:r>
      <w:r>
        <w:rPr/>
        <w:t>impartial appraiser as required by the subject policy.</w:t>
      </w:r>
      <w:r>
        <w:rPr>
          <w:vertAlign w:val="superscript"/>
        </w:rPr>
        <w:t>752</w:t>
      </w:r>
    </w:p>
    <w:p>
      <w:pPr>
        <w:pStyle w:val="BodyText"/>
        <w:spacing w:before="7"/>
        <w:rPr>
          <w:sz w:val="25"/>
        </w:rPr>
      </w:pPr>
    </w:p>
    <w:p>
      <w:pPr>
        <w:pStyle w:val="BodyText"/>
        <w:spacing w:line="242" w:lineRule="auto" w:before="1"/>
        <w:ind w:left="1520" w:right="1518" w:firstLine="720"/>
        <w:jc w:val="both"/>
      </w:pPr>
      <w:r>
        <w:rPr>
          <w:spacing w:val="3"/>
        </w:rPr>
        <w:t>In </w:t>
      </w:r>
      <w:r>
        <w:rPr/>
        <w:t>Louisiana, where a challenge is asserted by a party to the use of a particular appraiser, evidence must establish that such appraiser’s “honesty or integrity is suspect.” Further,</w:t>
      </w:r>
      <w:r>
        <w:rPr>
          <w:spacing w:val="-16"/>
        </w:rPr>
        <w:t> </w:t>
      </w:r>
      <w:r>
        <w:rPr/>
        <w:t>the</w:t>
      </w:r>
      <w:r>
        <w:rPr>
          <w:spacing w:val="-13"/>
        </w:rPr>
        <w:t> </w:t>
      </w:r>
      <w:r>
        <w:rPr/>
        <w:t>trial</w:t>
      </w:r>
      <w:r>
        <w:rPr>
          <w:spacing w:val="-12"/>
        </w:rPr>
        <w:t> </w:t>
      </w:r>
      <w:r>
        <w:rPr/>
        <w:t>court</w:t>
      </w:r>
      <w:r>
        <w:rPr>
          <w:spacing w:val="-15"/>
        </w:rPr>
        <w:t> </w:t>
      </w:r>
      <w:r>
        <w:rPr/>
        <w:t>established</w:t>
      </w:r>
      <w:r>
        <w:rPr>
          <w:spacing w:val="-15"/>
        </w:rPr>
        <w:t> </w:t>
      </w:r>
      <w:r>
        <w:rPr/>
        <w:t>guidelines</w:t>
      </w:r>
      <w:r>
        <w:rPr>
          <w:spacing w:val="-15"/>
        </w:rPr>
        <w:t> </w:t>
      </w:r>
      <w:r>
        <w:rPr/>
        <w:t>to ensure</w:t>
      </w:r>
      <w:r>
        <w:rPr>
          <w:spacing w:val="-30"/>
        </w:rPr>
        <w:t> </w:t>
      </w:r>
      <w:r>
        <w:rPr/>
        <w:t>an</w:t>
      </w:r>
      <w:r>
        <w:rPr>
          <w:spacing w:val="-29"/>
        </w:rPr>
        <w:t> </w:t>
      </w:r>
      <w:r>
        <w:rPr/>
        <w:t>appraisal</w:t>
      </w:r>
      <w:r>
        <w:rPr>
          <w:spacing w:val="-27"/>
        </w:rPr>
        <w:t> </w:t>
      </w:r>
      <w:r>
        <w:rPr/>
        <w:t>process</w:t>
      </w:r>
      <w:r>
        <w:rPr>
          <w:spacing w:val="-29"/>
        </w:rPr>
        <w:t> </w:t>
      </w:r>
      <w:r>
        <w:rPr/>
        <w:t>was</w:t>
      </w:r>
      <w:r>
        <w:rPr>
          <w:spacing w:val="-28"/>
        </w:rPr>
        <w:t> </w:t>
      </w:r>
      <w:r>
        <w:rPr/>
        <w:t>“fair,</w:t>
      </w:r>
      <w:r>
        <w:rPr>
          <w:spacing w:val="-30"/>
        </w:rPr>
        <w:t> </w:t>
      </w:r>
      <w:r>
        <w:rPr/>
        <w:t>impartial and</w:t>
      </w:r>
      <w:r>
        <w:rPr>
          <w:spacing w:val="-16"/>
        </w:rPr>
        <w:t> </w:t>
      </w:r>
      <w:r>
        <w:rPr/>
        <w:t>efficient”</w:t>
      </w:r>
      <w:r>
        <w:rPr>
          <w:spacing w:val="-18"/>
        </w:rPr>
        <w:t> </w:t>
      </w:r>
      <w:r>
        <w:rPr/>
        <w:t>after</w:t>
      </w:r>
      <w:r>
        <w:rPr>
          <w:spacing w:val="-20"/>
        </w:rPr>
        <w:t> </w:t>
      </w:r>
      <w:r>
        <w:rPr/>
        <w:t>it</w:t>
      </w:r>
      <w:r>
        <w:rPr>
          <w:spacing w:val="-18"/>
        </w:rPr>
        <w:t> </w:t>
      </w:r>
      <w:r>
        <w:rPr/>
        <w:t>became</w:t>
      </w:r>
      <w:r>
        <w:rPr>
          <w:spacing w:val="-16"/>
        </w:rPr>
        <w:t> </w:t>
      </w:r>
      <w:r>
        <w:rPr/>
        <w:t>concerned</w:t>
      </w:r>
      <w:r>
        <w:rPr>
          <w:spacing w:val="-16"/>
        </w:rPr>
        <w:t> </w:t>
      </w:r>
      <w:r>
        <w:rPr>
          <w:spacing w:val="-4"/>
        </w:rPr>
        <w:t>that</w:t>
      </w:r>
    </w:p>
    <w:p>
      <w:pPr>
        <w:pStyle w:val="BodyText"/>
        <w:rPr>
          <w:sz w:val="20"/>
        </w:rPr>
      </w:pPr>
    </w:p>
    <w:p>
      <w:pPr>
        <w:pStyle w:val="BodyText"/>
        <w:spacing w:before="8"/>
        <w:rPr>
          <w:sz w:val="15"/>
        </w:rPr>
      </w:pPr>
      <w:r>
        <w:rPr/>
        <w:pict>
          <v:shape style="position:absolute;margin-left:162pt;margin-top:12.025264pt;width:143.9pt;height:.1pt;mso-position-horizontal-relative:page;mso-position-vertical-relative:paragraph;z-index:-251641856;mso-wrap-distance-left:0;mso-wrap-distance-right:0" coordorigin="3240,241" coordsize="2878,0" path="m3240,241l6118,241e" filled="false" stroked="true" strokeweight=".84pt" strokecolor="#000000">
            <v:path arrowok="t"/>
            <v:stroke dashstyle="solid"/>
            <w10:wrap type="topAndBottom"/>
          </v:shape>
        </w:pict>
      </w:r>
    </w:p>
    <w:p>
      <w:pPr>
        <w:pStyle w:val="BodyText"/>
        <w:rPr>
          <w:sz w:val="7"/>
        </w:rPr>
      </w:pPr>
    </w:p>
    <w:p>
      <w:pPr>
        <w:pStyle w:val="ListParagraph"/>
        <w:numPr>
          <w:ilvl w:val="0"/>
          <w:numId w:val="3"/>
        </w:numPr>
        <w:tabs>
          <w:tab w:pos="1447" w:val="left" w:leader="none"/>
        </w:tabs>
        <w:spacing w:line="244" w:lineRule="auto" w:before="71" w:after="0"/>
        <w:ind w:left="1160" w:right="1161" w:firstLine="0"/>
        <w:jc w:val="both"/>
        <w:rPr>
          <w:sz w:val="18"/>
        </w:rPr>
      </w:pPr>
      <w:r>
        <w:rPr>
          <w:sz w:val="18"/>
          <w:u w:val="single"/>
        </w:rPr>
        <w:t>Amtrust</w:t>
      </w:r>
      <w:r>
        <w:rPr>
          <w:spacing w:val="-13"/>
          <w:sz w:val="18"/>
          <w:u w:val="single"/>
        </w:rPr>
        <w:t> </w:t>
      </w:r>
      <w:r>
        <w:rPr>
          <w:sz w:val="18"/>
          <w:u w:val="single"/>
        </w:rPr>
        <w:t>Ins.</w:t>
      </w:r>
      <w:r>
        <w:rPr>
          <w:spacing w:val="-12"/>
          <w:sz w:val="18"/>
          <w:u w:val="single"/>
        </w:rPr>
        <w:t> </w:t>
      </w:r>
      <w:r>
        <w:rPr>
          <w:sz w:val="18"/>
          <w:u w:val="single"/>
        </w:rPr>
        <w:t>Co.</w:t>
      </w:r>
      <w:r>
        <w:rPr>
          <w:spacing w:val="-12"/>
          <w:sz w:val="18"/>
          <w:u w:val="single"/>
        </w:rPr>
        <w:t> </w:t>
      </w:r>
      <w:r>
        <w:rPr>
          <w:sz w:val="18"/>
          <w:u w:val="single"/>
        </w:rPr>
        <w:t>of</w:t>
      </w:r>
      <w:r>
        <w:rPr>
          <w:spacing w:val="-14"/>
          <w:sz w:val="18"/>
          <w:u w:val="single"/>
        </w:rPr>
        <w:t> </w:t>
      </w:r>
      <w:r>
        <w:rPr>
          <w:sz w:val="18"/>
          <w:u w:val="single"/>
        </w:rPr>
        <w:t>Kansas,</w:t>
      </w:r>
      <w:r>
        <w:rPr>
          <w:spacing w:val="-14"/>
          <w:sz w:val="18"/>
          <w:u w:val="single"/>
        </w:rPr>
        <w:t> </w:t>
      </w:r>
      <w:r>
        <w:rPr>
          <w:sz w:val="18"/>
          <w:u w:val="single"/>
        </w:rPr>
        <w:t>Inc.</w:t>
      </w:r>
      <w:r>
        <w:rPr>
          <w:spacing w:val="-12"/>
          <w:sz w:val="18"/>
          <w:u w:val="single"/>
        </w:rPr>
        <w:t> </w:t>
      </w:r>
      <w:r>
        <w:rPr>
          <w:sz w:val="18"/>
          <w:u w:val="single"/>
        </w:rPr>
        <w:t>v.</w:t>
      </w:r>
      <w:r>
        <w:rPr>
          <w:spacing w:val="-12"/>
          <w:sz w:val="18"/>
          <w:u w:val="single"/>
        </w:rPr>
        <w:t> </w:t>
      </w:r>
      <w:r>
        <w:rPr>
          <w:sz w:val="18"/>
          <w:u w:val="single"/>
        </w:rPr>
        <w:t>Starship</w:t>
      </w:r>
      <w:r>
        <w:rPr>
          <w:spacing w:val="-10"/>
          <w:sz w:val="18"/>
          <w:u w:val="single"/>
        </w:rPr>
        <w:t> </w:t>
      </w:r>
      <w:r>
        <w:rPr>
          <w:sz w:val="18"/>
          <w:u w:val="single"/>
        </w:rPr>
        <w:t>League</w:t>
      </w:r>
      <w:r>
        <w:rPr>
          <w:spacing w:val="-14"/>
          <w:sz w:val="18"/>
          <w:u w:val="single"/>
        </w:rPr>
        <w:t> </w:t>
      </w:r>
      <w:r>
        <w:rPr>
          <w:sz w:val="18"/>
          <w:u w:val="single"/>
        </w:rPr>
        <w:t>City,</w:t>
      </w:r>
      <w:r>
        <w:rPr>
          <w:spacing w:val="-11"/>
          <w:sz w:val="18"/>
          <w:u w:val="single"/>
        </w:rPr>
        <w:t> </w:t>
      </w:r>
      <w:r>
        <w:rPr>
          <w:sz w:val="18"/>
          <w:u w:val="single"/>
        </w:rPr>
        <w:t>L.P.</w:t>
      </w:r>
      <w:r>
        <w:rPr>
          <w:sz w:val="18"/>
        </w:rPr>
        <w:t>,</w:t>
      </w:r>
      <w:r>
        <w:rPr>
          <w:spacing w:val="-12"/>
          <w:sz w:val="18"/>
        </w:rPr>
        <w:t> </w:t>
      </w:r>
      <w:r>
        <w:rPr>
          <w:sz w:val="18"/>
        </w:rPr>
        <w:t>2013</w:t>
      </w:r>
      <w:r>
        <w:rPr>
          <w:spacing w:val="-11"/>
          <w:sz w:val="18"/>
        </w:rPr>
        <w:t> </w:t>
      </w:r>
      <w:r>
        <w:rPr>
          <w:sz w:val="18"/>
        </w:rPr>
        <w:t>WL</w:t>
      </w:r>
      <w:r>
        <w:rPr>
          <w:spacing w:val="-14"/>
          <w:sz w:val="18"/>
        </w:rPr>
        <w:t> </w:t>
      </w:r>
      <w:r>
        <w:rPr>
          <w:sz w:val="18"/>
        </w:rPr>
        <w:t>1222329</w:t>
      </w:r>
      <w:r>
        <w:rPr>
          <w:spacing w:val="-12"/>
          <w:sz w:val="18"/>
        </w:rPr>
        <w:t> </w:t>
      </w:r>
      <w:r>
        <w:rPr>
          <w:sz w:val="18"/>
        </w:rPr>
        <w:t>(E.D. Tex.</w:t>
      </w:r>
      <w:r>
        <w:rPr>
          <w:spacing w:val="-16"/>
          <w:sz w:val="18"/>
        </w:rPr>
        <w:t> </w:t>
      </w:r>
      <w:r>
        <w:rPr>
          <w:sz w:val="18"/>
        </w:rPr>
        <w:t>2012),</w:t>
      </w:r>
      <w:r>
        <w:rPr>
          <w:spacing w:val="-14"/>
          <w:sz w:val="18"/>
        </w:rPr>
        <w:t> </w:t>
      </w:r>
      <w:r>
        <w:rPr>
          <w:sz w:val="18"/>
        </w:rPr>
        <w:t>citing</w:t>
      </w:r>
      <w:r>
        <w:rPr>
          <w:spacing w:val="-17"/>
          <w:sz w:val="18"/>
        </w:rPr>
        <w:t> </w:t>
      </w:r>
      <w:r>
        <w:rPr>
          <w:sz w:val="18"/>
          <w:u w:val="single"/>
        </w:rPr>
        <w:t>Franco</w:t>
      </w:r>
      <w:r>
        <w:rPr>
          <w:spacing w:val="-14"/>
          <w:sz w:val="18"/>
          <w:u w:val="single"/>
        </w:rPr>
        <w:t> </w:t>
      </w:r>
      <w:r>
        <w:rPr>
          <w:sz w:val="18"/>
          <w:u w:val="single"/>
        </w:rPr>
        <w:t>v.</w:t>
      </w:r>
      <w:r>
        <w:rPr>
          <w:spacing w:val="-14"/>
          <w:sz w:val="18"/>
          <w:u w:val="single"/>
        </w:rPr>
        <w:t> </w:t>
      </w:r>
      <w:r>
        <w:rPr>
          <w:sz w:val="18"/>
          <w:u w:val="single"/>
        </w:rPr>
        <w:t>Slavonic</w:t>
      </w:r>
      <w:r>
        <w:rPr>
          <w:spacing w:val="-15"/>
          <w:sz w:val="18"/>
          <w:u w:val="single"/>
        </w:rPr>
        <w:t> </w:t>
      </w:r>
      <w:r>
        <w:rPr>
          <w:sz w:val="18"/>
          <w:u w:val="single"/>
        </w:rPr>
        <w:t>Mut.</w:t>
      </w:r>
      <w:r>
        <w:rPr>
          <w:spacing w:val="-14"/>
          <w:sz w:val="18"/>
          <w:u w:val="single"/>
        </w:rPr>
        <w:t> </w:t>
      </w:r>
      <w:r>
        <w:rPr>
          <w:sz w:val="18"/>
          <w:u w:val="single"/>
        </w:rPr>
        <w:t>Fire</w:t>
      </w:r>
      <w:r>
        <w:rPr>
          <w:spacing w:val="-14"/>
          <w:sz w:val="18"/>
          <w:u w:val="single"/>
        </w:rPr>
        <w:t> </w:t>
      </w:r>
      <w:r>
        <w:rPr>
          <w:sz w:val="18"/>
          <w:u w:val="single"/>
        </w:rPr>
        <w:t>Ins.</w:t>
      </w:r>
      <w:r>
        <w:rPr>
          <w:spacing w:val="-14"/>
          <w:sz w:val="18"/>
          <w:u w:val="single"/>
        </w:rPr>
        <w:t> </w:t>
      </w:r>
      <w:r>
        <w:rPr>
          <w:sz w:val="18"/>
          <w:u w:val="single"/>
        </w:rPr>
        <w:t>Ass’n</w:t>
      </w:r>
      <w:r>
        <w:rPr>
          <w:sz w:val="18"/>
        </w:rPr>
        <w:t>,</w:t>
      </w:r>
      <w:r>
        <w:rPr>
          <w:spacing w:val="-15"/>
          <w:sz w:val="18"/>
        </w:rPr>
        <w:t> </w:t>
      </w:r>
      <w:r>
        <w:rPr>
          <w:sz w:val="18"/>
        </w:rPr>
        <w:t>154</w:t>
      </w:r>
      <w:r>
        <w:rPr>
          <w:spacing w:val="-14"/>
          <w:sz w:val="18"/>
        </w:rPr>
        <w:t> </w:t>
      </w:r>
      <w:r>
        <w:rPr>
          <w:sz w:val="18"/>
        </w:rPr>
        <w:t>S.W.3d</w:t>
      </w:r>
      <w:r>
        <w:rPr>
          <w:spacing w:val="-13"/>
          <w:sz w:val="18"/>
        </w:rPr>
        <w:t> </w:t>
      </w:r>
      <w:r>
        <w:rPr>
          <w:sz w:val="18"/>
        </w:rPr>
        <w:t>777,</w:t>
      </w:r>
      <w:r>
        <w:rPr>
          <w:spacing w:val="-15"/>
          <w:sz w:val="18"/>
        </w:rPr>
        <w:t> </w:t>
      </w:r>
      <w:r>
        <w:rPr>
          <w:sz w:val="18"/>
        </w:rPr>
        <w:t>786</w:t>
      </w:r>
      <w:r>
        <w:rPr>
          <w:spacing w:val="-14"/>
          <w:sz w:val="18"/>
        </w:rPr>
        <w:t> </w:t>
      </w:r>
      <w:r>
        <w:rPr>
          <w:sz w:val="18"/>
        </w:rPr>
        <w:t>(Tex.App.- Houston</w:t>
      </w:r>
      <w:r>
        <w:rPr>
          <w:spacing w:val="-8"/>
          <w:sz w:val="18"/>
        </w:rPr>
        <w:t> </w:t>
      </w:r>
      <w:r>
        <w:rPr>
          <w:sz w:val="18"/>
        </w:rPr>
        <w:t>2004)</w:t>
      </w:r>
      <w:r>
        <w:rPr>
          <w:spacing w:val="-7"/>
          <w:sz w:val="18"/>
        </w:rPr>
        <w:t> </w:t>
      </w:r>
      <w:r>
        <w:rPr>
          <w:sz w:val="18"/>
        </w:rPr>
        <w:t>and</w:t>
      </w:r>
      <w:r>
        <w:rPr>
          <w:spacing w:val="-6"/>
          <w:sz w:val="18"/>
        </w:rPr>
        <w:t> </w:t>
      </w:r>
      <w:r>
        <w:rPr>
          <w:sz w:val="18"/>
          <w:u w:val="single"/>
        </w:rPr>
        <w:t>Gardner</w:t>
      </w:r>
      <w:r>
        <w:rPr>
          <w:spacing w:val="-8"/>
          <w:sz w:val="18"/>
          <w:u w:val="single"/>
        </w:rPr>
        <w:t> </w:t>
      </w:r>
      <w:r>
        <w:rPr>
          <w:sz w:val="18"/>
          <w:u w:val="single"/>
        </w:rPr>
        <w:t>v.</w:t>
      </w:r>
      <w:r>
        <w:rPr>
          <w:spacing w:val="-6"/>
          <w:sz w:val="18"/>
          <w:u w:val="single"/>
        </w:rPr>
        <w:t> </w:t>
      </w:r>
      <w:r>
        <w:rPr>
          <w:sz w:val="18"/>
          <w:u w:val="single"/>
        </w:rPr>
        <w:t>State</w:t>
      </w:r>
      <w:r>
        <w:rPr>
          <w:spacing w:val="-7"/>
          <w:sz w:val="18"/>
          <w:u w:val="single"/>
        </w:rPr>
        <w:t> </w:t>
      </w:r>
      <w:r>
        <w:rPr>
          <w:sz w:val="18"/>
          <w:u w:val="single"/>
        </w:rPr>
        <w:t>Farm</w:t>
      </w:r>
      <w:r>
        <w:rPr>
          <w:spacing w:val="-10"/>
          <w:sz w:val="18"/>
          <w:u w:val="single"/>
        </w:rPr>
        <w:t> </w:t>
      </w:r>
      <w:r>
        <w:rPr>
          <w:sz w:val="18"/>
          <w:u w:val="single"/>
        </w:rPr>
        <w:t>Lloyds</w:t>
      </w:r>
      <w:r>
        <w:rPr>
          <w:sz w:val="18"/>
        </w:rPr>
        <w:t>,</w:t>
      </w:r>
      <w:r>
        <w:rPr>
          <w:spacing w:val="-7"/>
          <w:sz w:val="18"/>
        </w:rPr>
        <w:t> </w:t>
      </w:r>
      <w:r>
        <w:rPr>
          <w:sz w:val="18"/>
        </w:rPr>
        <w:t>76</w:t>
      </w:r>
      <w:r>
        <w:rPr>
          <w:spacing w:val="-8"/>
          <w:sz w:val="18"/>
        </w:rPr>
        <w:t> </w:t>
      </w:r>
      <w:r>
        <w:rPr>
          <w:sz w:val="18"/>
        </w:rPr>
        <w:t>S.W.3d</w:t>
      </w:r>
      <w:r>
        <w:rPr>
          <w:spacing w:val="-8"/>
          <w:sz w:val="18"/>
        </w:rPr>
        <w:t> </w:t>
      </w:r>
      <w:r>
        <w:rPr>
          <w:sz w:val="18"/>
        </w:rPr>
        <w:t>140,</w:t>
      </w:r>
      <w:r>
        <w:rPr>
          <w:spacing w:val="-9"/>
          <w:sz w:val="18"/>
        </w:rPr>
        <w:t> </w:t>
      </w:r>
      <w:r>
        <w:rPr>
          <w:sz w:val="18"/>
        </w:rPr>
        <w:t>143</w:t>
      </w:r>
      <w:r>
        <w:rPr>
          <w:spacing w:val="-8"/>
          <w:sz w:val="18"/>
        </w:rPr>
        <w:t> </w:t>
      </w:r>
      <w:r>
        <w:rPr>
          <w:sz w:val="18"/>
        </w:rPr>
        <w:t>(Tex.App.-Houston</w:t>
      </w:r>
    </w:p>
    <w:p>
      <w:pPr>
        <w:spacing w:before="0"/>
        <w:ind w:left="1160" w:right="0" w:firstLine="0"/>
        <w:jc w:val="both"/>
        <w:rPr>
          <w:rFonts w:ascii="Times New Roman"/>
          <w:sz w:val="18"/>
        </w:rPr>
      </w:pPr>
      <w:r>
        <w:rPr>
          <w:rFonts w:ascii="Times New Roman"/>
          <w:sz w:val="18"/>
        </w:rPr>
        <w:t>[1</w:t>
      </w:r>
      <w:r>
        <w:rPr>
          <w:rFonts w:ascii="Times New Roman"/>
          <w:position w:val="7"/>
          <w:sz w:val="10"/>
        </w:rPr>
        <w:t>st </w:t>
      </w:r>
      <w:r>
        <w:rPr>
          <w:rFonts w:ascii="Times New Roman"/>
          <w:sz w:val="18"/>
        </w:rPr>
        <w:t>Dist.] 2002).</w:t>
      </w:r>
    </w:p>
    <w:p>
      <w:pPr>
        <w:spacing w:after="0"/>
        <w:jc w:val="both"/>
        <w:rPr>
          <w:rFonts w:ascii="Times New Roman"/>
          <w:sz w:val="18"/>
        </w:rPr>
        <w:sectPr>
          <w:footerReference w:type="default" r:id="rId7"/>
          <w:pgSz w:w="12240" w:h="15840"/>
          <w:pgMar w:footer="2273" w:header="0" w:top="1500" w:bottom="2460" w:left="1720" w:right="1720"/>
          <w:pgNumType w:start="391"/>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9"/>
        <w:jc w:val="both"/>
      </w:pPr>
      <w:bookmarkStart w:name="Law and Procedure 353" w:id="19"/>
      <w:bookmarkEnd w:id="19"/>
      <w:r>
        <w:rPr/>
      </w:r>
      <w:r>
        <w:rPr/>
        <w:t>the umpire in the matter was “overwhelmed” b y p e r t i n e n t d o c u m e n t s a n d communications.</w:t>
      </w:r>
      <w:r>
        <w:rPr>
          <w:vertAlign w:val="superscript"/>
        </w:rPr>
        <w:t>753</w:t>
      </w:r>
    </w:p>
    <w:p>
      <w:pPr>
        <w:pStyle w:val="BodyText"/>
        <w:spacing w:before="1"/>
      </w:pPr>
    </w:p>
    <w:p>
      <w:pPr>
        <w:pStyle w:val="BodyText"/>
        <w:spacing w:line="242" w:lineRule="auto"/>
        <w:ind w:left="1520" w:right="1517" w:firstLine="720"/>
        <w:jc w:val="both"/>
      </w:pPr>
      <w:r>
        <w:rPr>
          <w:spacing w:val="3"/>
        </w:rPr>
        <w:t>In </w:t>
      </w:r>
      <w:r>
        <w:rPr/>
        <w:t>a Colorado dispute over the value of insured</w:t>
      </w:r>
      <w:r>
        <w:rPr>
          <w:spacing w:val="-16"/>
        </w:rPr>
        <w:t> </w:t>
      </w:r>
      <w:r>
        <w:rPr/>
        <w:t>artwork</w:t>
      </w:r>
      <w:r>
        <w:rPr>
          <w:spacing w:val="-12"/>
        </w:rPr>
        <w:t> </w:t>
      </w:r>
      <w:r>
        <w:rPr/>
        <w:t>where</w:t>
      </w:r>
      <w:r>
        <w:rPr>
          <w:spacing w:val="-16"/>
        </w:rPr>
        <w:t> </w:t>
      </w:r>
      <w:r>
        <w:rPr/>
        <w:t>neither</w:t>
      </w:r>
      <w:r>
        <w:rPr>
          <w:spacing w:val="-15"/>
        </w:rPr>
        <w:t> </w:t>
      </w:r>
      <w:r>
        <w:rPr/>
        <w:t>the</w:t>
      </w:r>
      <w:r>
        <w:rPr>
          <w:spacing w:val="-14"/>
        </w:rPr>
        <w:t> </w:t>
      </w:r>
      <w:r>
        <w:rPr/>
        <w:t>insured’s</w:t>
      </w:r>
      <w:r>
        <w:rPr>
          <w:spacing w:val="-15"/>
        </w:rPr>
        <w:t> </w:t>
      </w:r>
      <w:r>
        <w:rPr/>
        <w:t>nor the insurer’s appraisers were sufficiently impartial, the selection of new appraisers was required pursuant to standards established by the state Division of Insurance Bulletin and the Uniform Arbitration Act for appraisal and disclosure</w:t>
      </w:r>
      <w:r>
        <w:rPr>
          <w:spacing w:val="-18"/>
        </w:rPr>
        <w:t> </w:t>
      </w:r>
      <w:r>
        <w:rPr/>
        <w:t>of</w:t>
      </w:r>
      <w:r>
        <w:rPr>
          <w:spacing w:val="-16"/>
        </w:rPr>
        <w:t> </w:t>
      </w:r>
      <w:r>
        <w:rPr/>
        <w:t>interest.</w:t>
      </w:r>
      <w:r>
        <w:rPr>
          <w:spacing w:val="-19"/>
        </w:rPr>
        <w:t> </w:t>
      </w:r>
      <w:r>
        <w:rPr>
          <w:spacing w:val="2"/>
        </w:rPr>
        <w:t>In</w:t>
      </w:r>
      <w:r>
        <w:rPr>
          <w:spacing w:val="-19"/>
        </w:rPr>
        <w:t> </w:t>
      </w:r>
      <w:r>
        <w:rPr/>
        <w:t>that</w:t>
      </w:r>
      <w:r>
        <w:rPr>
          <w:spacing w:val="-20"/>
        </w:rPr>
        <w:t> </w:t>
      </w:r>
      <w:r>
        <w:rPr/>
        <w:t>case,</w:t>
      </w:r>
      <w:r>
        <w:rPr>
          <w:spacing w:val="-21"/>
        </w:rPr>
        <w:t> </w:t>
      </w:r>
      <w:r>
        <w:rPr/>
        <w:t>the</w:t>
      </w:r>
      <w:r>
        <w:rPr>
          <w:spacing w:val="-21"/>
        </w:rPr>
        <w:t> </w:t>
      </w:r>
      <w:r>
        <w:rPr/>
        <w:t>insured’s appraiser was deemed not impartial due to a contingency</w:t>
      </w:r>
      <w:r>
        <w:rPr>
          <w:spacing w:val="-28"/>
        </w:rPr>
        <w:t> </w:t>
      </w:r>
      <w:r>
        <w:rPr/>
        <w:t>agreement</w:t>
      </w:r>
      <w:r>
        <w:rPr>
          <w:spacing w:val="-29"/>
        </w:rPr>
        <w:t> </w:t>
      </w:r>
      <w:r>
        <w:rPr/>
        <w:t>for</w:t>
      </w:r>
      <w:r>
        <w:rPr>
          <w:spacing w:val="-24"/>
        </w:rPr>
        <w:t> </w:t>
      </w:r>
      <w:r>
        <w:rPr/>
        <w:t>recovering</w:t>
      </w:r>
      <w:r>
        <w:rPr>
          <w:spacing w:val="-23"/>
        </w:rPr>
        <w:t> </w:t>
      </w:r>
      <w:r>
        <w:rPr/>
        <w:t>his</w:t>
      </w:r>
      <w:r>
        <w:rPr>
          <w:spacing w:val="-26"/>
        </w:rPr>
        <w:t> </w:t>
      </w:r>
      <w:r>
        <w:rPr>
          <w:spacing w:val="-4"/>
        </w:rPr>
        <w:t>fee, </w:t>
      </w:r>
      <w:r>
        <w:rPr/>
        <w:t>while the insurer’s appraiser had previously been hired by the insurer to appraise the insured’s</w:t>
      </w:r>
      <w:r>
        <w:rPr>
          <w:spacing w:val="-2"/>
        </w:rPr>
        <w:t> </w:t>
      </w:r>
      <w:r>
        <w:rPr/>
        <w:t>property.</w:t>
      </w:r>
      <w:r>
        <w:rPr>
          <w:vertAlign w:val="superscript"/>
        </w:rPr>
        <w:t>754</w:t>
      </w:r>
    </w:p>
    <w:p>
      <w:pPr>
        <w:pStyle w:val="BodyText"/>
        <w:spacing w:before="10"/>
        <w:rPr>
          <w:sz w:val="25"/>
        </w:rPr>
      </w:pPr>
    </w:p>
    <w:p>
      <w:pPr>
        <w:pStyle w:val="BodyText"/>
        <w:spacing w:line="242" w:lineRule="auto" w:before="1"/>
        <w:ind w:left="1520" w:right="1518" w:firstLine="720"/>
        <w:jc w:val="both"/>
      </w:pPr>
      <w:r>
        <w:rPr/>
        <w:t>The State of Colorado Division </w:t>
      </w:r>
      <w:r>
        <w:rPr>
          <w:spacing w:val="-6"/>
        </w:rPr>
        <w:t>of </w:t>
      </w:r>
      <w:r>
        <w:rPr/>
        <w:t>Insurance has issued a Bulletin entitled “Insurance Requirements Related to Disputed Claims</w:t>
      </w:r>
      <w:r>
        <w:rPr>
          <w:spacing w:val="-24"/>
        </w:rPr>
        <w:t> </w:t>
      </w:r>
      <w:r>
        <w:rPr/>
        <w:t>Subject</w:t>
      </w:r>
      <w:r>
        <w:rPr>
          <w:spacing w:val="-22"/>
        </w:rPr>
        <w:t> </w:t>
      </w:r>
      <w:r>
        <w:rPr/>
        <w:t>to</w:t>
      </w:r>
      <w:r>
        <w:rPr>
          <w:spacing w:val="-20"/>
        </w:rPr>
        <w:t> </w:t>
      </w:r>
      <w:r>
        <w:rPr/>
        <w:t>Appraisal.”</w:t>
      </w:r>
      <w:r>
        <w:rPr>
          <w:spacing w:val="33"/>
        </w:rPr>
        <w:t> </w:t>
      </w:r>
      <w:r>
        <w:rPr/>
        <w:t>The</w:t>
      </w:r>
      <w:r>
        <w:rPr>
          <w:spacing w:val="-20"/>
        </w:rPr>
        <w:t> </w:t>
      </w:r>
      <w:r>
        <w:rPr/>
        <w:t>purpose</w:t>
      </w:r>
      <w:r>
        <w:rPr>
          <w:spacing w:val="-20"/>
        </w:rPr>
        <w:t> </w:t>
      </w:r>
      <w:r>
        <w:rPr/>
        <w:t>was to</w:t>
      </w:r>
      <w:r>
        <w:rPr>
          <w:spacing w:val="-30"/>
        </w:rPr>
        <w:t> </w:t>
      </w:r>
      <w:r>
        <w:rPr/>
        <w:t>clarify</w:t>
      </w:r>
      <w:r>
        <w:rPr>
          <w:spacing w:val="-32"/>
        </w:rPr>
        <w:t> </w:t>
      </w:r>
      <w:r>
        <w:rPr/>
        <w:t>the</w:t>
      </w:r>
      <w:r>
        <w:rPr>
          <w:spacing w:val="-30"/>
        </w:rPr>
        <w:t> </w:t>
      </w:r>
      <w:r>
        <w:rPr/>
        <w:t>consumer’s</w:t>
      </w:r>
      <w:r>
        <w:rPr>
          <w:spacing w:val="-29"/>
        </w:rPr>
        <w:t> </w:t>
      </w:r>
      <w:r>
        <w:rPr/>
        <w:t>rights</w:t>
      </w:r>
      <w:r>
        <w:rPr>
          <w:spacing w:val="-27"/>
        </w:rPr>
        <w:t> </w:t>
      </w:r>
      <w:r>
        <w:rPr/>
        <w:t>when</w:t>
      </w:r>
      <w:r>
        <w:rPr>
          <w:spacing w:val="-28"/>
        </w:rPr>
        <w:t> </w:t>
      </w:r>
      <w:r>
        <w:rPr/>
        <w:t>an</w:t>
      </w:r>
      <w:r>
        <w:rPr>
          <w:spacing w:val="-28"/>
        </w:rPr>
        <w:t> </w:t>
      </w:r>
      <w:r>
        <w:rPr/>
        <w:t>insured has invoked their rights related to</w:t>
      </w:r>
      <w:r>
        <w:rPr>
          <w:spacing w:val="-16"/>
        </w:rPr>
        <w:t> </w:t>
      </w:r>
      <w:r>
        <w:rPr/>
        <w:t>appraisal.</w:t>
      </w:r>
    </w:p>
    <w:p>
      <w:pPr>
        <w:pStyle w:val="BodyText"/>
      </w:pPr>
    </w:p>
    <w:p>
      <w:pPr>
        <w:pStyle w:val="BodyText"/>
        <w:ind w:left="2240"/>
      </w:pPr>
      <w:r>
        <w:rPr/>
        <w:t>It states in relevant part:</w:t>
      </w:r>
    </w:p>
    <w:p>
      <w:pPr>
        <w:pStyle w:val="BodyText"/>
        <w:spacing w:before="6"/>
      </w:pPr>
    </w:p>
    <w:p>
      <w:pPr>
        <w:pStyle w:val="BodyText"/>
        <w:tabs>
          <w:tab w:pos="2731" w:val="left" w:leader="none"/>
          <w:tab w:pos="3379" w:val="left" w:leader="none"/>
          <w:tab w:pos="4345" w:val="left" w:leader="none"/>
          <w:tab w:pos="4812" w:val="left" w:leader="none"/>
          <w:tab w:pos="5436" w:val="left" w:leader="none"/>
        </w:tabs>
        <w:ind w:left="2240"/>
      </w:pPr>
      <w:r>
        <w:rPr/>
        <w:t>“It</w:t>
        <w:tab/>
        <w:t>has</w:t>
        <w:tab/>
        <w:t>come</w:t>
        <w:tab/>
        <w:t>to</w:t>
        <w:tab/>
        <w:t>the</w:t>
        <w:tab/>
        <w:t>Division’s</w:t>
      </w:r>
    </w:p>
    <w:p>
      <w:pPr>
        <w:pStyle w:val="BodyText"/>
        <w:rPr>
          <w:sz w:val="20"/>
        </w:rPr>
      </w:pPr>
    </w:p>
    <w:p>
      <w:pPr>
        <w:pStyle w:val="BodyText"/>
        <w:spacing w:before="10"/>
        <w:rPr>
          <w:sz w:val="19"/>
        </w:rPr>
      </w:pPr>
      <w:r>
        <w:rPr/>
        <w:pict>
          <v:shape style="position:absolute;margin-left:162pt;margin-top:14.583858pt;width:143.9pt;height:.1pt;mso-position-horizontal-relative:page;mso-position-vertical-relative:paragraph;z-index:-251640832;mso-wrap-distance-left:0;mso-wrap-distance-right:0" coordorigin="3240,292" coordsize="2878,0" path="m3240,292l6118,292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3"/>
        </w:numPr>
        <w:tabs>
          <w:tab w:pos="1450" w:val="left" w:leader="none"/>
        </w:tabs>
        <w:spacing w:line="261" w:lineRule="auto" w:before="71" w:after="0"/>
        <w:ind w:left="1160" w:right="1165" w:firstLine="0"/>
        <w:jc w:val="left"/>
        <w:rPr>
          <w:sz w:val="18"/>
        </w:rPr>
      </w:pPr>
      <w:r>
        <w:rPr>
          <w:sz w:val="18"/>
          <w:u w:val="single"/>
        </w:rPr>
        <w:t>Dufrene v. Certain Interested Und. at Lloyds of London</w:t>
      </w:r>
      <w:r>
        <w:rPr>
          <w:sz w:val="18"/>
        </w:rPr>
        <w:t>, 91 So.3d 397 (La. App. 5 2013).</w:t>
      </w:r>
    </w:p>
    <w:p>
      <w:pPr>
        <w:pStyle w:val="ListParagraph"/>
        <w:numPr>
          <w:ilvl w:val="0"/>
          <w:numId w:val="3"/>
        </w:numPr>
        <w:tabs>
          <w:tab w:pos="1435" w:val="left" w:leader="none"/>
        </w:tabs>
        <w:spacing w:line="250" w:lineRule="exact" w:before="0" w:after="0"/>
        <w:ind w:left="1434" w:right="0" w:hanging="275"/>
        <w:jc w:val="left"/>
        <w:rPr>
          <w:sz w:val="18"/>
        </w:rPr>
      </w:pPr>
      <w:r>
        <w:rPr>
          <w:sz w:val="18"/>
          <w:u w:val="single"/>
        </w:rPr>
        <w:t>Gold v. State Farm Fire &amp; Cas. Co</w:t>
      </w:r>
      <w:r>
        <w:rPr>
          <w:sz w:val="18"/>
        </w:rPr>
        <w:t> , 2010 WL 3894141 (D. Colo.,</w:t>
      </w:r>
      <w:r>
        <w:rPr>
          <w:spacing w:val="3"/>
          <w:sz w:val="18"/>
        </w:rPr>
        <w:t> </w:t>
      </w:r>
      <w:r>
        <w:rPr>
          <w:sz w:val="18"/>
        </w:rPr>
        <w:t>2010).</w:t>
      </w:r>
    </w:p>
    <w:p>
      <w:pPr>
        <w:spacing w:after="0" w:line="250" w:lineRule="exact"/>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2240" w:right="2238"/>
        <w:jc w:val="both"/>
      </w:pPr>
      <w:bookmarkStart w:name="Law and Procedure 354" w:id="20"/>
      <w:bookmarkEnd w:id="20"/>
      <w:r>
        <w:rPr/>
      </w:r>
      <w:r>
        <w:rPr/>
        <w:t>attention that insurers may not </w:t>
      </w:r>
      <w:r>
        <w:rPr>
          <w:spacing w:val="-6"/>
        </w:rPr>
        <w:t>be </w:t>
      </w:r>
      <w:r>
        <w:rPr/>
        <w:t>selecting “fair and </w:t>
      </w:r>
      <w:r>
        <w:rPr>
          <w:spacing w:val="2"/>
        </w:rPr>
        <w:t>impartial” </w:t>
      </w:r>
      <w:r>
        <w:rPr/>
        <w:t>appraisers. Furthermore, disputed claims subject to appraisal </w:t>
      </w:r>
      <w:r>
        <w:rPr>
          <w:spacing w:val="-5"/>
        </w:rPr>
        <w:t>are </w:t>
      </w:r>
      <w:r>
        <w:rPr/>
        <w:t>being</w:t>
      </w:r>
      <w:r>
        <w:rPr>
          <w:spacing w:val="-19"/>
        </w:rPr>
        <w:t> </w:t>
      </w:r>
      <w:r>
        <w:rPr/>
        <w:t>delayed</w:t>
      </w:r>
      <w:r>
        <w:rPr>
          <w:spacing w:val="-17"/>
        </w:rPr>
        <w:t> </w:t>
      </w:r>
      <w:r>
        <w:rPr/>
        <w:t>and</w:t>
      </w:r>
      <w:r>
        <w:rPr>
          <w:spacing w:val="-17"/>
        </w:rPr>
        <w:t> </w:t>
      </w:r>
      <w:r>
        <w:rPr/>
        <w:t>insurers</w:t>
      </w:r>
      <w:r>
        <w:rPr>
          <w:spacing w:val="-19"/>
        </w:rPr>
        <w:t> </w:t>
      </w:r>
      <w:r>
        <w:rPr/>
        <w:t>are</w:t>
      </w:r>
      <w:r>
        <w:rPr>
          <w:spacing w:val="-21"/>
        </w:rPr>
        <w:t> </w:t>
      </w:r>
      <w:r>
        <w:rPr>
          <w:spacing w:val="-4"/>
        </w:rPr>
        <w:t>not </w:t>
      </w:r>
      <w:r>
        <w:rPr/>
        <w:t>communicating in a fair </w:t>
      </w:r>
      <w:r>
        <w:rPr>
          <w:spacing w:val="-4"/>
        </w:rPr>
        <w:t>and </w:t>
      </w:r>
      <w:r>
        <w:rPr>
          <w:spacing w:val="19"/>
        </w:rPr>
        <w:t>consistent </w:t>
      </w:r>
      <w:r>
        <w:rPr>
          <w:spacing w:val="17"/>
        </w:rPr>
        <w:t>manner </w:t>
      </w:r>
      <w:r>
        <w:rPr>
          <w:spacing w:val="18"/>
        </w:rPr>
        <w:t>causing </w:t>
      </w:r>
      <w:r>
        <w:rPr/>
        <w:t>significant harm to the Colorado consumer.</w:t>
      </w:r>
    </w:p>
    <w:p>
      <w:pPr>
        <w:pStyle w:val="BodyText"/>
        <w:spacing w:before="11"/>
        <w:rPr>
          <w:sz w:val="25"/>
        </w:rPr>
      </w:pPr>
    </w:p>
    <w:p>
      <w:pPr>
        <w:pStyle w:val="BodyText"/>
        <w:spacing w:line="242" w:lineRule="auto"/>
        <w:ind w:left="2240" w:right="2238"/>
        <w:jc w:val="both"/>
      </w:pPr>
      <w:r>
        <w:rPr/>
        <w:t>The position of the Division is that an</w:t>
      </w:r>
      <w:r>
        <w:rPr>
          <w:spacing w:val="-15"/>
        </w:rPr>
        <w:t> </w:t>
      </w:r>
      <w:r>
        <w:rPr/>
        <w:t>insurer</w:t>
      </w:r>
      <w:r>
        <w:rPr>
          <w:spacing w:val="-17"/>
        </w:rPr>
        <w:t> </w:t>
      </w:r>
      <w:r>
        <w:rPr/>
        <w:t>must</w:t>
      </w:r>
      <w:r>
        <w:rPr>
          <w:spacing w:val="-18"/>
        </w:rPr>
        <w:t> </w:t>
      </w:r>
      <w:r>
        <w:rPr/>
        <w:t>comply</w:t>
      </w:r>
      <w:r>
        <w:rPr>
          <w:spacing w:val="-15"/>
        </w:rPr>
        <w:t> </w:t>
      </w:r>
      <w:r>
        <w:rPr/>
        <w:t>with</w:t>
      </w:r>
      <w:r>
        <w:rPr>
          <w:spacing w:val="-15"/>
        </w:rPr>
        <w:t> </w:t>
      </w:r>
      <w:r>
        <w:rPr/>
        <w:t>its</w:t>
      </w:r>
      <w:r>
        <w:rPr>
          <w:spacing w:val="-15"/>
        </w:rPr>
        <w:t> </w:t>
      </w:r>
      <w:r>
        <w:rPr/>
        <w:t>own policy</w:t>
      </w:r>
      <w:r>
        <w:rPr>
          <w:spacing w:val="-40"/>
        </w:rPr>
        <w:t> </w:t>
      </w:r>
      <w:r>
        <w:rPr/>
        <w:t>language</w:t>
      </w:r>
      <w:r>
        <w:rPr>
          <w:spacing w:val="-33"/>
        </w:rPr>
        <w:t> </w:t>
      </w:r>
      <w:r>
        <w:rPr/>
        <w:t>when</w:t>
      </w:r>
      <w:r>
        <w:rPr>
          <w:spacing w:val="-35"/>
        </w:rPr>
        <w:t> </w:t>
      </w:r>
      <w:r>
        <w:rPr/>
        <w:t>selecting</w:t>
      </w:r>
      <w:r>
        <w:rPr>
          <w:spacing w:val="-35"/>
        </w:rPr>
        <w:t> </w:t>
      </w:r>
      <w:r>
        <w:rPr>
          <w:spacing w:val="-7"/>
        </w:rPr>
        <w:t>an </w:t>
      </w:r>
      <w:r>
        <w:rPr/>
        <w:t>appraiser</w:t>
      </w:r>
      <w:r>
        <w:rPr>
          <w:spacing w:val="-18"/>
        </w:rPr>
        <w:t> </w:t>
      </w:r>
      <w:r>
        <w:rPr/>
        <w:t>and/or</w:t>
      </w:r>
      <w:r>
        <w:rPr>
          <w:spacing w:val="-16"/>
        </w:rPr>
        <w:t> </w:t>
      </w:r>
      <w:r>
        <w:rPr/>
        <w:t>umpire</w:t>
      </w:r>
      <w:r>
        <w:rPr>
          <w:spacing w:val="-19"/>
        </w:rPr>
        <w:t> </w:t>
      </w:r>
      <w:r>
        <w:rPr/>
        <w:t>under</w:t>
      </w:r>
      <w:r>
        <w:rPr>
          <w:spacing w:val="-19"/>
        </w:rPr>
        <w:t> </w:t>
      </w:r>
      <w:r>
        <w:rPr>
          <w:spacing w:val="-5"/>
        </w:rPr>
        <w:t>the </w:t>
      </w:r>
      <w:r>
        <w:rPr/>
        <w:t>appraisal clause. For purposes </w:t>
      </w:r>
      <w:r>
        <w:rPr>
          <w:spacing w:val="-7"/>
        </w:rPr>
        <w:t>of </w:t>
      </w:r>
      <w:r>
        <w:rPr/>
        <w:t>requiring impartiality of appraisers and</w:t>
      </w:r>
      <w:r>
        <w:rPr>
          <w:spacing w:val="-13"/>
        </w:rPr>
        <w:t> </w:t>
      </w:r>
      <w:r>
        <w:rPr/>
        <w:t>umpires,</w:t>
      </w:r>
      <w:r>
        <w:rPr>
          <w:spacing w:val="-19"/>
        </w:rPr>
        <w:t> </w:t>
      </w:r>
      <w:r>
        <w:rPr/>
        <w:t>the</w:t>
      </w:r>
      <w:r>
        <w:rPr>
          <w:spacing w:val="-17"/>
        </w:rPr>
        <w:t> </w:t>
      </w:r>
      <w:r>
        <w:rPr/>
        <w:t>Division</w:t>
      </w:r>
      <w:r>
        <w:rPr>
          <w:spacing w:val="-16"/>
        </w:rPr>
        <w:t> </w:t>
      </w:r>
      <w:r>
        <w:rPr/>
        <w:t>will</w:t>
      </w:r>
      <w:r>
        <w:rPr>
          <w:spacing w:val="-12"/>
        </w:rPr>
        <w:t> </w:t>
      </w:r>
      <w:r>
        <w:rPr/>
        <w:t>follow the</w:t>
      </w:r>
      <w:r>
        <w:rPr>
          <w:spacing w:val="-23"/>
        </w:rPr>
        <w:t> </w:t>
      </w:r>
      <w:r>
        <w:rPr/>
        <w:t>Uniform</w:t>
      </w:r>
      <w:r>
        <w:rPr>
          <w:spacing w:val="-22"/>
        </w:rPr>
        <w:t> </w:t>
      </w:r>
      <w:r>
        <w:rPr/>
        <w:t>Arbitration</w:t>
      </w:r>
      <w:r>
        <w:rPr>
          <w:spacing w:val="-23"/>
        </w:rPr>
        <w:t> </w:t>
      </w:r>
      <w:r>
        <w:rPr/>
        <w:t>Act,</w:t>
      </w:r>
      <w:r>
        <w:rPr>
          <w:spacing w:val="-24"/>
        </w:rPr>
        <w:t> </w:t>
      </w:r>
      <w:r>
        <w:rPr/>
        <w:t>§13-22- 201 </w:t>
      </w:r>
      <w:r>
        <w:rPr>
          <w:i/>
        </w:rPr>
        <w:t>et seq.</w:t>
      </w:r>
      <w:r>
        <w:rPr/>
        <w:t>, and in particular, §13- 22-211(2), which sets forth the standard for impartiality of an arbitrator as: “An individual </w:t>
      </w:r>
      <w:r>
        <w:rPr>
          <w:spacing w:val="-6"/>
        </w:rPr>
        <w:t>who </w:t>
      </w:r>
      <w:r>
        <w:rPr/>
        <w:t>has a known, direct, and </w:t>
      </w:r>
      <w:r>
        <w:rPr>
          <w:spacing w:val="-3"/>
        </w:rPr>
        <w:t>material </w:t>
      </w:r>
      <w:r>
        <w:rPr/>
        <w:t>interest in the outcome of the arbitration</w:t>
      </w:r>
      <w:r>
        <w:rPr>
          <w:spacing w:val="-22"/>
        </w:rPr>
        <w:t> </w:t>
      </w:r>
      <w:r>
        <w:rPr/>
        <w:t>proceeding</w:t>
      </w:r>
      <w:r>
        <w:rPr>
          <w:spacing w:val="-22"/>
        </w:rPr>
        <w:t> </w:t>
      </w:r>
      <w:r>
        <w:rPr/>
        <w:t>or</w:t>
      </w:r>
      <w:r>
        <w:rPr>
          <w:spacing w:val="-24"/>
        </w:rPr>
        <w:t> </w:t>
      </w:r>
      <w:r>
        <w:rPr/>
        <w:t>a</w:t>
      </w:r>
      <w:r>
        <w:rPr>
          <w:spacing w:val="-20"/>
        </w:rPr>
        <w:t> </w:t>
      </w:r>
      <w:r>
        <w:rPr>
          <w:spacing w:val="-4"/>
        </w:rPr>
        <w:t>known, </w:t>
      </w:r>
      <w:r>
        <w:rPr/>
        <w:t>e</w:t>
      </w:r>
      <w:r>
        <w:rPr>
          <w:spacing w:val="-36"/>
        </w:rPr>
        <w:t> </w:t>
      </w:r>
      <w:r>
        <w:rPr/>
        <w:t>x</w:t>
      </w:r>
      <w:r>
        <w:rPr>
          <w:spacing w:val="-34"/>
        </w:rPr>
        <w:t> </w:t>
      </w:r>
      <w:r>
        <w:rPr/>
        <w:t>i</w:t>
      </w:r>
      <w:r>
        <w:rPr>
          <w:spacing w:val="-31"/>
        </w:rPr>
        <w:t> </w:t>
      </w:r>
      <w:r>
        <w:rPr/>
        <w:t>s</w:t>
      </w:r>
      <w:r>
        <w:rPr>
          <w:spacing w:val="-34"/>
        </w:rPr>
        <w:t> </w:t>
      </w:r>
      <w:r>
        <w:rPr/>
        <w:t>t</w:t>
      </w:r>
      <w:r>
        <w:rPr>
          <w:spacing w:val="-37"/>
        </w:rPr>
        <w:t> </w:t>
      </w:r>
      <w:r>
        <w:rPr/>
        <w:t>i</w:t>
      </w:r>
      <w:r>
        <w:rPr>
          <w:spacing w:val="-34"/>
        </w:rPr>
        <w:t> </w:t>
      </w:r>
      <w:r>
        <w:rPr/>
        <w:t>n</w:t>
      </w:r>
      <w:r>
        <w:rPr>
          <w:spacing w:val="-36"/>
        </w:rPr>
        <w:t> </w:t>
      </w:r>
      <w:r>
        <w:rPr/>
        <w:t>g</w:t>
      </w:r>
      <w:r>
        <w:rPr>
          <w:spacing w:val="-36"/>
        </w:rPr>
        <w:t> </w:t>
      </w:r>
      <w:r>
        <w:rPr/>
        <w:t>,</w:t>
      </w:r>
      <w:r>
        <w:rPr>
          <w:spacing w:val="66"/>
        </w:rPr>
        <w:t> </w:t>
      </w:r>
      <w:r>
        <w:rPr/>
        <w:t>a</w:t>
      </w:r>
      <w:r>
        <w:rPr>
          <w:spacing w:val="-37"/>
        </w:rPr>
        <w:t> </w:t>
      </w:r>
      <w:r>
        <w:rPr/>
        <w:t>n</w:t>
      </w:r>
      <w:r>
        <w:rPr>
          <w:spacing w:val="-36"/>
        </w:rPr>
        <w:t> </w:t>
      </w:r>
      <w:r>
        <w:rPr/>
        <w:t>d</w:t>
      </w:r>
      <w:r>
        <w:rPr>
          <w:spacing w:val="2"/>
        </w:rPr>
        <w:t> </w:t>
      </w:r>
      <w:r>
        <w:rPr/>
        <w:t>s</w:t>
      </w:r>
      <w:r>
        <w:rPr>
          <w:spacing w:val="-34"/>
        </w:rPr>
        <w:t> </w:t>
      </w:r>
      <w:r>
        <w:rPr/>
        <w:t>u</w:t>
      </w:r>
      <w:r>
        <w:rPr>
          <w:spacing w:val="-33"/>
        </w:rPr>
        <w:t> </w:t>
      </w:r>
      <w:r>
        <w:rPr/>
        <w:t>b</w:t>
      </w:r>
      <w:r>
        <w:rPr>
          <w:spacing w:val="-34"/>
        </w:rPr>
        <w:t> </w:t>
      </w:r>
      <w:r>
        <w:rPr/>
        <w:t>s</w:t>
      </w:r>
      <w:r>
        <w:rPr>
          <w:spacing w:val="-34"/>
        </w:rPr>
        <w:t> </w:t>
      </w:r>
      <w:r>
        <w:rPr/>
        <w:t>t</w:t>
      </w:r>
      <w:r>
        <w:rPr>
          <w:spacing w:val="-36"/>
        </w:rPr>
        <w:t> </w:t>
      </w:r>
      <w:r>
        <w:rPr/>
        <w:t>a</w:t>
      </w:r>
      <w:r>
        <w:rPr>
          <w:spacing w:val="-34"/>
        </w:rPr>
        <w:t> </w:t>
      </w:r>
      <w:r>
        <w:rPr/>
        <w:t>n</w:t>
      </w:r>
      <w:r>
        <w:rPr>
          <w:spacing w:val="-35"/>
        </w:rPr>
        <w:t> </w:t>
      </w:r>
      <w:r>
        <w:rPr/>
        <w:t>t</w:t>
      </w:r>
      <w:r>
        <w:rPr>
          <w:spacing w:val="-36"/>
        </w:rPr>
        <w:t> </w:t>
      </w:r>
      <w:r>
        <w:rPr/>
        <w:t>i</w:t>
      </w:r>
      <w:r>
        <w:rPr>
          <w:spacing w:val="-31"/>
        </w:rPr>
        <w:t> </w:t>
      </w:r>
      <w:r>
        <w:rPr/>
        <w:t>a</w:t>
      </w:r>
      <w:r>
        <w:rPr>
          <w:spacing w:val="-34"/>
        </w:rPr>
        <w:t> </w:t>
      </w:r>
      <w:r>
        <w:rPr/>
        <w:t>l relationship with a party may not serve as an arbitrator </w:t>
      </w:r>
      <w:r>
        <w:rPr>
          <w:spacing w:val="2"/>
        </w:rPr>
        <w:t>if </w:t>
      </w:r>
      <w:r>
        <w:rPr/>
        <w:t>the agreement requires the arbitrator to be neutral.” This same standard will apply to appraisers and umpires,</w:t>
      </w:r>
      <w:r>
        <w:rPr>
          <w:spacing w:val="-41"/>
        </w:rPr>
        <w:t> </w:t>
      </w:r>
      <w:r>
        <w:rPr/>
        <w:t>and</w:t>
      </w:r>
      <w:r>
        <w:rPr>
          <w:spacing w:val="-39"/>
        </w:rPr>
        <w:t> </w:t>
      </w:r>
      <w:r>
        <w:rPr/>
        <w:t>to</w:t>
      </w:r>
      <w:r>
        <w:rPr>
          <w:spacing w:val="-38"/>
        </w:rPr>
        <w:t> </w:t>
      </w:r>
      <w:r>
        <w:rPr>
          <w:spacing w:val="-3"/>
        </w:rPr>
        <w:t>ensure</w:t>
      </w:r>
      <w:r>
        <w:rPr>
          <w:spacing w:val="-39"/>
        </w:rPr>
        <w:t> </w:t>
      </w:r>
      <w:r>
        <w:rPr/>
        <w:t>compliance</w:t>
      </w:r>
    </w:p>
    <w:p>
      <w:pPr>
        <w:spacing w:after="0" w:line="242" w:lineRule="auto"/>
        <w:jc w:val="both"/>
        <w:sectPr>
          <w:pgSz w:w="12240" w:h="15840"/>
          <w:pgMar w:header="0" w:footer="2273" w:top="1500" w:bottom="2460" w:left="1720" w:right="1720"/>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BodyText"/>
        <w:tabs>
          <w:tab w:pos="2983" w:val="left" w:leader="none"/>
          <w:tab w:pos="3617" w:val="left" w:leader="none"/>
          <w:tab w:pos="4983" w:val="left" w:leader="none"/>
          <w:tab w:pos="5631" w:val="left" w:leader="none"/>
        </w:tabs>
        <w:spacing w:line="242" w:lineRule="auto" w:before="41"/>
        <w:ind w:left="2240" w:right="2241"/>
      </w:pPr>
      <w:bookmarkStart w:name="Law and Procedure 355" w:id="21"/>
      <w:bookmarkEnd w:id="21"/>
      <w:r>
        <w:rPr/>
      </w:r>
      <w:r>
        <w:rPr/>
        <w:t>with</w:t>
        <w:tab/>
        <w:t>this</w:t>
        <w:tab/>
        <w:t>standard</w:t>
        <w:tab/>
        <w:t>the</w:t>
        <w:tab/>
      </w:r>
      <w:r>
        <w:rPr>
          <w:w w:val="95"/>
        </w:rPr>
        <w:t>Division </w:t>
      </w:r>
      <w:r>
        <w:rPr/>
        <w:t>requires the</w:t>
      </w:r>
      <w:r>
        <w:rPr>
          <w:spacing w:val="-3"/>
        </w:rPr>
        <w:t> </w:t>
      </w:r>
      <w:r>
        <w:rPr/>
        <w:t>following:</w:t>
      </w:r>
    </w:p>
    <w:p>
      <w:pPr>
        <w:pStyle w:val="BodyText"/>
        <w:spacing w:before="2"/>
      </w:pPr>
    </w:p>
    <w:p>
      <w:pPr>
        <w:pStyle w:val="ListParagraph"/>
        <w:numPr>
          <w:ilvl w:val="1"/>
          <w:numId w:val="3"/>
        </w:numPr>
        <w:tabs>
          <w:tab w:pos="3325" w:val="left" w:leader="none"/>
        </w:tabs>
        <w:spacing w:line="242" w:lineRule="auto" w:before="0" w:after="0"/>
        <w:ind w:left="2240" w:right="2236" w:firstLine="720"/>
        <w:jc w:val="both"/>
        <w:rPr>
          <w:rFonts w:ascii="Century Gothic"/>
          <w:sz w:val="26"/>
        </w:rPr>
      </w:pPr>
      <w:r>
        <w:rPr>
          <w:rFonts w:ascii="Century Gothic"/>
          <w:sz w:val="26"/>
        </w:rPr>
        <w:t>The appraiser and umpire must disclose to all parties, </w:t>
      </w:r>
      <w:r>
        <w:rPr>
          <w:rFonts w:ascii="Century Gothic"/>
          <w:spacing w:val="-4"/>
          <w:sz w:val="26"/>
        </w:rPr>
        <w:t>any </w:t>
      </w:r>
      <w:r>
        <w:rPr>
          <w:rFonts w:ascii="Century Gothic"/>
          <w:sz w:val="26"/>
        </w:rPr>
        <w:t>other appraiser, and any </w:t>
      </w:r>
      <w:r>
        <w:rPr>
          <w:rFonts w:ascii="Century Gothic"/>
          <w:spacing w:val="-4"/>
          <w:sz w:val="26"/>
        </w:rPr>
        <w:t>other </w:t>
      </w:r>
      <w:r>
        <w:rPr>
          <w:rFonts w:ascii="Century Gothic"/>
          <w:sz w:val="26"/>
        </w:rPr>
        <w:t>umpire, as well as any known</w:t>
      </w:r>
      <w:r>
        <w:rPr>
          <w:rFonts w:ascii="Century Gothic"/>
          <w:spacing w:val="-42"/>
          <w:sz w:val="26"/>
        </w:rPr>
        <w:t> </w:t>
      </w:r>
      <w:r>
        <w:rPr>
          <w:rFonts w:ascii="Century Gothic"/>
          <w:sz w:val="26"/>
        </w:rPr>
        <w:t>facts that a reasonable person would consider </w:t>
      </w:r>
      <w:r>
        <w:rPr>
          <w:rFonts w:ascii="Century Gothic"/>
          <w:spacing w:val="2"/>
          <w:sz w:val="26"/>
        </w:rPr>
        <w:t>likely </w:t>
      </w:r>
      <w:r>
        <w:rPr>
          <w:rFonts w:ascii="Century Gothic"/>
          <w:sz w:val="26"/>
        </w:rPr>
        <w:t>to affect the </w:t>
      </w:r>
      <w:r>
        <w:rPr>
          <w:rFonts w:ascii="Century Gothic"/>
          <w:spacing w:val="6"/>
          <w:sz w:val="26"/>
        </w:rPr>
        <w:t>impartiality </w:t>
      </w:r>
      <w:r>
        <w:rPr>
          <w:rFonts w:ascii="Century Gothic"/>
          <w:spacing w:val="3"/>
          <w:sz w:val="26"/>
        </w:rPr>
        <w:t>of </w:t>
      </w:r>
      <w:r>
        <w:rPr>
          <w:rFonts w:ascii="Century Gothic"/>
          <w:spacing w:val="5"/>
          <w:sz w:val="26"/>
        </w:rPr>
        <w:t>the </w:t>
      </w:r>
      <w:r>
        <w:rPr>
          <w:rFonts w:ascii="Century Gothic"/>
          <w:spacing w:val="7"/>
          <w:sz w:val="26"/>
        </w:rPr>
        <w:t>appraiser </w:t>
      </w:r>
      <w:r>
        <w:rPr>
          <w:rFonts w:ascii="Century Gothic"/>
          <w:sz w:val="26"/>
        </w:rPr>
        <w:t>including:</w:t>
      </w:r>
    </w:p>
    <w:p>
      <w:pPr>
        <w:pStyle w:val="BodyText"/>
      </w:pPr>
    </w:p>
    <w:p>
      <w:pPr>
        <w:pStyle w:val="ListParagraph"/>
        <w:numPr>
          <w:ilvl w:val="0"/>
          <w:numId w:val="4"/>
        </w:numPr>
        <w:tabs>
          <w:tab w:pos="2960" w:val="left" w:leader="none"/>
        </w:tabs>
        <w:spacing w:line="242" w:lineRule="auto" w:before="0" w:after="0"/>
        <w:ind w:left="2960" w:right="2240" w:hanging="720"/>
        <w:jc w:val="both"/>
        <w:rPr>
          <w:rFonts w:ascii="Century Gothic"/>
          <w:sz w:val="26"/>
        </w:rPr>
      </w:pPr>
      <w:r>
        <w:rPr>
          <w:rFonts w:ascii="Century Gothic"/>
          <w:sz w:val="26"/>
        </w:rPr>
        <w:t>A financial or </w:t>
      </w:r>
      <w:r>
        <w:rPr>
          <w:rFonts w:ascii="Century Gothic"/>
          <w:spacing w:val="-3"/>
          <w:sz w:val="26"/>
        </w:rPr>
        <w:t>personal </w:t>
      </w:r>
      <w:r>
        <w:rPr>
          <w:rFonts w:ascii="Century Gothic"/>
          <w:sz w:val="26"/>
        </w:rPr>
        <w:t>interest</w:t>
      </w:r>
      <w:r>
        <w:rPr>
          <w:rFonts w:ascii="Century Gothic"/>
          <w:spacing w:val="-28"/>
          <w:sz w:val="26"/>
        </w:rPr>
        <w:t> </w:t>
      </w:r>
      <w:r>
        <w:rPr>
          <w:rFonts w:ascii="Century Gothic"/>
          <w:sz w:val="26"/>
        </w:rPr>
        <w:t>in</w:t>
      </w:r>
      <w:r>
        <w:rPr>
          <w:rFonts w:ascii="Century Gothic"/>
          <w:spacing w:val="-26"/>
          <w:sz w:val="26"/>
        </w:rPr>
        <w:t> </w:t>
      </w:r>
      <w:r>
        <w:rPr>
          <w:rFonts w:ascii="Century Gothic"/>
          <w:sz w:val="26"/>
        </w:rPr>
        <w:t>the</w:t>
      </w:r>
      <w:r>
        <w:rPr>
          <w:rFonts w:ascii="Century Gothic"/>
          <w:spacing w:val="-24"/>
          <w:sz w:val="26"/>
        </w:rPr>
        <w:t> </w:t>
      </w:r>
      <w:r>
        <w:rPr>
          <w:rFonts w:ascii="Century Gothic"/>
          <w:sz w:val="26"/>
        </w:rPr>
        <w:t>outcome</w:t>
      </w:r>
      <w:r>
        <w:rPr>
          <w:rFonts w:ascii="Century Gothic"/>
          <w:spacing w:val="-24"/>
          <w:sz w:val="26"/>
        </w:rPr>
        <w:t> </w:t>
      </w:r>
      <w:r>
        <w:rPr>
          <w:rFonts w:ascii="Century Gothic"/>
          <w:sz w:val="26"/>
        </w:rPr>
        <w:t>of</w:t>
      </w:r>
      <w:r>
        <w:rPr>
          <w:rFonts w:ascii="Century Gothic"/>
          <w:spacing w:val="-25"/>
          <w:sz w:val="26"/>
        </w:rPr>
        <w:t> </w:t>
      </w:r>
      <w:r>
        <w:rPr>
          <w:rFonts w:ascii="Century Gothic"/>
          <w:spacing w:val="-6"/>
          <w:sz w:val="26"/>
        </w:rPr>
        <w:t>the </w:t>
      </w:r>
      <w:r>
        <w:rPr>
          <w:rFonts w:ascii="Century Gothic"/>
          <w:sz w:val="26"/>
        </w:rPr>
        <w:t>appraisal;</w:t>
      </w:r>
      <w:r>
        <w:rPr>
          <w:rFonts w:ascii="Century Gothic"/>
          <w:spacing w:val="-2"/>
          <w:sz w:val="26"/>
        </w:rPr>
        <w:t> </w:t>
      </w:r>
      <w:r>
        <w:rPr>
          <w:rFonts w:ascii="Century Gothic"/>
          <w:sz w:val="26"/>
        </w:rPr>
        <w:t>and</w:t>
      </w:r>
    </w:p>
    <w:p>
      <w:pPr>
        <w:pStyle w:val="ListParagraph"/>
        <w:numPr>
          <w:ilvl w:val="0"/>
          <w:numId w:val="4"/>
        </w:numPr>
        <w:tabs>
          <w:tab w:pos="2960" w:val="left" w:leader="none"/>
        </w:tabs>
        <w:spacing w:line="242" w:lineRule="auto" w:before="0" w:after="0"/>
        <w:ind w:left="2960" w:right="2239" w:hanging="720"/>
        <w:jc w:val="both"/>
        <w:rPr>
          <w:rFonts w:ascii="Century Gothic"/>
          <w:sz w:val="26"/>
        </w:rPr>
      </w:pPr>
      <w:r>
        <w:rPr>
          <w:rFonts w:ascii="Century Gothic"/>
          <w:sz w:val="26"/>
        </w:rPr>
        <w:t>A </w:t>
      </w:r>
      <w:r>
        <w:rPr>
          <w:rFonts w:ascii="Century Gothic"/>
          <w:spacing w:val="15"/>
          <w:sz w:val="26"/>
        </w:rPr>
        <w:t>current </w:t>
      </w:r>
      <w:r>
        <w:rPr>
          <w:rFonts w:ascii="Century Gothic"/>
          <w:spacing w:val="11"/>
          <w:sz w:val="26"/>
        </w:rPr>
        <w:t>or </w:t>
      </w:r>
      <w:r>
        <w:rPr>
          <w:rFonts w:ascii="Century Gothic"/>
          <w:spacing w:val="18"/>
          <w:sz w:val="26"/>
        </w:rPr>
        <w:t>previous </w:t>
      </w:r>
      <w:r>
        <w:rPr>
          <w:rFonts w:ascii="Century Gothic"/>
          <w:sz w:val="26"/>
        </w:rPr>
        <w:t>relationship with any of </w:t>
      </w:r>
      <w:r>
        <w:rPr>
          <w:rFonts w:ascii="Century Gothic"/>
          <w:spacing w:val="-6"/>
          <w:sz w:val="26"/>
        </w:rPr>
        <w:t>the </w:t>
      </w:r>
      <w:r>
        <w:rPr>
          <w:rFonts w:ascii="Century Gothic"/>
          <w:sz w:val="26"/>
        </w:rPr>
        <w:t>parties to the agreement to appraiser or the appraisal proceeding, their counsel </w:t>
      </w:r>
      <w:r>
        <w:rPr>
          <w:rFonts w:ascii="Century Gothic"/>
          <w:spacing w:val="-8"/>
          <w:sz w:val="26"/>
        </w:rPr>
        <w:t>or </w:t>
      </w:r>
      <w:r>
        <w:rPr>
          <w:rFonts w:ascii="Century Gothic"/>
          <w:sz w:val="26"/>
        </w:rPr>
        <w:t>representatives, a witness, </w:t>
      </w:r>
      <w:r>
        <w:rPr>
          <w:rFonts w:ascii="Century Gothic"/>
          <w:spacing w:val="-7"/>
          <w:sz w:val="26"/>
        </w:rPr>
        <w:t>or </w:t>
      </w:r>
      <w:r>
        <w:rPr>
          <w:rFonts w:ascii="Century Gothic"/>
          <w:sz w:val="26"/>
        </w:rPr>
        <w:t>another appraiser or </w:t>
      </w:r>
      <w:r>
        <w:rPr>
          <w:rFonts w:ascii="Century Gothic"/>
          <w:spacing w:val="-7"/>
          <w:sz w:val="26"/>
        </w:rPr>
        <w:t>the </w:t>
      </w:r>
      <w:r>
        <w:rPr>
          <w:rFonts w:ascii="Century Gothic"/>
          <w:sz w:val="26"/>
        </w:rPr>
        <w:t>umpire.</w:t>
      </w:r>
    </w:p>
    <w:p>
      <w:pPr>
        <w:pStyle w:val="BodyText"/>
        <w:spacing w:before="11"/>
        <w:rPr>
          <w:sz w:val="25"/>
        </w:rPr>
      </w:pPr>
    </w:p>
    <w:p>
      <w:pPr>
        <w:pStyle w:val="ListParagraph"/>
        <w:numPr>
          <w:ilvl w:val="1"/>
          <w:numId w:val="3"/>
        </w:numPr>
        <w:tabs>
          <w:tab w:pos="3680" w:val="left" w:leader="none"/>
        </w:tabs>
        <w:spacing w:line="242" w:lineRule="auto" w:before="0" w:after="0"/>
        <w:ind w:left="2240" w:right="2239" w:firstLine="720"/>
        <w:jc w:val="both"/>
        <w:rPr>
          <w:rFonts w:ascii="Century Gothic"/>
          <w:sz w:val="26"/>
        </w:rPr>
      </w:pPr>
      <w:r>
        <w:rPr>
          <w:rFonts w:ascii="Century Gothic"/>
          <w:spacing w:val="-4"/>
          <w:sz w:val="26"/>
        </w:rPr>
        <w:t>The</w:t>
      </w:r>
      <w:r>
        <w:rPr>
          <w:rFonts w:ascii="Century Gothic"/>
          <w:spacing w:val="-33"/>
          <w:sz w:val="26"/>
        </w:rPr>
        <w:t> </w:t>
      </w:r>
      <w:r>
        <w:rPr>
          <w:rFonts w:ascii="Century Gothic"/>
          <w:spacing w:val="-3"/>
          <w:sz w:val="26"/>
        </w:rPr>
        <w:t>appraiser</w:t>
      </w:r>
      <w:r>
        <w:rPr>
          <w:rFonts w:ascii="Century Gothic"/>
          <w:spacing w:val="-34"/>
          <w:sz w:val="26"/>
        </w:rPr>
        <w:t> </w:t>
      </w:r>
      <w:r>
        <w:rPr>
          <w:rFonts w:ascii="Century Gothic"/>
          <w:spacing w:val="-3"/>
          <w:sz w:val="26"/>
        </w:rPr>
        <w:t>shall</w:t>
      </w:r>
      <w:r>
        <w:rPr>
          <w:rFonts w:ascii="Century Gothic"/>
          <w:spacing w:val="-33"/>
          <w:sz w:val="26"/>
        </w:rPr>
        <w:t> </w:t>
      </w:r>
      <w:r>
        <w:rPr>
          <w:rFonts w:ascii="Century Gothic"/>
          <w:spacing w:val="-3"/>
          <w:sz w:val="26"/>
        </w:rPr>
        <w:t>have </w:t>
      </w:r>
      <w:r>
        <w:rPr>
          <w:rFonts w:ascii="Century Gothic"/>
          <w:sz w:val="26"/>
        </w:rPr>
        <w:t>a continuing obligation to</w:t>
      </w:r>
      <w:r>
        <w:rPr>
          <w:rFonts w:ascii="Century Gothic"/>
          <w:spacing w:val="-27"/>
          <w:sz w:val="26"/>
        </w:rPr>
        <w:t> </w:t>
      </w:r>
      <w:r>
        <w:rPr>
          <w:rFonts w:ascii="Century Gothic"/>
          <w:sz w:val="26"/>
        </w:rPr>
        <w:t>disclose to all parties to the agreement to </w:t>
      </w:r>
      <w:r>
        <w:rPr>
          <w:rFonts w:ascii="Century Gothic"/>
          <w:spacing w:val="-3"/>
          <w:sz w:val="26"/>
        </w:rPr>
        <w:t>appraise,</w:t>
      </w:r>
      <w:r>
        <w:rPr>
          <w:rFonts w:ascii="Century Gothic"/>
          <w:spacing w:val="-38"/>
          <w:sz w:val="26"/>
        </w:rPr>
        <w:t> </w:t>
      </w:r>
      <w:r>
        <w:rPr>
          <w:rFonts w:ascii="Century Gothic"/>
          <w:spacing w:val="-3"/>
          <w:sz w:val="26"/>
        </w:rPr>
        <w:t>the</w:t>
      </w:r>
      <w:r>
        <w:rPr>
          <w:rFonts w:ascii="Century Gothic"/>
          <w:spacing w:val="-36"/>
          <w:sz w:val="26"/>
        </w:rPr>
        <w:t> </w:t>
      </w:r>
      <w:r>
        <w:rPr>
          <w:rFonts w:ascii="Century Gothic"/>
          <w:sz w:val="26"/>
        </w:rPr>
        <w:t>appraisal</w:t>
      </w:r>
      <w:r>
        <w:rPr>
          <w:rFonts w:ascii="Century Gothic"/>
          <w:spacing w:val="-35"/>
          <w:sz w:val="26"/>
        </w:rPr>
        <w:t> </w:t>
      </w:r>
      <w:r>
        <w:rPr>
          <w:rFonts w:ascii="Century Gothic"/>
          <w:spacing w:val="-3"/>
          <w:sz w:val="26"/>
        </w:rPr>
        <w:t>proceeding </w:t>
      </w:r>
      <w:r>
        <w:rPr>
          <w:rFonts w:ascii="Century Gothic"/>
          <w:sz w:val="26"/>
        </w:rPr>
        <w:t>and to any other appraisers </w:t>
      </w:r>
      <w:r>
        <w:rPr>
          <w:rFonts w:ascii="Century Gothic"/>
          <w:spacing w:val="-4"/>
          <w:sz w:val="26"/>
        </w:rPr>
        <w:t>and </w:t>
      </w:r>
      <w:r>
        <w:rPr>
          <w:rFonts w:ascii="Century Gothic"/>
          <w:sz w:val="26"/>
        </w:rPr>
        <w:t>the umpire, any facts that </w:t>
      </w:r>
      <w:r>
        <w:rPr>
          <w:rFonts w:ascii="Century Gothic"/>
          <w:spacing w:val="-5"/>
          <w:sz w:val="26"/>
        </w:rPr>
        <w:t>the </w:t>
      </w:r>
      <w:r>
        <w:rPr>
          <w:rFonts w:ascii="Century Gothic"/>
          <w:sz w:val="26"/>
        </w:rPr>
        <w:t>appraiser learns after accepting appointment that a</w:t>
      </w:r>
      <w:r>
        <w:rPr>
          <w:rFonts w:ascii="Century Gothic"/>
          <w:spacing w:val="24"/>
          <w:sz w:val="26"/>
        </w:rPr>
        <w:t> </w:t>
      </w:r>
      <w:r>
        <w:rPr>
          <w:rFonts w:ascii="Century Gothic"/>
          <w:sz w:val="26"/>
        </w:rPr>
        <w:t>reasonable</w:t>
      </w:r>
    </w:p>
    <w:p>
      <w:pPr>
        <w:spacing w:after="0" w:line="242" w:lineRule="auto"/>
        <w:jc w:val="both"/>
        <w:rPr>
          <w:rFonts w:ascii="Century Gothic"/>
          <w:sz w:val="26"/>
        </w:rPr>
        <w:sectPr>
          <w:pgSz w:w="12240" w:h="15840"/>
          <w:pgMar w:header="0" w:footer="2273" w:top="1500" w:bottom="2460" w:left="1720" w:right="1720"/>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BodyText"/>
        <w:spacing w:line="242" w:lineRule="auto" w:before="41"/>
        <w:ind w:left="2240" w:right="2239"/>
        <w:jc w:val="both"/>
      </w:pPr>
      <w:bookmarkStart w:name="Law and Procedure 356" w:id="22"/>
      <w:bookmarkEnd w:id="22"/>
      <w:r>
        <w:rPr/>
      </w:r>
      <w:r>
        <w:rPr/>
        <w:t>person should consider likely to affect the impartiality of the appraiser.</w:t>
      </w:r>
    </w:p>
    <w:p>
      <w:pPr>
        <w:pStyle w:val="BodyText"/>
        <w:spacing w:before="2"/>
      </w:pPr>
    </w:p>
    <w:p>
      <w:pPr>
        <w:pStyle w:val="BodyText"/>
        <w:spacing w:line="242" w:lineRule="auto"/>
        <w:ind w:left="2240" w:right="2235" w:firstLine="720"/>
        <w:jc w:val="both"/>
      </w:pPr>
      <w:r>
        <w:rPr/>
        <w:t>In accordance with §12-33 212(3), C.R.S. if a party timely objects to the appointment or continued services of a selected appraiser the objection may be a ground under §13-22-223(1)(b),</w:t>
      </w:r>
    </w:p>
    <w:p>
      <w:pPr>
        <w:pStyle w:val="BodyText"/>
        <w:spacing w:line="317" w:lineRule="exact"/>
        <w:ind w:left="2240"/>
        <w:jc w:val="both"/>
      </w:pPr>
      <w:r>
        <w:rPr/>
        <w:t>C.R.S. for vacating an award.</w:t>
      </w:r>
    </w:p>
    <w:p>
      <w:pPr>
        <w:pStyle w:val="BodyText"/>
        <w:spacing w:before="5"/>
      </w:pPr>
    </w:p>
    <w:p>
      <w:pPr>
        <w:pStyle w:val="ListParagraph"/>
        <w:numPr>
          <w:ilvl w:val="1"/>
          <w:numId w:val="3"/>
        </w:numPr>
        <w:tabs>
          <w:tab w:pos="2692" w:val="left" w:leader="none"/>
        </w:tabs>
        <w:spacing w:line="242" w:lineRule="auto" w:before="0" w:after="0"/>
        <w:ind w:left="2240" w:right="2237" w:firstLine="0"/>
        <w:jc w:val="both"/>
        <w:rPr>
          <w:rFonts w:ascii="Century Gothic" w:hAnsi="Century Gothic"/>
          <w:sz w:val="26"/>
        </w:rPr>
      </w:pPr>
      <w:r>
        <w:rPr>
          <w:rFonts w:ascii="Century Gothic" w:hAnsi="Century Gothic"/>
          <w:sz w:val="26"/>
        </w:rPr>
        <w:t>The insurer must not have </w:t>
      </w:r>
      <w:r>
        <w:rPr>
          <w:rFonts w:ascii="Century Gothic" w:hAnsi="Century Gothic"/>
          <w:i/>
          <w:sz w:val="26"/>
        </w:rPr>
        <w:t>ex </w:t>
      </w:r>
      <w:r>
        <w:rPr>
          <w:rFonts w:ascii="Century Gothic" w:hAnsi="Century Gothic"/>
          <w:i/>
          <w:sz w:val="26"/>
        </w:rPr>
        <w:t>parte </w:t>
      </w:r>
      <w:r>
        <w:rPr>
          <w:rFonts w:ascii="Century Gothic" w:hAnsi="Century Gothic"/>
          <w:sz w:val="26"/>
        </w:rPr>
        <w:t>communications with the appraiser, the umpire and </w:t>
      </w:r>
      <w:r>
        <w:rPr>
          <w:rFonts w:ascii="Century Gothic" w:hAnsi="Century Gothic"/>
          <w:spacing w:val="-5"/>
          <w:sz w:val="26"/>
        </w:rPr>
        <w:t>the </w:t>
      </w:r>
      <w:r>
        <w:rPr>
          <w:rFonts w:ascii="Century Gothic" w:hAnsi="Century Gothic"/>
          <w:sz w:val="26"/>
        </w:rPr>
        <w:t>insurer shall include the insured </w:t>
      </w:r>
      <w:r>
        <w:rPr>
          <w:rFonts w:ascii="Century Gothic" w:hAnsi="Century Gothic"/>
          <w:spacing w:val="-5"/>
          <w:sz w:val="26"/>
        </w:rPr>
        <w:t>or </w:t>
      </w:r>
      <w:r>
        <w:rPr>
          <w:rFonts w:ascii="Century Gothic" w:hAnsi="Century Gothic"/>
          <w:sz w:val="26"/>
        </w:rPr>
        <w:t>the insured’s</w:t>
      </w:r>
      <w:r>
        <w:rPr>
          <w:rFonts w:ascii="Century Gothic" w:hAnsi="Century Gothic"/>
          <w:spacing w:val="-4"/>
          <w:sz w:val="26"/>
        </w:rPr>
        <w:t> </w:t>
      </w:r>
      <w:r>
        <w:rPr>
          <w:rFonts w:ascii="Century Gothic" w:hAnsi="Century Gothic"/>
          <w:sz w:val="26"/>
        </w:rPr>
        <w:t>representative.</w:t>
      </w:r>
    </w:p>
    <w:p>
      <w:pPr>
        <w:pStyle w:val="BodyText"/>
        <w:spacing w:before="1"/>
      </w:pPr>
    </w:p>
    <w:p>
      <w:pPr>
        <w:pStyle w:val="ListParagraph"/>
        <w:numPr>
          <w:ilvl w:val="1"/>
          <w:numId w:val="3"/>
        </w:numPr>
        <w:tabs>
          <w:tab w:pos="2569" w:val="left" w:leader="none"/>
        </w:tabs>
        <w:spacing w:line="242" w:lineRule="auto" w:before="0" w:after="0"/>
        <w:ind w:left="2240" w:right="2239" w:firstLine="0"/>
        <w:jc w:val="both"/>
        <w:rPr>
          <w:rFonts w:ascii="Century Gothic"/>
          <w:sz w:val="26"/>
        </w:rPr>
      </w:pPr>
      <w:r>
        <w:rPr>
          <w:rFonts w:ascii="Century Gothic"/>
          <w:sz w:val="26"/>
        </w:rPr>
        <w:t>Upon</w:t>
      </w:r>
      <w:r>
        <w:rPr>
          <w:rFonts w:ascii="Century Gothic"/>
          <w:spacing w:val="-15"/>
          <w:sz w:val="26"/>
        </w:rPr>
        <w:t> </w:t>
      </w:r>
      <w:r>
        <w:rPr>
          <w:rFonts w:ascii="Century Gothic"/>
          <w:sz w:val="26"/>
        </w:rPr>
        <w:t>reaching</w:t>
      </w:r>
      <w:r>
        <w:rPr>
          <w:rFonts w:ascii="Century Gothic"/>
          <w:spacing w:val="-14"/>
          <w:sz w:val="26"/>
        </w:rPr>
        <w:t> </w:t>
      </w:r>
      <w:r>
        <w:rPr>
          <w:rFonts w:ascii="Century Gothic"/>
          <w:sz w:val="26"/>
        </w:rPr>
        <w:t>an</w:t>
      </w:r>
      <w:r>
        <w:rPr>
          <w:rFonts w:ascii="Century Gothic"/>
          <w:spacing w:val="-16"/>
          <w:sz w:val="26"/>
        </w:rPr>
        <w:t> </w:t>
      </w:r>
      <w:r>
        <w:rPr>
          <w:rFonts w:ascii="Century Gothic"/>
          <w:sz w:val="26"/>
        </w:rPr>
        <w:t>agreed</w:t>
      </w:r>
      <w:r>
        <w:rPr>
          <w:rFonts w:ascii="Century Gothic"/>
          <w:spacing w:val="-19"/>
          <w:sz w:val="26"/>
        </w:rPr>
        <w:t> </w:t>
      </w:r>
      <w:r>
        <w:rPr>
          <w:rFonts w:ascii="Century Gothic"/>
          <w:spacing w:val="-3"/>
          <w:sz w:val="26"/>
        </w:rPr>
        <w:t>upon </w:t>
      </w:r>
      <w:r>
        <w:rPr>
          <w:rFonts w:ascii="Century Gothic"/>
          <w:sz w:val="26"/>
        </w:rPr>
        <w:t>value (either through the </w:t>
      </w:r>
      <w:r>
        <w:rPr>
          <w:rFonts w:ascii="Century Gothic"/>
          <w:spacing w:val="-3"/>
          <w:sz w:val="26"/>
        </w:rPr>
        <w:t>selected </w:t>
      </w:r>
      <w:r>
        <w:rPr>
          <w:rFonts w:ascii="Century Gothic"/>
          <w:sz w:val="26"/>
        </w:rPr>
        <w:t>appraiser or an umpire) the insurer shall comply with the clean claim standards found </w:t>
      </w:r>
      <w:r>
        <w:rPr>
          <w:rFonts w:ascii="Century Gothic"/>
          <w:spacing w:val="2"/>
          <w:sz w:val="26"/>
        </w:rPr>
        <w:t>in </w:t>
      </w:r>
      <w:r>
        <w:rPr>
          <w:rFonts w:ascii="Century Gothic"/>
          <w:sz w:val="26"/>
        </w:rPr>
        <w:t>Colorado Regulation</w:t>
      </w:r>
      <w:r>
        <w:rPr>
          <w:rFonts w:ascii="Century Gothic"/>
          <w:spacing w:val="-1"/>
          <w:sz w:val="26"/>
        </w:rPr>
        <w:t> </w:t>
      </w:r>
      <w:r>
        <w:rPr>
          <w:rFonts w:ascii="Century Gothic"/>
          <w:sz w:val="26"/>
        </w:rPr>
        <w:t>5-1-14.</w:t>
      </w:r>
      <w:r>
        <w:rPr>
          <w:rFonts w:ascii="Century Gothic"/>
          <w:sz w:val="26"/>
          <w:vertAlign w:val="superscript"/>
        </w:rPr>
        <w:t>755</w:t>
      </w:r>
    </w:p>
    <w:p>
      <w:pPr>
        <w:pStyle w:val="BodyText"/>
        <w:spacing w:before="1"/>
      </w:pPr>
    </w:p>
    <w:p>
      <w:pPr>
        <w:pStyle w:val="BodyText"/>
        <w:spacing w:line="242" w:lineRule="auto"/>
        <w:ind w:left="1520" w:right="1519" w:firstLine="720"/>
        <w:jc w:val="both"/>
      </w:pPr>
      <w:r>
        <w:rPr>
          <w:spacing w:val="3"/>
        </w:rPr>
        <w:t>In </w:t>
      </w:r>
      <w:r>
        <w:rPr/>
        <w:t>Virginia, each appraiser and umpire shall take an oath confirming that he is not employed by the insured, the insurer or </w:t>
      </w:r>
      <w:r>
        <w:rPr>
          <w:spacing w:val="-4"/>
        </w:rPr>
        <w:t>any </w:t>
      </w:r>
      <w:r>
        <w:rPr/>
        <w:t>other</w:t>
      </w:r>
      <w:r>
        <w:rPr>
          <w:spacing w:val="-33"/>
        </w:rPr>
        <w:t> </w:t>
      </w:r>
      <w:r>
        <w:rPr/>
        <w:t>insurer</w:t>
      </w:r>
      <w:r>
        <w:rPr>
          <w:spacing w:val="-33"/>
        </w:rPr>
        <w:t> </w:t>
      </w:r>
      <w:r>
        <w:rPr/>
        <w:t>and</w:t>
      </w:r>
      <w:r>
        <w:rPr>
          <w:spacing w:val="-30"/>
        </w:rPr>
        <w:t> </w:t>
      </w:r>
      <w:r>
        <w:rPr/>
        <w:t>that</w:t>
      </w:r>
      <w:r>
        <w:rPr>
          <w:spacing w:val="-31"/>
        </w:rPr>
        <w:t> </w:t>
      </w:r>
      <w:r>
        <w:rPr/>
        <w:t>he</w:t>
      </w:r>
      <w:r>
        <w:rPr>
          <w:spacing w:val="-31"/>
        </w:rPr>
        <w:t> </w:t>
      </w:r>
      <w:r>
        <w:rPr/>
        <w:t>will</w:t>
      </w:r>
      <w:r>
        <w:rPr>
          <w:spacing w:val="-29"/>
        </w:rPr>
        <w:t> </w:t>
      </w:r>
      <w:r>
        <w:rPr/>
        <w:t>faithfully</w:t>
      </w:r>
      <w:r>
        <w:rPr>
          <w:spacing w:val="-29"/>
        </w:rPr>
        <w:t> </w:t>
      </w:r>
      <w:r>
        <w:rPr>
          <w:spacing w:val="-3"/>
        </w:rPr>
        <w:t>discharge</w:t>
      </w:r>
    </w:p>
    <w:p>
      <w:pPr>
        <w:pStyle w:val="BodyText"/>
        <w:rPr>
          <w:sz w:val="20"/>
        </w:rPr>
      </w:pPr>
    </w:p>
    <w:p>
      <w:pPr>
        <w:pStyle w:val="BodyText"/>
        <w:spacing w:before="5"/>
        <w:rPr>
          <w:sz w:val="16"/>
        </w:rPr>
      </w:pPr>
      <w:r>
        <w:rPr/>
        <w:pict>
          <v:shape style="position:absolute;margin-left:162pt;margin-top:12.461103pt;width:143.9pt;height:.1pt;mso-position-horizontal-relative:page;mso-position-vertical-relative:paragraph;z-index:-251639808;mso-wrap-distance-left:0;mso-wrap-distance-right:0" coordorigin="3240,249" coordsize="2878,0" path="m3240,249l6118,249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3"/>
        </w:numPr>
        <w:tabs>
          <w:tab w:pos="1438" w:val="left" w:leader="none"/>
        </w:tabs>
        <w:spacing w:line="240" w:lineRule="auto" w:before="71" w:after="0"/>
        <w:ind w:left="1437" w:right="11" w:hanging="1438"/>
        <w:jc w:val="left"/>
        <w:rPr>
          <w:sz w:val="18"/>
        </w:rPr>
      </w:pPr>
      <w:r>
        <w:rPr>
          <w:sz w:val="18"/>
        </w:rPr>
        <w:t>Colorado Department of Regulatory Agencies, Division of Insurance, Bulletin No.</w:t>
      </w:r>
      <w:r>
        <w:rPr>
          <w:spacing w:val="13"/>
          <w:sz w:val="18"/>
        </w:rPr>
        <w:t> </w:t>
      </w:r>
      <w:r>
        <w:rPr>
          <w:sz w:val="18"/>
        </w:rPr>
        <w:t>B-</w:t>
      </w:r>
    </w:p>
    <w:p>
      <w:pPr>
        <w:spacing w:before="19"/>
        <w:ind w:left="1160" w:right="0" w:firstLine="0"/>
        <w:jc w:val="left"/>
        <w:rPr>
          <w:rFonts w:ascii="Times New Roman" w:hAnsi="Times New Roman"/>
          <w:sz w:val="18"/>
        </w:rPr>
      </w:pPr>
      <w:r>
        <w:rPr>
          <w:rFonts w:ascii="Times New Roman" w:hAnsi="Times New Roman"/>
          <w:sz w:val="18"/>
        </w:rPr>
        <w:t>5.26 “Insurer Requirements Related to Disputed Claims Subject to Appraisal.”</w:t>
      </w:r>
    </w:p>
    <w:p>
      <w:pPr>
        <w:spacing w:after="0"/>
        <w:jc w:val="left"/>
        <w:rPr>
          <w:rFonts w:ascii="Times New Roman" w:hAns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2"/>
        </w:rPr>
      </w:pPr>
    </w:p>
    <w:p>
      <w:pPr>
        <w:pStyle w:val="BodyText"/>
        <w:spacing w:before="76"/>
        <w:ind w:left="1520"/>
      </w:pPr>
      <w:bookmarkStart w:name="Law and Procedure 357" w:id="23"/>
      <w:bookmarkEnd w:id="23"/>
      <w:r>
        <w:rPr/>
      </w:r>
      <w:r>
        <w:rPr/>
        <w:t>his duties.</w:t>
      </w:r>
      <w:r>
        <w:rPr>
          <w:vertAlign w:val="superscript"/>
        </w:rPr>
        <w:t>756</w:t>
      </w:r>
    </w:p>
    <w:p>
      <w:pPr>
        <w:pStyle w:val="BodyText"/>
        <w:spacing w:before="6"/>
      </w:pPr>
    </w:p>
    <w:p>
      <w:pPr>
        <w:pStyle w:val="BodyText"/>
        <w:spacing w:line="242" w:lineRule="auto"/>
        <w:ind w:left="1520" w:right="1519" w:firstLine="720"/>
        <w:jc w:val="both"/>
      </w:pPr>
      <w:r>
        <w:rPr/>
        <w:t>The Federal District Court sitting in the Eastern District of Virginia stated that under Virginia law, the level of disinterest of a </w:t>
      </w:r>
      <w:r>
        <w:rPr>
          <w:spacing w:val="-3"/>
        </w:rPr>
        <w:t>selected</w:t>
      </w:r>
      <w:r>
        <w:rPr>
          <w:spacing w:val="-35"/>
        </w:rPr>
        <w:t> </w:t>
      </w:r>
      <w:r>
        <w:rPr/>
        <w:t>appraiser</w:t>
      </w:r>
      <w:r>
        <w:rPr>
          <w:spacing w:val="-36"/>
        </w:rPr>
        <w:t> </w:t>
      </w:r>
      <w:r>
        <w:rPr/>
        <w:t>pertains</w:t>
      </w:r>
      <w:r>
        <w:rPr>
          <w:spacing w:val="-34"/>
        </w:rPr>
        <w:t> </w:t>
      </w:r>
      <w:r>
        <w:rPr/>
        <w:t>only</w:t>
      </w:r>
      <w:r>
        <w:rPr>
          <w:spacing w:val="-35"/>
        </w:rPr>
        <w:t> </w:t>
      </w:r>
      <w:r>
        <w:rPr/>
        <w:t>to</w:t>
      </w:r>
      <w:r>
        <w:rPr>
          <w:spacing w:val="-36"/>
        </w:rPr>
        <w:t> </w:t>
      </w:r>
      <w:r>
        <w:rPr>
          <w:spacing w:val="-3"/>
        </w:rPr>
        <w:t>the</w:t>
      </w:r>
      <w:r>
        <w:rPr>
          <w:spacing w:val="-37"/>
        </w:rPr>
        <w:t> </w:t>
      </w:r>
      <w:r>
        <w:rPr/>
        <w:t>partiality of that appraiser for or against the specific parties to the dispute. Further, employees of either the insured or insurer may not be appraisers because they do not satisfy the </w:t>
      </w:r>
      <w:r>
        <w:rPr>
          <w:spacing w:val="4"/>
        </w:rPr>
        <w:t>disinterested </w:t>
      </w:r>
      <w:r>
        <w:rPr>
          <w:spacing w:val="5"/>
        </w:rPr>
        <w:t>requirement. </w:t>
      </w:r>
      <w:r>
        <w:rPr>
          <w:spacing w:val="2"/>
        </w:rPr>
        <w:t>However, an </w:t>
      </w:r>
      <w:r>
        <w:rPr/>
        <w:t>independent</w:t>
      </w:r>
      <w:r>
        <w:rPr>
          <w:spacing w:val="-36"/>
        </w:rPr>
        <w:t> </w:t>
      </w:r>
      <w:r>
        <w:rPr/>
        <w:t>contractor</w:t>
      </w:r>
      <w:r>
        <w:rPr>
          <w:spacing w:val="-34"/>
        </w:rPr>
        <w:t> </w:t>
      </w:r>
      <w:r>
        <w:rPr/>
        <w:t>who</w:t>
      </w:r>
      <w:r>
        <w:rPr>
          <w:spacing w:val="-33"/>
        </w:rPr>
        <w:t> </w:t>
      </w:r>
      <w:r>
        <w:rPr/>
        <w:t>is</w:t>
      </w:r>
      <w:r>
        <w:rPr>
          <w:spacing w:val="-34"/>
        </w:rPr>
        <w:t> </w:t>
      </w:r>
      <w:r>
        <w:rPr>
          <w:spacing w:val="-3"/>
        </w:rPr>
        <w:t>retained</w:t>
      </w:r>
      <w:r>
        <w:rPr>
          <w:spacing w:val="-37"/>
        </w:rPr>
        <w:t> </w:t>
      </w:r>
      <w:r>
        <w:rPr>
          <w:spacing w:val="-3"/>
        </w:rPr>
        <w:t>almost </w:t>
      </w:r>
      <w:r>
        <w:rPr/>
        <w:t>exclusively by insurers was disinterested within the meaning of the Virginia</w:t>
      </w:r>
      <w:r>
        <w:rPr>
          <w:spacing w:val="-7"/>
        </w:rPr>
        <w:t> </w:t>
      </w:r>
      <w:r>
        <w:rPr/>
        <w:t>statute.</w:t>
      </w:r>
      <w:r>
        <w:rPr>
          <w:vertAlign w:val="superscript"/>
        </w:rPr>
        <w:t>757</w:t>
      </w:r>
    </w:p>
    <w:p>
      <w:pPr>
        <w:pStyle w:val="BodyText"/>
        <w:spacing w:before="10"/>
        <w:rPr>
          <w:sz w:val="25"/>
        </w:rPr>
      </w:pPr>
    </w:p>
    <w:p>
      <w:pPr>
        <w:pStyle w:val="BodyText"/>
        <w:spacing w:line="242" w:lineRule="auto"/>
        <w:ind w:left="1520" w:right="1518" w:firstLine="720"/>
        <w:jc w:val="both"/>
      </w:pPr>
      <w:r>
        <w:rPr/>
        <w:t>Appraisers</w:t>
      </w:r>
      <w:r>
        <w:rPr>
          <w:spacing w:val="-14"/>
        </w:rPr>
        <w:t> </w:t>
      </w:r>
      <w:r>
        <w:rPr/>
        <w:t>can</w:t>
      </w:r>
      <w:r>
        <w:rPr>
          <w:spacing w:val="-13"/>
        </w:rPr>
        <w:t> </w:t>
      </w:r>
      <w:r>
        <w:rPr/>
        <w:t>and</w:t>
      </w:r>
      <w:r>
        <w:rPr>
          <w:spacing w:val="-14"/>
        </w:rPr>
        <w:t> </w:t>
      </w:r>
      <w:r>
        <w:rPr/>
        <w:t>should</w:t>
      </w:r>
      <w:r>
        <w:rPr>
          <w:spacing w:val="-12"/>
        </w:rPr>
        <w:t> </w:t>
      </w:r>
      <w:r>
        <w:rPr/>
        <w:t>advocate</w:t>
      </w:r>
      <w:r>
        <w:rPr>
          <w:spacing w:val="-15"/>
        </w:rPr>
        <w:t> </w:t>
      </w:r>
      <w:r>
        <w:rPr>
          <w:spacing w:val="-6"/>
        </w:rPr>
        <w:t>on </w:t>
      </w:r>
      <w:r>
        <w:rPr/>
        <w:t>behalf of the party who appointed them, but must</w:t>
      </w:r>
      <w:r>
        <w:rPr>
          <w:spacing w:val="-17"/>
        </w:rPr>
        <w:t> </w:t>
      </w:r>
      <w:r>
        <w:rPr/>
        <w:t>maintain</w:t>
      </w:r>
      <w:r>
        <w:rPr>
          <w:spacing w:val="-16"/>
        </w:rPr>
        <w:t> </w:t>
      </w:r>
      <w:r>
        <w:rPr/>
        <w:t>a</w:t>
      </w:r>
      <w:r>
        <w:rPr>
          <w:spacing w:val="-15"/>
        </w:rPr>
        <w:t> </w:t>
      </w:r>
      <w:r>
        <w:rPr/>
        <w:t>sufficiently</w:t>
      </w:r>
      <w:r>
        <w:rPr>
          <w:spacing w:val="-15"/>
        </w:rPr>
        <w:t> </w:t>
      </w:r>
      <w:r>
        <w:rPr/>
        <w:t>independent</w:t>
      </w:r>
      <w:r>
        <w:rPr>
          <w:spacing w:val="-15"/>
        </w:rPr>
        <w:t> </w:t>
      </w:r>
      <w:r>
        <w:rPr/>
        <w:t>mind so as to bring the matter to a conclusion by a reasonable exercise of judgment under </w:t>
      </w:r>
      <w:r>
        <w:rPr>
          <w:spacing w:val="-5"/>
        </w:rPr>
        <w:t>the </w:t>
      </w:r>
      <w:r>
        <w:rPr/>
        <w:t>circumstances.</w:t>
      </w:r>
    </w:p>
    <w:p>
      <w:pPr>
        <w:pStyle w:val="BodyText"/>
        <w:spacing w:before="1"/>
      </w:pPr>
    </w:p>
    <w:p>
      <w:pPr>
        <w:pStyle w:val="BodyText"/>
        <w:spacing w:line="242" w:lineRule="auto"/>
        <w:ind w:left="1520" w:right="1518" w:firstLine="720"/>
        <w:jc w:val="both"/>
      </w:pPr>
      <w:r>
        <w:rPr/>
        <w:t>Courts have found that as long as the appraiser makes his own determinations regarding the loss and calculates his own recommended settlement amount, the fact that</w:t>
      </w:r>
      <w:r>
        <w:rPr>
          <w:spacing w:val="-20"/>
        </w:rPr>
        <w:t> </w:t>
      </w:r>
      <w:r>
        <w:rPr/>
        <w:t>the</w:t>
      </w:r>
      <w:r>
        <w:rPr>
          <w:spacing w:val="-19"/>
        </w:rPr>
        <w:t> </w:t>
      </w:r>
      <w:r>
        <w:rPr/>
        <w:t>appraiser</w:t>
      </w:r>
      <w:r>
        <w:rPr>
          <w:spacing w:val="-18"/>
        </w:rPr>
        <w:t> </w:t>
      </w:r>
      <w:r>
        <w:rPr/>
        <w:t>is</w:t>
      </w:r>
      <w:r>
        <w:rPr>
          <w:spacing w:val="-17"/>
        </w:rPr>
        <w:t> </w:t>
      </w:r>
      <w:r>
        <w:rPr/>
        <w:t>being</w:t>
      </w:r>
      <w:r>
        <w:rPr>
          <w:spacing w:val="-19"/>
        </w:rPr>
        <w:t> </w:t>
      </w:r>
      <w:r>
        <w:rPr/>
        <w:t>paid</w:t>
      </w:r>
      <w:r>
        <w:rPr>
          <w:spacing w:val="-19"/>
        </w:rPr>
        <w:t> </w:t>
      </w:r>
      <w:r>
        <w:rPr/>
        <w:t>a</w:t>
      </w:r>
      <w:r>
        <w:rPr>
          <w:spacing w:val="-19"/>
        </w:rPr>
        <w:t> </w:t>
      </w:r>
      <w:r>
        <w:rPr/>
        <w:t>contingency fee as the insured’s public adjuster</w:t>
      </w:r>
      <w:r>
        <w:rPr>
          <w:spacing w:val="26"/>
        </w:rPr>
        <w:t> </w:t>
      </w:r>
      <w:r>
        <w:rPr>
          <w:spacing w:val="-5"/>
        </w:rPr>
        <w:t>is</w:t>
      </w:r>
    </w:p>
    <w:p>
      <w:pPr>
        <w:pStyle w:val="BodyText"/>
        <w:spacing w:before="3"/>
        <w:rPr>
          <w:sz w:val="22"/>
        </w:rPr>
      </w:pPr>
      <w:r>
        <w:rPr/>
        <w:pict>
          <v:shape style="position:absolute;margin-left:162pt;margin-top:16.040674pt;width:143.9pt;height:.1pt;mso-position-horizontal-relative:page;mso-position-vertical-relative:paragraph;z-index:-251638784;mso-wrap-distance-left:0;mso-wrap-distance-right:0" coordorigin="3240,321" coordsize="2878,0" path="m3240,321l6118,321e" filled="false" stroked="true" strokeweight=".84pt" strokecolor="#000000">
            <v:path arrowok="t"/>
            <v:stroke dashstyle="solid"/>
            <w10:wrap type="topAndBottom"/>
          </v:shape>
        </w:pict>
      </w:r>
    </w:p>
    <w:p>
      <w:pPr>
        <w:pStyle w:val="ListParagraph"/>
        <w:numPr>
          <w:ilvl w:val="0"/>
          <w:numId w:val="3"/>
        </w:numPr>
        <w:tabs>
          <w:tab w:pos="1428" w:val="left" w:leader="none"/>
        </w:tabs>
        <w:spacing w:line="240" w:lineRule="auto" w:before="140" w:after="0"/>
        <w:ind w:left="1427" w:right="0" w:hanging="268"/>
        <w:jc w:val="left"/>
        <w:rPr>
          <w:sz w:val="18"/>
        </w:rPr>
      </w:pPr>
      <w:r>
        <w:rPr>
          <w:sz w:val="18"/>
        </w:rPr>
        <w:t>Appraisers</w:t>
      </w:r>
      <w:r>
        <w:rPr>
          <w:spacing w:val="6"/>
          <w:sz w:val="18"/>
        </w:rPr>
        <w:t> </w:t>
      </w:r>
      <w:r>
        <w:rPr>
          <w:sz w:val="18"/>
        </w:rPr>
        <w:t>and</w:t>
      </w:r>
      <w:r>
        <w:rPr>
          <w:spacing w:val="9"/>
          <w:sz w:val="18"/>
        </w:rPr>
        <w:t> </w:t>
      </w:r>
      <w:r>
        <w:rPr>
          <w:sz w:val="18"/>
        </w:rPr>
        <w:t>Umpire</w:t>
      </w:r>
      <w:r>
        <w:rPr>
          <w:spacing w:val="11"/>
          <w:sz w:val="18"/>
        </w:rPr>
        <w:t> </w:t>
      </w:r>
      <w:r>
        <w:rPr>
          <w:sz w:val="18"/>
        </w:rPr>
        <w:t>to</w:t>
      </w:r>
      <w:r>
        <w:rPr>
          <w:spacing w:val="13"/>
          <w:sz w:val="18"/>
        </w:rPr>
        <w:t> </w:t>
      </w:r>
      <w:r>
        <w:rPr>
          <w:sz w:val="18"/>
        </w:rPr>
        <w:t>be</w:t>
      </w:r>
      <w:r>
        <w:rPr>
          <w:spacing w:val="11"/>
          <w:sz w:val="18"/>
        </w:rPr>
        <w:t> </w:t>
      </w:r>
      <w:r>
        <w:rPr>
          <w:sz w:val="18"/>
        </w:rPr>
        <w:t>Citizens</w:t>
      </w:r>
      <w:r>
        <w:rPr>
          <w:spacing w:val="7"/>
          <w:sz w:val="18"/>
        </w:rPr>
        <w:t> </w:t>
      </w:r>
      <w:r>
        <w:rPr>
          <w:sz w:val="18"/>
        </w:rPr>
        <w:t>of</w:t>
      </w:r>
      <w:r>
        <w:rPr>
          <w:spacing w:val="5"/>
          <w:sz w:val="18"/>
        </w:rPr>
        <w:t> </w:t>
      </w:r>
      <w:r>
        <w:rPr>
          <w:sz w:val="18"/>
        </w:rPr>
        <w:t>Virginia;</w:t>
      </w:r>
      <w:r>
        <w:rPr>
          <w:spacing w:val="7"/>
          <w:sz w:val="18"/>
        </w:rPr>
        <w:t> </w:t>
      </w:r>
      <w:r>
        <w:rPr>
          <w:sz w:val="18"/>
        </w:rPr>
        <w:t>Oath</w:t>
      </w:r>
      <w:r>
        <w:rPr>
          <w:spacing w:val="8"/>
          <w:sz w:val="18"/>
        </w:rPr>
        <w:t> </w:t>
      </w:r>
      <w:r>
        <w:rPr>
          <w:sz w:val="18"/>
        </w:rPr>
        <w:t>to</w:t>
      </w:r>
      <w:r>
        <w:rPr>
          <w:spacing w:val="10"/>
          <w:sz w:val="18"/>
        </w:rPr>
        <w:t> </w:t>
      </w:r>
      <w:r>
        <w:rPr>
          <w:sz w:val="18"/>
        </w:rPr>
        <w:t>be</w:t>
      </w:r>
      <w:r>
        <w:rPr>
          <w:spacing w:val="7"/>
          <w:sz w:val="18"/>
        </w:rPr>
        <w:t> </w:t>
      </w:r>
      <w:r>
        <w:rPr>
          <w:sz w:val="18"/>
        </w:rPr>
        <w:t>Taken,</w:t>
      </w:r>
      <w:r>
        <w:rPr>
          <w:spacing w:val="8"/>
          <w:sz w:val="18"/>
        </w:rPr>
        <w:t> </w:t>
      </w:r>
      <w:r>
        <w:rPr>
          <w:sz w:val="18"/>
        </w:rPr>
        <w:t>Va.</w:t>
      </w:r>
      <w:r>
        <w:rPr>
          <w:spacing w:val="8"/>
          <w:sz w:val="18"/>
        </w:rPr>
        <w:t> </w:t>
      </w:r>
      <w:r>
        <w:rPr>
          <w:sz w:val="18"/>
        </w:rPr>
        <w:t>Code</w:t>
      </w:r>
      <w:r>
        <w:rPr>
          <w:spacing w:val="7"/>
          <w:sz w:val="18"/>
        </w:rPr>
        <w:t> </w:t>
      </w:r>
      <w:r>
        <w:rPr>
          <w:sz w:val="18"/>
        </w:rPr>
        <w:t>Ann.</w:t>
      </w:r>
    </w:p>
    <w:p>
      <w:pPr>
        <w:spacing w:line="207" w:lineRule="exact" w:before="4"/>
        <w:ind w:left="1160" w:right="0" w:firstLine="0"/>
        <w:jc w:val="left"/>
        <w:rPr>
          <w:rFonts w:ascii="Times New Roman" w:hAnsi="Times New Roman"/>
          <w:sz w:val="18"/>
        </w:rPr>
      </w:pPr>
      <w:r>
        <w:rPr>
          <w:rFonts w:ascii="Times New Roman" w:hAnsi="Times New Roman"/>
          <w:sz w:val="18"/>
        </w:rPr>
        <w:t>§38.2-2122 (Michie 2002).</w:t>
      </w:r>
    </w:p>
    <w:p>
      <w:pPr>
        <w:pStyle w:val="ListParagraph"/>
        <w:numPr>
          <w:ilvl w:val="0"/>
          <w:numId w:val="3"/>
        </w:numPr>
        <w:tabs>
          <w:tab w:pos="1426" w:val="left" w:leader="none"/>
        </w:tabs>
        <w:spacing w:line="264" w:lineRule="auto" w:before="0" w:after="0"/>
        <w:ind w:left="1160" w:right="1167" w:firstLine="0"/>
        <w:jc w:val="left"/>
        <w:rPr>
          <w:sz w:val="24"/>
        </w:rPr>
      </w:pPr>
      <w:r>
        <w:rPr>
          <w:sz w:val="18"/>
          <w:u w:val="single"/>
        </w:rPr>
        <w:t>Tiger</w:t>
      </w:r>
      <w:r>
        <w:rPr>
          <w:spacing w:val="-9"/>
          <w:sz w:val="18"/>
          <w:u w:val="single"/>
        </w:rPr>
        <w:t> </w:t>
      </w:r>
      <w:r>
        <w:rPr>
          <w:sz w:val="18"/>
          <w:u w:val="single"/>
        </w:rPr>
        <w:t>Fibers,</w:t>
      </w:r>
      <w:r>
        <w:rPr>
          <w:spacing w:val="-10"/>
          <w:sz w:val="18"/>
          <w:u w:val="single"/>
        </w:rPr>
        <w:t> </w:t>
      </w:r>
      <w:r>
        <w:rPr>
          <w:spacing w:val="-2"/>
          <w:sz w:val="18"/>
          <w:u w:val="single"/>
        </w:rPr>
        <w:t>LLC</w:t>
      </w:r>
      <w:r>
        <w:rPr>
          <w:spacing w:val="-9"/>
          <w:sz w:val="18"/>
          <w:u w:val="single"/>
        </w:rPr>
        <w:t> </w:t>
      </w:r>
      <w:r>
        <w:rPr>
          <w:sz w:val="18"/>
          <w:u w:val="single"/>
        </w:rPr>
        <w:t>v.</w:t>
      </w:r>
      <w:r>
        <w:rPr>
          <w:spacing w:val="-9"/>
          <w:sz w:val="18"/>
          <w:u w:val="single"/>
        </w:rPr>
        <w:t> </w:t>
      </w:r>
      <w:r>
        <w:rPr>
          <w:sz w:val="18"/>
          <w:u w:val="single"/>
        </w:rPr>
        <w:t>Aspen</w:t>
      </w:r>
      <w:r>
        <w:rPr>
          <w:spacing w:val="-8"/>
          <w:sz w:val="18"/>
          <w:u w:val="single"/>
        </w:rPr>
        <w:t> </w:t>
      </w:r>
      <w:r>
        <w:rPr>
          <w:sz w:val="18"/>
          <w:u w:val="single"/>
        </w:rPr>
        <w:t>Specialty</w:t>
      </w:r>
      <w:r>
        <w:rPr>
          <w:spacing w:val="-14"/>
          <w:sz w:val="18"/>
          <w:u w:val="single"/>
        </w:rPr>
        <w:t> </w:t>
      </w:r>
      <w:r>
        <w:rPr>
          <w:sz w:val="18"/>
          <w:u w:val="single"/>
        </w:rPr>
        <w:t>Ins.</w:t>
      </w:r>
      <w:r>
        <w:rPr>
          <w:spacing w:val="-8"/>
          <w:sz w:val="18"/>
          <w:u w:val="single"/>
        </w:rPr>
        <w:t> </w:t>
      </w:r>
      <w:r>
        <w:rPr>
          <w:sz w:val="18"/>
          <w:u w:val="single"/>
        </w:rPr>
        <w:t>Co.</w:t>
      </w:r>
      <w:r>
        <w:rPr>
          <w:sz w:val="18"/>
        </w:rPr>
        <w:t>,</w:t>
      </w:r>
      <w:r>
        <w:rPr>
          <w:spacing w:val="-8"/>
          <w:sz w:val="18"/>
        </w:rPr>
        <w:t> </w:t>
      </w:r>
      <w:r>
        <w:rPr>
          <w:sz w:val="18"/>
        </w:rPr>
        <w:t>2008</w:t>
      </w:r>
      <w:r>
        <w:rPr>
          <w:spacing w:val="-8"/>
          <w:sz w:val="18"/>
        </w:rPr>
        <w:t> </w:t>
      </w:r>
      <w:r>
        <w:rPr>
          <w:sz w:val="18"/>
        </w:rPr>
        <w:t>WL</w:t>
      </w:r>
      <w:r>
        <w:rPr>
          <w:spacing w:val="-10"/>
          <w:sz w:val="18"/>
        </w:rPr>
        <w:t> </w:t>
      </w:r>
      <w:r>
        <w:rPr>
          <w:sz w:val="18"/>
        </w:rPr>
        <w:t>3849367</w:t>
      </w:r>
      <w:r>
        <w:rPr>
          <w:spacing w:val="-9"/>
          <w:sz w:val="18"/>
        </w:rPr>
        <w:t> </w:t>
      </w:r>
      <w:r>
        <w:rPr>
          <w:sz w:val="18"/>
        </w:rPr>
        <w:t>(E.D.</w:t>
      </w:r>
      <w:r>
        <w:rPr>
          <w:spacing w:val="-7"/>
          <w:sz w:val="18"/>
        </w:rPr>
        <w:t> </w:t>
      </w:r>
      <w:r>
        <w:rPr>
          <w:sz w:val="18"/>
        </w:rPr>
        <w:t>Va.</w:t>
      </w:r>
      <w:r>
        <w:rPr>
          <w:spacing w:val="-10"/>
          <w:sz w:val="18"/>
        </w:rPr>
        <w:t> </w:t>
      </w:r>
      <w:r>
        <w:rPr>
          <w:sz w:val="18"/>
        </w:rPr>
        <w:t>2008);</w:t>
      </w:r>
      <w:r>
        <w:rPr>
          <w:spacing w:val="-6"/>
          <w:sz w:val="18"/>
        </w:rPr>
        <w:t> </w:t>
      </w:r>
      <w:r>
        <w:rPr>
          <w:sz w:val="18"/>
        </w:rPr>
        <w:t>Va. Code Ann </w:t>
      </w:r>
      <w:r>
        <w:rPr>
          <w:rFonts w:ascii="Century Gothic" w:hAnsi="Century Gothic"/>
          <w:sz w:val="18"/>
        </w:rPr>
        <w:t>§ </w:t>
      </w:r>
      <w:r>
        <w:rPr>
          <w:sz w:val="18"/>
        </w:rPr>
        <w:t>38.2-2105,</w:t>
      </w:r>
      <w:r>
        <w:rPr>
          <w:spacing w:val="-5"/>
          <w:sz w:val="18"/>
        </w:rPr>
        <w:t> </w:t>
      </w:r>
      <w:r>
        <w:rPr>
          <w:sz w:val="18"/>
        </w:rPr>
        <w:t>38.2-2122</w:t>
      </w:r>
      <w:r>
        <w:rPr>
          <w:sz w:val="24"/>
        </w:rPr>
        <w:t>.</w:t>
      </w:r>
    </w:p>
    <w:p>
      <w:pPr>
        <w:spacing w:after="0" w:line="264" w:lineRule="auto"/>
        <w:jc w:val="left"/>
        <w:rPr>
          <w:sz w:val="24"/>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before="42"/>
        <w:ind w:left="1520"/>
      </w:pPr>
      <w:bookmarkStart w:name="Law and Procedure 358" w:id="24"/>
      <w:bookmarkEnd w:id="24"/>
      <w:r>
        <w:rPr/>
      </w:r>
      <w:r>
        <w:rPr/>
        <w:t>immaterial.</w:t>
      </w:r>
    </w:p>
    <w:p>
      <w:pPr>
        <w:pStyle w:val="BodyText"/>
        <w:spacing w:before="5"/>
      </w:pPr>
    </w:p>
    <w:p>
      <w:pPr>
        <w:pStyle w:val="BodyText"/>
        <w:spacing w:line="242" w:lineRule="auto"/>
        <w:ind w:left="1520" w:right="1518" w:firstLine="720"/>
        <w:jc w:val="both"/>
      </w:pPr>
      <w:r>
        <w:rPr/>
        <w:t>The concept of an independent advocate is well described in the case of </w:t>
      </w:r>
      <w:r>
        <w:rPr>
          <w:u w:val="single"/>
        </w:rPr>
        <w:t>Dennis v. Standard Fire Ins. Co.</w:t>
      </w:r>
      <w:r>
        <w:rPr/>
        <w:t>,</w:t>
      </w:r>
      <w:r>
        <w:rPr>
          <w:vertAlign w:val="superscript"/>
        </w:rPr>
        <w:t>758</w:t>
      </w:r>
      <w:r>
        <w:rPr>
          <w:vertAlign w:val="baseline"/>
        </w:rPr>
        <w:t> where the court stated as follows:</w:t>
      </w:r>
    </w:p>
    <w:p>
      <w:pPr>
        <w:pStyle w:val="BodyText"/>
        <w:spacing w:before="1"/>
      </w:pPr>
    </w:p>
    <w:p>
      <w:pPr>
        <w:pStyle w:val="BodyText"/>
        <w:spacing w:line="242" w:lineRule="auto" w:before="1"/>
        <w:ind w:left="2240" w:right="2237"/>
        <w:jc w:val="both"/>
      </w:pPr>
      <w:r>
        <w:rPr>
          <w:spacing w:val="3"/>
        </w:rPr>
        <w:t>It </w:t>
      </w:r>
      <w:r>
        <w:rPr/>
        <w:t>was hardly to be expected that the appraisers would agree in all matters. They </w:t>
      </w:r>
      <w:r>
        <w:rPr>
          <w:spacing w:val="-3"/>
        </w:rPr>
        <w:t>were </w:t>
      </w:r>
      <w:r>
        <w:rPr/>
        <w:t>partisans</w:t>
      </w:r>
      <w:r>
        <w:rPr>
          <w:spacing w:val="-28"/>
        </w:rPr>
        <w:t> </w:t>
      </w:r>
      <w:r>
        <w:rPr/>
        <w:t>within bounds, but were nevertheless unbiased and unprejudiced </w:t>
      </w:r>
      <w:r>
        <w:rPr>
          <w:spacing w:val="-5"/>
        </w:rPr>
        <w:t>and </w:t>
      </w:r>
      <w:r>
        <w:rPr/>
        <w:t>disinterested</w:t>
      </w:r>
      <w:r>
        <w:rPr>
          <w:spacing w:val="-24"/>
        </w:rPr>
        <w:t> </w:t>
      </w:r>
      <w:r>
        <w:rPr/>
        <w:t>within</w:t>
      </w:r>
      <w:r>
        <w:rPr>
          <w:spacing w:val="-24"/>
        </w:rPr>
        <w:t> </w:t>
      </w:r>
      <w:r>
        <w:rPr/>
        <w:t>the</w:t>
      </w:r>
      <w:r>
        <w:rPr>
          <w:spacing w:val="-21"/>
        </w:rPr>
        <w:t> </w:t>
      </w:r>
      <w:r>
        <w:rPr/>
        <w:t>meaning</w:t>
      </w:r>
      <w:r>
        <w:rPr>
          <w:spacing w:val="-20"/>
        </w:rPr>
        <w:t> </w:t>
      </w:r>
      <w:r>
        <w:rPr/>
        <w:t>of the contract of insurance. </w:t>
      </w:r>
      <w:r>
        <w:rPr>
          <w:spacing w:val="-4"/>
        </w:rPr>
        <w:t>Their </w:t>
      </w:r>
      <w:r>
        <w:rPr/>
        <w:t>attitude was that approved of by Vice</w:t>
      </w:r>
      <w:r>
        <w:rPr>
          <w:spacing w:val="-42"/>
        </w:rPr>
        <w:t> </w:t>
      </w:r>
      <w:r>
        <w:rPr/>
        <w:t>Chancellor</w:t>
      </w:r>
      <w:r>
        <w:rPr>
          <w:spacing w:val="-37"/>
        </w:rPr>
        <w:t> </w:t>
      </w:r>
      <w:r>
        <w:rPr/>
        <w:t>Pitney</w:t>
      </w:r>
      <w:r>
        <w:rPr>
          <w:spacing w:val="-40"/>
        </w:rPr>
        <w:t> </w:t>
      </w:r>
      <w:r>
        <w:rPr/>
        <w:t>in</w:t>
      </w:r>
      <w:r>
        <w:rPr>
          <w:spacing w:val="-38"/>
        </w:rPr>
        <w:t> </w:t>
      </w:r>
      <w:r>
        <w:rPr>
          <w:u w:val="single"/>
        </w:rPr>
        <w:t>American</w:t>
      </w:r>
      <w:r>
        <w:rPr/>
        <w:t> </w:t>
      </w:r>
      <w:r>
        <w:rPr>
          <w:u w:val="single"/>
        </w:rPr>
        <w:t>Central Ins. Co. v. Landau</w:t>
      </w:r>
      <w:r>
        <w:rPr/>
        <w:t>, 62 </w:t>
      </w:r>
      <w:r>
        <w:rPr>
          <w:spacing w:val="-5"/>
        </w:rPr>
        <w:t>N.J. </w:t>
      </w:r>
      <w:r>
        <w:rPr/>
        <w:t>Eq.</w:t>
      </w:r>
      <w:r>
        <w:rPr>
          <w:spacing w:val="-19"/>
        </w:rPr>
        <w:t> </w:t>
      </w:r>
      <w:r>
        <w:rPr/>
        <w:t>93,</w:t>
      </w:r>
      <w:r>
        <w:rPr>
          <w:spacing w:val="-18"/>
        </w:rPr>
        <w:t> </w:t>
      </w:r>
      <w:r>
        <w:rPr/>
        <w:t>49</w:t>
      </w:r>
      <w:r>
        <w:rPr>
          <w:spacing w:val="-16"/>
        </w:rPr>
        <w:t> </w:t>
      </w:r>
      <w:r>
        <w:rPr>
          <w:spacing w:val="2"/>
        </w:rPr>
        <w:t>A.</w:t>
      </w:r>
      <w:r>
        <w:rPr>
          <w:spacing w:val="-19"/>
        </w:rPr>
        <w:t> </w:t>
      </w:r>
      <w:r>
        <w:rPr/>
        <w:t>745</w:t>
      </w:r>
      <w:r>
        <w:rPr>
          <w:spacing w:val="-17"/>
        </w:rPr>
        <w:t> </w:t>
      </w:r>
      <w:r>
        <w:rPr/>
        <w:t>where</w:t>
      </w:r>
      <w:r>
        <w:rPr>
          <w:spacing w:val="-17"/>
        </w:rPr>
        <w:t> </w:t>
      </w:r>
      <w:r>
        <w:rPr/>
        <w:t>he</w:t>
      </w:r>
      <w:r>
        <w:rPr>
          <w:spacing w:val="-17"/>
        </w:rPr>
        <w:t> </w:t>
      </w:r>
      <w:r>
        <w:rPr/>
        <w:t>said</w:t>
      </w:r>
      <w:r>
        <w:rPr>
          <w:spacing w:val="-18"/>
        </w:rPr>
        <w:t> </w:t>
      </w:r>
      <w:r>
        <w:rPr/>
        <w:t>that</w:t>
      </w:r>
    </w:p>
    <w:p>
      <w:pPr>
        <w:pStyle w:val="BodyText"/>
        <w:spacing w:line="242" w:lineRule="auto"/>
        <w:ind w:left="2240" w:right="2238"/>
        <w:jc w:val="both"/>
      </w:pPr>
      <w:r>
        <w:rPr/>
        <w:t>– ‘the appraiser chosen by </w:t>
      </w:r>
      <w:r>
        <w:rPr>
          <w:spacing w:val="-4"/>
        </w:rPr>
        <w:t>each </w:t>
      </w:r>
      <w:r>
        <w:rPr/>
        <w:t>party</w:t>
      </w:r>
      <w:r>
        <w:rPr>
          <w:spacing w:val="-29"/>
        </w:rPr>
        <w:t> </w:t>
      </w:r>
      <w:r>
        <w:rPr/>
        <w:t>is</w:t>
      </w:r>
      <w:r>
        <w:rPr>
          <w:spacing w:val="-26"/>
        </w:rPr>
        <w:t> </w:t>
      </w:r>
      <w:r>
        <w:rPr/>
        <w:t>supposed</w:t>
      </w:r>
      <w:r>
        <w:rPr>
          <w:spacing w:val="-22"/>
        </w:rPr>
        <w:t> </w:t>
      </w:r>
      <w:r>
        <w:rPr/>
        <w:t>and</w:t>
      </w:r>
      <w:r>
        <w:rPr>
          <w:spacing w:val="-26"/>
        </w:rPr>
        <w:t> </w:t>
      </w:r>
      <w:r>
        <w:rPr/>
        <w:t>expected,</w:t>
      </w:r>
      <w:r>
        <w:rPr>
          <w:spacing w:val="-29"/>
        </w:rPr>
        <w:t> </w:t>
      </w:r>
      <w:r>
        <w:rPr>
          <w:spacing w:val="-6"/>
        </w:rPr>
        <w:t>in </w:t>
      </w:r>
      <w:r>
        <w:rPr/>
        <w:t>a restricted sense, to represent</w:t>
      </w:r>
      <w:r>
        <w:rPr>
          <w:spacing w:val="-31"/>
        </w:rPr>
        <w:t> </w:t>
      </w:r>
      <w:r>
        <w:rPr/>
        <w:t>the party appointing him, and </w:t>
      </w:r>
      <w:r>
        <w:rPr>
          <w:spacing w:val="-3"/>
        </w:rPr>
        <w:t>within </w:t>
      </w:r>
      <w:r>
        <w:rPr/>
        <w:t>reasonable limits see to it that no legitimate consideration</w:t>
      </w:r>
      <w:r>
        <w:rPr>
          <w:spacing w:val="-49"/>
        </w:rPr>
        <w:t> </w:t>
      </w:r>
      <w:r>
        <w:rPr/>
        <w:t>favorable to the party so appointing him is overlooked</w:t>
      </w:r>
      <w:r>
        <w:rPr>
          <w:spacing w:val="-40"/>
        </w:rPr>
        <w:t> </w:t>
      </w:r>
      <w:r>
        <w:rPr/>
        <w:t>by</w:t>
      </w:r>
      <w:r>
        <w:rPr>
          <w:spacing w:val="-40"/>
        </w:rPr>
        <w:t> </w:t>
      </w:r>
      <w:r>
        <w:rPr/>
        <w:t>the</w:t>
      </w:r>
      <w:r>
        <w:rPr>
          <w:spacing w:val="-38"/>
        </w:rPr>
        <w:t> </w:t>
      </w:r>
      <w:r>
        <w:rPr/>
        <w:t>other</w:t>
      </w:r>
      <w:r>
        <w:rPr>
          <w:spacing w:val="-41"/>
        </w:rPr>
        <w:t> </w:t>
      </w:r>
      <w:r>
        <w:rPr/>
        <w:t>appraiser.’</w:t>
      </w:r>
    </w:p>
    <w:p>
      <w:pPr>
        <w:pStyle w:val="BodyText"/>
        <w:spacing w:before="7"/>
        <w:rPr>
          <w:sz w:val="25"/>
        </w:rPr>
      </w:pPr>
    </w:p>
    <w:p>
      <w:pPr>
        <w:pStyle w:val="BodyText"/>
        <w:spacing w:line="242" w:lineRule="auto" w:before="1"/>
        <w:ind w:left="1520" w:right="1518" w:firstLine="720"/>
        <w:jc w:val="both"/>
      </w:pPr>
      <w:r>
        <w:rPr/>
        <w:t>It is the existence of this independence that prevents an appraiser from being considered an agent of the party that</w:t>
      </w:r>
    </w:p>
    <w:p>
      <w:pPr>
        <w:pStyle w:val="BodyText"/>
        <w:spacing w:before="4"/>
        <w:rPr>
          <w:sz w:val="27"/>
        </w:rPr>
      </w:pPr>
      <w:r>
        <w:rPr/>
        <w:pict>
          <v:shape style="position:absolute;margin-left:162pt;margin-top:19.199112pt;width:143.9pt;height:.1pt;mso-position-horizontal-relative:page;mso-position-vertical-relative:paragraph;z-index:-251637760;mso-wrap-distance-left:0;mso-wrap-distance-right:0" coordorigin="3240,384" coordsize="2878,0" path="m3240,384l6118,384e" filled="false" stroked="true" strokeweight=".84pt" strokecolor="#000000">
            <v:path arrowok="t"/>
            <v:stroke dashstyle="solid"/>
            <w10:wrap type="topAndBottom"/>
          </v:shape>
        </w:pict>
      </w:r>
    </w:p>
    <w:p>
      <w:pPr>
        <w:pStyle w:val="BodyText"/>
        <w:spacing w:before="4"/>
        <w:rPr>
          <w:sz w:val="10"/>
        </w:rPr>
      </w:pPr>
    </w:p>
    <w:p>
      <w:pPr>
        <w:spacing w:before="71"/>
        <w:ind w:left="1160" w:right="0" w:firstLine="0"/>
        <w:jc w:val="left"/>
        <w:rPr>
          <w:rFonts w:ascii="Times New Roman"/>
          <w:sz w:val="18"/>
        </w:rPr>
      </w:pPr>
      <w:r>
        <w:rPr>
          <w:rFonts w:ascii="Times New Roman"/>
          <w:position w:val="10"/>
          <w:sz w:val="14"/>
        </w:rPr>
        <w:t>758 </w:t>
      </w:r>
      <w:r>
        <w:rPr>
          <w:rFonts w:ascii="Times New Roman"/>
          <w:sz w:val="18"/>
        </w:rPr>
        <w:t>90 N.J. Eq. 419, 107 A. 161 (1919).</w:t>
      </w:r>
    </w:p>
    <w:p>
      <w:pPr>
        <w:spacing w:after="0"/>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2"/>
        </w:rPr>
      </w:pPr>
    </w:p>
    <w:p>
      <w:pPr>
        <w:pStyle w:val="BodyText"/>
        <w:spacing w:before="76"/>
        <w:ind w:left="1520"/>
      </w:pPr>
      <w:bookmarkStart w:name="Law and Procedure 359" w:id="25"/>
      <w:bookmarkEnd w:id="25"/>
      <w:r>
        <w:rPr/>
      </w:r>
      <w:r>
        <w:rPr/>
        <w:t>nominated him.</w:t>
      </w:r>
      <w:r>
        <w:rPr>
          <w:vertAlign w:val="superscript"/>
        </w:rPr>
        <w:t>759</w:t>
      </w:r>
    </w:p>
    <w:p>
      <w:pPr>
        <w:pStyle w:val="BodyText"/>
        <w:spacing w:before="6"/>
      </w:pPr>
    </w:p>
    <w:p>
      <w:pPr>
        <w:pStyle w:val="BodyText"/>
        <w:spacing w:line="242" w:lineRule="auto"/>
        <w:ind w:left="1520" w:right="1516" w:firstLine="720"/>
        <w:jc w:val="both"/>
      </w:pPr>
      <w:r>
        <w:rPr>
          <w:spacing w:val="3"/>
        </w:rPr>
        <w:t>In </w:t>
      </w:r>
      <w:r>
        <w:rPr/>
        <w:t>Texas, it has been held that the qualifications</w:t>
      </w:r>
      <w:r>
        <w:rPr>
          <w:spacing w:val="-31"/>
        </w:rPr>
        <w:t> </w:t>
      </w:r>
      <w:r>
        <w:rPr/>
        <w:t>required</w:t>
      </w:r>
      <w:r>
        <w:rPr>
          <w:spacing w:val="-32"/>
        </w:rPr>
        <w:t> </w:t>
      </w:r>
      <w:r>
        <w:rPr/>
        <w:t>of</w:t>
      </w:r>
      <w:r>
        <w:rPr>
          <w:spacing w:val="-33"/>
        </w:rPr>
        <w:t> </w:t>
      </w:r>
      <w:r>
        <w:rPr>
          <w:spacing w:val="-3"/>
        </w:rPr>
        <w:t>the</w:t>
      </w:r>
      <w:r>
        <w:rPr>
          <w:spacing w:val="-33"/>
        </w:rPr>
        <w:t> </w:t>
      </w:r>
      <w:r>
        <w:rPr/>
        <w:t>appraiser</w:t>
      </w:r>
      <w:r>
        <w:rPr>
          <w:spacing w:val="-33"/>
        </w:rPr>
        <w:t> </w:t>
      </w:r>
      <w:r>
        <w:rPr/>
        <w:t>are</w:t>
      </w:r>
      <w:r>
        <w:rPr>
          <w:spacing w:val="-32"/>
        </w:rPr>
        <w:t> </w:t>
      </w:r>
      <w:r>
        <w:rPr/>
        <w:t>that they be competent and independent. “The appraisers should be competent with respect to</w:t>
      </w:r>
      <w:r>
        <w:rPr>
          <w:spacing w:val="-13"/>
        </w:rPr>
        <w:t> </w:t>
      </w:r>
      <w:r>
        <w:rPr/>
        <w:t>identification</w:t>
      </w:r>
      <w:r>
        <w:rPr>
          <w:spacing w:val="-13"/>
        </w:rPr>
        <w:t> </w:t>
      </w:r>
      <w:r>
        <w:rPr/>
        <w:t>of</w:t>
      </w:r>
      <w:r>
        <w:rPr>
          <w:spacing w:val="-12"/>
        </w:rPr>
        <w:t> </w:t>
      </w:r>
      <w:r>
        <w:rPr/>
        <w:t>damage</w:t>
      </w:r>
      <w:r>
        <w:rPr>
          <w:spacing w:val="-13"/>
        </w:rPr>
        <w:t> </w:t>
      </w:r>
      <w:r>
        <w:rPr/>
        <w:t>and</w:t>
      </w:r>
      <w:r>
        <w:rPr>
          <w:spacing w:val="-13"/>
        </w:rPr>
        <w:t> </w:t>
      </w:r>
      <w:r>
        <w:rPr/>
        <w:t>independent insofar as appraisers are unbiased and free of control to arrive at their own evaluation of</w:t>
      </w:r>
      <w:r>
        <w:rPr>
          <w:spacing w:val="-42"/>
        </w:rPr>
        <w:t> </w:t>
      </w:r>
      <w:r>
        <w:rPr/>
        <w:t>the loss. </w:t>
      </w:r>
      <w:r>
        <w:rPr>
          <w:spacing w:val="3"/>
        </w:rPr>
        <w:t>In </w:t>
      </w:r>
      <w:r>
        <w:rPr/>
        <w:t>short, the appraisers should have knowledge in identifying damage and act fairly, without bias, and in good</w:t>
      </w:r>
      <w:r>
        <w:rPr>
          <w:spacing w:val="-8"/>
        </w:rPr>
        <w:t> </w:t>
      </w:r>
      <w:r>
        <w:rPr/>
        <w:t>faith.”</w:t>
      </w:r>
      <w:r>
        <w:rPr>
          <w:vertAlign w:val="superscript"/>
        </w:rPr>
        <w:t>760</w:t>
      </w:r>
    </w:p>
    <w:p>
      <w:pPr>
        <w:pStyle w:val="BodyText"/>
        <w:spacing w:before="6"/>
        <w:rPr>
          <w:sz w:val="22"/>
        </w:rPr>
      </w:pPr>
    </w:p>
    <w:p>
      <w:pPr>
        <w:pStyle w:val="BodyText"/>
        <w:spacing w:before="42"/>
        <w:ind w:left="2209" w:right="1698"/>
        <w:jc w:val="center"/>
      </w:pPr>
      <w:r>
        <w:rPr/>
        <w:t>In </w:t>
      </w:r>
      <w:r>
        <w:rPr>
          <w:u w:val="single"/>
        </w:rPr>
        <w:t>Gardner</w:t>
      </w:r>
      <w:r>
        <w:rPr/>
        <w:t>, the court went on to state:</w:t>
      </w:r>
    </w:p>
    <w:p>
      <w:pPr>
        <w:pStyle w:val="BodyText"/>
        <w:spacing w:before="1"/>
        <w:rPr>
          <w:sz w:val="23"/>
        </w:rPr>
      </w:pPr>
    </w:p>
    <w:p>
      <w:pPr>
        <w:pStyle w:val="BodyText"/>
        <w:spacing w:line="242" w:lineRule="auto" w:before="41"/>
        <w:ind w:left="2240" w:right="2238"/>
        <w:jc w:val="both"/>
      </w:pPr>
      <w:r>
        <w:rPr/>
        <w:t>The</w:t>
      </w:r>
      <w:r>
        <w:rPr>
          <w:spacing w:val="-18"/>
        </w:rPr>
        <w:t> </w:t>
      </w:r>
      <w:r>
        <w:rPr/>
        <w:t>insured</w:t>
      </w:r>
      <w:r>
        <w:rPr>
          <w:spacing w:val="-18"/>
        </w:rPr>
        <w:t> </w:t>
      </w:r>
      <w:r>
        <w:rPr/>
        <w:t>in</w:t>
      </w:r>
      <w:r>
        <w:rPr>
          <w:spacing w:val="-16"/>
        </w:rPr>
        <w:t> </w:t>
      </w:r>
      <w:r>
        <w:rPr>
          <w:u w:val="single"/>
        </w:rPr>
        <w:t>Terry</w:t>
      </w:r>
      <w:r>
        <w:rPr>
          <w:spacing w:val="-20"/>
        </w:rPr>
        <w:t> </w:t>
      </w:r>
      <w:r>
        <w:rPr/>
        <w:t>argued</w:t>
      </w:r>
      <w:r>
        <w:rPr>
          <w:spacing w:val="-16"/>
        </w:rPr>
        <w:t> </w:t>
      </w:r>
      <w:r>
        <w:rPr/>
        <w:t>that</w:t>
      </w:r>
      <w:r>
        <w:rPr>
          <w:spacing w:val="-18"/>
        </w:rPr>
        <w:t> </w:t>
      </w:r>
      <w:r>
        <w:rPr/>
        <w:t>the insurance company’s appraiser was not impartial because the company had selected him as </w:t>
      </w:r>
      <w:r>
        <w:rPr>
          <w:spacing w:val="-5"/>
        </w:rPr>
        <w:t>its </w:t>
      </w:r>
      <w:r>
        <w:rPr/>
        <w:t>appraiser</w:t>
      </w:r>
      <w:r>
        <w:rPr>
          <w:spacing w:val="-37"/>
        </w:rPr>
        <w:t> </w:t>
      </w:r>
      <w:r>
        <w:rPr/>
        <w:t>“many</w:t>
      </w:r>
      <w:r>
        <w:rPr>
          <w:spacing w:val="-40"/>
        </w:rPr>
        <w:t> </w:t>
      </w:r>
      <w:r>
        <w:rPr/>
        <w:t>times</w:t>
      </w:r>
      <w:r>
        <w:rPr>
          <w:spacing w:val="-36"/>
        </w:rPr>
        <w:t> </w:t>
      </w:r>
      <w:r>
        <w:rPr/>
        <w:t>before”</w:t>
      </w:r>
      <w:r>
        <w:rPr>
          <w:spacing w:val="-36"/>
        </w:rPr>
        <w:t> </w:t>
      </w:r>
      <w:r>
        <w:rPr>
          <w:spacing w:val="-4"/>
        </w:rPr>
        <w:t>and </w:t>
      </w:r>
      <w:r>
        <w:rPr>
          <w:spacing w:val="3"/>
        </w:rPr>
        <w:t>he </w:t>
      </w:r>
      <w:r>
        <w:rPr>
          <w:spacing w:val="7"/>
        </w:rPr>
        <w:t>“consistently </w:t>
      </w:r>
      <w:r>
        <w:rPr>
          <w:spacing w:val="4"/>
        </w:rPr>
        <w:t>served with </w:t>
      </w:r>
      <w:r>
        <w:rPr/>
        <w:t>partiality and bias in making awards of amount of</w:t>
      </w:r>
      <w:r>
        <w:rPr>
          <w:spacing w:val="-9"/>
        </w:rPr>
        <w:t> </w:t>
      </w:r>
      <w:r>
        <w:rPr/>
        <w:t>damage.</w:t>
      </w:r>
    </w:p>
    <w:p>
      <w:pPr>
        <w:pStyle w:val="BodyText"/>
      </w:pPr>
    </w:p>
    <w:p>
      <w:pPr>
        <w:pStyle w:val="BodyText"/>
        <w:ind w:left="2240"/>
        <w:jc w:val="both"/>
      </w:pPr>
      <w:r>
        <w:rPr/>
        <w:t>The court held:</w:t>
      </w:r>
    </w:p>
    <w:p>
      <w:pPr>
        <w:pStyle w:val="BodyText"/>
        <w:spacing w:before="6"/>
      </w:pPr>
    </w:p>
    <w:p>
      <w:pPr>
        <w:pStyle w:val="BodyText"/>
        <w:spacing w:line="242" w:lineRule="auto"/>
        <w:ind w:left="2240" w:right="2238"/>
        <w:jc w:val="both"/>
      </w:pPr>
      <w:r>
        <w:rPr/>
        <w:t>...[E]ven if true, this fact alone would not necessarily or probably be inconsistent with his impartiality</w:t>
      </w:r>
    </w:p>
    <w:p>
      <w:pPr>
        <w:pStyle w:val="BodyText"/>
        <w:rPr>
          <w:sz w:val="25"/>
        </w:rPr>
      </w:pPr>
      <w:r>
        <w:rPr/>
        <w:pict>
          <v:shape style="position:absolute;margin-left:162pt;margin-top:17.768101pt;width:143.9pt;height:.1pt;mso-position-horizontal-relative:page;mso-position-vertical-relative:paragraph;z-index:-251636736;mso-wrap-distance-left:0;mso-wrap-distance-right:0" coordorigin="3240,355" coordsize="2878,0" path="m3240,355l6118,355e" filled="false" stroked="true" strokeweight=".84pt" strokecolor="#000000">
            <v:path arrowok="t"/>
            <v:stroke dashstyle="solid"/>
            <w10:wrap type="topAndBottom"/>
          </v:shape>
        </w:pict>
      </w:r>
    </w:p>
    <w:p>
      <w:pPr>
        <w:spacing w:before="140"/>
        <w:ind w:left="1160" w:right="0" w:firstLine="0"/>
        <w:jc w:val="left"/>
        <w:rPr>
          <w:rFonts w:ascii="Times New Roman"/>
          <w:sz w:val="18"/>
        </w:rPr>
      </w:pPr>
      <w:r>
        <w:rPr>
          <w:rFonts w:ascii="Times New Roman"/>
          <w:position w:val="10"/>
          <w:sz w:val="14"/>
        </w:rPr>
        <w:t>759</w:t>
      </w:r>
      <w:r>
        <w:rPr>
          <w:rFonts w:ascii="Times New Roman"/>
          <w:sz w:val="14"/>
        </w:rPr>
        <w:t> </w:t>
      </w:r>
      <w:r>
        <w:rPr>
          <w:rFonts w:ascii="Times New Roman"/>
          <w:sz w:val="18"/>
          <w:u w:val="single"/>
        </w:rPr>
        <w:t>Remington Paper Co. v. London Assur. Corp.</w:t>
      </w:r>
      <w:r>
        <w:rPr>
          <w:rFonts w:ascii="Times New Roman"/>
          <w:sz w:val="18"/>
        </w:rPr>
        <w:t>, 12 A.D. 218, 43 N.Y.S. 431 (4</w:t>
      </w:r>
      <w:r>
        <w:rPr>
          <w:rFonts w:ascii="Times New Roman"/>
          <w:position w:val="7"/>
          <w:sz w:val="10"/>
        </w:rPr>
        <w:t>th </w:t>
      </w:r>
      <w:r>
        <w:rPr>
          <w:rFonts w:ascii="Times New Roman"/>
          <w:sz w:val="18"/>
        </w:rPr>
        <w:t>Dept.</w:t>
      </w:r>
    </w:p>
    <w:p>
      <w:pPr>
        <w:spacing w:line="182" w:lineRule="exact" w:before="4"/>
        <w:ind w:left="1160" w:right="0" w:firstLine="0"/>
        <w:jc w:val="left"/>
        <w:rPr>
          <w:rFonts w:ascii="Times New Roman"/>
          <w:sz w:val="18"/>
        </w:rPr>
      </w:pPr>
      <w:r>
        <w:rPr>
          <w:rFonts w:ascii="Times New Roman"/>
          <w:sz w:val="18"/>
        </w:rPr>
        <w:t>1896).</w:t>
      </w:r>
    </w:p>
    <w:p>
      <w:pPr>
        <w:spacing w:line="235" w:lineRule="exact" w:before="0"/>
        <w:ind w:left="1160" w:right="0" w:firstLine="0"/>
        <w:jc w:val="left"/>
        <w:rPr>
          <w:rFonts w:ascii="Times New Roman"/>
          <w:sz w:val="18"/>
        </w:rPr>
      </w:pPr>
      <w:r>
        <w:rPr>
          <w:rFonts w:ascii="Times New Roman"/>
          <w:position w:val="9"/>
          <w:sz w:val="14"/>
        </w:rPr>
        <w:t>760</w:t>
      </w:r>
      <w:r>
        <w:rPr>
          <w:rFonts w:ascii="Times New Roman"/>
          <w:sz w:val="14"/>
        </w:rPr>
        <w:t> </w:t>
      </w:r>
      <w:r>
        <w:rPr>
          <w:rFonts w:ascii="Times New Roman"/>
          <w:sz w:val="18"/>
          <w:u w:val="single"/>
        </w:rPr>
        <w:t>Gardner v. State Farm Lloyds</w:t>
      </w:r>
      <w:r>
        <w:rPr>
          <w:rFonts w:ascii="Times New Roman"/>
          <w:sz w:val="18"/>
        </w:rPr>
        <w:t>, 76 S.W.3d 140 (Tex. App.-Houston [1</w:t>
      </w:r>
      <w:r>
        <w:rPr>
          <w:rFonts w:ascii="Times New Roman"/>
          <w:position w:val="7"/>
          <w:sz w:val="10"/>
        </w:rPr>
        <w:t>st </w:t>
      </w:r>
      <w:r>
        <w:rPr>
          <w:rFonts w:ascii="Times New Roman"/>
          <w:sz w:val="18"/>
        </w:rPr>
        <w:t>Dist.] 2002).</w:t>
      </w:r>
    </w:p>
    <w:p>
      <w:pPr>
        <w:spacing w:after="0" w:line="235" w:lineRule="exact"/>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2240" w:right="2239"/>
        <w:jc w:val="both"/>
      </w:pPr>
      <w:bookmarkStart w:name="Law and Procedure 360" w:id="26"/>
      <w:bookmarkEnd w:id="26"/>
      <w:r>
        <w:rPr/>
      </w:r>
      <w:r>
        <w:rPr/>
        <w:t>in</w:t>
      </w:r>
      <w:r>
        <w:rPr>
          <w:spacing w:val="-21"/>
        </w:rPr>
        <w:t> </w:t>
      </w:r>
      <w:r>
        <w:rPr/>
        <w:t>the</w:t>
      </w:r>
      <w:r>
        <w:rPr>
          <w:spacing w:val="-21"/>
        </w:rPr>
        <w:t> </w:t>
      </w:r>
      <w:r>
        <w:rPr/>
        <w:t>present</w:t>
      </w:r>
      <w:r>
        <w:rPr>
          <w:spacing w:val="-23"/>
        </w:rPr>
        <w:t> </w:t>
      </w:r>
      <w:r>
        <w:rPr/>
        <w:t>case,</w:t>
      </w:r>
      <w:r>
        <w:rPr>
          <w:spacing w:val="-23"/>
        </w:rPr>
        <w:t> </w:t>
      </w:r>
      <w:r>
        <w:rPr/>
        <w:t>in</w:t>
      </w:r>
      <w:r>
        <w:rPr>
          <w:spacing w:val="-23"/>
        </w:rPr>
        <w:t> </w:t>
      </w:r>
      <w:r>
        <w:rPr/>
        <w:t>the</w:t>
      </w:r>
      <w:r>
        <w:rPr>
          <w:spacing w:val="-21"/>
        </w:rPr>
        <w:t> </w:t>
      </w:r>
      <w:r>
        <w:rPr/>
        <w:t>absence of</w:t>
      </w:r>
      <w:r>
        <w:rPr>
          <w:spacing w:val="-11"/>
        </w:rPr>
        <w:t> </w:t>
      </w:r>
      <w:r>
        <w:rPr/>
        <w:t>some</w:t>
      </w:r>
      <w:r>
        <w:rPr>
          <w:spacing w:val="-11"/>
        </w:rPr>
        <w:t> </w:t>
      </w:r>
      <w:r>
        <w:rPr/>
        <w:t>act</w:t>
      </w:r>
      <w:r>
        <w:rPr>
          <w:spacing w:val="-10"/>
        </w:rPr>
        <w:t> </w:t>
      </w:r>
      <w:r>
        <w:rPr/>
        <w:t>or</w:t>
      </w:r>
      <w:r>
        <w:rPr>
          <w:spacing w:val="-9"/>
        </w:rPr>
        <w:t> </w:t>
      </w:r>
      <w:r>
        <w:rPr/>
        <w:t>conduct</w:t>
      </w:r>
      <w:r>
        <w:rPr>
          <w:spacing w:val="-9"/>
        </w:rPr>
        <w:t> </w:t>
      </w:r>
      <w:r>
        <w:rPr/>
        <w:t>tending</w:t>
      </w:r>
      <w:r>
        <w:rPr>
          <w:spacing w:val="-8"/>
        </w:rPr>
        <w:t> </w:t>
      </w:r>
      <w:r>
        <w:rPr>
          <w:spacing w:val="-9"/>
        </w:rPr>
        <w:t>to </w:t>
      </w:r>
      <w:r>
        <w:rPr/>
        <w:t>exhibit his serving the company’s interests as a partisan</w:t>
      </w:r>
      <w:r>
        <w:rPr>
          <w:spacing w:val="-6"/>
        </w:rPr>
        <w:t> </w:t>
      </w:r>
      <w:r>
        <w:rPr/>
        <w:t>would.</w:t>
      </w:r>
      <w:r>
        <w:rPr>
          <w:vertAlign w:val="superscript"/>
        </w:rPr>
        <w:t>761</w:t>
      </w:r>
    </w:p>
    <w:p>
      <w:pPr>
        <w:pStyle w:val="BodyText"/>
        <w:spacing w:before="8"/>
        <w:rPr>
          <w:sz w:val="22"/>
        </w:rPr>
      </w:pPr>
    </w:p>
    <w:p>
      <w:pPr>
        <w:pStyle w:val="BodyText"/>
        <w:spacing w:line="242" w:lineRule="auto" w:before="42"/>
        <w:ind w:left="1520" w:right="1518" w:firstLine="720"/>
        <w:jc w:val="both"/>
      </w:pPr>
      <w:r>
        <w:rPr/>
        <w:t>The </w:t>
      </w:r>
      <w:r>
        <w:rPr>
          <w:u w:val="single"/>
        </w:rPr>
        <w:t>Gardner</w:t>
      </w:r>
      <w:r>
        <w:rPr/>
        <w:t> case certainly suggests </w:t>
      </w:r>
      <w:r>
        <w:rPr>
          <w:spacing w:val="-5"/>
        </w:rPr>
        <w:t>the </w:t>
      </w:r>
      <w:r>
        <w:rPr/>
        <w:t>outer limit of permissible partiality and even then there is patent inconsistency within the court’s</w:t>
      </w:r>
      <w:r>
        <w:rPr>
          <w:spacing w:val="-31"/>
        </w:rPr>
        <w:t> </w:t>
      </w:r>
      <w:r>
        <w:rPr>
          <w:spacing w:val="-3"/>
        </w:rPr>
        <w:t>reasoning</w:t>
      </w:r>
      <w:r>
        <w:rPr>
          <w:spacing w:val="-31"/>
        </w:rPr>
        <w:t> </w:t>
      </w:r>
      <w:r>
        <w:rPr/>
        <w:t>by</w:t>
      </w:r>
      <w:r>
        <w:rPr>
          <w:spacing w:val="-32"/>
        </w:rPr>
        <w:t> </w:t>
      </w:r>
      <w:r>
        <w:rPr/>
        <w:t>permitting</w:t>
      </w:r>
      <w:r>
        <w:rPr>
          <w:spacing w:val="-30"/>
        </w:rPr>
        <w:t> </w:t>
      </w:r>
      <w:r>
        <w:rPr/>
        <w:t>this</w:t>
      </w:r>
      <w:r>
        <w:rPr>
          <w:spacing w:val="-30"/>
        </w:rPr>
        <w:t> </w:t>
      </w:r>
      <w:r>
        <w:rPr/>
        <w:t>appraisal</w:t>
      </w:r>
      <w:r>
        <w:rPr>
          <w:spacing w:val="-30"/>
        </w:rPr>
        <w:t> </w:t>
      </w:r>
      <w:r>
        <w:rPr/>
        <w:t>to stand,</w:t>
      </w:r>
      <w:r>
        <w:rPr>
          <w:spacing w:val="-36"/>
        </w:rPr>
        <w:t> </w:t>
      </w:r>
      <w:r>
        <w:rPr/>
        <w:t>once</w:t>
      </w:r>
      <w:r>
        <w:rPr>
          <w:spacing w:val="-32"/>
        </w:rPr>
        <w:t> </w:t>
      </w:r>
      <w:r>
        <w:rPr/>
        <w:t>the</w:t>
      </w:r>
      <w:r>
        <w:rPr>
          <w:spacing w:val="-33"/>
        </w:rPr>
        <w:t> </w:t>
      </w:r>
      <w:r>
        <w:rPr/>
        <w:t>court</w:t>
      </w:r>
      <w:r>
        <w:rPr>
          <w:spacing w:val="-34"/>
        </w:rPr>
        <w:t> </w:t>
      </w:r>
      <w:r>
        <w:rPr>
          <w:spacing w:val="-3"/>
        </w:rPr>
        <w:t>assumes</w:t>
      </w:r>
      <w:r>
        <w:rPr>
          <w:spacing w:val="-33"/>
        </w:rPr>
        <w:t> </w:t>
      </w:r>
      <w:r>
        <w:rPr/>
        <w:t>that</w:t>
      </w:r>
      <w:r>
        <w:rPr>
          <w:spacing w:val="-34"/>
        </w:rPr>
        <w:t> </w:t>
      </w:r>
      <w:r>
        <w:rPr/>
        <w:t>the</w:t>
      </w:r>
      <w:r>
        <w:rPr>
          <w:spacing w:val="-32"/>
        </w:rPr>
        <w:t> </w:t>
      </w:r>
      <w:r>
        <w:rPr/>
        <w:t>carrier’s appraiser “had consistently served </w:t>
      </w:r>
      <w:r>
        <w:rPr>
          <w:spacing w:val="-4"/>
        </w:rPr>
        <w:t>with </w:t>
      </w:r>
      <w:r>
        <w:rPr/>
        <w:t>partiality</w:t>
      </w:r>
      <w:r>
        <w:rPr>
          <w:spacing w:val="-32"/>
        </w:rPr>
        <w:t> </w:t>
      </w:r>
      <w:r>
        <w:rPr/>
        <w:t>and</w:t>
      </w:r>
      <w:r>
        <w:rPr>
          <w:spacing w:val="-27"/>
        </w:rPr>
        <w:t> </w:t>
      </w:r>
      <w:r>
        <w:rPr/>
        <w:t>bias</w:t>
      </w:r>
      <w:r>
        <w:rPr>
          <w:spacing w:val="-28"/>
        </w:rPr>
        <w:t> </w:t>
      </w:r>
      <w:r>
        <w:rPr/>
        <w:t>in</w:t>
      </w:r>
      <w:r>
        <w:rPr>
          <w:spacing w:val="-30"/>
        </w:rPr>
        <w:t> </w:t>
      </w:r>
      <w:r>
        <w:rPr/>
        <w:t>making</w:t>
      </w:r>
      <w:r>
        <w:rPr>
          <w:spacing w:val="-29"/>
        </w:rPr>
        <w:t> </w:t>
      </w:r>
      <w:r>
        <w:rPr/>
        <w:t>awards”</w:t>
      </w:r>
      <w:r>
        <w:rPr>
          <w:spacing w:val="-32"/>
        </w:rPr>
        <w:t> </w:t>
      </w:r>
      <w:r>
        <w:rPr/>
        <w:t>on</w:t>
      </w:r>
      <w:r>
        <w:rPr>
          <w:spacing w:val="-31"/>
        </w:rPr>
        <w:t> </w:t>
      </w:r>
      <w:r>
        <w:rPr/>
        <w:t>behalf of the nominating insurer. </w:t>
      </w:r>
      <w:r>
        <w:rPr>
          <w:spacing w:val="-3"/>
        </w:rPr>
        <w:t>The </w:t>
      </w:r>
      <w:r>
        <w:rPr/>
        <w:t>court found this record of partiality to be inconsistent with the allegation that the appraiser was being “partisan,” when logically it would appear otherwise.</w:t>
      </w:r>
    </w:p>
    <w:p>
      <w:pPr>
        <w:pStyle w:val="BodyText"/>
        <w:spacing w:before="10"/>
        <w:rPr>
          <w:sz w:val="25"/>
        </w:rPr>
      </w:pPr>
    </w:p>
    <w:p>
      <w:pPr>
        <w:pStyle w:val="BodyText"/>
        <w:spacing w:line="242" w:lineRule="auto" w:before="1"/>
        <w:ind w:left="1520" w:right="1518" w:firstLine="720"/>
        <w:jc w:val="both"/>
      </w:pPr>
      <w:r>
        <w:rPr/>
        <w:t>Objections</w:t>
      </w:r>
      <w:r>
        <w:rPr>
          <w:spacing w:val="-32"/>
        </w:rPr>
        <w:t> </w:t>
      </w:r>
      <w:r>
        <w:rPr/>
        <w:t>to</w:t>
      </w:r>
      <w:r>
        <w:rPr>
          <w:spacing w:val="-34"/>
        </w:rPr>
        <w:t> </w:t>
      </w:r>
      <w:r>
        <w:rPr/>
        <w:t>an</w:t>
      </w:r>
      <w:r>
        <w:rPr>
          <w:spacing w:val="-34"/>
        </w:rPr>
        <w:t> </w:t>
      </w:r>
      <w:r>
        <w:rPr/>
        <w:t>appraiser</w:t>
      </w:r>
      <w:r>
        <w:rPr>
          <w:spacing w:val="-33"/>
        </w:rPr>
        <w:t> </w:t>
      </w:r>
      <w:r>
        <w:rPr/>
        <w:t>on</w:t>
      </w:r>
      <w:r>
        <w:rPr>
          <w:spacing w:val="-30"/>
        </w:rPr>
        <w:t> </w:t>
      </w:r>
      <w:r>
        <w:rPr/>
        <w:t>the</w:t>
      </w:r>
      <w:r>
        <w:rPr>
          <w:spacing w:val="-32"/>
        </w:rPr>
        <w:t> </w:t>
      </w:r>
      <w:r>
        <w:rPr/>
        <w:t>basis</w:t>
      </w:r>
      <w:r>
        <w:rPr>
          <w:spacing w:val="-31"/>
        </w:rPr>
        <w:t> </w:t>
      </w:r>
      <w:r>
        <w:rPr/>
        <w:t>of his competence or interest should be made promptly or may be considered to have</w:t>
      </w:r>
      <w:r>
        <w:rPr>
          <w:spacing w:val="-36"/>
        </w:rPr>
        <w:t> </w:t>
      </w:r>
      <w:r>
        <w:rPr>
          <w:spacing w:val="-3"/>
        </w:rPr>
        <w:t>been </w:t>
      </w:r>
      <w:r>
        <w:rPr/>
        <w:t>waived.</w:t>
      </w:r>
      <w:r>
        <w:rPr>
          <w:vertAlign w:val="superscript"/>
        </w:rPr>
        <w:t>762</w:t>
      </w:r>
    </w:p>
    <w:p>
      <w:pPr>
        <w:pStyle w:val="BodyText"/>
        <w:spacing w:before="1"/>
      </w:pPr>
    </w:p>
    <w:p>
      <w:pPr>
        <w:pStyle w:val="BodyText"/>
        <w:spacing w:line="242" w:lineRule="auto"/>
        <w:ind w:left="1520" w:right="1518" w:firstLine="720"/>
        <w:jc w:val="both"/>
      </w:pPr>
      <w:r>
        <w:rPr/>
        <w:t>It has been stated that in making a determination of whether to disqualify an appraiser, the issue to be determined is</w:t>
      </w:r>
    </w:p>
    <w:p>
      <w:pPr>
        <w:pStyle w:val="BodyText"/>
        <w:spacing w:before="7"/>
        <w:rPr>
          <w:sz w:val="17"/>
        </w:rPr>
      </w:pPr>
      <w:r>
        <w:rPr/>
        <w:pict>
          <v:shape style="position:absolute;margin-left:162pt;margin-top:13.215288pt;width:143.9pt;height:.1pt;mso-position-horizontal-relative:page;mso-position-vertical-relative:paragraph;z-index:-251635712;mso-wrap-distance-left:0;mso-wrap-distance-right:0" coordorigin="3240,264" coordsize="2878,0" path="m3240,264l6118,264e" filled="false" stroked="true" strokeweight=".84pt" strokecolor="#000000">
            <v:path arrowok="t"/>
            <v:stroke dashstyle="solid"/>
            <w10:wrap type="topAndBottom"/>
          </v:shape>
        </w:pict>
      </w:r>
    </w:p>
    <w:p>
      <w:pPr>
        <w:spacing w:before="140"/>
        <w:ind w:left="1160" w:right="0" w:firstLine="0"/>
        <w:jc w:val="both"/>
        <w:rPr>
          <w:rFonts w:ascii="Times New Roman"/>
          <w:sz w:val="18"/>
        </w:rPr>
      </w:pPr>
      <w:r>
        <w:rPr>
          <w:rFonts w:ascii="Times New Roman"/>
          <w:position w:val="10"/>
          <w:sz w:val="14"/>
        </w:rPr>
        <w:t>761</w:t>
      </w:r>
      <w:r>
        <w:rPr>
          <w:rFonts w:ascii="Times New Roman"/>
          <w:sz w:val="14"/>
        </w:rPr>
        <w:t> </w:t>
      </w:r>
      <w:r>
        <w:rPr>
          <w:rFonts w:ascii="Times New Roman"/>
          <w:sz w:val="18"/>
          <w:u w:val="single"/>
        </w:rPr>
        <w:t>Gardner</w:t>
      </w:r>
      <w:r>
        <w:rPr>
          <w:rFonts w:ascii="Times New Roman"/>
          <w:sz w:val="18"/>
        </w:rPr>
        <w:t>, 76 S.W.3d at 144, </w:t>
      </w:r>
      <w:r>
        <w:rPr>
          <w:rFonts w:ascii="Times New Roman"/>
          <w:i/>
          <w:sz w:val="18"/>
        </w:rPr>
        <w:t>citing, </w:t>
      </w:r>
      <w:r>
        <w:rPr>
          <w:rFonts w:ascii="Times New Roman"/>
          <w:sz w:val="18"/>
          <w:u w:val="single"/>
        </w:rPr>
        <w:t>American Central Ins. Co. v. Terry</w:t>
      </w:r>
      <w:r>
        <w:rPr>
          <w:rFonts w:ascii="Times New Roman"/>
          <w:sz w:val="18"/>
        </w:rPr>
        <w:t>, 298 S.W. 658,</w:t>
      </w:r>
    </w:p>
    <w:p>
      <w:pPr>
        <w:spacing w:line="178" w:lineRule="exact" w:before="4"/>
        <w:ind w:left="1160" w:right="0" w:firstLine="0"/>
        <w:jc w:val="both"/>
        <w:rPr>
          <w:rFonts w:ascii="Times New Roman"/>
          <w:sz w:val="18"/>
        </w:rPr>
      </w:pPr>
      <w:r>
        <w:rPr>
          <w:rFonts w:ascii="Times New Roman"/>
          <w:sz w:val="18"/>
        </w:rPr>
        <w:t>662 (Tex. Civ. App.-Texarkana 1927).</w:t>
      </w:r>
    </w:p>
    <w:p>
      <w:pPr>
        <w:pStyle w:val="ListParagraph"/>
        <w:numPr>
          <w:ilvl w:val="0"/>
          <w:numId w:val="5"/>
        </w:numPr>
        <w:tabs>
          <w:tab w:pos="1418" w:val="left" w:leader="none"/>
        </w:tabs>
        <w:spacing w:line="240" w:lineRule="exact" w:before="0" w:after="0"/>
        <w:ind w:left="1418" w:right="0" w:hanging="258"/>
        <w:jc w:val="both"/>
        <w:rPr>
          <w:sz w:val="18"/>
        </w:rPr>
      </w:pPr>
      <w:r>
        <w:rPr>
          <w:sz w:val="18"/>
          <w:u w:val="single"/>
        </w:rPr>
        <w:t>Hyland v. Millers Nat. Ins. Co.</w:t>
      </w:r>
      <w:r>
        <w:rPr>
          <w:i/>
          <w:sz w:val="18"/>
        </w:rPr>
        <w:t>,</w:t>
      </w:r>
      <w:r>
        <w:rPr>
          <w:sz w:val="18"/>
        </w:rPr>
        <w:t>91 F.2d 735 (9</w:t>
      </w:r>
      <w:r>
        <w:rPr>
          <w:position w:val="7"/>
          <w:sz w:val="10"/>
        </w:rPr>
        <w:t>th </w:t>
      </w:r>
      <w:r>
        <w:rPr>
          <w:sz w:val="18"/>
        </w:rPr>
        <w:t>Cir. 1937); </w:t>
      </w:r>
      <w:r>
        <w:rPr>
          <w:sz w:val="18"/>
          <w:u w:val="single"/>
        </w:rPr>
        <w:t>Fireman’s Fund Ins. Co.</w:t>
      </w:r>
      <w:r>
        <w:rPr>
          <w:spacing w:val="-20"/>
          <w:sz w:val="18"/>
          <w:u w:val="single"/>
        </w:rPr>
        <w:t> </w:t>
      </w:r>
      <w:r>
        <w:rPr>
          <w:sz w:val="18"/>
          <w:u w:val="single"/>
        </w:rPr>
        <w:t>v.</w:t>
      </w:r>
    </w:p>
    <w:p>
      <w:pPr>
        <w:spacing w:line="244" w:lineRule="auto" w:before="5"/>
        <w:ind w:left="1160" w:right="1157" w:firstLine="0"/>
        <w:jc w:val="both"/>
        <w:rPr>
          <w:rFonts w:ascii="Times New Roman"/>
          <w:sz w:val="18"/>
        </w:rPr>
      </w:pPr>
      <w:r>
        <w:rPr>
          <w:rFonts w:ascii="Times New Roman"/>
          <w:sz w:val="18"/>
          <w:u w:val="single"/>
        </w:rPr>
        <w:t>Flint</w:t>
      </w:r>
      <w:r>
        <w:rPr>
          <w:rFonts w:ascii="Times New Roman"/>
          <w:spacing w:val="-13"/>
          <w:sz w:val="18"/>
          <w:u w:val="single"/>
        </w:rPr>
        <w:t> </w:t>
      </w:r>
      <w:r>
        <w:rPr>
          <w:rFonts w:ascii="Times New Roman"/>
          <w:sz w:val="18"/>
          <w:u w:val="single"/>
        </w:rPr>
        <w:t>Hosiery</w:t>
      </w:r>
      <w:r>
        <w:rPr>
          <w:rFonts w:ascii="Times New Roman"/>
          <w:spacing w:val="-19"/>
          <w:sz w:val="18"/>
          <w:u w:val="single"/>
        </w:rPr>
        <w:t> </w:t>
      </w:r>
      <w:r>
        <w:rPr>
          <w:rFonts w:ascii="Times New Roman"/>
          <w:sz w:val="18"/>
          <w:u w:val="single"/>
        </w:rPr>
        <w:t>Mills,</w:t>
      </w:r>
      <w:r>
        <w:rPr>
          <w:rFonts w:ascii="Times New Roman"/>
          <w:spacing w:val="-11"/>
          <w:sz w:val="18"/>
          <w:u w:val="single"/>
        </w:rPr>
        <w:t> </w:t>
      </w:r>
      <w:r>
        <w:rPr>
          <w:rFonts w:ascii="Times New Roman"/>
          <w:sz w:val="18"/>
          <w:u w:val="single"/>
        </w:rPr>
        <w:t>Inc.</w:t>
      </w:r>
      <w:r>
        <w:rPr>
          <w:rFonts w:ascii="Times New Roman"/>
          <w:sz w:val="18"/>
        </w:rPr>
        <w:t>,</w:t>
      </w:r>
      <w:r>
        <w:rPr>
          <w:rFonts w:ascii="Times New Roman"/>
          <w:spacing w:val="-12"/>
          <w:sz w:val="18"/>
        </w:rPr>
        <w:t> </w:t>
      </w:r>
      <w:r>
        <w:rPr>
          <w:rFonts w:ascii="Times New Roman"/>
          <w:sz w:val="18"/>
        </w:rPr>
        <w:t>74</w:t>
      </w:r>
      <w:r>
        <w:rPr>
          <w:rFonts w:ascii="Times New Roman"/>
          <w:spacing w:val="-13"/>
          <w:sz w:val="18"/>
        </w:rPr>
        <w:t> </w:t>
      </w:r>
      <w:r>
        <w:rPr>
          <w:rFonts w:ascii="Times New Roman"/>
          <w:sz w:val="18"/>
        </w:rPr>
        <w:t>F.2d</w:t>
      </w:r>
      <w:r>
        <w:rPr>
          <w:rFonts w:ascii="Times New Roman"/>
          <w:spacing w:val="-11"/>
          <w:sz w:val="18"/>
        </w:rPr>
        <w:t> </w:t>
      </w:r>
      <w:r>
        <w:rPr>
          <w:rFonts w:ascii="Times New Roman"/>
          <w:sz w:val="18"/>
        </w:rPr>
        <w:t>533</w:t>
      </w:r>
      <w:r>
        <w:rPr>
          <w:rFonts w:ascii="Times New Roman"/>
          <w:spacing w:val="-12"/>
          <w:sz w:val="18"/>
        </w:rPr>
        <w:t> </w:t>
      </w:r>
      <w:r>
        <w:rPr>
          <w:rFonts w:ascii="Times New Roman"/>
          <w:sz w:val="18"/>
        </w:rPr>
        <w:t>(4</w:t>
      </w:r>
      <w:r>
        <w:rPr>
          <w:rFonts w:ascii="Times New Roman"/>
          <w:position w:val="7"/>
          <w:sz w:val="10"/>
        </w:rPr>
        <w:t>th</w:t>
      </w:r>
      <w:r>
        <w:rPr>
          <w:rFonts w:ascii="Times New Roman"/>
          <w:spacing w:val="10"/>
          <w:position w:val="7"/>
          <w:sz w:val="10"/>
        </w:rPr>
        <w:t> </w:t>
      </w:r>
      <w:r>
        <w:rPr>
          <w:rFonts w:ascii="Times New Roman"/>
          <w:sz w:val="18"/>
        </w:rPr>
        <w:t>Cir.1935);</w:t>
      </w:r>
      <w:r>
        <w:rPr>
          <w:rFonts w:ascii="Times New Roman"/>
          <w:spacing w:val="-13"/>
          <w:sz w:val="18"/>
        </w:rPr>
        <w:t> </w:t>
      </w:r>
      <w:r>
        <w:rPr>
          <w:rFonts w:ascii="Times New Roman"/>
          <w:sz w:val="18"/>
          <w:u w:val="single"/>
        </w:rPr>
        <w:t>Heller</w:t>
      </w:r>
      <w:r>
        <w:rPr>
          <w:rFonts w:ascii="Times New Roman"/>
          <w:spacing w:val="-14"/>
          <w:sz w:val="18"/>
          <w:u w:val="single"/>
        </w:rPr>
        <w:t> </w:t>
      </w:r>
      <w:r>
        <w:rPr>
          <w:rFonts w:ascii="Times New Roman"/>
          <w:sz w:val="18"/>
          <w:u w:val="single"/>
        </w:rPr>
        <w:t>v.</w:t>
      </w:r>
      <w:r>
        <w:rPr>
          <w:rFonts w:ascii="Times New Roman"/>
          <w:spacing w:val="-13"/>
          <w:sz w:val="18"/>
          <w:u w:val="single"/>
        </w:rPr>
        <w:t> </w:t>
      </w:r>
      <w:r>
        <w:rPr>
          <w:rFonts w:ascii="Times New Roman"/>
          <w:sz w:val="18"/>
          <w:u w:val="single"/>
        </w:rPr>
        <w:t>Hartz</w:t>
      </w:r>
      <w:r>
        <w:rPr>
          <w:rFonts w:ascii="Times New Roman"/>
          <w:spacing w:val="-15"/>
          <w:sz w:val="18"/>
          <w:u w:val="single"/>
        </w:rPr>
        <w:t> </w:t>
      </w:r>
      <w:r>
        <w:rPr>
          <w:rFonts w:ascii="Times New Roman"/>
          <w:sz w:val="18"/>
          <w:u w:val="single"/>
        </w:rPr>
        <w:t>Mountain</w:t>
      </w:r>
      <w:r>
        <w:rPr>
          <w:rFonts w:ascii="Times New Roman"/>
          <w:spacing w:val="-14"/>
          <w:sz w:val="18"/>
          <w:u w:val="single"/>
        </w:rPr>
        <w:t> </w:t>
      </w:r>
      <w:r>
        <w:rPr>
          <w:rFonts w:ascii="Times New Roman"/>
          <w:sz w:val="18"/>
          <w:u w:val="single"/>
        </w:rPr>
        <w:t>Ind.</w:t>
      </w:r>
      <w:r>
        <w:rPr>
          <w:rFonts w:ascii="Times New Roman"/>
          <w:sz w:val="18"/>
        </w:rPr>
        <w:t>,</w:t>
      </w:r>
      <w:r>
        <w:rPr>
          <w:rFonts w:ascii="Times New Roman"/>
          <w:spacing w:val="-12"/>
          <w:sz w:val="18"/>
        </w:rPr>
        <w:t> </w:t>
      </w:r>
      <w:r>
        <w:rPr>
          <w:rFonts w:ascii="Times New Roman"/>
          <w:sz w:val="18"/>
        </w:rPr>
        <w:t>270</w:t>
      </w:r>
      <w:r>
        <w:rPr>
          <w:rFonts w:ascii="Times New Roman"/>
          <w:spacing w:val="-13"/>
          <w:sz w:val="18"/>
        </w:rPr>
        <w:t> </w:t>
      </w:r>
      <w:r>
        <w:rPr>
          <w:rFonts w:ascii="Times New Roman"/>
          <w:sz w:val="18"/>
        </w:rPr>
        <w:t>N.J. Super</w:t>
      </w:r>
      <w:r>
        <w:rPr>
          <w:rFonts w:ascii="Times New Roman"/>
          <w:spacing w:val="-10"/>
          <w:sz w:val="18"/>
        </w:rPr>
        <w:t> </w:t>
      </w:r>
      <w:r>
        <w:rPr>
          <w:rFonts w:ascii="Times New Roman"/>
          <w:sz w:val="18"/>
        </w:rPr>
        <w:t>143,</w:t>
      </w:r>
      <w:r>
        <w:rPr>
          <w:rFonts w:ascii="Times New Roman"/>
          <w:spacing w:val="-8"/>
          <w:sz w:val="18"/>
        </w:rPr>
        <w:t> </w:t>
      </w:r>
      <w:r>
        <w:rPr>
          <w:rFonts w:ascii="Times New Roman"/>
          <w:sz w:val="18"/>
        </w:rPr>
        <w:t>636</w:t>
      </w:r>
      <w:r>
        <w:rPr>
          <w:rFonts w:ascii="Times New Roman"/>
          <w:spacing w:val="-9"/>
          <w:sz w:val="18"/>
        </w:rPr>
        <w:t> </w:t>
      </w:r>
      <w:r>
        <w:rPr>
          <w:rFonts w:ascii="Times New Roman"/>
          <w:sz w:val="18"/>
        </w:rPr>
        <w:t>A.2d</w:t>
      </w:r>
      <w:r>
        <w:rPr>
          <w:rFonts w:ascii="Times New Roman"/>
          <w:spacing w:val="-7"/>
          <w:sz w:val="18"/>
        </w:rPr>
        <w:t> </w:t>
      </w:r>
      <w:r>
        <w:rPr>
          <w:rFonts w:ascii="Times New Roman"/>
          <w:sz w:val="18"/>
        </w:rPr>
        <w:t>599</w:t>
      </w:r>
      <w:r>
        <w:rPr>
          <w:rFonts w:ascii="Times New Roman"/>
          <w:spacing w:val="-7"/>
          <w:sz w:val="18"/>
        </w:rPr>
        <w:t> </w:t>
      </w:r>
      <w:r>
        <w:rPr>
          <w:rFonts w:ascii="Times New Roman"/>
          <w:sz w:val="18"/>
        </w:rPr>
        <w:t>(1993);</w:t>
      </w:r>
      <w:r>
        <w:rPr>
          <w:rFonts w:ascii="Times New Roman"/>
          <w:spacing w:val="-8"/>
          <w:sz w:val="18"/>
        </w:rPr>
        <w:t> </w:t>
      </w:r>
      <w:r>
        <w:rPr>
          <w:rFonts w:ascii="Times New Roman"/>
          <w:sz w:val="18"/>
          <w:u w:val="single"/>
        </w:rPr>
        <w:t>Land</w:t>
      </w:r>
      <w:r>
        <w:rPr>
          <w:rFonts w:ascii="Times New Roman"/>
          <w:spacing w:val="-6"/>
          <w:sz w:val="18"/>
          <w:u w:val="single"/>
        </w:rPr>
        <w:t> </w:t>
      </w:r>
      <w:r>
        <w:rPr>
          <w:rFonts w:ascii="Times New Roman"/>
          <w:sz w:val="18"/>
          <w:u w:val="single"/>
        </w:rPr>
        <w:t>v.</w:t>
      </w:r>
      <w:r>
        <w:rPr>
          <w:rFonts w:ascii="Times New Roman"/>
          <w:spacing w:val="-7"/>
          <w:sz w:val="18"/>
          <w:u w:val="single"/>
        </w:rPr>
        <w:t> </w:t>
      </w:r>
      <w:r>
        <w:rPr>
          <w:rFonts w:ascii="Times New Roman"/>
          <w:sz w:val="18"/>
          <w:u w:val="single"/>
        </w:rPr>
        <w:t>State</w:t>
      </w:r>
      <w:r>
        <w:rPr>
          <w:rFonts w:ascii="Times New Roman"/>
          <w:spacing w:val="-6"/>
          <w:sz w:val="18"/>
          <w:u w:val="single"/>
        </w:rPr>
        <w:t> </w:t>
      </w:r>
      <w:r>
        <w:rPr>
          <w:rFonts w:ascii="Times New Roman"/>
          <w:sz w:val="18"/>
          <w:u w:val="single"/>
        </w:rPr>
        <w:t>Farm</w:t>
      </w:r>
      <w:r>
        <w:rPr>
          <w:rFonts w:ascii="Times New Roman"/>
          <w:spacing w:val="-11"/>
          <w:sz w:val="18"/>
          <w:u w:val="single"/>
        </w:rPr>
        <w:t> </w:t>
      </w:r>
      <w:r>
        <w:rPr>
          <w:rFonts w:ascii="Times New Roman"/>
          <w:sz w:val="18"/>
          <w:u w:val="single"/>
        </w:rPr>
        <w:t>Mut.</w:t>
      </w:r>
      <w:r>
        <w:rPr>
          <w:rFonts w:ascii="Times New Roman"/>
          <w:spacing w:val="-5"/>
          <w:sz w:val="18"/>
          <w:u w:val="single"/>
        </w:rPr>
        <w:t> </w:t>
      </w:r>
      <w:r>
        <w:rPr>
          <w:rFonts w:ascii="Times New Roman"/>
          <w:sz w:val="18"/>
          <w:u w:val="single"/>
        </w:rPr>
        <w:t>Ins.</w:t>
      </w:r>
      <w:r>
        <w:rPr>
          <w:rFonts w:ascii="Times New Roman"/>
          <w:spacing w:val="-6"/>
          <w:sz w:val="18"/>
          <w:u w:val="single"/>
        </w:rPr>
        <w:t> </w:t>
      </w:r>
      <w:r>
        <w:rPr>
          <w:rFonts w:ascii="Times New Roman"/>
          <w:sz w:val="18"/>
          <w:u w:val="single"/>
        </w:rPr>
        <w:t>Co.</w:t>
      </w:r>
      <w:r>
        <w:rPr>
          <w:rFonts w:ascii="Times New Roman"/>
          <w:sz w:val="18"/>
        </w:rPr>
        <w:t>,</w:t>
      </w:r>
      <w:r>
        <w:rPr>
          <w:rFonts w:ascii="Times New Roman"/>
          <w:spacing w:val="-9"/>
          <w:sz w:val="18"/>
        </w:rPr>
        <w:t> </w:t>
      </w:r>
      <w:r>
        <w:rPr>
          <w:rFonts w:ascii="Times New Roman"/>
          <w:sz w:val="18"/>
        </w:rPr>
        <w:t>410</w:t>
      </w:r>
      <w:r>
        <w:rPr>
          <w:rFonts w:ascii="Times New Roman"/>
          <w:spacing w:val="-7"/>
          <w:sz w:val="18"/>
        </w:rPr>
        <w:t> </w:t>
      </w:r>
      <w:r>
        <w:rPr>
          <w:rFonts w:ascii="Times New Roman"/>
          <w:sz w:val="18"/>
        </w:rPr>
        <w:t>Pa.</w:t>
      </w:r>
      <w:r>
        <w:rPr>
          <w:rFonts w:ascii="Times New Roman"/>
          <w:spacing w:val="-8"/>
          <w:sz w:val="18"/>
        </w:rPr>
        <w:t> </w:t>
      </w:r>
      <w:r>
        <w:rPr>
          <w:rFonts w:ascii="Times New Roman"/>
          <w:sz w:val="18"/>
        </w:rPr>
        <w:t>Super</w:t>
      </w:r>
      <w:r>
        <w:rPr>
          <w:rFonts w:ascii="Times New Roman"/>
          <w:spacing w:val="-10"/>
          <w:sz w:val="18"/>
        </w:rPr>
        <w:t> </w:t>
      </w:r>
      <w:r>
        <w:rPr>
          <w:rFonts w:ascii="Times New Roman"/>
          <w:sz w:val="18"/>
        </w:rPr>
        <w:t>579,</w:t>
      </w:r>
      <w:r>
        <w:rPr>
          <w:rFonts w:ascii="Times New Roman"/>
          <w:spacing w:val="-8"/>
          <w:sz w:val="18"/>
        </w:rPr>
        <w:t> </w:t>
      </w:r>
      <w:r>
        <w:rPr>
          <w:rFonts w:ascii="Times New Roman"/>
          <w:sz w:val="18"/>
        </w:rPr>
        <w:t>600 A.2d 605 (1991); </w:t>
      </w:r>
      <w:r>
        <w:rPr>
          <w:rFonts w:ascii="Times New Roman"/>
          <w:sz w:val="18"/>
          <w:u w:val="single"/>
        </w:rPr>
        <w:t>Central Life Ins. Co. v. Aetna Cas. and Sur. Co.</w:t>
      </w:r>
      <w:r>
        <w:rPr>
          <w:rFonts w:ascii="Times New Roman"/>
          <w:sz w:val="18"/>
        </w:rPr>
        <w:t>, 466 N.W.2d 257</w:t>
      </w:r>
      <w:r>
        <w:rPr>
          <w:rFonts w:ascii="Times New Roman"/>
          <w:spacing w:val="-25"/>
          <w:sz w:val="18"/>
        </w:rPr>
        <w:t> </w:t>
      </w:r>
      <w:r>
        <w:rPr>
          <w:rFonts w:ascii="Times New Roman"/>
          <w:sz w:val="18"/>
        </w:rPr>
        <w:t>(Iowa 1991);</w:t>
      </w:r>
      <w:r>
        <w:rPr>
          <w:rFonts w:ascii="Times New Roman"/>
          <w:spacing w:val="6"/>
          <w:sz w:val="18"/>
        </w:rPr>
        <w:t> </w:t>
      </w:r>
      <w:r>
        <w:rPr>
          <w:rFonts w:ascii="Times New Roman"/>
          <w:sz w:val="18"/>
          <w:u w:val="single"/>
        </w:rPr>
        <w:t>Palmieri</w:t>
      </w:r>
      <w:r>
        <w:rPr>
          <w:rFonts w:ascii="Times New Roman"/>
          <w:spacing w:val="11"/>
          <w:sz w:val="18"/>
          <w:u w:val="single"/>
        </w:rPr>
        <w:t> </w:t>
      </w:r>
      <w:r>
        <w:rPr>
          <w:rFonts w:ascii="Times New Roman"/>
          <w:sz w:val="18"/>
          <w:u w:val="single"/>
        </w:rPr>
        <w:t>v.</w:t>
      </w:r>
      <w:r>
        <w:rPr>
          <w:rFonts w:ascii="Times New Roman"/>
          <w:spacing w:val="7"/>
          <w:sz w:val="18"/>
          <w:u w:val="single"/>
        </w:rPr>
        <w:t> </w:t>
      </w:r>
      <w:r>
        <w:rPr>
          <w:rFonts w:ascii="Times New Roman"/>
          <w:sz w:val="18"/>
          <w:u w:val="single"/>
        </w:rPr>
        <w:t>Ins.</w:t>
      </w:r>
      <w:r>
        <w:rPr>
          <w:rFonts w:ascii="Times New Roman"/>
          <w:spacing w:val="6"/>
          <w:sz w:val="18"/>
          <w:u w:val="single"/>
        </w:rPr>
        <w:t> </w:t>
      </w:r>
      <w:r>
        <w:rPr>
          <w:rFonts w:ascii="Times New Roman"/>
          <w:sz w:val="18"/>
          <w:u w:val="single"/>
        </w:rPr>
        <w:t>Co.</w:t>
      </w:r>
      <w:r>
        <w:rPr>
          <w:rFonts w:ascii="Times New Roman"/>
          <w:spacing w:val="7"/>
          <w:sz w:val="18"/>
          <w:u w:val="single"/>
        </w:rPr>
        <w:t> </w:t>
      </w:r>
      <w:r>
        <w:rPr>
          <w:rFonts w:ascii="Times New Roman"/>
          <w:sz w:val="18"/>
          <w:u w:val="single"/>
        </w:rPr>
        <w:t>of</w:t>
      </w:r>
      <w:r>
        <w:rPr>
          <w:rFonts w:ascii="Times New Roman"/>
          <w:spacing w:val="4"/>
          <w:sz w:val="18"/>
          <w:u w:val="single"/>
        </w:rPr>
        <w:t> </w:t>
      </w:r>
      <w:r>
        <w:rPr>
          <w:rFonts w:ascii="Times New Roman"/>
          <w:sz w:val="18"/>
          <w:u w:val="single"/>
        </w:rPr>
        <w:t>N.</w:t>
      </w:r>
      <w:r>
        <w:rPr>
          <w:rFonts w:ascii="Times New Roman"/>
          <w:spacing w:val="6"/>
          <w:sz w:val="18"/>
          <w:u w:val="single"/>
        </w:rPr>
        <w:t> </w:t>
      </w:r>
      <w:r>
        <w:rPr>
          <w:rFonts w:ascii="Times New Roman"/>
          <w:sz w:val="18"/>
          <w:u w:val="single"/>
        </w:rPr>
        <w:t>A.</w:t>
      </w:r>
      <w:r>
        <w:rPr>
          <w:rFonts w:ascii="Times New Roman"/>
          <w:sz w:val="18"/>
        </w:rPr>
        <w:t>,</w:t>
      </w:r>
      <w:r>
        <w:rPr>
          <w:rFonts w:ascii="Times New Roman"/>
          <w:spacing w:val="7"/>
          <w:sz w:val="18"/>
        </w:rPr>
        <w:t> </w:t>
      </w:r>
      <w:r>
        <w:rPr>
          <w:rFonts w:ascii="Times New Roman"/>
          <w:sz w:val="18"/>
        </w:rPr>
        <w:t>67</w:t>
      </w:r>
      <w:r>
        <w:rPr>
          <w:rFonts w:ascii="Times New Roman"/>
          <w:spacing w:val="7"/>
          <w:sz w:val="18"/>
        </w:rPr>
        <w:t> </w:t>
      </w:r>
      <w:r>
        <w:rPr>
          <w:rFonts w:ascii="Times New Roman"/>
          <w:sz w:val="18"/>
        </w:rPr>
        <w:t>A.D.2d</w:t>
      </w:r>
      <w:r>
        <w:rPr>
          <w:rFonts w:ascii="Times New Roman"/>
          <w:spacing w:val="7"/>
          <w:sz w:val="18"/>
        </w:rPr>
        <w:t> </w:t>
      </w:r>
      <w:r>
        <w:rPr>
          <w:rFonts w:ascii="Times New Roman"/>
          <w:sz w:val="18"/>
        </w:rPr>
        <w:t>96,</w:t>
      </w:r>
      <w:r>
        <w:rPr>
          <w:rFonts w:ascii="Times New Roman"/>
          <w:spacing w:val="7"/>
          <w:sz w:val="18"/>
        </w:rPr>
        <w:t> </w:t>
      </w:r>
      <w:r>
        <w:rPr>
          <w:rFonts w:ascii="Times New Roman"/>
          <w:sz w:val="18"/>
        </w:rPr>
        <w:t>413</w:t>
      </w:r>
      <w:r>
        <w:rPr>
          <w:rFonts w:ascii="Times New Roman"/>
          <w:spacing w:val="8"/>
          <w:sz w:val="18"/>
        </w:rPr>
        <w:t> </w:t>
      </w:r>
      <w:r>
        <w:rPr>
          <w:rFonts w:ascii="Times New Roman"/>
          <w:sz w:val="18"/>
        </w:rPr>
        <w:t>N.Y.S.2d</w:t>
      </w:r>
      <w:r>
        <w:rPr>
          <w:rFonts w:ascii="Times New Roman"/>
          <w:spacing w:val="7"/>
          <w:sz w:val="18"/>
        </w:rPr>
        <w:t> </w:t>
      </w:r>
      <w:r>
        <w:rPr>
          <w:rFonts w:ascii="Times New Roman"/>
          <w:sz w:val="18"/>
        </w:rPr>
        <w:t>461</w:t>
      </w:r>
      <w:r>
        <w:rPr>
          <w:rFonts w:ascii="Times New Roman"/>
          <w:spacing w:val="7"/>
          <w:sz w:val="18"/>
        </w:rPr>
        <w:t> </w:t>
      </w:r>
      <w:r>
        <w:rPr>
          <w:rFonts w:ascii="Times New Roman"/>
          <w:sz w:val="18"/>
        </w:rPr>
        <w:t>(2nd</w:t>
      </w:r>
      <w:r>
        <w:rPr>
          <w:rFonts w:ascii="Times New Roman"/>
          <w:spacing w:val="7"/>
          <w:sz w:val="18"/>
        </w:rPr>
        <w:t> </w:t>
      </w:r>
      <w:r>
        <w:rPr>
          <w:rFonts w:ascii="Times New Roman"/>
          <w:sz w:val="18"/>
        </w:rPr>
        <w:t>Dept.</w:t>
      </w:r>
      <w:r>
        <w:rPr>
          <w:rFonts w:ascii="Times New Roman"/>
          <w:spacing w:val="7"/>
          <w:sz w:val="18"/>
        </w:rPr>
        <w:t> </w:t>
      </w:r>
      <w:r>
        <w:rPr>
          <w:rFonts w:ascii="Times New Roman"/>
          <w:sz w:val="18"/>
        </w:rPr>
        <w:t>1979);</w:t>
      </w:r>
    </w:p>
    <w:p>
      <w:pPr>
        <w:spacing w:before="0"/>
        <w:ind w:left="1160" w:right="0" w:firstLine="0"/>
        <w:jc w:val="both"/>
        <w:rPr>
          <w:rFonts w:ascii="Times New Roman" w:hAnsi="Times New Roman"/>
          <w:sz w:val="18"/>
        </w:rPr>
      </w:pPr>
      <w:r>
        <w:rPr>
          <w:rFonts w:ascii="Times New Roman" w:hAnsi="Times New Roman"/>
          <w:i/>
          <w:sz w:val="18"/>
        </w:rPr>
        <w:t>Couch on Insurance </w:t>
      </w:r>
      <w:r>
        <w:rPr>
          <w:rFonts w:ascii="Times New Roman" w:hAnsi="Times New Roman"/>
          <w:sz w:val="18"/>
        </w:rPr>
        <w:t>§50:136 (2d rev. ed. 1982).</w:t>
      </w:r>
    </w:p>
    <w:p>
      <w:pPr>
        <w:spacing w:after="0"/>
        <w:jc w:val="both"/>
        <w:rPr>
          <w:rFonts w:ascii="Times New Roman" w:hAns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7"/>
        <w:jc w:val="both"/>
      </w:pPr>
      <w:bookmarkStart w:name="Law and Procedure 361" w:id="27"/>
      <w:bookmarkEnd w:id="27"/>
      <w:r>
        <w:rPr/>
      </w:r>
      <w:r>
        <w:rPr/>
        <w:t>whether a reasonable person would, based upon the appraiser’s history and past actions, objectively entertain doubts about that appraiser’s neutrality.</w:t>
      </w:r>
      <w:r>
        <w:rPr>
          <w:vertAlign w:val="superscript"/>
        </w:rPr>
        <w:t>763</w:t>
      </w:r>
    </w:p>
    <w:p>
      <w:pPr>
        <w:pStyle w:val="BodyText"/>
        <w:spacing w:before="1"/>
      </w:pPr>
    </w:p>
    <w:p>
      <w:pPr>
        <w:pStyle w:val="BodyText"/>
        <w:spacing w:line="242" w:lineRule="auto"/>
        <w:ind w:left="1520" w:right="1518" w:firstLine="720"/>
        <w:jc w:val="both"/>
      </w:pPr>
      <w:r>
        <w:rPr/>
        <w:t>Attorneys should take precaution to clarify</w:t>
      </w:r>
      <w:r>
        <w:rPr>
          <w:spacing w:val="-30"/>
        </w:rPr>
        <w:t> </w:t>
      </w:r>
      <w:r>
        <w:rPr/>
        <w:t>to</w:t>
      </w:r>
      <w:r>
        <w:rPr>
          <w:spacing w:val="-26"/>
        </w:rPr>
        <w:t> </w:t>
      </w:r>
      <w:r>
        <w:rPr/>
        <w:t>the</w:t>
      </w:r>
      <w:r>
        <w:rPr>
          <w:spacing w:val="-27"/>
        </w:rPr>
        <w:t> </w:t>
      </w:r>
      <w:r>
        <w:rPr/>
        <w:t>party</w:t>
      </w:r>
      <w:r>
        <w:rPr>
          <w:spacing w:val="-29"/>
        </w:rPr>
        <w:t> </w:t>
      </w:r>
      <w:r>
        <w:rPr/>
        <w:t>hiring</w:t>
      </w:r>
      <w:r>
        <w:rPr>
          <w:spacing w:val="-28"/>
        </w:rPr>
        <w:t> </w:t>
      </w:r>
      <w:r>
        <w:rPr/>
        <w:t>them</w:t>
      </w:r>
      <w:r>
        <w:rPr>
          <w:spacing w:val="-30"/>
        </w:rPr>
        <w:t> </w:t>
      </w:r>
      <w:r>
        <w:rPr/>
        <w:t>as</w:t>
      </w:r>
      <w:r>
        <w:rPr>
          <w:spacing w:val="-27"/>
        </w:rPr>
        <w:t> </w:t>
      </w:r>
      <w:r>
        <w:rPr/>
        <w:t>appraiser</w:t>
      </w:r>
      <w:r>
        <w:rPr>
          <w:spacing w:val="-28"/>
        </w:rPr>
        <w:t> </w:t>
      </w:r>
      <w:r>
        <w:rPr/>
        <w:t>that their relationship is not “attorney-client” in the technical sense. That is, there are distinct differences between the duties owed by the attorney</w:t>
      </w:r>
      <w:r>
        <w:rPr>
          <w:spacing w:val="-11"/>
        </w:rPr>
        <w:t> </w:t>
      </w:r>
      <w:r>
        <w:rPr/>
        <w:t>to</w:t>
      </w:r>
      <w:r>
        <w:rPr>
          <w:spacing w:val="-7"/>
        </w:rPr>
        <w:t> </w:t>
      </w:r>
      <w:r>
        <w:rPr/>
        <w:t>her</w:t>
      </w:r>
      <w:r>
        <w:rPr>
          <w:spacing w:val="-9"/>
        </w:rPr>
        <w:t> </w:t>
      </w:r>
      <w:r>
        <w:rPr/>
        <w:t>client,</w:t>
      </w:r>
      <w:r>
        <w:rPr>
          <w:spacing w:val="-11"/>
        </w:rPr>
        <w:t> </w:t>
      </w:r>
      <w:r>
        <w:rPr/>
        <w:t>as</w:t>
      </w:r>
      <w:r>
        <w:rPr>
          <w:spacing w:val="-7"/>
        </w:rPr>
        <w:t> </w:t>
      </w:r>
      <w:r>
        <w:rPr/>
        <w:t>against</w:t>
      </w:r>
      <w:r>
        <w:rPr>
          <w:spacing w:val="-8"/>
        </w:rPr>
        <w:t> </w:t>
      </w:r>
      <w:r>
        <w:rPr/>
        <w:t>the</w:t>
      </w:r>
      <w:r>
        <w:rPr>
          <w:spacing w:val="-9"/>
        </w:rPr>
        <w:t> </w:t>
      </w:r>
      <w:r>
        <w:rPr/>
        <w:t>appraiser who</w:t>
      </w:r>
      <w:r>
        <w:rPr>
          <w:spacing w:val="-11"/>
        </w:rPr>
        <w:t> </w:t>
      </w:r>
      <w:r>
        <w:rPr/>
        <w:t>enjoys</w:t>
      </w:r>
      <w:r>
        <w:rPr>
          <w:spacing w:val="-10"/>
        </w:rPr>
        <w:t> </w:t>
      </w:r>
      <w:r>
        <w:rPr/>
        <w:t>an</w:t>
      </w:r>
      <w:r>
        <w:rPr>
          <w:spacing w:val="-13"/>
        </w:rPr>
        <w:t> </w:t>
      </w:r>
      <w:r>
        <w:rPr/>
        <w:t>element</w:t>
      </w:r>
      <w:r>
        <w:rPr>
          <w:spacing w:val="-15"/>
        </w:rPr>
        <w:t> </w:t>
      </w:r>
      <w:r>
        <w:rPr/>
        <w:t>of</w:t>
      </w:r>
      <w:r>
        <w:rPr>
          <w:spacing w:val="-12"/>
        </w:rPr>
        <w:t> </w:t>
      </w:r>
      <w:r>
        <w:rPr/>
        <w:t>independence</w:t>
      </w:r>
      <w:r>
        <w:rPr>
          <w:spacing w:val="-12"/>
        </w:rPr>
        <w:t> </w:t>
      </w:r>
      <w:r>
        <w:rPr/>
        <w:t>and cannot satisfy the demanding fiduciary obligations of the attorney to their client. </w:t>
      </w:r>
      <w:r>
        <w:rPr>
          <w:spacing w:val="3"/>
        </w:rPr>
        <w:t>In </w:t>
      </w:r>
      <w:r>
        <w:rPr/>
        <w:t>most jurisdictions, the attorney-client privilege does</w:t>
      </w:r>
      <w:r>
        <w:rPr>
          <w:spacing w:val="-28"/>
        </w:rPr>
        <w:t> </w:t>
      </w:r>
      <w:r>
        <w:rPr/>
        <w:t>not</w:t>
      </w:r>
      <w:r>
        <w:rPr>
          <w:spacing w:val="-30"/>
        </w:rPr>
        <w:t> </w:t>
      </w:r>
      <w:r>
        <w:rPr/>
        <w:t>apply</w:t>
      </w:r>
      <w:r>
        <w:rPr>
          <w:spacing w:val="-25"/>
        </w:rPr>
        <w:t> </w:t>
      </w:r>
      <w:r>
        <w:rPr/>
        <w:t>within</w:t>
      </w:r>
      <w:r>
        <w:rPr>
          <w:spacing w:val="-26"/>
        </w:rPr>
        <w:t> </w:t>
      </w:r>
      <w:r>
        <w:rPr/>
        <w:t>the</w:t>
      </w:r>
      <w:r>
        <w:rPr>
          <w:spacing w:val="-28"/>
        </w:rPr>
        <w:t> </w:t>
      </w:r>
      <w:r>
        <w:rPr/>
        <w:t>relationship</w:t>
      </w:r>
      <w:r>
        <w:rPr>
          <w:spacing w:val="-28"/>
        </w:rPr>
        <w:t> </w:t>
      </w:r>
      <w:r>
        <w:rPr/>
        <w:t>between the</w:t>
      </w:r>
      <w:r>
        <w:rPr>
          <w:spacing w:val="-7"/>
        </w:rPr>
        <w:t> </w:t>
      </w:r>
      <w:r>
        <w:rPr/>
        <w:t>appraiser</w:t>
      </w:r>
      <w:r>
        <w:rPr>
          <w:spacing w:val="-11"/>
        </w:rPr>
        <w:t> </w:t>
      </w:r>
      <w:r>
        <w:rPr/>
        <w:t>and</w:t>
      </w:r>
      <w:r>
        <w:rPr>
          <w:spacing w:val="-7"/>
        </w:rPr>
        <w:t> </w:t>
      </w:r>
      <w:r>
        <w:rPr/>
        <w:t>the</w:t>
      </w:r>
      <w:r>
        <w:rPr>
          <w:spacing w:val="-9"/>
        </w:rPr>
        <w:t> </w:t>
      </w:r>
      <w:r>
        <w:rPr/>
        <w:t>hiring</w:t>
      </w:r>
      <w:r>
        <w:rPr>
          <w:spacing w:val="-6"/>
        </w:rPr>
        <w:t> </w:t>
      </w:r>
      <w:r>
        <w:rPr/>
        <w:t>party</w:t>
      </w:r>
      <w:r>
        <w:rPr>
          <w:spacing w:val="-8"/>
        </w:rPr>
        <w:t> </w:t>
      </w:r>
      <w:r>
        <w:rPr/>
        <w:t>even</w:t>
      </w:r>
      <w:r>
        <w:rPr>
          <w:spacing w:val="-7"/>
        </w:rPr>
        <w:t> </w:t>
      </w:r>
      <w:r>
        <w:rPr/>
        <w:t>where the appraiser is an</w:t>
      </w:r>
      <w:r>
        <w:rPr>
          <w:spacing w:val="-7"/>
        </w:rPr>
        <w:t> </w:t>
      </w:r>
      <w:r>
        <w:rPr/>
        <w:t>attorney.</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7"/>
        </w:rPr>
      </w:pPr>
      <w:r>
        <w:rPr/>
        <w:pict>
          <v:shape style="position:absolute;margin-left:162pt;margin-top:19.416285pt;width:143.9pt;height:.1pt;mso-position-horizontal-relative:page;mso-position-vertical-relative:paragraph;z-index:-251634688;mso-wrap-distance-left:0;mso-wrap-distance-right:0" coordorigin="3240,388" coordsize="2878,0" path="m3240,388l6118,388e" filled="false" stroked="true" strokeweight=".84pt" strokecolor="#000000">
            <v:path arrowok="t"/>
            <v:stroke dashstyle="solid"/>
            <w10:wrap type="topAndBottom"/>
          </v:shape>
        </w:pict>
      </w:r>
    </w:p>
    <w:p>
      <w:pPr>
        <w:pStyle w:val="ListParagraph"/>
        <w:numPr>
          <w:ilvl w:val="0"/>
          <w:numId w:val="5"/>
        </w:numPr>
        <w:tabs>
          <w:tab w:pos="1421" w:val="left" w:leader="none"/>
        </w:tabs>
        <w:spacing w:line="240" w:lineRule="auto" w:before="149" w:after="0"/>
        <w:ind w:left="1421" w:right="332" w:hanging="1421"/>
        <w:jc w:val="left"/>
        <w:rPr>
          <w:sz w:val="18"/>
        </w:rPr>
      </w:pPr>
      <w:r>
        <w:rPr>
          <w:sz w:val="18"/>
          <w:u w:val="single"/>
        </w:rPr>
        <w:t>Banwait v. Hernandez</w:t>
      </w:r>
      <w:r>
        <w:rPr>
          <w:sz w:val="18"/>
        </w:rPr>
        <w:t>, 205 Cal. App.3d 823, 252 Cal. Rptr. 647 (3d Dist.</w:t>
      </w:r>
      <w:r>
        <w:rPr>
          <w:spacing w:val="10"/>
          <w:sz w:val="18"/>
        </w:rPr>
        <w:t> </w:t>
      </w:r>
      <w:r>
        <w:rPr>
          <w:sz w:val="18"/>
        </w:rPr>
        <w:t>1988).</w:t>
      </w:r>
    </w:p>
    <w:p>
      <w:pPr>
        <w:spacing w:after="0" w:line="240"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ListParagraph"/>
        <w:numPr>
          <w:ilvl w:val="1"/>
          <w:numId w:val="5"/>
        </w:numPr>
        <w:tabs>
          <w:tab w:pos="2239" w:val="left" w:leader="none"/>
          <w:tab w:pos="2240" w:val="left" w:leader="none"/>
          <w:tab w:pos="4665" w:val="left" w:leader="none"/>
          <w:tab w:pos="5533" w:val="left" w:leader="none"/>
        </w:tabs>
        <w:spacing w:line="242" w:lineRule="auto" w:before="42" w:after="0"/>
        <w:ind w:left="2240" w:right="1526" w:hanging="720"/>
        <w:jc w:val="left"/>
        <w:rPr>
          <w:rFonts w:ascii="Century Gothic"/>
          <w:sz w:val="26"/>
        </w:rPr>
      </w:pPr>
      <w:bookmarkStart w:name="Law and Procedure 362" w:id="28"/>
      <w:bookmarkEnd w:id="28"/>
      <w:r>
        <w:rPr/>
      </w:r>
      <w:bookmarkStart w:name="Law and Procedure 362" w:id="29"/>
      <w:bookmarkEnd w:id="29"/>
      <w:r>
        <w:rPr>
          <w:rFonts w:ascii="Century Gothic"/>
          <w:spacing w:val="20"/>
          <w:sz w:val="26"/>
        </w:rPr>
        <w:t>D</w:t>
      </w:r>
      <w:r>
        <w:rPr>
          <w:rFonts w:ascii="Century Gothic"/>
          <w:spacing w:val="20"/>
          <w:sz w:val="26"/>
        </w:rPr>
        <w:t>ISINTERESTED</w:t>
        <w:tab/>
      </w:r>
      <w:r>
        <w:rPr>
          <w:rFonts w:ascii="Century Gothic"/>
          <w:spacing w:val="13"/>
          <w:sz w:val="26"/>
        </w:rPr>
        <w:t>BUT</w:t>
        <w:tab/>
      </w:r>
      <w:r>
        <w:rPr>
          <w:rFonts w:ascii="Century Gothic"/>
          <w:spacing w:val="20"/>
          <w:sz w:val="26"/>
        </w:rPr>
        <w:t>PERMISSIBLY </w:t>
      </w:r>
      <w:r>
        <w:rPr>
          <w:rFonts w:ascii="Century Gothic"/>
          <w:sz w:val="26"/>
        </w:rPr>
        <w:t>PREDISPOSED</w:t>
      </w:r>
    </w:p>
    <w:p>
      <w:pPr>
        <w:pStyle w:val="BodyText"/>
        <w:spacing w:before="1"/>
      </w:pPr>
    </w:p>
    <w:p>
      <w:pPr>
        <w:pStyle w:val="ListParagraph"/>
        <w:numPr>
          <w:ilvl w:val="2"/>
          <w:numId w:val="5"/>
        </w:numPr>
        <w:tabs>
          <w:tab w:pos="2598" w:val="left" w:leader="none"/>
        </w:tabs>
        <w:spacing w:line="240" w:lineRule="auto" w:before="1" w:after="0"/>
        <w:ind w:left="2597" w:right="0" w:hanging="358"/>
        <w:jc w:val="left"/>
        <w:rPr>
          <w:rFonts w:ascii="Century Gothic"/>
          <w:sz w:val="26"/>
        </w:rPr>
      </w:pPr>
      <w:r>
        <w:rPr>
          <w:rFonts w:ascii="Century Gothic"/>
          <w:sz w:val="26"/>
        </w:rPr>
        <w:t>Generally</w:t>
      </w:r>
    </w:p>
    <w:p>
      <w:pPr>
        <w:pStyle w:val="BodyText"/>
        <w:spacing w:before="5"/>
      </w:pPr>
    </w:p>
    <w:p>
      <w:pPr>
        <w:pStyle w:val="BodyText"/>
        <w:spacing w:line="242" w:lineRule="auto"/>
        <w:ind w:left="1520" w:right="1519" w:firstLine="720"/>
        <w:jc w:val="both"/>
      </w:pPr>
      <w:r>
        <w:rPr>
          <w:spacing w:val="4"/>
        </w:rPr>
        <w:t>Appraisers </w:t>
      </w:r>
      <w:r>
        <w:rPr/>
        <w:t>do not </w:t>
      </w:r>
      <w:r>
        <w:rPr>
          <w:spacing w:val="3"/>
        </w:rPr>
        <w:t>violate </w:t>
      </w:r>
      <w:r>
        <w:rPr>
          <w:spacing w:val="4"/>
        </w:rPr>
        <w:t>their </w:t>
      </w:r>
      <w:r>
        <w:rPr/>
        <w:t>commitment of impartiality by acting as advocates for their respective selecting party.</w:t>
      </w:r>
      <w:r>
        <w:rPr>
          <w:vertAlign w:val="superscript"/>
        </w:rPr>
        <w:t>764</w:t>
      </w:r>
      <w:r>
        <w:rPr>
          <w:vertAlign w:val="baseline"/>
        </w:rPr>
        <w:t> Appraisers need not be </w:t>
      </w:r>
      <w:r>
        <w:rPr>
          <w:spacing w:val="-7"/>
          <w:vertAlign w:val="baseline"/>
        </w:rPr>
        <w:t>totally </w:t>
      </w:r>
      <w:r>
        <w:rPr>
          <w:vertAlign w:val="baseline"/>
        </w:rPr>
        <w:t>impartial,</w:t>
      </w:r>
      <w:r>
        <w:rPr>
          <w:spacing w:val="-14"/>
          <w:vertAlign w:val="baseline"/>
        </w:rPr>
        <w:t> </w:t>
      </w:r>
      <w:r>
        <w:rPr>
          <w:vertAlign w:val="baseline"/>
        </w:rPr>
        <w:t>as</w:t>
      </w:r>
      <w:r>
        <w:rPr>
          <w:spacing w:val="-15"/>
          <w:vertAlign w:val="baseline"/>
        </w:rPr>
        <w:t> </w:t>
      </w:r>
      <w:r>
        <w:rPr>
          <w:vertAlign w:val="baseline"/>
        </w:rPr>
        <w:t>is</w:t>
      </w:r>
      <w:r>
        <w:rPr>
          <w:spacing w:val="-17"/>
          <w:vertAlign w:val="baseline"/>
        </w:rPr>
        <w:t> </w:t>
      </w:r>
      <w:r>
        <w:rPr>
          <w:vertAlign w:val="baseline"/>
        </w:rPr>
        <w:t>required</w:t>
      </w:r>
      <w:r>
        <w:rPr>
          <w:spacing w:val="-16"/>
          <w:vertAlign w:val="baseline"/>
        </w:rPr>
        <w:t> </w:t>
      </w:r>
      <w:r>
        <w:rPr>
          <w:vertAlign w:val="baseline"/>
        </w:rPr>
        <w:t>by</w:t>
      </w:r>
      <w:r>
        <w:rPr>
          <w:spacing w:val="-15"/>
          <w:vertAlign w:val="baseline"/>
        </w:rPr>
        <w:t> </w:t>
      </w:r>
      <w:r>
        <w:rPr>
          <w:vertAlign w:val="baseline"/>
        </w:rPr>
        <w:t>the</w:t>
      </w:r>
      <w:r>
        <w:rPr>
          <w:spacing w:val="-14"/>
          <w:vertAlign w:val="baseline"/>
        </w:rPr>
        <w:t> </w:t>
      </w:r>
      <w:r>
        <w:rPr>
          <w:vertAlign w:val="baseline"/>
        </w:rPr>
        <w:t>umpire</w:t>
      </w:r>
      <w:r>
        <w:rPr>
          <w:spacing w:val="-14"/>
          <w:vertAlign w:val="baseline"/>
        </w:rPr>
        <w:t> </w:t>
      </w:r>
      <w:r>
        <w:rPr>
          <w:vertAlign w:val="baseline"/>
        </w:rPr>
        <w:t>or</w:t>
      </w:r>
      <w:r>
        <w:rPr>
          <w:spacing w:val="-15"/>
          <w:vertAlign w:val="baseline"/>
        </w:rPr>
        <w:t> </w:t>
      </w:r>
      <w:r>
        <w:rPr>
          <w:vertAlign w:val="baseline"/>
        </w:rPr>
        <w:t>a</w:t>
      </w:r>
      <w:r>
        <w:rPr>
          <w:spacing w:val="-12"/>
          <w:vertAlign w:val="baseline"/>
        </w:rPr>
        <w:t> </w:t>
      </w:r>
      <w:r>
        <w:rPr>
          <w:vertAlign w:val="baseline"/>
        </w:rPr>
        <w:t>jurist in a court of</w:t>
      </w:r>
      <w:r>
        <w:rPr>
          <w:spacing w:val="-6"/>
          <w:vertAlign w:val="baseline"/>
        </w:rPr>
        <w:t> </w:t>
      </w:r>
      <w:r>
        <w:rPr>
          <w:vertAlign w:val="baseline"/>
        </w:rPr>
        <w:t>law.</w:t>
      </w:r>
    </w:p>
    <w:p>
      <w:pPr>
        <w:pStyle w:val="BodyText"/>
        <w:spacing w:before="1"/>
      </w:pPr>
    </w:p>
    <w:p>
      <w:pPr>
        <w:pStyle w:val="BodyText"/>
        <w:spacing w:line="242" w:lineRule="auto"/>
        <w:ind w:left="1520" w:right="1517" w:firstLine="828"/>
        <w:jc w:val="both"/>
      </w:pPr>
      <w:r>
        <w:rPr/>
        <w:t>Traditional appraisal law did not allow the</w:t>
      </w:r>
      <w:r>
        <w:rPr>
          <w:spacing w:val="-8"/>
        </w:rPr>
        <w:t> </w:t>
      </w:r>
      <w:r>
        <w:rPr/>
        <w:t>adjuster</w:t>
      </w:r>
      <w:r>
        <w:rPr>
          <w:spacing w:val="-10"/>
        </w:rPr>
        <w:t> </w:t>
      </w:r>
      <w:r>
        <w:rPr/>
        <w:t>for</w:t>
      </w:r>
      <w:r>
        <w:rPr>
          <w:spacing w:val="-8"/>
        </w:rPr>
        <w:t> </w:t>
      </w:r>
      <w:r>
        <w:rPr/>
        <w:t>either</w:t>
      </w:r>
      <w:r>
        <w:rPr>
          <w:spacing w:val="-9"/>
        </w:rPr>
        <w:t> </w:t>
      </w:r>
      <w:r>
        <w:rPr/>
        <w:t>of</w:t>
      </w:r>
      <w:r>
        <w:rPr>
          <w:spacing w:val="-7"/>
        </w:rPr>
        <w:t> </w:t>
      </w:r>
      <w:r>
        <w:rPr/>
        <w:t>the</w:t>
      </w:r>
      <w:r>
        <w:rPr>
          <w:spacing w:val="-7"/>
        </w:rPr>
        <w:t> </w:t>
      </w:r>
      <w:r>
        <w:rPr/>
        <w:t>parties</w:t>
      </w:r>
      <w:r>
        <w:rPr>
          <w:spacing w:val="-8"/>
        </w:rPr>
        <w:t> </w:t>
      </w:r>
      <w:r>
        <w:rPr/>
        <w:t>to</w:t>
      </w:r>
      <w:r>
        <w:rPr>
          <w:spacing w:val="-8"/>
        </w:rPr>
        <w:t> </w:t>
      </w:r>
      <w:r>
        <w:rPr/>
        <w:t>serve</w:t>
      </w:r>
      <w:r>
        <w:rPr>
          <w:spacing w:val="-8"/>
        </w:rPr>
        <w:t> </w:t>
      </w:r>
      <w:r>
        <w:rPr/>
        <w:t>as an appraiser. However, modern decisions have</w:t>
      </w:r>
      <w:r>
        <w:rPr>
          <w:spacing w:val="-29"/>
        </w:rPr>
        <w:t> </w:t>
      </w:r>
      <w:r>
        <w:rPr/>
        <w:t>held</w:t>
      </w:r>
      <w:r>
        <w:rPr>
          <w:spacing w:val="-29"/>
        </w:rPr>
        <w:t> </w:t>
      </w:r>
      <w:r>
        <w:rPr/>
        <w:t>that</w:t>
      </w:r>
      <w:r>
        <w:rPr>
          <w:spacing w:val="-27"/>
        </w:rPr>
        <w:t> </w:t>
      </w:r>
      <w:r>
        <w:rPr/>
        <w:t>an</w:t>
      </w:r>
      <w:r>
        <w:rPr>
          <w:spacing w:val="-26"/>
        </w:rPr>
        <w:t> </w:t>
      </w:r>
      <w:r>
        <w:rPr/>
        <w:t>appraiser</w:t>
      </w:r>
      <w:r>
        <w:rPr>
          <w:spacing w:val="-28"/>
        </w:rPr>
        <w:t> </w:t>
      </w:r>
      <w:r>
        <w:rPr/>
        <w:t>can</w:t>
      </w:r>
      <w:r>
        <w:rPr>
          <w:spacing w:val="-25"/>
        </w:rPr>
        <w:t> </w:t>
      </w:r>
      <w:r>
        <w:rPr/>
        <w:t>permissibly</w:t>
      </w:r>
      <w:r>
        <w:rPr>
          <w:spacing w:val="-27"/>
        </w:rPr>
        <w:t> </w:t>
      </w:r>
      <w:r>
        <w:rPr/>
        <w:t>be predisposed toward the position of the party that appointed him or her, as long as the appraiser acts fairly and reveals his or her interests in the result.</w:t>
      </w:r>
      <w:r>
        <w:rPr>
          <w:vertAlign w:val="superscript"/>
        </w:rPr>
        <w:t>765</w:t>
      </w:r>
      <w:r>
        <w:rPr>
          <w:vertAlign w:val="baseline"/>
        </w:rPr>
        <w:t> Modern </w:t>
      </w:r>
      <w:r>
        <w:rPr>
          <w:spacing w:val="-7"/>
          <w:vertAlign w:val="baseline"/>
        </w:rPr>
        <w:t>courts </w:t>
      </w:r>
      <w:r>
        <w:rPr>
          <w:vertAlign w:val="baseline"/>
        </w:rPr>
        <w:t>generally hold that the intent of the appraisal procedure is not to provide appraisers who possess the total impartiality that is required in a court of law. However, the appraisers must act fairly and be free from suspicion of unknown</w:t>
      </w:r>
      <w:r>
        <w:rPr>
          <w:spacing w:val="-2"/>
          <w:vertAlign w:val="baseline"/>
        </w:rPr>
        <w:t> </w:t>
      </w:r>
      <w:r>
        <w:rPr>
          <w:vertAlign w:val="baseline"/>
        </w:rPr>
        <w:t>interest.</w:t>
      </w:r>
      <w:r>
        <w:rPr>
          <w:vertAlign w:val="superscript"/>
        </w:rPr>
        <w:t>766</w:t>
      </w:r>
    </w:p>
    <w:p>
      <w:pPr>
        <w:pStyle w:val="BodyText"/>
        <w:spacing w:before="10"/>
        <w:rPr>
          <w:sz w:val="25"/>
        </w:rPr>
      </w:pPr>
    </w:p>
    <w:p>
      <w:pPr>
        <w:pStyle w:val="BodyText"/>
        <w:spacing w:line="242" w:lineRule="auto"/>
        <w:ind w:left="1520" w:right="1518" w:firstLine="720"/>
        <w:jc w:val="both"/>
      </w:pPr>
      <w:r>
        <w:rPr/>
        <w:t>One case interpreting the issue of partiality is </w:t>
      </w:r>
      <w:r>
        <w:rPr>
          <w:u w:val="single"/>
        </w:rPr>
        <w:t>Commonwealth Coatings v.</w:t>
      </w:r>
    </w:p>
    <w:p>
      <w:pPr>
        <w:pStyle w:val="BodyText"/>
        <w:spacing w:before="2"/>
        <w:rPr>
          <w:sz w:val="19"/>
        </w:rPr>
      </w:pPr>
      <w:r>
        <w:rPr/>
        <w:pict>
          <v:shape style="position:absolute;margin-left:162pt;margin-top:14.186855pt;width:143.9pt;height:.1pt;mso-position-horizontal-relative:page;mso-position-vertical-relative:paragraph;z-index:-251633664;mso-wrap-distance-left:0;mso-wrap-distance-right:0" coordorigin="3240,284" coordsize="2878,0" path="m3240,284l6118,284e" filled="false" stroked="true" strokeweight=".84pt" strokecolor="#000000">
            <v:path arrowok="t"/>
            <v:stroke dashstyle="solid"/>
            <w10:wrap type="topAndBottom"/>
          </v:shape>
        </w:pict>
      </w:r>
    </w:p>
    <w:p>
      <w:pPr>
        <w:pStyle w:val="ListParagraph"/>
        <w:numPr>
          <w:ilvl w:val="0"/>
          <w:numId w:val="5"/>
        </w:numPr>
        <w:tabs>
          <w:tab w:pos="1421" w:val="left" w:leader="none"/>
        </w:tabs>
        <w:spacing w:line="240" w:lineRule="auto" w:before="140" w:after="0"/>
        <w:ind w:left="1421" w:right="0" w:hanging="261"/>
        <w:jc w:val="left"/>
        <w:rPr>
          <w:sz w:val="18"/>
        </w:rPr>
      </w:pPr>
      <w:r>
        <w:rPr>
          <w:sz w:val="18"/>
          <w:u w:val="single"/>
        </w:rPr>
        <w:t>Central Life Ins. Co. v. Aetna Cas. &amp; Sur. Co.</w:t>
      </w:r>
      <w:r>
        <w:rPr>
          <w:sz w:val="18"/>
        </w:rPr>
        <w:t>, 466 N.W.2d 257 (Iowa</w:t>
      </w:r>
      <w:r>
        <w:rPr>
          <w:spacing w:val="1"/>
          <w:sz w:val="18"/>
        </w:rPr>
        <w:t> </w:t>
      </w:r>
      <w:r>
        <w:rPr>
          <w:sz w:val="18"/>
        </w:rPr>
        <w:t>1991).</w:t>
      </w:r>
    </w:p>
    <w:p>
      <w:pPr>
        <w:pStyle w:val="ListParagraph"/>
        <w:numPr>
          <w:ilvl w:val="0"/>
          <w:numId w:val="5"/>
        </w:numPr>
        <w:tabs>
          <w:tab w:pos="1450" w:val="left" w:leader="none"/>
        </w:tabs>
        <w:spacing w:line="240" w:lineRule="auto" w:before="4" w:after="0"/>
        <w:ind w:left="1449" w:right="0" w:hanging="290"/>
        <w:jc w:val="left"/>
        <w:rPr>
          <w:sz w:val="18"/>
        </w:rPr>
      </w:pPr>
      <w:r>
        <w:rPr>
          <w:sz w:val="18"/>
          <w:u w:val="single"/>
        </w:rPr>
        <w:t>Id</w:t>
      </w:r>
      <w:r>
        <w:rPr>
          <w:sz w:val="18"/>
        </w:rPr>
        <w:t>.</w:t>
      </w:r>
    </w:p>
    <w:p>
      <w:pPr>
        <w:pStyle w:val="ListParagraph"/>
        <w:numPr>
          <w:ilvl w:val="0"/>
          <w:numId w:val="5"/>
        </w:numPr>
        <w:tabs>
          <w:tab w:pos="1435" w:val="left" w:leader="none"/>
        </w:tabs>
        <w:spacing w:line="240" w:lineRule="auto" w:before="4" w:after="0"/>
        <w:ind w:left="1434" w:right="0" w:hanging="275"/>
        <w:jc w:val="left"/>
        <w:rPr>
          <w:sz w:val="18"/>
        </w:rPr>
      </w:pPr>
      <w:r>
        <w:rPr>
          <w:position w:val="-9"/>
          <w:sz w:val="18"/>
          <w:u w:val="single"/>
        </w:rPr>
        <w:t>Id</w:t>
      </w:r>
      <w:r>
        <w:rPr>
          <w:position w:val="-9"/>
          <w:sz w:val="18"/>
        </w:rPr>
        <w:t>.</w:t>
      </w:r>
    </w:p>
    <w:p>
      <w:pPr>
        <w:spacing w:after="0" w:line="240"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2"/>
        </w:rPr>
      </w:pPr>
    </w:p>
    <w:p>
      <w:pPr>
        <w:pStyle w:val="BodyText"/>
        <w:spacing w:line="242" w:lineRule="auto" w:before="76"/>
        <w:ind w:left="1520" w:right="1517"/>
        <w:jc w:val="both"/>
      </w:pPr>
      <w:bookmarkStart w:name="Law and Procedure 363" w:id="30"/>
      <w:bookmarkEnd w:id="30"/>
      <w:r>
        <w:rPr/>
      </w:r>
      <w:r>
        <w:rPr>
          <w:u w:val="single"/>
        </w:rPr>
        <w:t>Continental Cas. Corp</w:t>
      </w:r>
      <w:r>
        <w:rPr/>
        <w:t>.</w:t>
      </w:r>
      <w:r>
        <w:rPr>
          <w:vertAlign w:val="superscript"/>
        </w:rPr>
        <w:t>767</w:t>
      </w:r>
      <w:r>
        <w:rPr>
          <w:vertAlign w:val="baseline"/>
        </w:rPr>
        <w:t> The United </w:t>
      </w:r>
      <w:r>
        <w:rPr>
          <w:spacing w:val="-7"/>
          <w:vertAlign w:val="baseline"/>
        </w:rPr>
        <w:t>States </w:t>
      </w:r>
      <w:r>
        <w:rPr>
          <w:vertAlign w:val="baseline"/>
        </w:rPr>
        <w:t>Supreme Court, in interpreting the Federal Arbitration Act with respect to the term “partiality” held that an interest would be found to exist </w:t>
      </w:r>
      <w:r>
        <w:rPr>
          <w:spacing w:val="2"/>
          <w:vertAlign w:val="baseline"/>
        </w:rPr>
        <w:t>if </w:t>
      </w:r>
      <w:r>
        <w:rPr>
          <w:vertAlign w:val="baseline"/>
        </w:rPr>
        <w:t>the relationship between the arbitrator and one of the parties is of such a nature as to give clear grounds for a</w:t>
      </w:r>
      <w:r>
        <w:rPr>
          <w:spacing w:val="-41"/>
          <w:vertAlign w:val="baseline"/>
        </w:rPr>
        <w:t> </w:t>
      </w:r>
      <w:r>
        <w:rPr>
          <w:vertAlign w:val="baseline"/>
        </w:rPr>
        <w:t>suspicion of the proceedings and, render it unlikely that the proceedings constituted the fair and impartial tribunal to which the other party is entitled.</w:t>
      </w:r>
      <w:r>
        <w:rPr>
          <w:vertAlign w:val="superscript"/>
        </w:rPr>
        <w:t>768</w:t>
      </w:r>
    </w:p>
    <w:p>
      <w:pPr>
        <w:pStyle w:val="BodyText"/>
        <w:spacing w:before="11"/>
        <w:rPr>
          <w:sz w:val="25"/>
        </w:rPr>
      </w:pPr>
    </w:p>
    <w:p>
      <w:pPr>
        <w:pStyle w:val="BodyText"/>
        <w:spacing w:line="242" w:lineRule="auto"/>
        <w:ind w:left="1520" w:right="1517" w:firstLine="720"/>
        <w:jc w:val="both"/>
      </w:pPr>
      <w:r>
        <w:rPr/>
        <w:t>Similarly, a Wisconsin court denied a motion by insureds to disqualify a court- appointed appraiser on the grounds of bias where</w:t>
      </w:r>
      <w:r>
        <w:rPr>
          <w:spacing w:val="-30"/>
        </w:rPr>
        <w:t> </w:t>
      </w:r>
      <w:r>
        <w:rPr/>
        <w:t>it</w:t>
      </w:r>
      <w:r>
        <w:rPr>
          <w:spacing w:val="-32"/>
        </w:rPr>
        <w:t> </w:t>
      </w:r>
      <w:r>
        <w:rPr/>
        <w:t>observed</w:t>
      </w:r>
      <w:r>
        <w:rPr>
          <w:spacing w:val="-27"/>
        </w:rPr>
        <w:t> </w:t>
      </w:r>
      <w:r>
        <w:rPr/>
        <w:t>no</w:t>
      </w:r>
      <w:r>
        <w:rPr>
          <w:spacing w:val="-26"/>
        </w:rPr>
        <w:t> </w:t>
      </w:r>
      <w:r>
        <w:rPr/>
        <w:t>evident</w:t>
      </w:r>
      <w:r>
        <w:rPr>
          <w:spacing w:val="-31"/>
        </w:rPr>
        <w:t> </w:t>
      </w:r>
      <w:r>
        <w:rPr/>
        <w:t>partiality.</w:t>
      </w:r>
      <w:r>
        <w:rPr>
          <w:spacing w:val="-31"/>
        </w:rPr>
        <w:t> </w:t>
      </w:r>
      <w:r>
        <w:rPr/>
        <w:t>Though appraisals</w:t>
      </w:r>
      <w:r>
        <w:rPr>
          <w:spacing w:val="-26"/>
        </w:rPr>
        <w:t> </w:t>
      </w:r>
      <w:r>
        <w:rPr/>
        <w:t>in</w:t>
      </w:r>
      <w:r>
        <w:rPr>
          <w:spacing w:val="-28"/>
        </w:rPr>
        <w:t> </w:t>
      </w:r>
      <w:r>
        <w:rPr/>
        <w:t>Wisconsin</w:t>
      </w:r>
      <w:r>
        <w:rPr>
          <w:spacing w:val="-28"/>
        </w:rPr>
        <w:t> </w:t>
      </w:r>
      <w:r>
        <w:rPr/>
        <w:t>are</w:t>
      </w:r>
      <w:r>
        <w:rPr>
          <w:spacing w:val="-29"/>
        </w:rPr>
        <w:t> </w:t>
      </w:r>
      <w:r>
        <w:rPr/>
        <w:t>generally</w:t>
      </w:r>
      <w:r>
        <w:rPr>
          <w:spacing w:val="-28"/>
        </w:rPr>
        <w:t> </w:t>
      </w:r>
      <w:r>
        <w:rPr/>
        <w:t>governed by the common law, the court in this instance looked to the state’s arbitration code for guidance as it deemed an independent appraiser’s role similar to an arbitrator’s. An arbitration award may be set aside where evident</w:t>
      </w:r>
      <w:r>
        <w:rPr>
          <w:spacing w:val="-15"/>
        </w:rPr>
        <w:t> </w:t>
      </w:r>
      <w:r>
        <w:rPr/>
        <w:t>partiality</w:t>
      </w:r>
      <w:r>
        <w:rPr>
          <w:spacing w:val="-16"/>
        </w:rPr>
        <w:t> </w:t>
      </w:r>
      <w:r>
        <w:rPr/>
        <w:t>exists,</w:t>
      </w:r>
      <w:r>
        <w:rPr>
          <w:spacing w:val="-15"/>
        </w:rPr>
        <w:t> </w:t>
      </w:r>
      <w:r>
        <w:rPr/>
        <w:t>in</w:t>
      </w:r>
      <w:r>
        <w:rPr>
          <w:spacing w:val="-13"/>
        </w:rPr>
        <w:t> </w:t>
      </w:r>
      <w:r>
        <w:rPr/>
        <w:t>other</w:t>
      </w:r>
      <w:r>
        <w:rPr>
          <w:spacing w:val="-13"/>
        </w:rPr>
        <w:t> </w:t>
      </w:r>
      <w:r>
        <w:rPr/>
        <w:t>words</w:t>
      </w:r>
      <w:r>
        <w:rPr>
          <w:spacing w:val="-13"/>
        </w:rPr>
        <w:t> </w:t>
      </w:r>
      <w:r>
        <w:rPr/>
        <w:t>“when</w:t>
      </w:r>
      <w:r>
        <w:rPr>
          <w:spacing w:val="-11"/>
        </w:rPr>
        <w:t> </w:t>
      </w:r>
      <w:r>
        <w:rPr/>
        <w:t>it ‘is clear, plain, and apparent’ that partiality is so likely that a reasonable person would </w:t>
      </w:r>
      <w:r>
        <w:rPr>
          <w:spacing w:val="-4"/>
        </w:rPr>
        <w:t>take </w:t>
      </w:r>
      <w:r>
        <w:rPr/>
        <w:t>action</w:t>
      </w:r>
      <w:r>
        <w:rPr>
          <w:spacing w:val="-23"/>
        </w:rPr>
        <w:t> </w:t>
      </w:r>
      <w:r>
        <w:rPr/>
        <w:t>to</w:t>
      </w:r>
      <w:r>
        <w:rPr>
          <w:spacing w:val="-22"/>
        </w:rPr>
        <w:t> </w:t>
      </w:r>
      <w:r>
        <w:rPr/>
        <w:t>stop</w:t>
      </w:r>
      <w:r>
        <w:rPr>
          <w:spacing w:val="-21"/>
        </w:rPr>
        <w:t> </w:t>
      </w:r>
      <w:r>
        <w:rPr/>
        <w:t>the</w:t>
      </w:r>
      <w:r>
        <w:rPr>
          <w:spacing w:val="-25"/>
        </w:rPr>
        <w:t> </w:t>
      </w:r>
      <w:r>
        <w:rPr/>
        <w:t>arbitration</w:t>
      </w:r>
      <w:r>
        <w:rPr>
          <w:spacing w:val="-24"/>
        </w:rPr>
        <w:t> </w:t>
      </w:r>
      <w:r>
        <w:rPr/>
        <w:t>of</w:t>
      </w:r>
      <w:r>
        <w:rPr>
          <w:spacing w:val="-24"/>
        </w:rPr>
        <w:t> </w:t>
      </w:r>
      <w:r>
        <w:rPr/>
        <w:t>a</w:t>
      </w:r>
      <w:r>
        <w:rPr>
          <w:spacing w:val="-25"/>
        </w:rPr>
        <w:t> </w:t>
      </w:r>
      <w:r>
        <w:rPr/>
        <w:t>dispute.”</w:t>
      </w:r>
      <w:r>
        <w:rPr>
          <w:spacing w:val="23"/>
        </w:rPr>
        <w:t> </w:t>
      </w:r>
      <w:r>
        <w:rPr/>
        <w:t>The insureds believed the appraiser was biased in favor</w:t>
      </w:r>
      <w:r>
        <w:rPr>
          <w:spacing w:val="-21"/>
        </w:rPr>
        <w:t> </w:t>
      </w:r>
      <w:r>
        <w:rPr/>
        <w:t>of</w:t>
      </w:r>
      <w:r>
        <w:rPr>
          <w:spacing w:val="-19"/>
        </w:rPr>
        <w:t> </w:t>
      </w:r>
      <w:r>
        <w:rPr/>
        <w:t>the</w:t>
      </w:r>
      <w:r>
        <w:rPr>
          <w:spacing w:val="-23"/>
        </w:rPr>
        <w:t> </w:t>
      </w:r>
      <w:r>
        <w:rPr/>
        <w:t>insurer</w:t>
      </w:r>
      <w:r>
        <w:rPr>
          <w:spacing w:val="-24"/>
        </w:rPr>
        <w:t> </w:t>
      </w:r>
      <w:r>
        <w:rPr/>
        <w:t>because</w:t>
      </w:r>
      <w:r>
        <w:rPr>
          <w:spacing w:val="-22"/>
        </w:rPr>
        <w:t> </w:t>
      </w:r>
      <w:r>
        <w:rPr/>
        <w:t>he</w:t>
      </w:r>
      <w:r>
        <w:rPr>
          <w:spacing w:val="-23"/>
        </w:rPr>
        <w:t> </w:t>
      </w:r>
      <w:r>
        <w:rPr/>
        <w:t>had</w:t>
      </w:r>
      <w:r>
        <w:rPr>
          <w:spacing w:val="-21"/>
        </w:rPr>
        <w:t> </w:t>
      </w:r>
      <w:r>
        <w:rPr/>
        <w:t>worked</w:t>
      </w:r>
      <w:r>
        <w:rPr>
          <w:spacing w:val="-21"/>
        </w:rPr>
        <w:t> </w:t>
      </w:r>
      <w:r>
        <w:rPr/>
        <w:t>for</w:t>
      </w:r>
    </w:p>
    <w:p>
      <w:pPr>
        <w:pStyle w:val="BodyText"/>
        <w:rPr>
          <w:sz w:val="20"/>
        </w:rPr>
      </w:pPr>
    </w:p>
    <w:p>
      <w:pPr>
        <w:pStyle w:val="BodyText"/>
        <w:rPr>
          <w:sz w:val="20"/>
        </w:rPr>
      </w:pPr>
    </w:p>
    <w:p>
      <w:pPr>
        <w:pStyle w:val="BodyText"/>
        <w:spacing w:before="6"/>
        <w:rPr>
          <w:sz w:val="16"/>
        </w:rPr>
      </w:pPr>
    </w:p>
    <w:p>
      <w:pPr>
        <w:spacing w:before="72"/>
        <w:ind w:left="1160" w:right="0" w:firstLine="0"/>
        <w:jc w:val="left"/>
        <w:rPr>
          <w:rFonts w:ascii="Times New Roman"/>
          <w:sz w:val="18"/>
        </w:rPr>
      </w:pPr>
      <w:r>
        <w:rPr>
          <w:rFonts w:ascii="Times New Roman"/>
          <w:position w:val="10"/>
          <w:sz w:val="14"/>
        </w:rPr>
        <w:t>767 </w:t>
      </w:r>
      <w:r>
        <w:rPr>
          <w:rFonts w:ascii="Times New Roman"/>
          <w:sz w:val="18"/>
        </w:rPr>
        <w:t>393 U.S. 145, 89 S. Ct. 337, 21 L.Ed.2d 301 (1968).</w:t>
      </w:r>
    </w:p>
    <w:p>
      <w:pPr>
        <w:spacing w:before="13"/>
        <w:ind w:left="1160" w:right="0" w:firstLine="0"/>
        <w:jc w:val="left"/>
        <w:rPr>
          <w:rFonts w:ascii="Times New Roman"/>
          <w:sz w:val="18"/>
        </w:rPr>
      </w:pPr>
      <w:r>
        <w:rPr>
          <w:rFonts w:ascii="Times New Roman"/>
          <w:position w:val="10"/>
          <w:sz w:val="14"/>
        </w:rPr>
        <w:t>768 </w:t>
      </w:r>
      <w:r>
        <w:rPr>
          <w:rFonts w:ascii="Times New Roman"/>
          <w:spacing w:val="2"/>
          <w:sz w:val="14"/>
        </w:rPr>
        <w:t> </w:t>
      </w:r>
      <w:r>
        <w:rPr>
          <w:rFonts w:ascii="Times New Roman"/>
          <w:sz w:val="18"/>
          <w:u w:val="single"/>
        </w:rPr>
        <w:t>Johnston</w:t>
      </w:r>
      <w:r>
        <w:rPr>
          <w:rFonts w:ascii="Times New Roman"/>
          <w:spacing w:val="12"/>
          <w:sz w:val="18"/>
          <w:u w:val="single"/>
        </w:rPr>
        <w:t> </w:t>
      </w:r>
      <w:r>
        <w:rPr>
          <w:rFonts w:ascii="Times New Roman"/>
          <w:sz w:val="18"/>
          <w:u w:val="single"/>
        </w:rPr>
        <w:t>v.</w:t>
      </w:r>
      <w:r>
        <w:rPr>
          <w:rFonts w:ascii="Times New Roman"/>
          <w:spacing w:val="12"/>
          <w:sz w:val="18"/>
          <w:u w:val="single"/>
        </w:rPr>
        <w:t> </w:t>
      </w:r>
      <w:r>
        <w:rPr>
          <w:rFonts w:ascii="Times New Roman"/>
          <w:sz w:val="18"/>
          <w:u w:val="single"/>
        </w:rPr>
        <w:t>Security</w:t>
      </w:r>
      <w:r>
        <w:rPr>
          <w:rFonts w:ascii="Times New Roman"/>
          <w:spacing w:val="7"/>
          <w:sz w:val="18"/>
          <w:u w:val="single"/>
        </w:rPr>
        <w:t> </w:t>
      </w:r>
      <w:r>
        <w:rPr>
          <w:rFonts w:ascii="Times New Roman"/>
          <w:sz w:val="18"/>
          <w:u w:val="single"/>
        </w:rPr>
        <w:t>Ins.</w:t>
      </w:r>
      <w:r>
        <w:rPr>
          <w:rFonts w:ascii="Times New Roman"/>
          <w:spacing w:val="12"/>
          <w:sz w:val="18"/>
          <w:u w:val="single"/>
        </w:rPr>
        <w:t> </w:t>
      </w:r>
      <w:r>
        <w:rPr>
          <w:rFonts w:ascii="Times New Roman"/>
          <w:sz w:val="18"/>
          <w:u w:val="single"/>
        </w:rPr>
        <w:t>Co.</w:t>
      </w:r>
      <w:r>
        <w:rPr>
          <w:rFonts w:ascii="Times New Roman"/>
          <w:sz w:val="18"/>
        </w:rPr>
        <w:t>,</w:t>
      </w:r>
      <w:r>
        <w:rPr>
          <w:rFonts w:ascii="Times New Roman"/>
          <w:spacing w:val="13"/>
          <w:sz w:val="18"/>
        </w:rPr>
        <w:t> </w:t>
      </w:r>
      <w:r>
        <w:rPr>
          <w:rFonts w:ascii="Times New Roman"/>
          <w:sz w:val="18"/>
        </w:rPr>
        <w:t>6</w:t>
      </w:r>
      <w:r>
        <w:rPr>
          <w:rFonts w:ascii="Times New Roman"/>
          <w:spacing w:val="12"/>
          <w:sz w:val="18"/>
        </w:rPr>
        <w:t> </w:t>
      </w:r>
      <w:r>
        <w:rPr>
          <w:rFonts w:ascii="Times New Roman"/>
          <w:sz w:val="18"/>
        </w:rPr>
        <w:t>Cal.</w:t>
      </w:r>
      <w:r>
        <w:rPr>
          <w:rFonts w:ascii="Times New Roman"/>
          <w:spacing w:val="12"/>
          <w:sz w:val="18"/>
        </w:rPr>
        <w:t> </w:t>
      </w:r>
      <w:r>
        <w:rPr>
          <w:rFonts w:ascii="Times New Roman"/>
          <w:sz w:val="18"/>
        </w:rPr>
        <w:t>App.3d.</w:t>
      </w:r>
      <w:r>
        <w:rPr>
          <w:rFonts w:ascii="Times New Roman"/>
          <w:spacing w:val="11"/>
          <w:sz w:val="18"/>
        </w:rPr>
        <w:t> </w:t>
      </w:r>
      <w:r>
        <w:rPr>
          <w:rFonts w:ascii="Times New Roman"/>
          <w:sz w:val="18"/>
        </w:rPr>
        <w:t>839,</w:t>
      </w:r>
      <w:r>
        <w:rPr>
          <w:rFonts w:ascii="Times New Roman"/>
          <w:spacing w:val="12"/>
          <w:sz w:val="18"/>
        </w:rPr>
        <w:t> </w:t>
      </w:r>
      <w:r>
        <w:rPr>
          <w:rFonts w:ascii="Times New Roman"/>
          <w:sz w:val="18"/>
        </w:rPr>
        <w:t>86</w:t>
      </w:r>
      <w:r>
        <w:rPr>
          <w:rFonts w:ascii="Times New Roman"/>
          <w:spacing w:val="12"/>
          <w:sz w:val="18"/>
        </w:rPr>
        <w:t> </w:t>
      </w:r>
      <w:r>
        <w:rPr>
          <w:rFonts w:ascii="Times New Roman"/>
          <w:sz w:val="18"/>
        </w:rPr>
        <w:t>Cal.</w:t>
      </w:r>
      <w:r>
        <w:rPr>
          <w:rFonts w:ascii="Times New Roman"/>
          <w:spacing w:val="11"/>
          <w:sz w:val="18"/>
        </w:rPr>
        <w:t> </w:t>
      </w:r>
      <w:r>
        <w:rPr>
          <w:rFonts w:ascii="Times New Roman"/>
          <w:sz w:val="18"/>
        </w:rPr>
        <w:t>Rprt.</w:t>
      </w:r>
      <w:r>
        <w:rPr>
          <w:rFonts w:ascii="Times New Roman"/>
          <w:spacing w:val="13"/>
          <w:sz w:val="18"/>
        </w:rPr>
        <w:t> </w:t>
      </w:r>
      <w:r>
        <w:rPr>
          <w:rFonts w:ascii="Times New Roman"/>
          <w:sz w:val="18"/>
        </w:rPr>
        <w:t>133</w:t>
      </w:r>
      <w:r>
        <w:rPr>
          <w:rFonts w:ascii="Times New Roman"/>
          <w:spacing w:val="11"/>
          <w:sz w:val="18"/>
        </w:rPr>
        <w:t> </w:t>
      </w:r>
      <w:r>
        <w:rPr>
          <w:rFonts w:ascii="Times New Roman"/>
          <w:sz w:val="18"/>
        </w:rPr>
        <w:t>(5</w:t>
      </w:r>
      <w:r>
        <w:rPr>
          <w:rFonts w:ascii="Times New Roman"/>
          <w:position w:val="7"/>
          <w:sz w:val="10"/>
        </w:rPr>
        <w:t>th </w:t>
      </w:r>
      <w:r>
        <w:rPr>
          <w:rFonts w:ascii="Times New Roman"/>
          <w:spacing w:val="9"/>
          <w:position w:val="7"/>
          <w:sz w:val="10"/>
        </w:rPr>
        <w:t> </w:t>
      </w:r>
      <w:r>
        <w:rPr>
          <w:rFonts w:ascii="Times New Roman"/>
          <w:sz w:val="18"/>
        </w:rPr>
        <w:t>Dist.1970);</w:t>
      </w:r>
    </w:p>
    <w:p>
      <w:pPr>
        <w:spacing w:before="19"/>
        <w:ind w:left="1160" w:right="0" w:firstLine="0"/>
        <w:jc w:val="left"/>
        <w:rPr>
          <w:rFonts w:ascii="Times New Roman"/>
          <w:sz w:val="18"/>
        </w:rPr>
      </w:pPr>
      <w:r>
        <w:rPr>
          <w:rFonts w:ascii="Times New Roman"/>
          <w:sz w:val="18"/>
          <w:u w:val="single"/>
        </w:rPr>
        <w:t>Michael</w:t>
      </w:r>
      <w:r>
        <w:rPr>
          <w:rFonts w:ascii="Times New Roman"/>
          <w:spacing w:val="-8"/>
          <w:sz w:val="18"/>
          <w:u w:val="single"/>
        </w:rPr>
        <w:t> </w:t>
      </w:r>
      <w:r>
        <w:rPr>
          <w:rFonts w:ascii="Times New Roman"/>
          <w:sz w:val="18"/>
          <w:u w:val="single"/>
        </w:rPr>
        <w:t>v.</w:t>
      </w:r>
      <w:r>
        <w:rPr>
          <w:rFonts w:ascii="Times New Roman"/>
          <w:spacing w:val="-6"/>
          <w:sz w:val="18"/>
          <w:u w:val="single"/>
        </w:rPr>
        <w:t> </w:t>
      </w:r>
      <w:r>
        <w:rPr>
          <w:rFonts w:ascii="Times New Roman"/>
          <w:sz w:val="18"/>
          <w:u w:val="single"/>
        </w:rPr>
        <w:t>Aetna</w:t>
      </w:r>
      <w:r>
        <w:rPr>
          <w:rFonts w:ascii="Times New Roman"/>
          <w:spacing w:val="-8"/>
          <w:sz w:val="18"/>
          <w:u w:val="single"/>
        </w:rPr>
        <w:t> </w:t>
      </w:r>
      <w:r>
        <w:rPr>
          <w:rFonts w:ascii="Times New Roman"/>
          <w:sz w:val="18"/>
          <w:u w:val="single"/>
        </w:rPr>
        <w:t>Ins.</w:t>
      </w:r>
      <w:r>
        <w:rPr>
          <w:rFonts w:ascii="Times New Roman"/>
          <w:spacing w:val="-7"/>
          <w:sz w:val="18"/>
          <w:u w:val="single"/>
        </w:rPr>
        <w:t> </w:t>
      </w:r>
      <w:r>
        <w:rPr>
          <w:rFonts w:ascii="Times New Roman"/>
          <w:sz w:val="18"/>
          <w:u w:val="single"/>
        </w:rPr>
        <w:t>Co.</w:t>
      </w:r>
      <w:r>
        <w:rPr>
          <w:rFonts w:ascii="Times New Roman"/>
          <w:sz w:val="18"/>
        </w:rPr>
        <w:t>,</w:t>
      </w:r>
      <w:r>
        <w:rPr>
          <w:rFonts w:ascii="Times New Roman"/>
          <w:spacing w:val="-8"/>
          <w:sz w:val="18"/>
        </w:rPr>
        <w:t> </w:t>
      </w:r>
      <w:r>
        <w:rPr>
          <w:rFonts w:ascii="Times New Roman"/>
          <w:sz w:val="18"/>
        </w:rPr>
        <w:t>88</w:t>
      </w:r>
      <w:r>
        <w:rPr>
          <w:rFonts w:ascii="Times New Roman"/>
          <w:spacing w:val="-8"/>
          <w:sz w:val="18"/>
        </w:rPr>
        <w:t> </w:t>
      </w:r>
      <w:r>
        <w:rPr>
          <w:rFonts w:ascii="Times New Roman"/>
          <w:sz w:val="18"/>
        </w:rPr>
        <w:t>Cal.</w:t>
      </w:r>
      <w:r>
        <w:rPr>
          <w:rFonts w:ascii="Times New Roman"/>
          <w:spacing w:val="-9"/>
          <w:sz w:val="18"/>
        </w:rPr>
        <w:t> </w:t>
      </w:r>
      <w:r>
        <w:rPr>
          <w:rFonts w:ascii="Times New Roman"/>
          <w:sz w:val="18"/>
        </w:rPr>
        <w:t>App.4</w:t>
      </w:r>
      <w:r>
        <w:rPr>
          <w:rFonts w:ascii="Times New Roman"/>
          <w:spacing w:val="-8"/>
          <w:sz w:val="18"/>
        </w:rPr>
        <w:t> </w:t>
      </w:r>
      <w:r>
        <w:rPr>
          <w:rFonts w:ascii="Times New Roman"/>
          <w:sz w:val="18"/>
        </w:rPr>
        <w:t>925,</w:t>
      </w:r>
      <w:r>
        <w:rPr>
          <w:rFonts w:ascii="Times New Roman"/>
          <w:spacing w:val="-6"/>
          <w:sz w:val="18"/>
        </w:rPr>
        <w:t> </w:t>
      </w:r>
      <w:r>
        <w:rPr>
          <w:rFonts w:ascii="Times New Roman"/>
          <w:sz w:val="18"/>
        </w:rPr>
        <w:t>106</w:t>
      </w:r>
      <w:r>
        <w:rPr>
          <w:rFonts w:ascii="Times New Roman"/>
          <w:spacing w:val="-6"/>
          <w:sz w:val="18"/>
        </w:rPr>
        <w:t> </w:t>
      </w:r>
      <w:r>
        <w:rPr>
          <w:rFonts w:ascii="Times New Roman"/>
          <w:sz w:val="18"/>
        </w:rPr>
        <w:t>Cal</w:t>
      </w:r>
      <w:r>
        <w:rPr>
          <w:rFonts w:ascii="Times New Roman"/>
          <w:spacing w:val="-7"/>
          <w:sz w:val="18"/>
        </w:rPr>
        <w:t> </w:t>
      </w:r>
      <w:r>
        <w:rPr>
          <w:rFonts w:ascii="Times New Roman"/>
          <w:sz w:val="18"/>
        </w:rPr>
        <w:t>Rptr.2</w:t>
      </w:r>
      <w:r>
        <w:rPr>
          <w:rFonts w:ascii="Times New Roman"/>
          <w:spacing w:val="-7"/>
          <w:sz w:val="18"/>
        </w:rPr>
        <w:t> </w:t>
      </w:r>
      <w:r>
        <w:rPr>
          <w:rFonts w:ascii="Times New Roman"/>
          <w:sz w:val="18"/>
        </w:rPr>
        <w:t>240</w:t>
      </w:r>
      <w:r>
        <w:rPr>
          <w:rFonts w:ascii="Times New Roman"/>
          <w:spacing w:val="-6"/>
          <w:sz w:val="18"/>
        </w:rPr>
        <w:t> </w:t>
      </w:r>
      <w:r>
        <w:rPr>
          <w:rFonts w:ascii="Times New Roman"/>
          <w:sz w:val="18"/>
        </w:rPr>
        <w:t>(Cal.</w:t>
      </w:r>
      <w:r>
        <w:rPr>
          <w:rFonts w:ascii="Times New Roman"/>
          <w:spacing w:val="-7"/>
          <w:sz w:val="18"/>
        </w:rPr>
        <w:t> </w:t>
      </w:r>
      <w:r>
        <w:rPr>
          <w:rFonts w:ascii="Times New Roman"/>
          <w:sz w:val="18"/>
        </w:rPr>
        <w:t>App.</w:t>
      </w:r>
      <w:r>
        <w:rPr>
          <w:rFonts w:ascii="Times New Roman"/>
          <w:spacing w:val="-7"/>
          <w:sz w:val="18"/>
        </w:rPr>
        <w:t> </w:t>
      </w:r>
      <w:r>
        <w:rPr>
          <w:rFonts w:ascii="Times New Roman"/>
          <w:sz w:val="18"/>
        </w:rPr>
        <w:t>2</w:t>
      </w:r>
      <w:r>
        <w:rPr>
          <w:rFonts w:ascii="Times New Roman"/>
          <w:spacing w:val="-6"/>
          <w:sz w:val="18"/>
        </w:rPr>
        <w:t> </w:t>
      </w:r>
      <w:r>
        <w:rPr>
          <w:rFonts w:ascii="Times New Roman"/>
          <w:sz w:val="18"/>
        </w:rPr>
        <w:t>Dist.</w:t>
      </w:r>
      <w:r>
        <w:rPr>
          <w:rFonts w:ascii="Times New Roman"/>
          <w:spacing w:val="-7"/>
          <w:sz w:val="18"/>
        </w:rPr>
        <w:t> </w:t>
      </w:r>
      <w:r>
        <w:rPr>
          <w:rFonts w:ascii="Times New Roman"/>
          <w:sz w:val="18"/>
        </w:rPr>
        <w:t>2001).</w:t>
      </w:r>
    </w:p>
    <w:p>
      <w:pPr>
        <w:spacing w:after="0"/>
        <w:jc w:val="left"/>
        <w:rPr>
          <w:rFonts w:ascii="Times New Roman"/>
          <w:sz w:val="18"/>
        </w:rPr>
        <w:sectPr>
          <w:footerReference w:type="default" r:id="rId8"/>
          <w:pgSz w:w="12240" w:h="15840"/>
          <w:pgMar w:footer="2476" w:header="0" w:top="1500" w:bottom="26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8"/>
        <w:jc w:val="both"/>
      </w:pPr>
      <w:bookmarkStart w:name="Law and Procedure 364" w:id="31"/>
      <w:bookmarkEnd w:id="31"/>
      <w:r>
        <w:rPr/>
      </w:r>
      <w:r>
        <w:rPr/>
        <w:t>a company which had worked for the insurer and</w:t>
      </w:r>
      <w:r>
        <w:rPr>
          <w:spacing w:val="-35"/>
        </w:rPr>
        <w:t> </w:t>
      </w:r>
      <w:r>
        <w:rPr/>
        <w:t>continued</w:t>
      </w:r>
      <w:r>
        <w:rPr>
          <w:spacing w:val="-35"/>
        </w:rPr>
        <w:t> </w:t>
      </w:r>
      <w:r>
        <w:rPr/>
        <w:t>to</w:t>
      </w:r>
      <w:r>
        <w:rPr>
          <w:spacing w:val="-35"/>
        </w:rPr>
        <w:t> </w:t>
      </w:r>
      <w:r>
        <w:rPr/>
        <w:t>receive</w:t>
      </w:r>
      <w:r>
        <w:rPr>
          <w:spacing w:val="-36"/>
        </w:rPr>
        <w:t> </w:t>
      </w:r>
      <w:r>
        <w:rPr/>
        <w:t>payment</w:t>
      </w:r>
      <w:r>
        <w:rPr>
          <w:spacing w:val="-38"/>
        </w:rPr>
        <w:t> </w:t>
      </w:r>
      <w:r>
        <w:rPr/>
        <w:t>pursuant</w:t>
      </w:r>
      <w:r>
        <w:rPr>
          <w:spacing w:val="-35"/>
        </w:rPr>
        <w:t> </w:t>
      </w:r>
      <w:r>
        <w:rPr/>
        <w:t>to a</w:t>
      </w:r>
      <w:r>
        <w:rPr>
          <w:spacing w:val="-32"/>
        </w:rPr>
        <w:t> </w:t>
      </w:r>
      <w:r>
        <w:rPr/>
        <w:t>stock</w:t>
      </w:r>
      <w:r>
        <w:rPr>
          <w:spacing w:val="-31"/>
        </w:rPr>
        <w:t> </w:t>
      </w:r>
      <w:r>
        <w:rPr>
          <w:spacing w:val="-3"/>
        </w:rPr>
        <w:t>redemption</w:t>
      </w:r>
      <w:r>
        <w:rPr>
          <w:spacing w:val="-33"/>
        </w:rPr>
        <w:t> </w:t>
      </w:r>
      <w:r>
        <w:rPr/>
        <w:t>plan.</w:t>
      </w:r>
      <w:r>
        <w:rPr>
          <w:spacing w:val="-36"/>
        </w:rPr>
        <w:t> </w:t>
      </w:r>
      <w:r>
        <w:rPr>
          <w:spacing w:val="-3"/>
        </w:rPr>
        <w:t>However,</w:t>
      </w:r>
      <w:r>
        <w:rPr>
          <w:spacing w:val="-33"/>
        </w:rPr>
        <w:t> </w:t>
      </w:r>
      <w:r>
        <w:rPr/>
        <w:t>no</w:t>
      </w:r>
      <w:r>
        <w:rPr>
          <w:spacing w:val="-31"/>
        </w:rPr>
        <w:t> </w:t>
      </w:r>
      <w:r>
        <w:rPr/>
        <w:t>partiality was found since the appraiser had stopped working</w:t>
      </w:r>
      <w:r>
        <w:rPr>
          <w:spacing w:val="-31"/>
        </w:rPr>
        <w:t> </w:t>
      </w:r>
      <w:r>
        <w:rPr/>
        <w:t>for</w:t>
      </w:r>
      <w:r>
        <w:rPr>
          <w:spacing w:val="-31"/>
        </w:rPr>
        <w:t> </w:t>
      </w:r>
      <w:r>
        <w:rPr/>
        <w:t>the</w:t>
      </w:r>
      <w:r>
        <w:rPr>
          <w:spacing w:val="-31"/>
        </w:rPr>
        <w:t> </w:t>
      </w:r>
      <w:r>
        <w:rPr/>
        <w:t>company</w:t>
      </w:r>
      <w:r>
        <w:rPr>
          <w:spacing w:val="-34"/>
        </w:rPr>
        <w:t> </w:t>
      </w:r>
      <w:r>
        <w:rPr/>
        <w:t>years</w:t>
      </w:r>
      <w:r>
        <w:rPr>
          <w:spacing w:val="-31"/>
        </w:rPr>
        <w:t> </w:t>
      </w:r>
      <w:r>
        <w:rPr/>
        <w:t>prior,</w:t>
      </w:r>
      <w:r>
        <w:rPr>
          <w:spacing w:val="-34"/>
        </w:rPr>
        <w:t> </w:t>
      </w:r>
      <w:r>
        <w:rPr/>
        <w:t>the</w:t>
      </w:r>
      <w:r>
        <w:rPr>
          <w:spacing w:val="-32"/>
        </w:rPr>
        <w:t> </w:t>
      </w:r>
      <w:r>
        <w:rPr/>
        <w:t>insurer had</w:t>
      </w:r>
      <w:r>
        <w:rPr>
          <w:spacing w:val="-26"/>
        </w:rPr>
        <w:t> </w:t>
      </w:r>
      <w:r>
        <w:rPr/>
        <w:t>never</w:t>
      </w:r>
      <w:r>
        <w:rPr>
          <w:spacing w:val="-28"/>
        </w:rPr>
        <w:t> </w:t>
      </w:r>
      <w:r>
        <w:rPr/>
        <w:t>been</w:t>
      </w:r>
      <w:r>
        <w:rPr>
          <w:spacing w:val="-26"/>
        </w:rPr>
        <w:t> </w:t>
      </w:r>
      <w:r>
        <w:rPr/>
        <w:t>one</w:t>
      </w:r>
      <w:r>
        <w:rPr>
          <w:spacing w:val="-26"/>
        </w:rPr>
        <w:t> </w:t>
      </w:r>
      <w:r>
        <w:rPr/>
        <w:t>of</w:t>
      </w:r>
      <w:r>
        <w:rPr>
          <w:spacing w:val="-26"/>
        </w:rPr>
        <w:t> </w:t>
      </w:r>
      <w:r>
        <w:rPr/>
        <w:t>its</w:t>
      </w:r>
      <w:r>
        <w:rPr>
          <w:spacing w:val="-26"/>
        </w:rPr>
        <w:t> </w:t>
      </w:r>
      <w:r>
        <w:rPr/>
        <w:t>major</w:t>
      </w:r>
      <w:r>
        <w:rPr>
          <w:spacing w:val="-26"/>
        </w:rPr>
        <w:t> </w:t>
      </w:r>
      <w:r>
        <w:rPr/>
        <w:t>clients</w:t>
      </w:r>
      <w:r>
        <w:rPr>
          <w:spacing w:val="-26"/>
        </w:rPr>
        <w:t> </w:t>
      </w:r>
      <w:r>
        <w:rPr/>
        <w:t>and</w:t>
      </w:r>
      <w:r>
        <w:rPr>
          <w:spacing w:val="-26"/>
        </w:rPr>
        <w:t> </w:t>
      </w:r>
      <w:r>
        <w:rPr/>
        <w:t>the appraiser had no control over the company’s operations.</w:t>
      </w:r>
      <w:r>
        <w:rPr>
          <w:vertAlign w:val="superscript"/>
        </w:rPr>
        <w:t>769</w:t>
      </w:r>
    </w:p>
    <w:p>
      <w:pPr>
        <w:pStyle w:val="BodyText"/>
        <w:spacing w:before="12"/>
        <w:rPr>
          <w:sz w:val="25"/>
        </w:rPr>
      </w:pPr>
    </w:p>
    <w:p>
      <w:pPr>
        <w:pStyle w:val="BodyText"/>
        <w:spacing w:line="242" w:lineRule="auto"/>
        <w:ind w:left="1520" w:right="1519" w:firstLine="720"/>
        <w:jc w:val="both"/>
      </w:pPr>
      <w:r>
        <w:rPr>
          <w:spacing w:val="2"/>
        </w:rPr>
        <w:t>An</w:t>
      </w:r>
      <w:r>
        <w:rPr>
          <w:spacing w:val="-17"/>
        </w:rPr>
        <w:t> </w:t>
      </w:r>
      <w:r>
        <w:rPr/>
        <w:t>appraiser's</w:t>
      </w:r>
      <w:r>
        <w:rPr>
          <w:spacing w:val="-18"/>
        </w:rPr>
        <w:t> </w:t>
      </w:r>
      <w:r>
        <w:rPr/>
        <w:t>preconceived</w:t>
      </w:r>
      <w:r>
        <w:rPr>
          <w:spacing w:val="-16"/>
        </w:rPr>
        <w:t> </w:t>
      </w:r>
      <w:r>
        <w:rPr/>
        <w:t>opinion</w:t>
      </w:r>
      <w:r>
        <w:rPr>
          <w:spacing w:val="-16"/>
        </w:rPr>
        <w:t> </w:t>
      </w:r>
      <w:r>
        <w:rPr/>
        <w:t>will not of itself disqualify him because the courts </w:t>
      </w:r>
      <w:r>
        <w:rPr>
          <w:spacing w:val="6"/>
        </w:rPr>
        <w:t>have </w:t>
      </w:r>
      <w:r>
        <w:rPr>
          <w:spacing w:val="8"/>
        </w:rPr>
        <w:t>considered </w:t>
      </w:r>
      <w:r>
        <w:rPr>
          <w:spacing w:val="7"/>
        </w:rPr>
        <w:t>his knowledge </w:t>
      </w:r>
      <w:r>
        <w:rPr>
          <w:spacing w:val="6"/>
        </w:rPr>
        <w:t>and </w:t>
      </w:r>
      <w:r>
        <w:rPr/>
        <w:t>experience resulted in the appraiser being better qualified to ascertain the true value as long as he </w:t>
      </w:r>
      <w:r>
        <w:rPr>
          <w:spacing w:val="3"/>
        </w:rPr>
        <w:t>is </w:t>
      </w:r>
      <w:r>
        <w:rPr/>
        <w:t>free from bias and</w:t>
      </w:r>
      <w:r>
        <w:rPr>
          <w:spacing w:val="-11"/>
        </w:rPr>
        <w:t> </w:t>
      </w:r>
      <w:r>
        <w:rPr/>
        <w:t>prejudice.</w:t>
      </w:r>
      <w:r>
        <w:rPr>
          <w:vertAlign w:val="superscript"/>
        </w:rPr>
        <w:t>770</w:t>
      </w:r>
    </w:p>
    <w:p>
      <w:pPr>
        <w:pStyle w:val="BodyText"/>
        <w:spacing w:before="8"/>
        <w:rPr>
          <w:sz w:val="22"/>
        </w:rPr>
      </w:pPr>
    </w:p>
    <w:p>
      <w:pPr>
        <w:pStyle w:val="BodyText"/>
        <w:spacing w:line="242" w:lineRule="auto" w:before="41"/>
        <w:ind w:left="1520" w:right="1518" w:firstLine="720"/>
        <w:jc w:val="both"/>
      </w:pPr>
      <w:r>
        <w:rPr>
          <w:spacing w:val="3"/>
        </w:rPr>
        <w:t>In</w:t>
      </w:r>
      <w:r>
        <w:rPr>
          <w:spacing w:val="-25"/>
        </w:rPr>
        <w:t> </w:t>
      </w:r>
      <w:r>
        <w:rPr>
          <w:u w:val="single"/>
        </w:rPr>
        <w:t>Auto-Owners</w:t>
      </w:r>
      <w:r>
        <w:rPr>
          <w:spacing w:val="-24"/>
          <w:u w:val="single"/>
        </w:rPr>
        <w:t> </w:t>
      </w:r>
      <w:r>
        <w:rPr>
          <w:u w:val="single"/>
        </w:rPr>
        <w:t>Ins.</w:t>
      </w:r>
      <w:r>
        <w:rPr>
          <w:spacing w:val="-25"/>
          <w:u w:val="single"/>
        </w:rPr>
        <w:t> </w:t>
      </w:r>
      <w:r>
        <w:rPr>
          <w:u w:val="single"/>
        </w:rPr>
        <w:t>Co.</w:t>
      </w:r>
      <w:r>
        <w:rPr>
          <w:spacing w:val="-23"/>
          <w:u w:val="single"/>
        </w:rPr>
        <w:t> </w:t>
      </w:r>
      <w:r>
        <w:rPr>
          <w:u w:val="single"/>
        </w:rPr>
        <w:t>v.</w:t>
      </w:r>
      <w:r>
        <w:rPr>
          <w:spacing w:val="-25"/>
          <w:u w:val="single"/>
        </w:rPr>
        <w:t> </w:t>
      </w:r>
      <w:r>
        <w:rPr>
          <w:u w:val="single"/>
        </w:rPr>
        <w:t>Allied</w:t>
      </w:r>
      <w:r>
        <w:rPr>
          <w:spacing w:val="-22"/>
          <w:u w:val="single"/>
        </w:rPr>
        <w:t> </w:t>
      </w:r>
      <w:r>
        <w:rPr>
          <w:u w:val="single"/>
        </w:rPr>
        <w:t>Adjusters</w:t>
      </w:r>
      <w:r>
        <w:rPr/>
        <w:t> </w:t>
      </w:r>
      <w:r>
        <w:rPr>
          <w:u w:val="single"/>
        </w:rPr>
        <w:t>&amp; Appraisers, Inc.</w:t>
      </w:r>
      <w:r>
        <w:rPr/>
        <w:t>,</w:t>
      </w:r>
      <w:r>
        <w:rPr>
          <w:vertAlign w:val="superscript"/>
        </w:rPr>
        <w:t>771</w:t>
      </w:r>
      <w:r>
        <w:rPr>
          <w:vertAlign w:val="baseline"/>
        </w:rPr>
        <w:t> the court found that </w:t>
      </w:r>
      <w:r>
        <w:rPr>
          <w:spacing w:val="-17"/>
          <w:vertAlign w:val="baseline"/>
        </w:rPr>
        <w:t>an </w:t>
      </w:r>
      <w:r>
        <w:rPr>
          <w:vertAlign w:val="baseline"/>
        </w:rPr>
        <w:t>“independent appraiser may be </w:t>
      </w:r>
      <w:r>
        <w:rPr>
          <w:spacing w:val="-3"/>
          <w:vertAlign w:val="baseline"/>
        </w:rPr>
        <w:t>biased </w:t>
      </w:r>
      <w:r>
        <w:rPr>
          <w:vertAlign w:val="baseline"/>
        </w:rPr>
        <w:t>toward the party who hires and pays him, as long as he retains the ability to base his recommendation on his own</w:t>
      </w:r>
      <w:r>
        <w:rPr>
          <w:spacing w:val="-9"/>
          <w:vertAlign w:val="baseline"/>
        </w:rPr>
        <w:t> </w:t>
      </w:r>
      <w:r>
        <w:rPr>
          <w:vertAlign w:val="baseline"/>
        </w:rPr>
        <w:t>judgment.”</w:t>
      </w:r>
    </w:p>
    <w:p>
      <w:pPr>
        <w:pStyle w:val="BodyText"/>
        <w:spacing w:before="1"/>
      </w:pPr>
    </w:p>
    <w:p>
      <w:pPr>
        <w:pStyle w:val="BodyText"/>
        <w:spacing w:line="242" w:lineRule="auto"/>
        <w:ind w:left="1520" w:right="1516" w:firstLine="720"/>
        <w:jc w:val="both"/>
      </w:pPr>
      <w:r>
        <w:rPr/>
        <w:t>Even where an insured has established that</w:t>
      </w:r>
      <w:r>
        <w:rPr>
          <w:spacing w:val="-28"/>
        </w:rPr>
        <w:t> </w:t>
      </w:r>
      <w:r>
        <w:rPr/>
        <w:t>the</w:t>
      </w:r>
      <w:r>
        <w:rPr>
          <w:spacing w:val="-28"/>
        </w:rPr>
        <w:t> </w:t>
      </w:r>
      <w:r>
        <w:rPr/>
        <w:t>carrier</w:t>
      </w:r>
      <w:r>
        <w:rPr>
          <w:spacing w:val="-29"/>
        </w:rPr>
        <w:t> </w:t>
      </w:r>
      <w:r>
        <w:rPr/>
        <w:t>exercised</w:t>
      </w:r>
      <w:r>
        <w:rPr>
          <w:spacing w:val="-28"/>
        </w:rPr>
        <w:t> </w:t>
      </w:r>
      <w:r>
        <w:rPr/>
        <w:t>undue</w:t>
      </w:r>
      <w:r>
        <w:rPr>
          <w:spacing w:val="-28"/>
        </w:rPr>
        <w:t> </w:t>
      </w:r>
      <w:r>
        <w:rPr/>
        <w:t>influence</w:t>
      </w:r>
      <w:r>
        <w:rPr>
          <w:spacing w:val="-26"/>
        </w:rPr>
        <w:t> </w:t>
      </w:r>
      <w:r>
        <w:rPr/>
        <w:t>over its</w:t>
      </w:r>
      <w:r>
        <w:rPr>
          <w:spacing w:val="-24"/>
        </w:rPr>
        <w:t> </w:t>
      </w:r>
      <w:r>
        <w:rPr/>
        <w:t>own</w:t>
      </w:r>
      <w:r>
        <w:rPr>
          <w:spacing w:val="-23"/>
        </w:rPr>
        <w:t> </w:t>
      </w:r>
      <w:r>
        <w:rPr/>
        <w:t>appraiser,</w:t>
      </w:r>
      <w:r>
        <w:rPr>
          <w:spacing w:val="-24"/>
        </w:rPr>
        <w:t> </w:t>
      </w:r>
      <w:r>
        <w:rPr/>
        <w:t>it</w:t>
      </w:r>
      <w:r>
        <w:rPr>
          <w:spacing w:val="-26"/>
        </w:rPr>
        <w:t> </w:t>
      </w:r>
      <w:r>
        <w:rPr/>
        <w:t>has</w:t>
      </w:r>
      <w:r>
        <w:rPr>
          <w:spacing w:val="-23"/>
        </w:rPr>
        <w:t> </w:t>
      </w:r>
      <w:r>
        <w:rPr/>
        <w:t>been</w:t>
      </w:r>
      <w:r>
        <w:rPr>
          <w:spacing w:val="-24"/>
        </w:rPr>
        <w:t> </w:t>
      </w:r>
      <w:r>
        <w:rPr/>
        <w:t>held</w:t>
      </w:r>
      <w:r>
        <w:rPr>
          <w:spacing w:val="-21"/>
        </w:rPr>
        <w:t> </w:t>
      </w:r>
      <w:r>
        <w:rPr/>
        <w:t>he</w:t>
      </w:r>
      <w:r>
        <w:rPr>
          <w:spacing w:val="-23"/>
        </w:rPr>
        <w:t> </w:t>
      </w:r>
      <w:r>
        <w:rPr/>
        <w:t>would</w:t>
      </w:r>
      <w:r>
        <w:rPr>
          <w:spacing w:val="-19"/>
        </w:rPr>
        <w:t> </w:t>
      </w:r>
      <w:r>
        <w:rPr/>
        <w:t>still have failed to establish partiality or</w:t>
      </w:r>
      <w:r>
        <w:rPr>
          <w:spacing w:val="-13"/>
        </w:rPr>
        <w:t> </w:t>
      </w:r>
      <w:r>
        <w:rPr/>
        <w:t>corruption</w:t>
      </w:r>
    </w:p>
    <w:p>
      <w:pPr>
        <w:pStyle w:val="BodyText"/>
        <w:rPr>
          <w:sz w:val="20"/>
        </w:rPr>
      </w:pPr>
    </w:p>
    <w:p>
      <w:pPr>
        <w:pStyle w:val="BodyText"/>
        <w:rPr>
          <w:sz w:val="14"/>
        </w:rPr>
      </w:pPr>
      <w:r>
        <w:rPr/>
        <w:pict>
          <v:shape style="position:absolute;margin-left:162pt;margin-top:11.016191pt;width:143.9pt;height:.1pt;mso-position-horizontal-relative:page;mso-position-vertical-relative:paragraph;z-index:-251632640;mso-wrap-distance-left:0;mso-wrap-distance-right:0" coordorigin="3240,220" coordsize="2878,0" path="m3240,220l6118,220e" filled="false" stroked="true" strokeweight=".84pt" strokecolor="#000000">
            <v:path arrowok="t"/>
            <v:stroke dashstyle="solid"/>
            <w10:wrap type="topAndBottom"/>
          </v:shape>
        </w:pict>
      </w:r>
    </w:p>
    <w:p>
      <w:pPr>
        <w:pStyle w:val="BodyText"/>
        <w:spacing w:before="10"/>
        <w:rPr>
          <w:sz w:val="13"/>
        </w:rPr>
      </w:pPr>
    </w:p>
    <w:p>
      <w:pPr>
        <w:spacing w:line="256" w:lineRule="auto" w:before="72"/>
        <w:ind w:left="1160" w:right="1166" w:firstLine="0"/>
        <w:jc w:val="left"/>
        <w:rPr>
          <w:rFonts w:ascii="Times New Roman"/>
          <w:sz w:val="18"/>
        </w:rPr>
      </w:pPr>
      <w:r>
        <w:rPr>
          <w:rFonts w:ascii="Times New Roman"/>
          <w:position w:val="10"/>
          <w:sz w:val="14"/>
        </w:rPr>
        <w:t>769</w:t>
      </w:r>
      <w:r>
        <w:rPr>
          <w:rFonts w:ascii="Times New Roman"/>
          <w:spacing w:val="27"/>
          <w:sz w:val="14"/>
        </w:rPr>
        <w:t> </w:t>
      </w:r>
      <w:r>
        <w:rPr>
          <w:rFonts w:ascii="Times New Roman"/>
          <w:sz w:val="18"/>
          <w:u w:val="single"/>
        </w:rPr>
        <w:t>Gronik</w:t>
      </w:r>
      <w:r>
        <w:rPr>
          <w:rFonts w:ascii="Times New Roman"/>
          <w:spacing w:val="-13"/>
          <w:sz w:val="18"/>
          <w:u w:val="single"/>
        </w:rPr>
        <w:t> </w:t>
      </w:r>
      <w:r>
        <w:rPr>
          <w:rFonts w:ascii="Times New Roman"/>
          <w:sz w:val="18"/>
          <w:u w:val="single"/>
        </w:rPr>
        <w:t>v.</w:t>
      </w:r>
      <w:r>
        <w:rPr>
          <w:rFonts w:ascii="Times New Roman"/>
          <w:spacing w:val="-14"/>
          <w:sz w:val="18"/>
          <w:u w:val="single"/>
        </w:rPr>
        <w:t> </w:t>
      </w:r>
      <w:r>
        <w:rPr>
          <w:rFonts w:ascii="Times New Roman"/>
          <w:sz w:val="18"/>
          <w:u w:val="single"/>
        </w:rPr>
        <w:t>Balthasar</w:t>
      </w:r>
      <w:r>
        <w:rPr>
          <w:rFonts w:ascii="Times New Roman"/>
          <w:sz w:val="18"/>
        </w:rPr>
        <w:t>,</w:t>
      </w:r>
      <w:r>
        <w:rPr>
          <w:rFonts w:ascii="Times New Roman"/>
          <w:spacing w:val="-12"/>
          <w:sz w:val="18"/>
        </w:rPr>
        <w:t> </w:t>
      </w:r>
      <w:r>
        <w:rPr>
          <w:rFonts w:ascii="Times New Roman"/>
          <w:sz w:val="18"/>
        </w:rPr>
        <w:t>2013</w:t>
      </w:r>
      <w:r>
        <w:rPr>
          <w:rFonts w:ascii="Times New Roman"/>
          <w:spacing w:val="-11"/>
          <w:sz w:val="18"/>
        </w:rPr>
        <w:t> </w:t>
      </w:r>
      <w:r>
        <w:rPr>
          <w:rFonts w:ascii="Times New Roman"/>
          <w:sz w:val="18"/>
        </w:rPr>
        <w:t>WL</w:t>
      </w:r>
      <w:r>
        <w:rPr>
          <w:rFonts w:ascii="Times New Roman"/>
          <w:spacing w:val="-13"/>
          <w:sz w:val="18"/>
        </w:rPr>
        <w:t> </w:t>
      </w:r>
      <w:r>
        <w:rPr>
          <w:rFonts w:ascii="Times New Roman"/>
          <w:sz w:val="18"/>
        </w:rPr>
        <w:t>5376025</w:t>
      </w:r>
      <w:r>
        <w:rPr>
          <w:rFonts w:ascii="Times New Roman"/>
          <w:spacing w:val="-10"/>
          <w:sz w:val="18"/>
        </w:rPr>
        <w:t> </w:t>
      </w:r>
      <w:r>
        <w:rPr>
          <w:rFonts w:ascii="Times New Roman"/>
          <w:sz w:val="18"/>
        </w:rPr>
        <w:t>(E.D.</w:t>
      </w:r>
      <w:r>
        <w:rPr>
          <w:rFonts w:ascii="Times New Roman"/>
          <w:spacing w:val="-10"/>
          <w:sz w:val="18"/>
        </w:rPr>
        <w:t> </w:t>
      </w:r>
      <w:r>
        <w:rPr>
          <w:rFonts w:ascii="Times New Roman"/>
          <w:sz w:val="18"/>
        </w:rPr>
        <w:t>Wis.2013),</w:t>
      </w:r>
      <w:r>
        <w:rPr>
          <w:rFonts w:ascii="Times New Roman"/>
          <w:spacing w:val="-11"/>
          <w:sz w:val="18"/>
        </w:rPr>
        <w:t> </w:t>
      </w:r>
      <w:r>
        <w:rPr>
          <w:rFonts w:ascii="Times New Roman"/>
          <w:sz w:val="18"/>
        </w:rPr>
        <w:t>citing</w:t>
      </w:r>
      <w:r>
        <w:rPr>
          <w:rFonts w:ascii="Times New Roman"/>
          <w:spacing w:val="-12"/>
          <w:sz w:val="18"/>
        </w:rPr>
        <w:t> </w:t>
      </w:r>
      <w:r>
        <w:rPr>
          <w:rFonts w:ascii="Times New Roman"/>
          <w:sz w:val="18"/>
        </w:rPr>
        <w:t>Wis.</w:t>
      </w:r>
      <w:r>
        <w:rPr>
          <w:rFonts w:ascii="Times New Roman"/>
          <w:spacing w:val="-10"/>
          <w:sz w:val="18"/>
        </w:rPr>
        <w:t> </w:t>
      </w:r>
      <w:r>
        <w:rPr>
          <w:rFonts w:ascii="Times New Roman"/>
          <w:sz w:val="18"/>
        </w:rPr>
        <w:t>Stat.</w:t>
      </w:r>
      <w:r>
        <w:rPr>
          <w:rFonts w:ascii="Times New Roman"/>
          <w:spacing w:val="-11"/>
          <w:sz w:val="18"/>
        </w:rPr>
        <w:t> </w:t>
      </w:r>
      <w:r>
        <w:rPr>
          <w:rFonts w:ascii="Times New Roman"/>
          <w:sz w:val="18"/>
        </w:rPr>
        <w:t>788.10(1)(b) and quoting </w:t>
      </w:r>
      <w:r>
        <w:rPr>
          <w:rFonts w:ascii="Times New Roman"/>
          <w:sz w:val="18"/>
          <w:u w:val="single"/>
        </w:rPr>
        <w:t>Borst v. Allstate Ins. Co.</w:t>
      </w:r>
      <w:r>
        <w:rPr>
          <w:rFonts w:ascii="Times New Roman"/>
          <w:sz w:val="18"/>
        </w:rPr>
        <w:t>, 291 Wis.2d 361, 717 N.W.2d 42 (Wis.</w:t>
      </w:r>
      <w:r>
        <w:rPr>
          <w:rFonts w:ascii="Times New Roman"/>
          <w:spacing w:val="10"/>
          <w:sz w:val="18"/>
        </w:rPr>
        <w:t> </w:t>
      </w:r>
      <w:r>
        <w:rPr>
          <w:rFonts w:ascii="Times New Roman"/>
          <w:sz w:val="18"/>
        </w:rPr>
        <w:t>2006).</w:t>
      </w:r>
    </w:p>
    <w:p>
      <w:pPr>
        <w:spacing w:line="196" w:lineRule="exact" w:before="0"/>
        <w:ind w:left="1160" w:right="0" w:firstLine="0"/>
        <w:jc w:val="left"/>
        <w:rPr>
          <w:rFonts w:ascii="Times New Roman"/>
          <w:sz w:val="18"/>
        </w:rPr>
      </w:pPr>
      <w:r>
        <w:rPr>
          <w:rFonts w:ascii="Times New Roman"/>
          <w:position w:val="10"/>
          <w:sz w:val="14"/>
        </w:rPr>
        <w:t>770</w:t>
      </w:r>
      <w:r>
        <w:rPr>
          <w:rFonts w:ascii="Times New Roman"/>
          <w:sz w:val="14"/>
        </w:rPr>
        <w:t> </w:t>
      </w:r>
      <w:r>
        <w:rPr>
          <w:rFonts w:ascii="Times New Roman"/>
          <w:sz w:val="18"/>
          <w:u w:val="single"/>
        </w:rPr>
        <w:t>Produce Refrigerating Co. v. Norwich Union Fire Ins. Co.</w:t>
      </w:r>
      <w:r>
        <w:rPr>
          <w:rFonts w:ascii="Times New Roman"/>
          <w:sz w:val="18"/>
        </w:rPr>
        <w:t>, 91 Minn. 210, 97 N.W.</w:t>
      </w:r>
    </w:p>
    <w:p>
      <w:pPr>
        <w:spacing w:line="182" w:lineRule="exact" w:before="4"/>
        <w:ind w:left="1160" w:right="0" w:firstLine="0"/>
        <w:jc w:val="left"/>
        <w:rPr>
          <w:rFonts w:ascii="Times New Roman"/>
          <w:sz w:val="18"/>
        </w:rPr>
      </w:pPr>
      <w:r>
        <w:rPr>
          <w:rFonts w:ascii="Times New Roman"/>
          <w:sz w:val="18"/>
        </w:rPr>
        <w:t>875 (1904).</w:t>
      </w:r>
    </w:p>
    <w:p>
      <w:pPr>
        <w:spacing w:line="235" w:lineRule="exact" w:before="0"/>
        <w:ind w:left="1160" w:right="0" w:firstLine="0"/>
        <w:jc w:val="left"/>
        <w:rPr>
          <w:rFonts w:ascii="Times New Roman"/>
          <w:sz w:val="18"/>
        </w:rPr>
      </w:pPr>
      <w:r>
        <w:rPr>
          <w:rFonts w:ascii="Times New Roman"/>
          <w:position w:val="9"/>
          <w:sz w:val="14"/>
        </w:rPr>
        <w:t>771 </w:t>
      </w:r>
      <w:r>
        <w:rPr>
          <w:rFonts w:ascii="Times New Roman"/>
          <w:sz w:val="18"/>
        </w:rPr>
        <w:t>238 Mich.App 394 (1999).</w:t>
      </w:r>
    </w:p>
    <w:p>
      <w:pPr>
        <w:spacing w:after="0" w:line="235" w:lineRule="exact"/>
        <w:jc w:val="left"/>
        <w:rPr>
          <w:rFonts w:ascii="Times New Roman"/>
          <w:sz w:val="18"/>
        </w:rPr>
        <w:sectPr>
          <w:footerReference w:type="default" r:id="rId9"/>
          <w:pgSz w:w="12240" w:h="15840"/>
          <w:pgMar w:footer="2273" w:header="0" w:top="1500" w:bottom="2460" w:left="1720" w:right="1720"/>
          <w:pgNumType w:start="403"/>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0"/>
      </w:pPr>
      <w:bookmarkStart w:name="Law and Procedure 365" w:id="32"/>
      <w:bookmarkEnd w:id="32"/>
      <w:r>
        <w:rPr/>
      </w:r>
      <w:r>
        <w:rPr/>
        <w:t>unless he also showed that the umpire was incompetent</w:t>
      </w:r>
      <w:r>
        <w:rPr>
          <w:spacing w:val="-29"/>
        </w:rPr>
        <w:t> </w:t>
      </w:r>
      <w:r>
        <w:rPr/>
        <w:t>or</w:t>
      </w:r>
      <w:r>
        <w:rPr>
          <w:spacing w:val="-26"/>
        </w:rPr>
        <w:t> </w:t>
      </w:r>
      <w:r>
        <w:rPr/>
        <w:t>had</w:t>
      </w:r>
      <w:r>
        <w:rPr>
          <w:spacing w:val="-23"/>
        </w:rPr>
        <w:t> </w:t>
      </w:r>
      <w:r>
        <w:rPr/>
        <w:t>an</w:t>
      </w:r>
      <w:r>
        <w:rPr>
          <w:spacing w:val="-23"/>
        </w:rPr>
        <w:t> </w:t>
      </w:r>
      <w:r>
        <w:rPr/>
        <w:t>interest</w:t>
      </w:r>
      <w:r>
        <w:rPr>
          <w:spacing w:val="-25"/>
        </w:rPr>
        <w:t> </w:t>
      </w:r>
      <w:r>
        <w:rPr/>
        <w:t>in</w:t>
      </w:r>
      <w:r>
        <w:rPr>
          <w:spacing w:val="-23"/>
        </w:rPr>
        <w:t> </w:t>
      </w:r>
      <w:r>
        <w:rPr/>
        <w:t>the</w:t>
      </w:r>
      <w:r>
        <w:rPr>
          <w:spacing w:val="-24"/>
        </w:rPr>
        <w:t> </w:t>
      </w:r>
      <w:r>
        <w:rPr>
          <w:spacing w:val="-6"/>
        </w:rPr>
        <w:t>matter.</w:t>
      </w:r>
      <w:r>
        <w:rPr>
          <w:spacing w:val="-6"/>
          <w:vertAlign w:val="superscript"/>
        </w:rPr>
        <w:t>772</w:t>
      </w:r>
    </w:p>
    <w:p>
      <w:pPr>
        <w:pStyle w:val="BodyText"/>
        <w:spacing w:before="1"/>
      </w:pPr>
    </w:p>
    <w:p>
      <w:pPr>
        <w:pStyle w:val="BodyText"/>
        <w:spacing w:line="242" w:lineRule="auto" w:before="1"/>
        <w:ind w:left="1520" w:right="1515" w:firstLine="720"/>
        <w:jc w:val="both"/>
      </w:pPr>
      <w:r>
        <w:rPr>
          <w:spacing w:val="3"/>
        </w:rPr>
        <w:t>In </w:t>
      </w:r>
      <w:r>
        <w:rPr/>
        <w:t>California, Insurance Code §2071 requires a party-selected appraiser to be “disinterested.” </w:t>
      </w:r>
      <w:r>
        <w:rPr>
          <w:spacing w:val="2"/>
        </w:rPr>
        <w:t>It </w:t>
      </w:r>
      <w:r>
        <w:rPr/>
        <w:t>has been held that the failure</w:t>
      </w:r>
      <w:r>
        <w:rPr>
          <w:spacing w:val="-30"/>
        </w:rPr>
        <w:t> </w:t>
      </w:r>
      <w:r>
        <w:rPr/>
        <w:t>by</w:t>
      </w:r>
      <w:r>
        <w:rPr>
          <w:spacing w:val="-31"/>
        </w:rPr>
        <w:t> </w:t>
      </w:r>
      <w:r>
        <w:rPr/>
        <w:t>a</w:t>
      </w:r>
      <w:r>
        <w:rPr>
          <w:spacing w:val="-28"/>
        </w:rPr>
        <w:t> </w:t>
      </w:r>
      <w:r>
        <w:rPr/>
        <w:t>party-selected</w:t>
      </w:r>
      <w:r>
        <w:rPr>
          <w:spacing w:val="-28"/>
        </w:rPr>
        <w:t> </w:t>
      </w:r>
      <w:r>
        <w:rPr/>
        <w:t>appraiser</w:t>
      </w:r>
      <w:r>
        <w:rPr>
          <w:spacing w:val="-28"/>
        </w:rPr>
        <w:t> </w:t>
      </w:r>
      <w:r>
        <w:rPr/>
        <w:t>to</w:t>
      </w:r>
      <w:r>
        <w:rPr>
          <w:spacing w:val="-30"/>
        </w:rPr>
        <w:t> </w:t>
      </w:r>
      <w:r>
        <w:rPr/>
        <w:t>make</w:t>
      </w:r>
      <w:r>
        <w:rPr>
          <w:spacing w:val="-30"/>
        </w:rPr>
        <w:t> </w:t>
      </w:r>
      <w:r>
        <w:rPr/>
        <w:t>a disclosure required by the Insurance </w:t>
      </w:r>
      <w:r>
        <w:rPr>
          <w:spacing w:val="-4"/>
        </w:rPr>
        <w:t>Law </w:t>
      </w:r>
      <w:r>
        <w:rPr/>
        <w:t>constitutes “corruption” within the meaning</w:t>
      </w:r>
      <w:r>
        <w:rPr>
          <w:spacing w:val="-38"/>
        </w:rPr>
        <w:t> </w:t>
      </w:r>
      <w:r>
        <w:rPr/>
        <w:t>of the Code of Civil Procedure (§1286.2) and justifies the vacation of an appraisal award </w:t>
      </w:r>
      <w:r>
        <w:rPr>
          <w:spacing w:val="2"/>
        </w:rPr>
        <w:t>if </w:t>
      </w:r>
      <w:r>
        <w:rPr/>
        <w:t>that party timely requests such relief. A party- selected</w:t>
      </w:r>
      <w:r>
        <w:rPr>
          <w:spacing w:val="-23"/>
        </w:rPr>
        <w:t> </w:t>
      </w:r>
      <w:r>
        <w:rPr/>
        <w:t>appraiser</w:t>
      </w:r>
      <w:r>
        <w:rPr>
          <w:spacing w:val="-22"/>
        </w:rPr>
        <w:t> </w:t>
      </w:r>
      <w:r>
        <w:rPr/>
        <w:t>therefore</w:t>
      </w:r>
      <w:r>
        <w:rPr>
          <w:spacing w:val="-22"/>
        </w:rPr>
        <w:t> </w:t>
      </w:r>
      <w:r>
        <w:rPr/>
        <w:t>must</w:t>
      </w:r>
      <w:r>
        <w:rPr>
          <w:spacing w:val="-21"/>
        </w:rPr>
        <w:t> </w:t>
      </w:r>
      <w:r>
        <w:rPr/>
        <w:t>disclose</w:t>
      </w:r>
      <w:r>
        <w:rPr>
          <w:spacing w:val="-20"/>
        </w:rPr>
        <w:t> </w:t>
      </w:r>
      <w:r>
        <w:rPr/>
        <w:t>any facts</w:t>
      </w:r>
      <w:r>
        <w:rPr>
          <w:spacing w:val="-15"/>
        </w:rPr>
        <w:t> </w:t>
      </w:r>
      <w:r>
        <w:rPr/>
        <w:t>that</w:t>
      </w:r>
      <w:r>
        <w:rPr>
          <w:spacing w:val="-14"/>
        </w:rPr>
        <w:t> </w:t>
      </w:r>
      <w:r>
        <w:rPr/>
        <w:t>might</w:t>
      </w:r>
      <w:r>
        <w:rPr>
          <w:spacing w:val="-13"/>
        </w:rPr>
        <w:t> </w:t>
      </w:r>
      <w:r>
        <w:rPr/>
        <w:t>cause</w:t>
      </w:r>
      <w:r>
        <w:rPr>
          <w:spacing w:val="-13"/>
        </w:rPr>
        <w:t> </w:t>
      </w:r>
      <w:r>
        <w:rPr/>
        <w:t>a</w:t>
      </w:r>
      <w:r>
        <w:rPr>
          <w:spacing w:val="-13"/>
        </w:rPr>
        <w:t> </w:t>
      </w:r>
      <w:r>
        <w:rPr/>
        <w:t>reasonable</w:t>
      </w:r>
      <w:r>
        <w:rPr>
          <w:spacing w:val="-13"/>
        </w:rPr>
        <w:t> </w:t>
      </w:r>
      <w:r>
        <w:rPr/>
        <w:t>person</w:t>
      </w:r>
      <w:r>
        <w:rPr>
          <w:spacing w:val="-14"/>
        </w:rPr>
        <w:t> </w:t>
      </w:r>
      <w:r>
        <w:rPr/>
        <w:t>to doubt that the appraiser would be impartial. This</w:t>
      </w:r>
      <w:r>
        <w:rPr>
          <w:spacing w:val="-25"/>
        </w:rPr>
        <w:t> </w:t>
      </w:r>
      <w:r>
        <w:rPr/>
        <w:t>standard</w:t>
      </w:r>
      <w:r>
        <w:rPr>
          <w:spacing w:val="-25"/>
        </w:rPr>
        <w:t> </w:t>
      </w:r>
      <w:r>
        <w:rPr/>
        <w:t>is</w:t>
      </w:r>
      <w:r>
        <w:rPr>
          <w:spacing w:val="-21"/>
        </w:rPr>
        <w:t> </w:t>
      </w:r>
      <w:r>
        <w:rPr/>
        <w:t>objective,</w:t>
      </w:r>
      <w:r>
        <w:rPr>
          <w:spacing w:val="-24"/>
        </w:rPr>
        <w:t> </w:t>
      </w:r>
      <w:r>
        <w:rPr/>
        <w:t>and</w:t>
      </w:r>
      <w:r>
        <w:rPr>
          <w:spacing w:val="-22"/>
        </w:rPr>
        <w:t> </w:t>
      </w:r>
      <w:r>
        <w:rPr/>
        <w:t>does</w:t>
      </w:r>
      <w:r>
        <w:rPr>
          <w:spacing w:val="-21"/>
        </w:rPr>
        <w:t> </w:t>
      </w:r>
      <w:r>
        <w:rPr/>
        <w:t>not</w:t>
      </w:r>
      <w:r>
        <w:rPr>
          <w:spacing w:val="-22"/>
        </w:rPr>
        <w:t> </w:t>
      </w:r>
      <w:r>
        <w:rPr/>
        <w:t>require actual bias. A prior or continuing business relationship or business dealings between an appraiser and a party or a person affiliated with a party ordinarily must be disclosed if the appraiser had a substantial pecuniary interest in the</w:t>
      </w:r>
      <w:r>
        <w:rPr>
          <w:spacing w:val="-2"/>
        </w:rPr>
        <w:t> </w:t>
      </w:r>
      <w:r>
        <w:rPr/>
        <w:t>relationship.</w:t>
      </w:r>
      <w:r>
        <w:rPr>
          <w:vertAlign w:val="superscript"/>
        </w:rPr>
        <w:t>773</w:t>
      </w:r>
    </w:p>
    <w:p>
      <w:pPr>
        <w:pStyle w:val="BodyText"/>
        <w:spacing w:before="8"/>
        <w:rPr>
          <w:sz w:val="25"/>
        </w:rPr>
      </w:pPr>
    </w:p>
    <w:p>
      <w:pPr>
        <w:pStyle w:val="ListParagraph"/>
        <w:numPr>
          <w:ilvl w:val="2"/>
          <w:numId w:val="5"/>
        </w:numPr>
        <w:tabs>
          <w:tab w:pos="2598" w:val="left" w:leader="none"/>
        </w:tabs>
        <w:spacing w:line="240" w:lineRule="auto" w:before="0" w:after="0"/>
        <w:ind w:left="2597" w:right="0" w:hanging="358"/>
        <w:jc w:val="left"/>
        <w:rPr>
          <w:rFonts w:ascii="Century Gothic"/>
          <w:sz w:val="26"/>
        </w:rPr>
      </w:pPr>
      <w:r>
        <w:rPr>
          <w:rFonts w:ascii="Century Gothic"/>
          <w:sz w:val="26"/>
        </w:rPr>
        <w:t>Public</w:t>
      </w:r>
      <w:r>
        <w:rPr>
          <w:rFonts w:ascii="Century Gothic"/>
          <w:spacing w:val="-1"/>
          <w:sz w:val="26"/>
        </w:rPr>
        <w:t> </w:t>
      </w:r>
      <w:r>
        <w:rPr>
          <w:rFonts w:ascii="Century Gothic"/>
          <w:sz w:val="26"/>
        </w:rPr>
        <w:t>Adjusters</w:t>
      </w:r>
    </w:p>
    <w:p>
      <w:pPr>
        <w:pStyle w:val="BodyText"/>
        <w:spacing w:before="5"/>
      </w:pPr>
    </w:p>
    <w:p>
      <w:pPr>
        <w:pStyle w:val="BodyText"/>
        <w:ind w:left="2240"/>
      </w:pPr>
      <w:r>
        <w:rPr/>
        <w:t>It has been held that a public adjuster</w:t>
      </w:r>
    </w:p>
    <w:p>
      <w:pPr>
        <w:pStyle w:val="BodyText"/>
        <w:rPr>
          <w:sz w:val="20"/>
        </w:rPr>
      </w:pPr>
    </w:p>
    <w:p>
      <w:pPr>
        <w:pStyle w:val="BodyText"/>
        <w:spacing w:before="10"/>
        <w:rPr>
          <w:sz w:val="14"/>
        </w:rPr>
      </w:pPr>
      <w:r>
        <w:rPr/>
        <w:pict>
          <v:shape style="position:absolute;margin-left:162pt;margin-top:11.491177pt;width:143.9pt;height:.1pt;mso-position-horizontal-relative:page;mso-position-vertical-relative:paragraph;z-index:-251631616;mso-wrap-distance-left:0;mso-wrap-distance-right:0" coordorigin="3240,230" coordsize="2878,0" path="m3240,230l6118,230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6"/>
        </w:numPr>
        <w:tabs>
          <w:tab w:pos="1438" w:val="left" w:leader="none"/>
        </w:tabs>
        <w:spacing w:line="254" w:lineRule="auto" w:before="71" w:after="0"/>
        <w:ind w:left="1160" w:right="1159" w:firstLine="0"/>
        <w:jc w:val="both"/>
        <w:rPr>
          <w:sz w:val="18"/>
        </w:rPr>
      </w:pPr>
      <w:r>
        <w:rPr>
          <w:sz w:val="18"/>
          <w:u w:val="single"/>
        </w:rPr>
        <w:t>Fireman’s Fund Ins. Co. v. Flint Hosiery Mills</w:t>
      </w:r>
      <w:r>
        <w:rPr>
          <w:sz w:val="18"/>
        </w:rPr>
        <w:t>, 74 F.2d 573 (4</w:t>
      </w:r>
      <w:r>
        <w:rPr>
          <w:position w:val="7"/>
          <w:sz w:val="10"/>
        </w:rPr>
        <w:t>th </w:t>
      </w:r>
      <w:r>
        <w:rPr>
          <w:sz w:val="18"/>
        </w:rPr>
        <w:t>Cir. 1935); </w:t>
      </w:r>
      <w:r>
        <w:rPr>
          <w:sz w:val="18"/>
          <w:u w:val="single"/>
        </w:rPr>
        <w:t>Casper v. Allstate</w:t>
      </w:r>
      <w:r>
        <w:rPr>
          <w:spacing w:val="-17"/>
          <w:sz w:val="18"/>
          <w:u w:val="single"/>
        </w:rPr>
        <w:t> </w:t>
      </w:r>
      <w:r>
        <w:rPr>
          <w:sz w:val="18"/>
          <w:u w:val="single"/>
        </w:rPr>
        <w:t>Ins.</w:t>
      </w:r>
      <w:r>
        <w:rPr>
          <w:spacing w:val="-16"/>
          <w:sz w:val="18"/>
          <w:u w:val="single"/>
        </w:rPr>
        <w:t> </w:t>
      </w:r>
      <w:r>
        <w:rPr>
          <w:sz w:val="18"/>
          <w:u w:val="single"/>
        </w:rPr>
        <w:t>Co.</w:t>
      </w:r>
      <w:r>
        <w:rPr>
          <w:sz w:val="18"/>
        </w:rPr>
        <w:t>,</w:t>
      </w:r>
      <w:r>
        <w:rPr>
          <w:spacing w:val="-15"/>
          <w:sz w:val="18"/>
        </w:rPr>
        <w:t> </w:t>
      </w:r>
      <w:r>
        <w:rPr>
          <w:sz w:val="18"/>
        </w:rPr>
        <w:t>unreported</w:t>
      </w:r>
      <w:r>
        <w:rPr>
          <w:spacing w:val="-15"/>
          <w:sz w:val="18"/>
        </w:rPr>
        <w:t> </w:t>
      </w:r>
      <w:r>
        <w:rPr>
          <w:sz w:val="18"/>
        </w:rPr>
        <w:t>decision</w:t>
      </w:r>
      <w:r>
        <w:rPr>
          <w:spacing w:val="-15"/>
          <w:sz w:val="18"/>
        </w:rPr>
        <w:t> </w:t>
      </w:r>
      <w:r>
        <w:rPr>
          <w:sz w:val="18"/>
        </w:rPr>
        <w:t>of</w:t>
      </w:r>
      <w:r>
        <w:rPr>
          <w:spacing w:val="-18"/>
          <w:sz w:val="18"/>
        </w:rPr>
        <w:t> </w:t>
      </w:r>
      <w:r>
        <w:rPr>
          <w:sz w:val="18"/>
        </w:rPr>
        <w:t>the</w:t>
      </w:r>
      <w:r>
        <w:rPr>
          <w:spacing w:val="-20"/>
          <w:sz w:val="18"/>
        </w:rPr>
        <w:t> </w:t>
      </w:r>
      <w:r>
        <w:rPr>
          <w:sz w:val="18"/>
        </w:rPr>
        <w:t>Maryland</w:t>
      </w:r>
      <w:r>
        <w:rPr>
          <w:spacing w:val="-17"/>
          <w:sz w:val="18"/>
        </w:rPr>
        <w:t> </w:t>
      </w:r>
      <w:r>
        <w:rPr>
          <w:sz w:val="18"/>
        </w:rPr>
        <w:t>Court</w:t>
      </w:r>
      <w:r>
        <w:rPr>
          <w:spacing w:val="-19"/>
          <w:sz w:val="18"/>
        </w:rPr>
        <w:t> </w:t>
      </w:r>
      <w:r>
        <w:rPr>
          <w:sz w:val="18"/>
        </w:rPr>
        <w:t>of</w:t>
      </w:r>
      <w:r>
        <w:rPr>
          <w:spacing w:val="-20"/>
          <w:sz w:val="18"/>
        </w:rPr>
        <w:t> </w:t>
      </w:r>
      <w:r>
        <w:rPr>
          <w:sz w:val="18"/>
        </w:rPr>
        <w:t>Special</w:t>
      </w:r>
      <w:r>
        <w:rPr>
          <w:spacing w:val="-21"/>
          <w:sz w:val="18"/>
        </w:rPr>
        <w:t> </w:t>
      </w:r>
      <w:r>
        <w:rPr>
          <w:sz w:val="18"/>
        </w:rPr>
        <w:t>Appeals</w:t>
      </w:r>
      <w:r>
        <w:rPr>
          <w:spacing w:val="-20"/>
          <w:sz w:val="18"/>
        </w:rPr>
        <w:t> </w:t>
      </w:r>
      <w:r>
        <w:rPr>
          <w:sz w:val="18"/>
        </w:rPr>
        <w:t>#</w:t>
      </w:r>
      <w:r>
        <w:rPr>
          <w:spacing w:val="-19"/>
          <w:sz w:val="18"/>
        </w:rPr>
        <w:t> </w:t>
      </w:r>
      <w:r>
        <w:rPr>
          <w:sz w:val="18"/>
        </w:rPr>
        <w:t>1583,</w:t>
      </w:r>
      <w:r>
        <w:rPr>
          <w:spacing w:val="-15"/>
          <w:sz w:val="18"/>
        </w:rPr>
        <w:t> </w:t>
      </w:r>
      <w:r>
        <w:rPr>
          <w:sz w:val="18"/>
        </w:rPr>
        <w:t>June 28, 2000.</w:t>
      </w:r>
    </w:p>
    <w:p>
      <w:pPr>
        <w:pStyle w:val="ListParagraph"/>
        <w:numPr>
          <w:ilvl w:val="0"/>
          <w:numId w:val="6"/>
        </w:numPr>
        <w:tabs>
          <w:tab w:pos="1418" w:val="left" w:leader="none"/>
        </w:tabs>
        <w:spacing w:line="254" w:lineRule="exact" w:before="0" w:after="0"/>
        <w:ind w:left="1418" w:right="0" w:hanging="258"/>
        <w:jc w:val="both"/>
        <w:rPr>
          <w:sz w:val="18"/>
        </w:rPr>
      </w:pPr>
      <w:r>
        <w:rPr>
          <w:sz w:val="18"/>
          <w:u w:val="single"/>
        </w:rPr>
        <w:t>DaimlerChrysler</w:t>
      </w:r>
      <w:r>
        <w:rPr>
          <w:spacing w:val="-18"/>
          <w:sz w:val="18"/>
          <w:u w:val="single"/>
        </w:rPr>
        <w:t> </w:t>
      </w:r>
      <w:r>
        <w:rPr>
          <w:sz w:val="18"/>
          <w:u w:val="single"/>
        </w:rPr>
        <w:t>Services</w:t>
      </w:r>
      <w:r>
        <w:rPr>
          <w:spacing w:val="-19"/>
          <w:sz w:val="18"/>
          <w:u w:val="single"/>
        </w:rPr>
        <w:t> </w:t>
      </w:r>
      <w:r>
        <w:rPr>
          <w:sz w:val="18"/>
          <w:u w:val="single"/>
        </w:rPr>
        <w:t>of</w:t>
      </w:r>
      <w:r>
        <w:rPr>
          <w:spacing w:val="-20"/>
          <w:sz w:val="18"/>
          <w:u w:val="single"/>
        </w:rPr>
        <w:t> </w:t>
      </w:r>
      <w:r>
        <w:rPr>
          <w:sz w:val="18"/>
          <w:u w:val="single"/>
        </w:rPr>
        <w:t>North</w:t>
      </w:r>
      <w:r>
        <w:rPr>
          <w:spacing w:val="-15"/>
          <w:sz w:val="18"/>
          <w:u w:val="single"/>
        </w:rPr>
        <w:t> </w:t>
      </w:r>
      <w:r>
        <w:rPr>
          <w:sz w:val="18"/>
          <w:u w:val="single"/>
        </w:rPr>
        <w:t>America</w:t>
      </w:r>
      <w:r>
        <w:rPr>
          <w:spacing w:val="-19"/>
          <w:sz w:val="18"/>
          <w:u w:val="single"/>
        </w:rPr>
        <w:t> </w:t>
      </w:r>
      <w:r>
        <w:rPr>
          <w:sz w:val="18"/>
          <w:u w:val="single"/>
        </w:rPr>
        <w:t>LLC</w:t>
      </w:r>
      <w:r>
        <w:rPr>
          <w:spacing w:val="-16"/>
          <w:sz w:val="18"/>
          <w:u w:val="single"/>
        </w:rPr>
        <w:t> </w:t>
      </w:r>
      <w:r>
        <w:rPr>
          <w:sz w:val="18"/>
          <w:u w:val="single"/>
        </w:rPr>
        <w:t>v.</w:t>
      </w:r>
      <w:r>
        <w:rPr>
          <w:spacing w:val="-16"/>
          <w:sz w:val="18"/>
          <w:u w:val="single"/>
        </w:rPr>
        <w:t> </w:t>
      </w:r>
      <w:r>
        <w:rPr>
          <w:sz w:val="18"/>
          <w:u w:val="single"/>
        </w:rPr>
        <w:t>Zurich</w:t>
      </w:r>
      <w:r>
        <w:rPr>
          <w:spacing w:val="-13"/>
          <w:sz w:val="18"/>
          <w:u w:val="single"/>
        </w:rPr>
        <w:t> </w:t>
      </w:r>
      <w:r>
        <w:rPr>
          <w:sz w:val="18"/>
          <w:u w:val="single"/>
        </w:rPr>
        <w:t>American</w:t>
      </w:r>
      <w:r>
        <w:rPr>
          <w:spacing w:val="-16"/>
          <w:sz w:val="18"/>
          <w:u w:val="single"/>
        </w:rPr>
        <w:t> </w:t>
      </w:r>
      <w:r>
        <w:rPr>
          <w:sz w:val="18"/>
          <w:u w:val="single"/>
        </w:rPr>
        <w:t>Ins.</w:t>
      </w:r>
      <w:r>
        <w:rPr>
          <w:spacing w:val="-14"/>
          <w:sz w:val="18"/>
          <w:u w:val="single"/>
        </w:rPr>
        <w:t> </w:t>
      </w:r>
      <w:r>
        <w:rPr>
          <w:sz w:val="18"/>
          <w:u w:val="single"/>
        </w:rPr>
        <w:t>Co.</w:t>
      </w:r>
      <w:r>
        <w:rPr>
          <w:sz w:val="18"/>
        </w:rPr>
        <w:t>,</w:t>
      </w:r>
      <w:r>
        <w:rPr>
          <w:spacing w:val="-14"/>
          <w:sz w:val="18"/>
        </w:rPr>
        <w:t> </w:t>
      </w:r>
      <w:r>
        <w:rPr>
          <w:sz w:val="18"/>
        </w:rPr>
        <w:t>2005</w:t>
      </w:r>
      <w:r>
        <w:rPr>
          <w:spacing w:val="-13"/>
          <w:sz w:val="18"/>
        </w:rPr>
        <w:t> </w:t>
      </w:r>
      <w:r>
        <w:rPr>
          <w:sz w:val="18"/>
        </w:rPr>
        <w:t>WL</w:t>
      </w:r>
    </w:p>
    <w:p>
      <w:pPr>
        <w:spacing w:before="20"/>
        <w:ind w:left="1160" w:right="0" w:firstLine="0"/>
        <w:jc w:val="both"/>
        <w:rPr>
          <w:rFonts w:ascii="Times New Roman"/>
          <w:sz w:val="18"/>
        </w:rPr>
      </w:pPr>
      <w:r>
        <w:rPr>
          <w:rFonts w:ascii="Times New Roman"/>
          <w:sz w:val="18"/>
        </w:rPr>
        <w:t>1208961 (Cal. App. 2 Dist. 2005)</w:t>
      </w:r>
      <w:r>
        <w:rPr>
          <w:rFonts w:ascii="Times New Roman"/>
          <w:sz w:val="24"/>
        </w:rPr>
        <w:t>; </w:t>
      </w:r>
      <w:r>
        <w:rPr>
          <w:rFonts w:ascii="Times New Roman"/>
          <w:sz w:val="18"/>
          <w:u w:val="single"/>
        </w:rPr>
        <w:t>Michael v. Aetna Ins. Co.</w:t>
      </w:r>
      <w:r>
        <w:rPr>
          <w:rFonts w:ascii="Times New Roman"/>
          <w:sz w:val="18"/>
        </w:rPr>
        <w:t>, 88 Cal. App.4 925, 106 Cal</w:t>
      </w:r>
    </w:p>
    <w:p>
      <w:pPr>
        <w:spacing w:before="6"/>
        <w:ind w:left="1160" w:right="0" w:firstLine="0"/>
        <w:jc w:val="both"/>
        <w:rPr>
          <w:rFonts w:ascii="Times New Roman"/>
          <w:sz w:val="18"/>
        </w:rPr>
      </w:pPr>
      <w:r>
        <w:rPr>
          <w:rFonts w:ascii="Times New Roman"/>
          <w:sz w:val="18"/>
        </w:rPr>
        <w:t>Rptr.2 240 (Cal. App. 2 Dist. 2001).</w:t>
      </w:r>
    </w:p>
    <w:p>
      <w:pPr>
        <w:spacing w:after="0"/>
        <w:jc w:val="both"/>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8"/>
        <w:jc w:val="both"/>
      </w:pPr>
      <w:bookmarkStart w:name="Law and Procedure 366" w:id="33"/>
      <w:bookmarkEnd w:id="33"/>
      <w:r>
        <w:rPr/>
      </w:r>
      <w:r>
        <w:rPr/>
        <w:t>may serve as an appraiser even on the same claim in which he or she worked </w:t>
      </w:r>
      <w:r>
        <w:rPr>
          <w:spacing w:val="2"/>
        </w:rPr>
        <w:t>in </w:t>
      </w:r>
      <w:r>
        <w:rPr/>
        <w:t>the capacity of public adjuster. This includes the situation where a public adjuster submits</w:t>
      </w:r>
      <w:r>
        <w:rPr>
          <w:spacing w:val="49"/>
        </w:rPr>
        <w:t> </w:t>
      </w:r>
      <w:r>
        <w:rPr/>
        <w:t>a building</w:t>
      </w:r>
      <w:r>
        <w:rPr>
          <w:spacing w:val="-37"/>
        </w:rPr>
        <w:t> </w:t>
      </w:r>
      <w:r>
        <w:rPr>
          <w:spacing w:val="-3"/>
        </w:rPr>
        <w:t>damage</w:t>
      </w:r>
      <w:r>
        <w:rPr>
          <w:spacing w:val="-36"/>
        </w:rPr>
        <w:t> </w:t>
      </w:r>
      <w:r>
        <w:rPr/>
        <w:t>estimator’s</w:t>
      </w:r>
      <w:r>
        <w:rPr>
          <w:spacing w:val="-35"/>
        </w:rPr>
        <w:t> </w:t>
      </w:r>
      <w:r>
        <w:rPr/>
        <w:t>report</w:t>
      </w:r>
      <w:r>
        <w:rPr>
          <w:spacing w:val="-37"/>
        </w:rPr>
        <w:t> </w:t>
      </w:r>
      <w:r>
        <w:rPr/>
        <w:t>as</w:t>
      </w:r>
      <w:r>
        <w:rPr>
          <w:spacing w:val="-34"/>
        </w:rPr>
        <w:t> </w:t>
      </w:r>
      <w:r>
        <w:rPr/>
        <w:t>the</w:t>
      </w:r>
      <w:r>
        <w:rPr>
          <w:spacing w:val="-37"/>
        </w:rPr>
        <w:t> </w:t>
      </w:r>
      <w:r>
        <w:rPr/>
        <w:t>basis of the insured’s claim or a situation where the claim was premised on the loss calculations</w:t>
      </w:r>
      <w:r>
        <w:rPr>
          <w:spacing w:val="-51"/>
        </w:rPr>
        <w:t> </w:t>
      </w:r>
      <w:r>
        <w:rPr>
          <w:spacing w:val="-6"/>
        </w:rPr>
        <w:t>of </w:t>
      </w:r>
      <w:r>
        <w:rPr/>
        <w:t>the adjuster himself while under contract with the insured. Of course, even in the</w:t>
      </w:r>
      <w:r>
        <w:rPr>
          <w:spacing w:val="-40"/>
        </w:rPr>
        <w:t> </w:t>
      </w:r>
      <w:r>
        <w:rPr/>
        <w:t>jurisdictions which permit this situation, the adjuster must usually renounce any contingent fee </w:t>
      </w:r>
      <w:r>
        <w:rPr>
          <w:spacing w:val="-3"/>
        </w:rPr>
        <w:t>interest. </w:t>
      </w:r>
      <w:r>
        <w:rPr/>
        <w:t>Judicial</w:t>
      </w:r>
      <w:r>
        <w:rPr>
          <w:spacing w:val="-26"/>
        </w:rPr>
        <w:t> </w:t>
      </w:r>
      <w:r>
        <w:rPr/>
        <w:t>approval</w:t>
      </w:r>
      <w:r>
        <w:rPr>
          <w:spacing w:val="-25"/>
        </w:rPr>
        <w:t> </w:t>
      </w:r>
      <w:r>
        <w:rPr/>
        <w:t>is</w:t>
      </w:r>
      <w:r>
        <w:rPr>
          <w:spacing w:val="-24"/>
        </w:rPr>
        <w:t> </w:t>
      </w:r>
      <w:r>
        <w:rPr/>
        <w:t>more</w:t>
      </w:r>
      <w:r>
        <w:rPr>
          <w:spacing w:val="-27"/>
        </w:rPr>
        <w:t> </w:t>
      </w:r>
      <w:r>
        <w:rPr/>
        <w:t>likely</w:t>
      </w:r>
      <w:r>
        <w:rPr>
          <w:spacing w:val="-28"/>
        </w:rPr>
        <w:t> </w:t>
      </w:r>
      <w:r>
        <w:rPr/>
        <w:t>where</w:t>
      </w:r>
      <w:r>
        <w:rPr>
          <w:spacing w:val="-27"/>
        </w:rPr>
        <w:t> </w:t>
      </w:r>
      <w:r>
        <w:rPr/>
        <w:t>the</w:t>
      </w:r>
      <w:r>
        <w:rPr>
          <w:spacing w:val="-27"/>
        </w:rPr>
        <w:t> </w:t>
      </w:r>
      <w:r>
        <w:rPr/>
        <w:t>claim under review is the first business relationship between the insured and appraiser and additionally where there is no evidence of prejudicial</w:t>
      </w:r>
      <w:r>
        <w:rPr>
          <w:spacing w:val="-1"/>
        </w:rPr>
        <w:t> </w:t>
      </w:r>
      <w:r>
        <w:rPr/>
        <w:t>misconduct.</w:t>
      </w:r>
    </w:p>
    <w:p>
      <w:pPr>
        <w:pStyle w:val="BodyText"/>
        <w:spacing w:before="9"/>
        <w:rPr>
          <w:sz w:val="25"/>
        </w:rPr>
      </w:pPr>
    </w:p>
    <w:p>
      <w:pPr>
        <w:pStyle w:val="BodyText"/>
        <w:spacing w:line="242" w:lineRule="auto"/>
        <w:ind w:left="1520" w:right="1519" w:firstLine="720"/>
        <w:jc w:val="both"/>
      </w:pPr>
      <w:r>
        <w:rPr/>
        <w:t>However, where a public adjuster had written numerous acrimonious and fruitless correspondence with the carrier’s claims representative, and where he was working</w:t>
      </w:r>
      <w:r>
        <w:rPr>
          <w:spacing w:val="-10"/>
        </w:rPr>
        <w:t> </w:t>
      </w:r>
      <w:r>
        <w:rPr/>
        <w:t>on a</w:t>
      </w:r>
      <w:r>
        <w:rPr>
          <w:spacing w:val="-14"/>
        </w:rPr>
        <w:t> </w:t>
      </w:r>
      <w:r>
        <w:rPr/>
        <w:t>contingency</w:t>
      </w:r>
      <w:r>
        <w:rPr>
          <w:spacing w:val="-13"/>
        </w:rPr>
        <w:t> </w:t>
      </w:r>
      <w:r>
        <w:rPr/>
        <w:t>basis,</w:t>
      </w:r>
      <w:r>
        <w:rPr>
          <w:spacing w:val="-15"/>
        </w:rPr>
        <w:t> </w:t>
      </w:r>
      <w:r>
        <w:rPr/>
        <w:t>it</w:t>
      </w:r>
      <w:r>
        <w:rPr>
          <w:spacing w:val="-13"/>
        </w:rPr>
        <w:t> </w:t>
      </w:r>
      <w:r>
        <w:rPr/>
        <w:t>had</w:t>
      </w:r>
      <w:r>
        <w:rPr>
          <w:spacing w:val="-12"/>
        </w:rPr>
        <w:t> </w:t>
      </w:r>
      <w:r>
        <w:rPr/>
        <w:t>been</w:t>
      </w:r>
      <w:r>
        <w:rPr>
          <w:spacing w:val="-12"/>
        </w:rPr>
        <w:t> </w:t>
      </w:r>
      <w:r>
        <w:rPr/>
        <w:t>held</w:t>
      </w:r>
      <w:r>
        <w:rPr>
          <w:spacing w:val="-13"/>
        </w:rPr>
        <w:t> </w:t>
      </w:r>
      <w:r>
        <w:rPr/>
        <w:t>that</w:t>
      </w:r>
      <w:r>
        <w:rPr>
          <w:spacing w:val="-16"/>
        </w:rPr>
        <w:t> </w:t>
      </w:r>
      <w:r>
        <w:rPr/>
        <w:t>the appraiser-adjuster was not an impartial appraiser within the terms of the</w:t>
      </w:r>
      <w:r>
        <w:rPr>
          <w:spacing w:val="-11"/>
        </w:rPr>
        <w:t> </w:t>
      </w:r>
      <w:r>
        <w:rPr/>
        <w:t>policy.</w:t>
      </w:r>
      <w:r>
        <w:rPr>
          <w:vertAlign w:val="superscript"/>
        </w:rPr>
        <w:t>774</w:t>
      </w:r>
    </w:p>
    <w:p>
      <w:pPr>
        <w:pStyle w:val="BodyText"/>
      </w:pPr>
    </w:p>
    <w:p>
      <w:pPr>
        <w:pStyle w:val="BodyText"/>
        <w:spacing w:line="242" w:lineRule="auto"/>
        <w:ind w:left="1520" w:right="1519" w:firstLine="720"/>
        <w:jc w:val="both"/>
      </w:pPr>
      <w:r>
        <w:rPr/>
        <w:t>The fact that an appraiser appointed</w:t>
      </w:r>
      <w:r>
        <w:rPr>
          <w:spacing w:val="-53"/>
        </w:rPr>
        <w:t> </w:t>
      </w:r>
      <w:r>
        <w:rPr>
          <w:spacing w:val="-7"/>
        </w:rPr>
        <w:t>by </w:t>
      </w:r>
      <w:r>
        <w:rPr>
          <w:spacing w:val="7"/>
        </w:rPr>
        <w:t>the </w:t>
      </w:r>
      <w:r>
        <w:rPr>
          <w:spacing w:val="10"/>
        </w:rPr>
        <w:t>insured </w:t>
      </w:r>
      <w:r>
        <w:rPr>
          <w:spacing w:val="8"/>
        </w:rPr>
        <w:t>has </w:t>
      </w:r>
      <w:r>
        <w:rPr>
          <w:spacing w:val="11"/>
        </w:rPr>
        <w:t>previously </w:t>
      </w:r>
      <w:r>
        <w:rPr>
          <w:spacing w:val="8"/>
        </w:rPr>
        <w:t>made </w:t>
      </w:r>
      <w:r>
        <w:rPr/>
        <w:t>a computation</w:t>
      </w:r>
      <w:r>
        <w:rPr>
          <w:spacing w:val="-33"/>
        </w:rPr>
        <w:t> </w:t>
      </w:r>
      <w:r>
        <w:rPr/>
        <w:t>of</w:t>
      </w:r>
      <w:r>
        <w:rPr>
          <w:spacing w:val="-35"/>
        </w:rPr>
        <w:t> </w:t>
      </w:r>
      <w:r>
        <w:rPr>
          <w:spacing w:val="-3"/>
        </w:rPr>
        <w:t>the</w:t>
      </w:r>
      <w:r>
        <w:rPr>
          <w:spacing w:val="-36"/>
        </w:rPr>
        <w:t> </w:t>
      </w:r>
      <w:r>
        <w:rPr/>
        <w:t>loss</w:t>
      </w:r>
      <w:r>
        <w:rPr>
          <w:spacing w:val="-32"/>
        </w:rPr>
        <w:t> </w:t>
      </w:r>
      <w:r>
        <w:rPr/>
        <w:t>does</w:t>
      </w:r>
      <w:r>
        <w:rPr>
          <w:spacing w:val="-34"/>
        </w:rPr>
        <w:t> </w:t>
      </w:r>
      <w:r>
        <w:rPr/>
        <w:t>not</w:t>
      </w:r>
      <w:r>
        <w:rPr>
          <w:spacing w:val="-35"/>
        </w:rPr>
        <w:t> </w:t>
      </w:r>
      <w:r>
        <w:rPr/>
        <w:t>automatically disqualify</w:t>
      </w:r>
      <w:r>
        <w:rPr>
          <w:spacing w:val="25"/>
        </w:rPr>
        <w:t> </w:t>
      </w:r>
      <w:r>
        <w:rPr/>
        <w:t>the</w:t>
      </w:r>
      <w:r>
        <w:rPr>
          <w:spacing w:val="24"/>
        </w:rPr>
        <w:t> </w:t>
      </w:r>
      <w:r>
        <w:rPr/>
        <w:t>appraiser,</w:t>
      </w:r>
      <w:r>
        <w:rPr>
          <w:spacing w:val="21"/>
        </w:rPr>
        <w:t> </w:t>
      </w:r>
      <w:r>
        <w:rPr/>
        <w:t>absent</w:t>
      </w:r>
      <w:r>
        <w:rPr>
          <w:spacing w:val="23"/>
        </w:rPr>
        <w:t> </w:t>
      </w:r>
      <w:r>
        <w:rPr/>
        <w:t>a</w:t>
      </w:r>
      <w:r>
        <w:rPr>
          <w:spacing w:val="23"/>
        </w:rPr>
        <w:t> </w:t>
      </w:r>
      <w:r>
        <w:rPr/>
        <w:t>showing</w:t>
      </w:r>
      <w:r>
        <w:rPr>
          <w:spacing w:val="22"/>
        </w:rPr>
        <w:t> </w:t>
      </w:r>
      <w:r>
        <w:rPr/>
        <w:t>of</w:t>
      </w:r>
    </w:p>
    <w:p>
      <w:pPr>
        <w:pStyle w:val="BodyText"/>
        <w:spacing w:before="2"/>
        <w:rPr>
          <w:sz w:val="19"/>
        </w:rPr>
      </w:pPr>
      <w:r>
        <w:rPr/>
        <w:pict>
          <v:shape style="position:absolute;margin-left:162pt;margin-top:14.158687pt;width:143.9pt;height:.1pt;mso-position-horizontal-relative:page;mso-position-vertical-relative:paragraph;z-index:-251630592;mso-wrap-distance-left:0;mso-wrap-distance-right:0" coordorigin="3240,283" coordsize="2878,0" path="m3240,283l6118,283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6"/>
        </w:numPr>
        <w:tabs>
          <w:tab w:pos="1423" w:val="left" w:leader="none"/>
        </w:tabs>
        <w:spacing w:line="254" w:lineRule="auto" w:before="71" w:after="0"/>
        <w:ind w:left="1160" w:right="1162" w:firstLine="0"/>
        <w:jc w:val="both"/>
        <w:rPr>
          <w:sz w:val="18"/>
        </w:rPr>
      </w:pPr>
      <w:r>
        <w:rPr>
          <w:sz w:val="18"/>
          <w:u w:val="single"/>
        </w:rPr>
        <w:t>Allstate</w:t>
      </w:r>
      <w:r>
        <w:rPr>
          <w:spacing w:val="-12"/>
          <w:sz w:val="18"/>
          <w:u w:val="single"/>
        </w:rPr>
        <w:t> </w:t>
      </w:r>
      <w:r>
        <w:rPr>
          <w:sz w:val="18"/>
          <w:u w:val="single"/>
        </w:rPr>
        <w:t>Ins.</w:t>
      </w:r>
      <w:r>
        <w:rPr>
          <w:spacing w:val="-11"/>
          <w:sz w:val="18"/>
          <w:u w:val="single"/>
        </w:rPr>
        <w:t> </w:t>
      </w:r>
      <w:r>
        <w:rPr>
          <w:sz w:val="18"/>
          <w:u w:val="single"/>
        </w:rPr>
        <w:t>Co.</w:t>
      </w:r>
      <w:r>
        <w:rPr>
          <w:spacing w:val="-11"/>
          <w:sz w:val="18"/>
          <w:u w:val="single"/>
        </w:rPr>
        <w:t> </w:t>
      </w:r>
      <w:r>
        <w:rPr>
          <w:sz w:val="18"/>
          <w:u w:val="single"/>
        </w:rPr>
        <w:t>v.</w:t>
      </w:r>
      <w:r>
        <w:rPr>
          <w:spacing w:val="-10"/>
          <w:sz w:val="18"/>
          <w:u w:val="single"/>
        </w:rPr>
        <w:t> </w:t>
      </w:r>
      <w:r>
        <w:rPr>
          <w:sz w:val="18"/>
          <w:u w:val="single"/>
        </w:rPr>
        <w:t>Wojciechowski</w:t>
      </w:r>
      <w:r>
        <w:rPr>
          <w:sz w:val="18"/>
        </w:rPr>
        <w:t>,</w:t>
      </w:r>
      <w:r>
        <w:rPr>
          <w:spacing w:val="-10"/>
          <w:sz w:val="18"/>
        </w:rPr>
        <w:t> </w:t>
      </w:r>
      <w:r>
        <w:rPr>
          <w:sz w:val="18"/>
        </w:rPr>
        <w:t>1995</w:t>
      </w:r>
      <w:r>
        <w:rPr>
          <w:spacing w:val="-11"/>
          <w:sz w:val="18"/>
        </w:rPr>
        <w:t> </w:t>
      </w:r>
      <w:r>
        <w:rPr>
          <w:sz w:val="18"/>
        </w:rPr>
        <w:t>WL</w:t>
      </w:r>
      <w:r>
        <w:rPr>
          <w:spacing w:val="-13"/>
          <w:sz w:val="18"/>
        </w:rPr>
        <w:t> </w:t>
      </w:r>
      <w:r>
        <w:rPr>
          <w:sz w:val="18"/>
        </w:rPr>
        <w:t>283893</w:t>
      </w:r>
      <w:r>
        <w:rPr>
          <w:spacing w:val="-12"/>
          <w:sz w:val="18"/>
        </w:rPr>
        <w:t> </w:t>
      </w:r>
      <w:r>
        <w:rPr>
          <w:sz w:val="18"/>
        </w:rPr>
        <w:t>(Conn.</w:t>
      </w:r>
      <w:r>
        <w:rPr>
          <w:spacing w:val="-10"/>
          <w:sz w:val="18"/>
        </w:rPr>
        <w:t> </w:t>
      </w:r>
      <w:r>
        <w:rPr>
          <w:sz w:val="18"/>
        </w:rPr>
        <w:t>Super</w:t>
      </w:r>
      <w:r>
        <w:rPr>
          <w:spacing w:val="-9"/>
          <w:sz w:val="18"/>
        </w:rPr>
        <w:t> </w:t>
      </w:r>
      <w:r>
        <w:rPr>
          <w:sz w:val="18"/>
        </w:rPr>
        <w:t>Ct.</w:t>
      </w:r>
      <w:r>
        <w:rPr>
          <w:spacing w:val="-9"/>
          <w:sz w:val="18"/>
        </w:rPr>
        <w:t> </w:t>
      </w:r>
      <w:r>
        <w:rPr>
          <w:sz w:val="18"/>
        </w:rPr>
        <w:t>1995);</w:t>
      </w:r>
      <w:r>
        <w:rPr>
          <w:spacing w:val="-10"/>
          <w:sz w:val="18"/>
        </w:rPr>
        <w:t> </w:t>
      </w:r>
      <w:r>
        <w:rPr>
          <w:i/>
          <w:sz w:val="18"/>
        </w:rPr>
        <w:t>See</w:t>
      </w:r>
      <w:r>
        <w:rPr>
          <w:i/>
          <w:spacing w:val="-12"/>
          <w:sz w:val="18"/>
        </w:rPr>
        <w:t> </w:t>
      </w:r>
      <w:r>
        <w:rPr>
          <w:i/>
          <w:sz w:val="18"/>
        </w:rPr>
        <w:t>also</w:t>
      </w:r>
      <w:r>
        <w:rPr>
          <w:sz w:val="18"/>
        </w:rPr>
        <w:t>,</w:t>
      </w:r>
      <w:r>
        <w:rPr>
          <w:sz w:val="18"/>
          <w:u w:val="single"/>
        </w:rPr>
        <w:t> Chardonnay</w:t>
      </w:r>
      <w:r>
        <w:rPr>
          <w:spacing w:val="-12"/>
          <w:sz w:val="18"/>
          <w:u w:val="single"/>
        </w:rPr>
        <w:t> </w:t>
      </w:r>
      <w:r>
        <w:rPr>
          <w:sz w:val="18"/>
          <w:u w:val="single"/>
        </w:rPr>
        <w:t>Village</w:t>
      </w:r>
      <w:r>
        <w:rPr>
          <w:spacing w:val="-5"/>
          <w:sz w:val="18"/>
          <w:u w:val="single"/>
        </w:rPr>
        <w:t> </w:t>
      </w:r>
      <w:r>
        <w:rPr>
          <w:sz w:val="18"/>
          <w:u w:val="single"/>
        </w:rPr>
        <w:t>Condominium</w:t>
      </w:r>
      <w:r>
        <w:rPr>
          <w:spacing w:val="-9"/>
          <w:sz w:val="18"/>
          <w:u w:val="single"/>
        </w:rPr>
        <w:t> </w:t>
      </w:r>
      <w:r>
        <w:rPr>
          <w:sz w:val="18"/>
          <w:u w:val="single"/>
        </w:rPr>
        <w:t>Ass’n,</w:t>
      </w:r>
      <w:r>
        <w:rPr>
          <w:spacing w:val="-4"/>
          <w:sz w:val="18"/>
          <w:u w:val="single"/>
        </w:rPr>
        <w:t> </w:t>
      </w:r>
      <w:r>
        <w:rPr>
          <w:sz w:val="18"/>
          <w:u w:val="single"/>
        </w:rPr>
        <w:t>Inc.</w:t>
      </w:r>
      <w:r>
        <w:rPr>
          <w:spacing w:val="-5"/>
          <w:sz w:val="18"/>
          <w:u w:val="single"/>
        </w:rPr>
        <w:t> </w:t>
      </w:r>
      <w:r>
        <w:rPr>
          <w:sz w:val="18"/>
          <w:u w:val="single"/>
        </w:rPr>
        <w:t>v.</w:t>
      </w:r>
      <w:r>
        <w:rPr>
          <w:spacing w:val="-4"/>
          <w:sz w:val="18"/>
          <w:u w:val="single"/>
        </w:rPr>
        <w:t> </w:t>
      </w:r>
      <w:r>
        <w:rPr>
          <w:sz w:val="18"/>
          <w:u w:val="single"/>
        </w:rPr>
        <w:t>James</w:t>
      </w:r>
      <w:r>
        <w:rPr>
          <w:spacing w:val="-8"/>
          <w:sz w:val="18"/>
          <w:u w:val="single"/>
        </w:rPr>
        <w:t> </w:t>
      </w:r>
      <w:r>
        <w:rPr>
          <w:sz w:val="18"/>
          <w:u w:val="single"/>
        </w:rPr>
        <w:t>River</w:t>
      </w:r>
      <w:r>
        <w:rPr>
          <w:spacing w:val="-7"/>
          <w:sz w:val="18"/>
          <w:u w:val="single"/>
        </w:rPr>
        <w:t> </w:t>
      </w:r>
      <w:r>
        <w:rPr>
          <w:sz w:val="18"/>
          <w:u w:val="single"/>
        </w:rPr>
        <w:t>Ins.</w:t>
      </w:r>
      <w:r>
        <w:rPr>
          <w:spacing w:val="-7"/>
          <w:sz w:val="18"/>
          <w:u w:val="single"/>
        </w:rPr>
        <w:t> </w:t>
      </w:r>
      <w:r>
        <w:rPr>
          <w:sz w:val="18"/>
          <w:u w:val="single"/>
        </w:rPr>
        <w:t>Co.</w:t>
      </w:r>
      <w:r>
        <w:rPr>
          <w:sz w:val="18"/>
        </w:rPr>
        <w:t>,</w:t>
      </w:r>
      <w:r>
        <w:rPr>
          <w:spacing w:val="-6"/>
          <w:sz w:val="18"/>
        </w:rPr>
        <w:t> </w:t>
      </w:r>
      <w:r>
        <w:rPr>
          <w:sz w:val="18"/>
        </w:rPr>
        <w:t>2008</w:t>
      </w:r>
      <w:r>
        <w:rPr>
          <w:spacing w:val="-6"/>
          <w:sz w:val="18"/>
        </w:rPr>
        <w:t> </w:t>
      </w:r>
      <w:r>
        <w:rPr>
          <w:sz w:val="18"/>
        </w:rPr>
        <w:t>WL</w:t>
      </w:r>
      <w:r>
        <w:rPr>
          <w:spacing w:val="-9"/>
          <w:sz w:val="18"/>
        </w:rPr>
        <w:t> </w:t>
      </w:r>
      <w:r>
        <w:rPr>
          <w:sz w:val="18"/>
        </w:rPr>
        <w:t>3285908 (E.D. La. 2008).</w:t>
      </w:r>
    </w:p>
    <w:p>
      <w:pPr>
        <w:spacing w:after="0" w:line="254" w:lineRule="auto"/>
        <w:jc w:val="both"/>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2"/>
        </w:rPr>
      </w:pPr>
    </w:p>
    <w:p>
      <w:pPr>
        <w:pStyle w:val="BodyText"/>
        <w:spacing w:before="76"/>
        <w:ind w:left="1520"/>
      </w:pPr>
      <w:bookmarkStart w:name="Law and Procedure 367" w:id="34"/>
      <w:bookmarkEnd w:id="34"/>
      <w:r>
        <w:rPr/>
      </w:r>
      <w:r>
        <w:rPr/>
        <w:t>prejudicial misconduct.</w:t>
      </w:r>
      <w:r>
        <w:rPr>
          <w:vertAlign w:val="superscript"/>
        </w:rPr>
        <w:t>775</w:t>
      </w:r>
    </w:p>
    <w:p>
      <w:pPr>
        <w:pStyle w:val="BodyText"/>
        <w:spacing w:before="6"/>
      </w:pPr>
    </w:p>
    <w:p>
      <w:pPr>
        <w:pStyle w:val="BodyText"/>
        <w:spacing w:line="242" w:lineRule="auto"/>
        <w:ind w:left="1520" w:right="1515" w:firstLine="720"/>
        <w:jc w:val="both"/>
      </w:pPr>
      <w:r>
        <w:rPr>
          <w:spacing w:val="2"/>
        </w:rPr>
        <w:t>As </w:t>
      </w:r>
      <w:r>
        <w:rPr/>
        <w:t>a matter of law in the state of </w:t>
      </w:r>
      <w:r>
        <w:rPr>
          <w:spacing w:val="-4"/>
        </w:rPr>
        <w:t>New </w:t>
      </w:r>
      <w:r>
        <w:rPr/>
        <w:t>York,</w:t>
      </w:r>
      <w:r>
        <w:rPr>
          <w:spacing w:val="-17"/>
        </w:rPr>
        <w:t> </w:t>
      </w:r>
      <w:r>
        <w:rPr/>
        <w:t>simply</w:t>
      </w:r>
      <w:r>
        <w:rPr>
          <w:spacing w:val="-15"/>
        </w:rPr>
        <w:t> </w:t>
      </w:r>
      <w:r>
        <w:rPr/>
        <w:t>because</w:t>
      </w:r>
      <w:r>
        <w:rPr>
          <w:spacing w:val="-13"/>
        </w:rPr>
        <w:t> </w:t>
      </w:r>
      <w:r>
        <w:rPr/>
        <w:t>the</w:t>
      </w:r>
      <w:r>
        <w:rPr>
          <w:spacing w:val="-11"/>
        </w:rPr>
        <w:t> </w:t>
      </w:r>
      <w:r>
        <w:rPr/>
        <w:t>individual</w:t>
      </w:r>
      <w:r>
        <w:rPr>
          <w:spacing w:val="-12"/>
        </w:rPr>
        <w:t> </w:t>
      </w:r>
      <w:r>
        <w:rPr/>
        <w:t>appointed by the insured as his appraiser served as the insured's public adjuster, the public adjuster </w:t>
      </w:r>
      <w:r>
        <w:rPr>
          <w:spacing w:val="2"/>
        </w:rPr>
        <w:t>is </w:t>
      </w:r>
      <w:r>
        <w:rPr/>
        <w:t>not deemed incompetent or</w:t>
      </w:r>
      <w:r>
        <w:rPr>
          <w:spacing w:val="-6"/>
        </w:rPr>
        <w:t> </w:t>
      </w:r>
      <w:r>
        <w:rPr/>
        <w:t>biased.</w:t>
      </w:r>
      <w:r>
        <w:rPr>
          <w:vertAlign w:val="superscript"/>
        </w:rPr>
        <w:t>776</w:t>
      </w:r>
    </w:p>
    <w:p>
      <w:pPr>
        <w:pStyle w:val="BodyText"/>
      </w:pPr>
    </w:p>
    <w:p>
      <w:pPr>
        <w:pStyle w:val="BodyText"/>
        <w:spacing w:line="242" w:lineRule="auto" w:before="1"/>
        <w:ind w:left="1520" w:right="1520" w:firstLine="720"/>
        <w:jc w:val="both"/>
      </w:pPr>
      <w:r>
        <w:rPr/>
        <w:t>In Florida, it has been held that even when the appraiser was hired as the insured’s public adjuster on a percentage fee basis, he could resign his adjustment contract and still qualify as a “disinterested” appraiser on the same loss.</w:t>
      </w:r>
      <w:r>
        <w:rPr>
          <w:vertAlign w:val="superscript"/>
        </w:rPr>
        <w:t>777</w:t>
      </w:r>
    </w:p>
    <w:p>
      <w:pPr>
        <w:pStyle w:val="BodyText"/>
      </w:pPr>
    </w:p>
    <w:p>
      <w:pPr>
        <w:pStyle w:val="BodyText"/>
        <w:spacing w:line="242" w:lineRule="auto"/>
        <w:ind w:left="1520" w:right="1517" w:firstLine="720"/>
        <w:jc w:val="both"/>
      </w:pPr>
      <w:r>
        <w:rPr>
          <w:spacing w:val="4"/>
        </w:rPr>
        <w:t>It </w:t>
      </w:r>
      <w:r>
        <w:rPr/>
        <w:t>has been held that an appraiser paid by a contingency fee percentage of the award</w:t>
      </w:r>
      <w:r>
        <w:rPr>
          <w:spacing w:val="-27"/>
        </w:rPr>
        <w:t> </w:t>
      </w:r>
      <w:r>
        <w:rPr/>
        <w:t>is</w:t>
      </w:r>
      <w:r>
        <w:rPr>
          <w:spacing w:val="-26"/>
        </w:rPr>
        <w:t> </w:t>
      </w:r>
      <w:r>
        <w:rPr/>
        <w:t>still</w:t>
      </w:r>
      <w:r>
        <w:rPr>
          <w:spacing w:val="-28"/>
        </w:rPr>
        <w:t> </w:t>
      </w:r>
      <w:r>
        <w:rPr/>
        <w:t>an</w:t>
      </w:r>
      <w:r>
        <w:rPr>
          <w:spacing w:val="-28"/>
        </w:rPr>
        <w:t> </w:t>
      </w:r>
      <w:r>
        <w:rPr/>
        <w:t>“independent</w:t>
      </w:r>
      <w:r>
        <w:rPr>
          <w:spacing w:val="-31"/>
        </w:rPr>
        <w:t> </w:t>
      </w:r>
      <w:r>
        <w:rPr/>
        <w:t>appraiser”</w:t>
      </w:r>
      <w:r>
        <w:rPr>
          <w:spacing w:val="-31"/>
        </w:rPr>
        <w:t> </w:t>
      </w:r>
      <w:r>
        <w:rPr/>
        <w:t>within the meaning of the appraisal clause requiring the insured and insurer to select independent appraisers. </w:t>
      </w:r>
      <w:r>
        <w:rPr>
          <w:spacing w:val="3"/>
        </w:rPr>
        <w:t>In </w:t>
      </w:r>
      <w:r>
        <w:rPr>
          <w:u w:val="single"/>
        </w:rPr>
        <w:t>Rios v. Tri-State Ins. Co.</w:t>
      </w:r>
      <w:r>
        <w:rPr/>
        <w:t>,</w:t>
      </w:r>
      <w:r>
        <w:rPr>
          <w:vertAlign w:val="superscript"/>
        </w:rPr>
        <w:t>778</w:t>
      </w:r>
      <w:r>
        <w:rPr>
          <w:vertAlign w:val="baseline"/>
        </w:rPr>
        <w:t> it </w:t>
      </w:r>
      <w:r>
        <w:rPr>
          <w:spacing w:val="-12"/>
          <w:vertAlign w:val="baseline"/>
        </w:rPr>
        <w:t>was </w:t>
      </w:r>
      <w:r>
        <w:rPr>
          <w:vertAlign w:val="baseline"/>
        </w:rPr>
        <w:t>held that an appraiser paid by a</w:t>
      </w:r>
      <w:r>
        <w:rPr>
          <w:spacing w:val="-33"/>
          <w:vertAlign w:val="baseline"/>
        </w:rPr>
        <w:t> </w:t>
      </w:r>
      <w:r>
        <w:rPr>
          <w:vertAlign w:val="baseline"/>
        </w:rPr>
        <w:t>contingency percentage of the insurance award should </w:t>
      </w:r>
      <w:r>
        <w:rPr>
          <w:spacing w:val="5"/>
          <w:vertAlign w:val="baseline"/>
        </w:rPr>
        <w:t>disclose his interest in </w:t>
      </w:r>
      <w:r>
        <w:rPr>
          <w:spacing w:val="4"/>
          <w:vertAlign w:val="baseline"/>
        </w:rPr>
        <w:t>the </w:t>
      </w:r>
      <w:r>
        <w:rPr>
          <w:spacing w:val="5"/>
          <w:vertAlign w:val="baseline"/>
        </w:rPr>
        <w:t>outcome. </w:t>
      </w:r>
      <w:r>
        <w:rPr>
          <w:vertAlign w:val="baseline"/>
        </w:rPr>
        <w:t>Furthermore, it was held that a direct</w:t>
      </w:r>
      <w:r>
        <w:rPr>
          <w:spacing w:val="-41"/>
          <w:vertAlign w:val="baseline"/>
        </w:rPr>
        <w:t> </w:t>
      </w:r>
      <w:r>
        <w:rPr>
          <w:vertAlign w:val="baseline"/>
        </w:rPr>
        <w:t>financial</w:t>
      </w:r>
    </w:p>
    <w:p>
      <w:pPr>
        <w:pStyle w:val="BodyText"/>
        <w:rPr>
          <w:sz w:val="20"/>
        </w:rPr>
      </w:pPr>
    </w:p>
    <w:p>
      <w:pPr>
        <w:pStyle w:val="BodyText"/>
        <w:spacing w:before="5"/>
        <w:rPr>
          <w:sz w:val="17"/>
        </w:rPr>
      </w:pPr>
      <w:r>
        <w:rPr/>
        <w:pict>
          <v:shape style="position:absolute;margin-left:162pt;margin-top:13.081958pt;width:143.9pt;height:.1pt;mso-position-horizontal-relative:page;mso-position-vertical-relative:paragraph;z-index:-251629568;mso-wrap-distance-left:0;mso-wrap-distance-right:0" coordorigin="3240,262" coordsize="2878,0" path="m3240,262l6118,262e" filled="false" stroked="true" strokeweight=".84pt" strokecolor="#000000">
            <v:path arrowok="t"/>
            <v:stroke dashstyle="solid"/>
            <w10:wrap type="topAndBottom"/>
          </v:shape>
        </w:pict>
      </w:r>
    </w:p>
    <w:p>
      <w:pPr>
        <w:pStyle w:val="ListParagraph"/>
        <w:numPr>
          <w:ilvl w:val="0"/>
          <w:numId w:val="6"/>
        </w:numPr>
        <w:tabs>
          <w:tab w:pos="1421" w:val="left" w:leader="none"/>
        </w:tabs>
        <w:spacing w:line="244" w:lineRule="auto" w:before="140" w:after="0"/>
        <w:ind w:left="1160" w:right="1273" w:firstLine="0"/>
        <w:jc w:val="left"/>
        <w:rPr>
          <w:sz w:val="18"/>
        </w:rPr>
      </w:pPr>
      <w:r>
        <w:rPr>
          <w:sz w:val="18"/>
        </w:rPr>
        <w:t>44 </w:t>
      </w:r>
      <w:r>
        <w:rPr>
          <w:spacing w:val="-3"/>
          <w:sz w:val="18"/>
        </w:rPr>
        <w:t>Am. </w:t>
      </w:r>
      <w:r>
        <w:rPr>
          <w:sz w:val="18"/>
        </w:rPr>
        <w:t>Jur.2d </w:t>
      </w:r>
      <w:r>
        <w:rPr>
          <w:sz w:val="18"/>
          <w:u w:val="single"/>
        </w:rPr>
        <w:t>Insurance</w:t>
      </w:r>
      <w:r>
        <w:rPr>
          <w:sz w:val="18"/>
        </w:rPr>
        <w:t> §1689 (2002); </w:t>
      </w:r>
      <w:r>
        <w:rPr>
          <w:sz w:val="18"/>
          <w:u w:val="single"/>
        </w:rPr>
        <w:t>Linford Lounge, Inc. v. Michigan Basic Property Ins. Ass’n</w:t>
      </w:r>
      <w:r>
        <w:rPr>
          <w:sz w:val="18"/>
        </w:rPr>
        <w:t>., 77 Mich. App. 710, 259 N.W.2d 201 (1977) (The public adjuster’s contract to adjust the loss was canceled before he was appointed as plaintiff's</w:t>
      </w:r>
      <w:r>
        <w:rPr>
          <w:spacing w:val="-7"/>
          <w:sz w:val="18"/>
        </w:rPr>
        <w:t> </w:t>
      </w:r>
      <w:r>
        <w:rPr>
          <w:sz w:val="18"/>
        </w:rPr>
        <w:t>appraiser).</w:t>
      </w:r>
    </w:p>
    <w:p>
      <w:pPr>
        <w:pStyle w:val="ListParagraph"/>
        <w:numPr>
          <w:ilvl w:val="0"/>
          <w:numId w:val="6"/>
        </w:numPr>
        <w:tabs>
          <w:tab w:pos="1447" w:val="left" w:leader="none"/>
        </w:tabs>
        <w:spacing w:line="206" w:lineRule="exact" w:before="0" w:after="0"/>
        <w:ind w:left="1446" w:right="0" w:hanging="287"/>
        <w:jc w:val="left"/>
        <w:rPr>
          <w:sz w:val="18"/>
        </w:rPr>
      </w:pPr>
      <w:r>
        <w:rPr>
          <w:sz w:val="18"/>
          <w:u w:val="single"/>
        </w:rPr>
        <w:t>Meyerson v. Hartford Fire Ins. Co.</w:t>
      </w:r>
      <w:r>
        <w:rPr>
          <w:sz w:val="18"/>
        </w:rPr>
        <w:t>, 16 Misc. 286, 38 N.Y. S. 112 (1896),</w:t>
      </w:r>
      <w:r>
        <w:rPr>
          <w:spacing w:val="10"/>
          <w:sz w:val="18"/>
        </w:rPr>
        <w:t> </w:t>
      </w:r>
      <w:r>
        <w:rPr>
          <w:i/>
          <w:sz w:val="18"/>
        </w:rPr>
        <w:t>aff’d,</w:t>
      </w:r>
      <w:r>
        <w:rPr>
          <w:sz w:val="18"/>
        </w:rPr>
        <w:t>17</w:t>
      </w:r>
    </w:p>
    <w:p>
      <w:pPr>
        <w:spacing w:line="178" w:lineRule="exact" w:before="6"/>
        <w:ind w:left="1160" w:right="0" w:firstLine="0"/>
        <w:jc w:val="left"/>
        <w:rPr>
          <w:rFonts w:ascii="Times New Roman"/>
          <w:sz w:val="18"/>
        </w:rPr>
      </w:pPr>
      <w:r>
        <w:rPr>
          <w:rFonts w:ascii="Times New Roman"/>
          <w:sz w:val="18"/>
        </w:rPr>
        <w:t>Misc. 121, 39 N.Y.S. 329 (1896).</w:t>
      </w:r>
    </w:p>
    <w:p>
      <w:pPr>
        <w:pStyle w:val="ListParagraph"/>
        <w:numPr>
          <w:ilvl w:val="0"/>
          <w:numId w:val="6"/>
        </w:numPr>
        <w:tabs>
          <w:tab w:pos="1416" w:val="left" w:leader="none"/>
        </w:tabs>
        <w:spacing w:line="240" w:lineRule="exact" w:before="0" w:after="0"/>
        <w:ind w:left="1415" w:right="0" w:hanging="256"/>
        <w:jc w:val="left"/>
        <w:rPr>
          <w:sz w:val="18"/>
        </w:rPr>
      </w:pPr>
      <w:r>
        <w:rPr>
          <w:sz w:val="18"/>
          <w:u w:val="single"/>
        </w:rPr>
        <w:t>Linford</w:t>
      </w:r>
      <w:r>
        <w:rPr>
          <w:spacing w:val="-4"/>
          <w:sz w:val="18"/>
          <w:u w:val="single"/>
        </w:rPr>
        <w:t> </w:t>
      </w:r>
      <w:r>
        <w:rPr>
          <w:sz w:val="18"/>
          <w:u w:val="single"/>
        </w:rPr>
        <w:t>Lounge</w:t>
      </w:r>
      <w:r>
        <w:rPr>
          <w:sz w:val="18"/>
        </w:rPr>
        <w:t>,</w:t>
      </w:r>
      <w:r>
        <w:rPr>
          <w:spacing w:val="-5"/>
          <w:sz w:val="18"/>
        </w:rPr>
        <w:t> </w:t>
      </w:r>
      <w:r>
        <w:rPr>
          <w:sz w:val="18"/>
        </w:rPr>
        <w:t>77</w:t>
      </w:r>
      <w:r>
        <w:rPr>
          <w:spacing w:val="-3"/>
          <w:sz w:val="18"/>
        </w:rPr>
        <w:t> </w:t>
      </w:r>
      <w:r>
        <w:rPr>
          <w:sz w:val="18"/>
        </w:rPr>
        <w:t>Mich.</w:t>
      </w:r>
      <w:r>
        <w:rPr>
          <w:spacing w:val="-4"/>
          <w:sz w:val="18"/>
        </w:rPr>
        <w:t> </w:t>
      </w:r>
      <w:r>
        <w:rPr>
          <w:sz w:val="18"/>
        </w:rPr>
        <w:t>App.</w:t>
      </w:r>
      <w:r>
        <w:rPr>
          <w:spacing w:val="-4"/>
          <w:sz w:val="18"/>
        </w:rPr>
        <w:t> </w:t>
      </w:r>
      <w:r>
        <w:rPr>
          <w:sz w:val="18"/>
        </w:rPr>
        <w:t>710;</w:t>
      </w:r>
      <w:r>
        <w:rPr>
          <w:spacing w:val="-7"/>
          <w:sz w:val="18"/>
        </w:rPr>
        <w:t> </w:t>
      </w:r>
      <w:r>
        <w:rPr>
          <w:sz w:val="18"/>
          <w:u w:val="single"/>
        </w:rPr>
        <w:t>Figi</w:t>
      </w:r>
      <w:r>
        <w:rPr>
          <w:spacing w:val="-7"/>
          <w:sz w:val="18"/>
          <w:u w:val="single"/>
        </w:rPr>
        <w:t> </w:t>
      </w:r>
      <w:r>
        <w:rPr>
          <w:sz w:val="18"/>
          <w:u w:val="single"/>
        </w:rPr>
        <w:t>v.</w:t>
      </w:r>
      <w:r>
        <w:rPr>
          <w:spacing w:val="-4"/>
          <w:sz w:val="18"/>
          <w:u w:val="single"/>
        </w:rPr>
        <w:t> </w:t>
      </w:r>
      <w:r>
        <w:rPr>
          <w:sz w:val="18"/>
          <w:u w:val="single"/>
        </w:rPr>
        <w:t>New</w:t>
      </w:r>
      <w:r>
        <w:rPr>
          <w:spacing w:val="-9"/>
          <w:sz w:val="18"/>
          <w:u w:val="single"/>
        </w:rPr>
        <w:t> </w:t>
      </w:r>
      <w:r>
        <w:rPr>
          <w:sz w:val="18"/>
          <w:u w:val="single"/>
        </w:rPr>
        <w:t>Hampshire</w:t>
      </w:r>
      <w:r>
        <w:rPr>
          <w:spacing w:val="-5"/>
          <w:sz w:val="18"/>
          <w:u w:val="single"/>
        </w:rPr>
        <w:t> </w:t>
      </w:r>
      <w:r>
        <w:rPr>
          <w:sz w:val="18"/>
          <w:u w:val="single"/>
        </w:rPr>
        <w:t>Ins.</w:t>
      </w:r>
      <w:r>
        <w:rPr>
          <w:spacing w:val="-5"/>
          <w:sz w:val="18"/>
          <w:u w:val="single"/>
        </w:rPr>
        <w:t> </w:t>
      </w:r>
      <w:r>
        <w:rPr>
          <w:sz w:val="18"/>
          <w:u w:val="single"/>
        </w:rPr>
        <w:t>Co.</w:t>
      </w:r>
      <w:r>
        <w:rPr>
          <w:sz w:val="18"/>
        </w:rPr>
        <w:t>,</w:t>
      </w:r>
      <w:r>
        <w:rPr>
          <w:spacing w:val="-4"/>
          <w:sz w:val="18"/>
        </w:rPr>
        <w:t> </w:t>
      </w:r>
      <w:r>
        <w:rPr>
          <w:sz w:val="18"/>
        </w:rPr>
        <w:t>108</w:t>
      </w:r>
      <w:r>
        <w:rPr>
          <w:spacing w:val="-3"/>
          <w:sz w:val="18"/>
        </w:rPr>
        <w:t> </w:t>
      </w:r>
      <w:r>
        <w:rPr>
          <w:sz w:val="18"/>
        </w:rPr>
        <w:t>Cal.</w:t>
      </w:r>
      <w:r>
        <w:rPr>
          <w:spacing w:val="-5"/>
          <w:sz w:val="18"/>
        </w:rPr>
        <w:t> </w:t>
      </w:r>
      <w:r>
        <w:rPr>
          <w:sz w:val="18"/>
        </w:rPr>
        <w:t>App.3d</w:t>
      </w:r>
    </w:p>
    <w:p>
      <w:pPr>
        <w:spacing w:before="4"/>
        <w:ind w:left="1160" w:right="0" w:firstLine="0"/>
        <w:jc w:val="left"/>
        <w:rPr>
          <w:rFonts w:ascii="Times New Roman"/>
          <w:sz w:val="18"/>
        </w:rPr>
      </w:pPr>
      <w:r>
        <w:rPr>
          <w:rFonts w:ascii="Times New Roman"/>
          <w:sz w:val="18"/>
        </w:rPr>
        <w:t>772, 166 Cal. Rptr. 774 (1980).</w:t>
      </w:r>
    </w:p>
    <w:p>
      <w:pPr>
        <w:spacing w:before="9"/>
        <w:ind w:left="1160" w:right="0" w:firstLine="0"/>
        <w:jc w:val="left"/>
        <w:rPr>
          <w:rFonts w:ascii="Times New Roman"/>
          <w:sz w:val="18"/>
        </w:rPr>
      </w:pPr>
      <w:r>
        <w:rPr>
          <w:rFonts w:ascii="Times New Roman"/>
          <w:position w:val="10"/>
          <w:sz w:val="14"/>
        </w:rPr>
        <w:t>778 </w:t>
      </w:r>
      <w:r>
        <w:rPr>
          <w:rFonts w:ascii="Times New Roman"/>
          <w:sz w:val="18"/>
        </w:rPr>
        <w:t>714 So.2d 547 (Fla. 3d DCA 1998).</w:t>
      </w:r>
    </w:p>
    <w:p>
      <w:pPr>
        <w:spacing w:after="0"/>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8"/>
        <w:jc w:val="both"/>
      </w:pPr>
      <w:bookmarkStart w:name="Law and Procedure 368" w:id="35"/>
      <w:bookmarkEnd w:id="35"/>
      <w:r>
        <w:rPr/>
      </w:r>
      <w:r>
        <w:rPr/>
        <w:t>interest</w:t>
      </w:r>
      <w:r>
        <w:rPr>
          <w:spacing w:val="-12"/>
        </w:rPr>
        <w:t> </w:t>
      </w:r>
      <w:r>
        <w:rPr/>
        <w:t>in</w:t>
      </w:r>
      <w:r>
        <w:rPr>
          <w:spacing w:val="-10"/>
        </w:rPr>
        <w:t> </w:t>
      </w:r>
      <w:r>
        <w:rPr/>
        <w:t>the</w:t>
      </w:r>
      <w:r>
        <w:rPr>
          <w:spacing w:val="-11"/>
        </w:rPr>
        <w:t> </w:t>
      </w:r>
      <w:r>
        <w:rPr/>
        <w:t>outcome</w:t>
      </w:r>
      <w:r>
        <w:rPr>
          <w:spacing w:val="-10"/>
        </w:rPr>
        <w:t> </w:t>
      </w:r>
      <w:r>
        <w:rPr/>
        <w:t>of</w:t>
      </w:r>
      <w:r>
        <w:rPr>
          <w:spacing w:val="-9"/>
        </w:rPr>
        <w:t> </w:t>
      </w:r>
      <w:r>
        <w:rPr/>
        <w:t>the</w:t>
      </w:r>
      <w:r>
        <w:rPr>
          <w:spacing w:val="-8"/>
        </w:rPr>
        <w:t> </w:t>
      </w:r>
      <w:r>
        <w:rPr/>
        <w:t>appraisal</w:t>
      </w:r>
      <w:r>
        <w:rPr>
          <w:spacing w:val="-10"/>
        </w:rPr>
        <w:t> </w:t>
      </w:r>
      <w:r>
        <w:rPr/>
        <w:t>would not necessarily require disqualification of the </w:t>
      </w:r>
      <w:r>
        <w:rPr>
          <w:spacing w:val="-3"/>
        </w:rPr>
        <w:t>party’s</w:t>
      </w:r>
      <w:r>
        <w:rPr>
          <w:spacing w:val="-35"/>
        </w:rPr>
        <w:t> </w:t>
      </w:r>
      <w:r>
        <w:rPr>
          <w:spacing w:val="-3"/>
        </w:rPr>
        <w:t>duly</w:t>
      </w:r>
      <w:r>
        <w:rPr>
          <w:spacing w:val="-36"/>
        </w:rPr>
        <w:t> </w:t>
      </w:r>
      <w:r>
        <w:rPr/>
        <w:t>appointed</w:t>
      </w:r>
      <w:r>
        <w:rPr>
          <w:spacing w:val="-34"/>
        </w:rPr>
        <w:t> </w:t>
      </w:r>
      <w:r>
        <w:rPr/>
        <w:t>appraiser.</w:t>
      </w:r>
      <w:r>
        <w:rPr>
          <w:spacing w:val="6"/>
        </w:rPr>
        <w:t> </w:t>
      </w:r>
      <w:r>
        <w:rPr/>
        <w:t>The</w:t>
      </w:r>
      <w:r>
        <w:rPr>
          <w:spacing w:val="-32"/>
        </w:rPr>
        <w:t> </w:t>
      </w:r>
      <w:r>
        <w:rPr/>
        <w:t>rationale of this decision is premised upon the fact that the phrase “independent appraiser” is not defined in the insurance policy drafted by</w:t>
      </w:r>
      <w:r>
        <w:rPr>
          <w:spacing w:val="-31"/>
        </w:rPr>
        <w:t> </w:t>
      </w:r>
      <w:r>
        <w:rPr/>
        <w:t>the insurer and is thus subject to the insured’s reasonable understanding of the term. </w:t>
      </w:r>
      <w:r>
        <w:rPr>
          <w:spacing w:val="-7"/>
        </w:rPr>
        <w:t>The </w:t>
      </w:r>
      <w:r>
        <w:rPr/>
        <w:t>court</w:t>
      </w:r>
      <w:r>
        <w:rPr>
          <w:spacing w:val="-30"/>
        </w:rPr>
        <w:t> </w:t>
      </w:r>
      <w:r>
        <w:rPr/>
        <w:t>points</w:t>
      </w:r>
      <w:r>
        <w:rPr>
          <w:spacing w:val="-25"/>
        </w:rPr>
        <w:t> </w:t>
      </w:r>
      <w:r>
        <w:rPr/>
        <w:t>out</w:t>
      </w:r>
      <w:r>
        <w:rPr>
          <w:spacing w:val="-27"/>
        </w:rPr>
        <w:t> </w:t>
      </w:r>
      <w:r>
        <w:rPr/>
        <w:t>that</w:t>
      </w:r>
      <w:r>
        <w:rPr>
          <w:spacing w:val="-26"/>
        </w:rPr>
        <w:t> </w:t>
      </w:r>
      <w:r>
        <w:rPr/>
        <w:t>the</w:t>
      </w:r>
      <w:r>
        <w:rPr>
          <w:spacing w:val="-26"/>
        </w:rPr>
        <w:t> </w:t>
      </w:r>
      <w:r>
        <w:rPr/>
        <w:t>dictionary</w:t>
      </w:r>
      <w:r>
        <w:rPr>
          <w:spacing w:val="-29"/>
        </w:rPr>
        <w:t> </w:t>
      </w:r>
      <w:r>
        <w:rPr/>
        <w:t>definition</w:t>
      </w:r>
      <w:r>
        <w:rPr>
          <w:spacing w:val="-25"/>
        </w:rPr>
        <w:t> </w:t>
      </w:r>
      <w:r>
        <w:rPr/>
        <w:t>of “independent”</w:t>
      </w:r>
      <w:r>
        <w:rPr>
          <w:spacing w:val="-45"/>
        </w:rPr>
        <w:t> </w:t>
      </w:r>
      <w:r>
        <w:rPr/>
        <w:t>includes</w:t>
      </w:r>
      <w:r>
        <w:rPr>
          <w:spacing w:val="-45"/>
        </w:rPr>
        <w:t> </w:t>
      </w:r>
      <w:r>
        <w:rPr>
          <w:spacing w:val="-3"/>
        </w:rPr>
        <w:t>“not</w:t>
      </w:r>
      <w:r>
        <w:rPr>
          <w:spacing w:val="-45"/>
        </w:rPr>
        <w:t> </w:t>
      </w:r>
      <w:r>
        <w:rPr/>
        <w:t>subject</w:t>
      </w:r>
      <w:r>
        <w:rPr>
          <w:spacing w:val="-45"/>
        </w:rPr>
        <w:t> </w:t>
      </w:r>
      <w:r>
        <w:rPr>
          <w:spacing w:val="-3"/>
        </w:rPr>
        <w:t>to</w:t>
      </w:r>
      <w:r>
        <w:rPr>
          <w:spacing w:val="-44"/>
        </w:rPr>
        <w:t> </w:t>
      </w:r>
      <w:r>
        <w:rPr/>
        <w:t>control, restriction, modification or limitation from a given outside source.”</w:t>
      </w:r>
      <w:r>
        <w:rPr>
          <w:vertAlign w:val="superscript"/>
        </w:rPr>
        <w:t>779</w:t>
      </w:r>
      <w:r>
        <w:rPr>
          <w:vertAlign w:val="baseline"/>
        </w:rPr>
        <w:t> The court </w:t>
      </w:r>
      <w:r>
        <w:rPr>
          <w:spacing w:val="-7"/>
          <w:vertAlign w:val="baseline"/>
        </w:rPr>
        <w:t>further </w:t>
      </w:r>
      <w:r>
        <w:rPr>
          <w:vertAlign w:val="baseline"/>
        </w:rPr>
        <w:t>pointed out that though the appraisal clause requires each appraiser to be paid by the party selecting that appraiser, it does not limit or</w:t>
      </w:r>
      <w:r>
        <w:rPr>
          <w:spacing w:val="-19"/>
          <w:vertAlign w:val="baseline"/>
        </w:rPr>
        <w:t> </w:t>
      </w:r>
      <w:r>
        <w:rPr>
          <w:vertAlign w:val="baseline"/>
        </w:rPr>
        <w:t>direct</w:t>
      </w:r>
      <w:r>
        <w:rPr>
          <w:spacing w:val="-21"/>
          <w:vertAlign w:val="baseline"/>
        </w:rPr>
        <w:t> </w:t>
      </w:r>
      <w:r>
        <w:rPr>
          <w:vertAlign w:val="baseline"/>
        </w:rPr>
        <w:t>the</w:t>
      </w:r>
      <w:r>
        <w:rPr>
          <w:spacing w:val="-19"/>
          <w:vertAlign w:val="baseline"/>
        </w:rPr>
        <w:t> </w:t>
      </w:r>
      <w:r>
        <w:rPr>
          <w:vertAlign w:val="baseline"/>
        </w:rPr>
        <w:t>type</w:t>
      </w:r>
      <w:r>
        <w:rPr>
          <w:spacing w:val="-19"/>
          <w:vertAlign w:val="baseline"/>
        </w:rPr>
        <w:t> </w:t>
      </w:r>
      <w:r>
        <w:rPr>
          <w:vertAlign w:val="baseline"/>
        </w:rPr>
        <w:t>of</w:t>
      </w:r>
      <w:r>
        <w:rPr>
          <w:spacing w:val="-17"/>
          <w:vertAlign w:val="baseline"/>
        </w:rPr>
        <w:t> </w:t>
      </w:r>
      <w:r>
        <w:rPr>
          <w:vertAlign w:val="baseline"/>
        </w:rPr>
        <w:t>compensation</w:t>
      </w:r>
      <w:r>
        <w:rPr>
          <w:spacing w:val="-18"/>
          <w:vertAlign w:val="baseline"/>
        </w:rPr>
        <w:t> </w:t>
      </w:r>
      <w:r>
        <w:rPr>
          <w:vertAlign w:val="baseline"/>
        </w:rPr>
        <w:t>which</w:t>
      </w:r>
      <w:r>
        <w:rPr>
          <w:spacing w:val="-16"/>
          <w:vertAlign w:val="baseline"/>
        </w:rPr>
        <w:t> </w:t>
      </w:r>
      <w:r>
        <w:rPr>
          <w:vertAlign w:val="baseline"/>
        </w:rPr>
        <w:t>may be</w:t>
      </w:r>
      <w:r>
        <w:rPr>
          <w:spacing w:val="-14"/>
          <w:vertAlign w:val="baseline"/>
        </w:rPr>
        <w:t> </w:t>
      </w:r>
      <w:r>
        <w:rPr>
          <w:vertAlign w:val="baseline"/>
        </w:rPr>
        <w:t>paid.</w:t>
      </w:r>
      <w:r>
        <w:rPr>
          <w:spacing w:val="43"/>
          <w:vertAlign w:val="baseline"/>
        </w:rPr>
        <w:t> </w:t>
      </w:r>
      <w:r>
        <w:rPr>
          <w:spacing w:val="2"/>
          <w:vertAlign w:val="baseline"/>
        </w:rPr>
        <w:t>As</w:t>
      </w:r>
      <w:r>
        <w:rPr>
          <w:spacing w:val="-15"/>
          <w:vertAlign w:val="baseline"/>
        </w:rPr>
        <w:t> </w:t>
      </w:r>
      <w:r>
        <w:rPr>
          <w:vertAlign w:val="baseline"/>
        </w:rPr>
        <w:t>the</w:t>
      </w:r>
      <w:r>
        <w:rPr>
          <w:spacing w:val="-16"/>
          <w:vertAlign w:val="baseline"/>
        </w:rPr>
        <w:t> </w:t>
      </w:r>
      <w:r>
        <w:rPr>
          <w:vertAlign w:val="baseline"/>
        </w:rPr>
        <w:t>insurance</w:t>
      </w:r>
      <w:r>
        <w:rPr>
          <w:spacing w:val="-16"/>
          <w:vertAlign w:val="baseline"/>
        </w:rPr>
        <w:t> </w:t>
      </w:r>
      <w:r>
        <w:rPr>
          <w:vertAlign w:val="baseline"/>
        </w:rPr>
        <w:t>policy</w:t>
      </w:r>
      <w:r>
        <w:rPr>
          <w:spacing w:val="-18"/>
          <w:vertAlign w:val="baseline"/>
        </w:rPr>
        <w:t> </w:t>
      </w:r>
      <w:r>
        <w:rPr>
          <w:vertAlign w:val="baseline"/>
        </w:rPr>
        <w:t>must</w:t>
      </w:r>
      <w:r>
        <w:rPr>
          <w:spacing w:val="-16"/>
          <w:vertAlign w:val="baseline"/>
        </w:rPr>
        <w:t> </w:t>
      </w:r>
      <w:r>
        <w:rPr>
          <w:vertAlign w:val="baseline"/>
        </w:rPr>
        <w:t>be</w:t>
      </w:r>
      <w:r>
        <w:rPr>
          <w:spacing w:val="-13"/>
          <w:vertAlign w:val="baseline"/>
        </w:rPr>
        <w:t> </w:t>
      </w:r>
      <w:r>
        <w:rPr>
          <w:vertAlign w:val="baseline"/>
        </w:rPr>
        <w:t>read favorably</w:t>
      </w:r>
      <w:r>
        <w:rPr>
          <w:spacing w:val="-15"/>
          <w:vertAlign w:val="baseline"/>
        </w:rPr>
        <w:t> </w:t>
      </w:r>
      <w:r>
        <w:rPr>
          <w:vertAlign w:val="baseline"/>
        </w:rPr>
        <w:t>to</w:t>
      </w:r>
      <w:r>
        <w:rPr>
          <w:spacing w:val="-15"/>
          <w:vertAlign w:val="baseline"/>
        </w:rPr>
        <w:t> </w:t>
      </w:r>
      <w:r>
        <w:rPr>
          <w:vertAlign w:val="baseline"/>
        </w:rPr>
        <w:t>the</w:t>
      </w:r>
      <w:r>
        <w:rPr>
          <w:spacing w:val="-19"/>
          <w:vertAlign w:val="baseline"/>
        </w:rPr>
        <w:t> </w:t>
      </w:r>
      <w:r>
        <w:rPr>
          <w:vertAlign w:val="baseline"/>
        </w:rPr>
        <w:t>insured</w:t>
      </w:r>
      <w:r>
        <w:rPr>
          <w:spacing w:val="-17"/>
          <w:vertAlign w:val="baseline"/>
        </w:rPr>
        <w:t> </w:t>
      </w:r>
      <w:r>
        <w:rPr>
          <w:vertAlign w:val="baseline"/>
        </w:rPr>
        <w:t>when</w:t>
      </w:r>
      <w:r>
        <w:rPr>
          <w:spacing w:val="-18"/>
          <w:vertAlign w:val="baseline"/>
        </w:rPr>
        <w:t> </w:t>
      </w:r>
      <w:r>
        <w:rPr>
          <w:vertAlign w:val="baseline"/>
        </w:rPr>
        <w:t>any</w:t>
      </w:r>
      <w:r>
        <w:rPr>
          <w:spacing w:val="-17"/>
          <w:vertAlign w:val="baseline"/>
        </w:rPr>
        <w:t> </w:t>
      </w:r>
      <w:r>
        <w:rPr>
          <w:vertAlign w:val="baseline"/>
        </w:rPr>
        <w:t>ambiguity</w:t>
      </w:r>
      <w:r>
        <w:rPr>
          <w:spacing w:val="-17"/>
          <w:vertAlign w:val="baseline"/>
        </w:rPr>
        <w:t> </w:t>
      </w:r>
      <w:r>
        <w:rPr>
          <w:vertAlign w:val="baseline"/>
        </w:rPr>
        <w:t>is discerned, the insured’s appointment should prevail.</w:t>
      </w:r>
      <w:r>
        <w:rPr>
          <w:vertAlign w:val="superscript"/>
        </w:rPr>
        <w:t>780</w:t>
      </w:r>
    </w:p>
    <w:p>
      <w:pPr>
        <w:pStyle w:val="BodyText"/>
        <w:spacing w:before="7"/>
        <w:rPr>
          <w:sz w:val="25"/>
        </w:rPr>
      </w:pPr>
    </w:p>
    <w:p>
      <w:pPr>
        <w:pStyle w:val="BodyText"/>
        <w:spacing w:line="242" w:lineRule="auto"/>
        <w:ind w:left="1520" w:right="1519" w:firstLine="720"/>
        <w:jc w:val="both"/>
      </w:pPr>
      <w:r>
        <w:rPr/>
        <w:t>Indeed,</w:t>
      </w:r>
      <w:r>
        <w:rPr>
          <w:spacing w:val="-21"/>
        </w:rPr>
        <w:t> </w:t>
      </w:r>
      <w:r>
        <w:rPr/>
        <w:t>in</w:t>
      </w:r>
      <w:r>
        <w:rPr>
          <w:spacing w:val="-18"/>
        </w:rPr>
        <w:t> </w:t>
      </w:r>
      <w:r>
        <w:rPr/>
        <w:t>Pennsylvania,</w:t>
      </w:r>
      <w:r>
        <w:rPr>
          <w:spacing w:val="-21"/>
        </w:rPr>
        <w:t> </w:t>
      </w:r>
      <w:r>
        <w:rPr/>
        <w:t>it</w:t>
      </w:r>
      <w:r>
        <w:rPr>
          <w:spacing w:val="-19"/>
        </w:rPr>
        <w:t> </w:t>
      </w:r>
      <w:r>
        <w:rPr/>
        <w:t>has</w:t>
      </w:r>
      <w:r>
        <w:rPr>
          <w:spacing w:val="-20"/>
        </w:rPr>
        <w:t> </w:t>
      </w:r>
      <w:r>
        <w:rPr/>
        <w:t>been</w:t>
      </w:r>
      <w:r>
        <w:rPr>
          <w:spacing w:val="-21"/>
        </w:rPr>
        <w:t> </w:t>
      </w:r>
      <w:r>
        <w:rPr/>
        <w:t>held that</w:t>
      </w:r>
      <w:r>
        <w:rPr>
          <w:spacing w:val="-14"/>
        </w:rPr>
        <w:t> </w:t>
      </w:r>
      <w:r>
        <w:rPr/>
        <w:t>the</w:t>
      </w:r>
      <w:r>
        <w:rPr>
          <w:spacing w:val="-10"/>
        </w:rPr>
        <w:t> </w:t>
      </w:r>
      <w:r>
        <w:rPr/>
        <w:t>existence</w:t>
      </w:r>
      <w:r>
        <w:rPr>
          <w:spacing w:val="-11"/>
        </w:rPr>
        <w:t> </w:t>
      </w:r>
      <w:r>
        <w:rPr/>
        <w:t>of</w:t>
      </w:r>
      <w:r>
        <w:rPr>
          <w:spacing w:val="-9"/>
        </w:rPr>
        <w:t> </w:t>
      </w:r>
      <w:r>
        <w:rPr/>
        <w:t>a</w:t>
      </w:r>
      <w:r>
        <w:rPr>
          <w:spacing w:val="-10"/>
        </w:rPr>
        <w:t> </w:t>
      </w:r>
      <w:r>
        <w:rPr/>
        <w:t>contingency</w:t>
      </w:r>
      <w:r>
        <w:rPr>
          <w:spacing w:val="-11"/>
        </w:rPr>
        <w:t> </w:t>
      </w:r>
      <w:r>
        <w:rPr/>
        <w:t>fee</w:t>
      </w:r>
      <w:r>
        <w:rPr>
          <w:spacing w:val="-13"/>
        </w:rPr>
        <w:t> </w:t>
      </w:r>
      <w:r>
        <w:rPr/>
        <w:t>under certain circumstances will not disqualify an appraiser from</w:t>
      </w:r>
      <w:r>
        <w:rPr>
          <w:spacing w:val="-3"/>
        </w:rPr>
        <w:t> </w:t>
      </w:r>
      <w:r>
        <w:rPr/>
        <w:t>serving.</w:t>
      </w:r>
      <w:r>
        <w:rPr>
          <w:vertAlign w:val="superscript"/>
        </w:rPr>
        <w:t>781</w:t>
      </w:r>
    </w:p>
    <w:p>
      <w:pPr>
        <w:pStyle w:val="BodyText"/>
        <w:spacing w:before="1"/>
      </w:pPr>
    </w:p>
    <w:p>
      <w:pPr>
        <w:pStyle w:val="BodyText"/>
        <w:spacing w:line="242" w:lineRule="auto" w:before="1"/>
        <w:ind w:left="1520" w:right="1520" w:firstLine="720"/>
        <w:jc w:val="both"/>
      </w:pPr>
      <w:r>
        <w:rPr/>
        <w:t>The Michigan Court of Appeals has considered the issue of an</w:t>
      </w:r>
      <w:r>
        <w:rPr>
          <w:spacing w:val="57"/>
        </w:rPr>
        <w:t> </w:t>
      </w:r>
      <w:r>
        <w:rPr/>
        <w:t>appraiser’s</w:t>
      </w:r>
    </w:p>
    <w:p>
      <w:pPr>
        <w:pStyle w:val="BodyText"/>
        <w:spacing w:before="5"/>
        <w:rPr>
          <w:sz w:val="16"/>
        </w:rPr>
      </w:pPr>
      <w:r>
        <w:rPr/>
        <w:pict>
          <v:shape style="position:absolute;margin-left:162pt;margin-top:12.497041pt;width:143.9pt;height:.1pt;mso-position-horizontal-relative:page;mso-position-vertical-relative:paragraph;z-index:-251628544;mso-wrap-distance-left:0;mso-wrap-distance-right:0" coordorigin="3240,250" coordsize="2878,0" path="m3240,250l6118,250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7"/>
        </w:numPr>
        <w:tabs>
          <w:tab w:pos="1435" w:val="left" w:leader="none"/>
        </w:tabs>
        <w:spacing w:line="282" w:lineRule="exact" w:before="72" w:after="0"/>
        <w:ind w:left="1434" w:right="0" w:hanging="275"/>
        <w:jc w:val="left"/>
        <w:rPr>
          <w:sz w:val="24"/>
        </w:rPr>
      </w:pPr>
      <w:r>
        <w:rPr>
          <w:i/>
          <w:sz w:val="18"/>
        </w:rPr>
        <w:t>Black’s Law Dictionary </w:t>
      </w:r>
      <w:r>
        <w:rPr>
          <w:sz w:val="18"/>
        </w:rPr>
        <w:t>770 (6</w:t>
      </w:r>
      <w:r>
        <w:rPr>
          <w:position w:val="7"/>
          <w:sz w:val="10"/>
        </w:rPr>
        <w:t>th </w:t>
      </w:r>
      <w:r>
        <w:rPr>
          <w:sz w:val="18"/>
        </w:rPr>
        <w:t>Ed.</w:t>
      </w:r>
      <w:r>
        <w:rPr>
          <w:spacing w:val="-5"/>
          <w:sz w:val="18"/>
        </w:rPr>
        <w:t> </w:t>
      </w:r>
      <w:r>
        <w:rPr>
          <w:sz w:val="18"/>
        </w:rPr>
        <w:t>1990)</w:t>
      </w:r>
      <w:r>
        <w:rPr>
          <w:sz w:val="24"/>
        </w:rPr>
        <w:t>.</w:t>
      </w:r>
    </w:p>
    <w:p>
      <w:pPr>
        <w:pStyle w:val="ListParagraph"/>
        <w:numPr>
          <w:ilvl w:val="0"/>
          <w:numId w:val="7"/>
        </w:numPr>
        <w:tabs>
          <w:tab w:pos="1456" w:val="left" w:leader="none"/>
        </w:tabs>
        <w:spacing w:line="261" w:lineRule="auto" w:before="0" w:after="0"/>
        <w:ind w:left="1160" w:right="1165" w:firstLine="0"/>
        <w:jc w:val="left"/>
        <w:rPr>
          <w:sz w:val="18"/>
        </w:rPr>
      </w:pPr>
      <w:r>
        <w:rPr>
          <w:sz w:val="18"/>
          <w:u w:val="single"/>
        </w:rPr>
        <w:t>Rios</w:t>
      </w:r>
      <w:r>
        <w:rPr>
          <w:sz w:val="18"/>
        </w:rPr>
        <w:t>, </w:t>
      </w:r>
      <w:r>
        <w:rPr>
          <w:i/>
          <w:sz w:val="18"/>
        </w:rPr>
        <w:t>supra</w:t>
      </w:r>
      <w:r>
        <w:rPr>
          <w:sz w:val="18"/>
        </w:rPr>
        <w:t>; </w:t>
      </w:r>
      <w:r>
        <w:rPr>
          <w:i/>
          <w:sz w:val="18"/>
        </w:rPr>
        <w:t>See also, </w:t>
      </w:r>
      <w:r>
        <w:rPr>
          <w:sz w:val="18"/>
          <w:u w:val="single"/>
        </w:rPr>
        <w:t>Birkshire Life Ins. Co. v. Adelberg</w:t>
      </w:r>
      <w:r>
        <w:rPr>
          <w:sz w:val="18"/>
        </w:rPr>
        <w:t>, 698 So.2d 828, 830 (Fla. 1997).</w:t>
      </w:r>
    </w:p>
    <w:p>
      <w:pPr>
        <w:pStyle w:val="ListParagraph"/>
        <w:numPr>
          <w:ilvl w:val="0"/>
          <w:numId w:val="7"/>
        </w:numPr>
        <w:tabs>
          <w:tab w:pos="1435" w:val="left" w:leader="none"/>
        </w:tabs>
        <w:spacing w:line="250" w:lineRule="exact" w:before="0" w:after="0"/>
        <w:ind w:left="1434" w:right="0" w:hanging="275"/>
        <w:jc w:val="left"/>
        <w:rPr>
          <w:sz w:val="18"/>
        </w:rPr>
      </w:pPr>
      <w:r>
        <w:rPr>
          <w:sz w:val="18"/>
          <w:u w:val="single"/>
        </w:rPr>
        <w:t>Hozlock v. Donegal Mut. Ins. Co.</w:t>
      </w:r>
      <w:r>
        <w:rPr>
          <w:sz w:val="18"/>
        </w:rPr>
        <w:t>, 2000 Pa. Super. 25 ,745 A.2d</w:t>
      </w:r>
      <w:r>
        <w:rPr>
          <w:spacing w:val="5"/>
          <w:sz w:val="18"/>
        </w:rPr>
        <w:t> </w:t>
      </w:r>
      <w:r>
        <w:rPr>
          <w:sz w:val="18"/>
        </w:rPr>
        <w:t>1261(2000).</w:t>
      </w:r>
    </w:p>
    <w:p>
      <w:pPr>
        <w:spacing w:after="0" w:line="250" w:lineRule="exact"/>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6"/>
        <w:jc w:val="both"/>
      </w:pPr>
      <w:bookmarkStart w:name="Law and Procedure 369" w:id="36"/>
      <w:bookmarkEnd w:id="36"/>
      <w:r>
        <w:rPr/>
      </w:r>
      <w:r>
        <w:rPr/>
        <w:t>independence</w:t>
      </w:r>
      <w:r>
        <w:rPr>
          <w:spacing w:val="-37"/>
        </w:rPr>
        <w:t> </w:t>
      </w:r>
      <w:r>
        <w:rPr/>
        <w:t>where</w:t>
      </w:r>
      <w:r>
        <w:rPr>
          <w:spacing w:val="-37"/>
        </w:rPr>
        <w:t> </w:t>
      </w:r>
      <w:r>
        <w:rPr>
          <w:spacing w:val="-3"/>
        </w:rPr>
        <w:t>insureds</w:t>
      </w:r>
      <w:r>
        <w:rPr>
          <w:spacing w:val="-38"/>
        </w:rPr>
        <w:t> </w:t>
      </w:r>
      <w:r>
        <w:rPr/>
        <w:t>nominated</w:t>
      </w:r>
      <w:r>
        <w:rPr>
          <w:spacing w:val="-37"/>
        </w:rPr>
        <w:t> </w:t>
      </w:r>
      <w:r>
        <w:rPr/>
        <w:t>their adjuster, already obligated to receive a percentage of the total claim pursuant to a contract, to also serve as their appraiser. The court relied upon a Florida decision in ultimately concluding that a contingency fee agreement</w:t>
      </w:r>
      <w:r>
        <w:rPr>
          <w:spacing w:val="-41"/>
        </w:rPr>
        <w:t> </w:t>
      </w:r>
      <w:r>
        <w:rPr>
          <w:spacing w:val="-3"/>
        </w:rPr>
        <w:t>would</w:t>
      </w:r>
      <w:r>
        <w:rPr>
          <w:spacing w:val="-40"/>
        </w:rPr>
        <w:t> </w:t>
      </w:r>
      <w:r>
        <w:rPr/>
        <w:t>not</w:t>
      </w:r>
      <w:r>
        <w:rPr>
          <w:spacing w:val="-40"/>
        </w:rPr>
        <w:t> </w:t>
      </w:r>
      <w:r>
        <w:rPr/>
        <w:t>prohibit</w:t>
      </w:r>
      <w:r>
        <w:rPr>
          <w:spacing w:val="-38"/>
        </w:rPr>
        <w:t> </w:t>
      </w:r>
      <w:r>
        <w:rPr/>
        <w:t>the</w:t>
      </w:r>
      <w:r>
        <w:rPr>
          <w:spacing w:val="-37"/>
        </w:rPr>
        <w:t> </w:t>
      </w:r>
      <w:r>
        <w:rPr/>
        <w:t>adjuster</w:t>
      </w:r>
      <w:r>
        <w:rPr>
          <w:spacing w:val="-39"/>
        </w:rPr>
        <w:t> </w:t>
      </w:r>
      <w:r>
        <w:rPr/>
        <w:t>from being independent under state statute. </w:t>
      </w:r>
      <w:r>
        <w:rPr>
          <w:spacing w:val="3"/>
        </w:rPr>
        <w:t>It </w:t>
      </w:r>
      <w:r>
        <w:rPr/>
        <w:t>reasoned</w:t>
      </w:r>
      <w:r>
        <w:rPr>
          <w:spacing w:val="-29"/>
        </w:rPr>
        <w:t> </w:t>
      </w:r>
      <w:r>
        <w:rPr/>
        <w:t>that</w:t>
      </w:r>
      <w:r>
        <w:rPr>
          <w:spacing w:val="-29"/>
        </w:rPr>
        <w:t> </w:t>
      </w:r>
      <w:r>
        <w:rPr/>
        <w:t>the</w:t>
      </w:r>
      <w:r>
        <w:rPr>
          <w:spacing w:val="-29"/>
        </w:rPr>
        <w:t> </w:t>
      </w:r>
      <w:r>
        <w:rPr/>
        <w:t>adjuster</w:t>
      </w:r>
      <w:r>
        <w:rPr>
          <w:spacing w:val="-30"/>
        </w:rPr>
        <w:t> </w:t>
      </w:r>
      <w:r>
        <w:rPr/>
        <w:t>was</w:t>
      </w:r>
      <w:r>
        <w:rPr>
          <w:spacing w:val="-26"/>
        </w:rPr>
        <w:t> </w:t>
      </w:r>
      <w:r>
        <w:rPr/>
        <w:t>“‘not</w:t>
      </w:r>
      <w:r>
        <w:rPr>
          <w:spacing w:val="-26"/>
        </w:rPr>
        <w:t> </w:t>
      </w:r>
      <w:r>
        <w:rPr/>
        <w:t>subject</w:t>
      </w:r>
      <w:r>
        <w:rPr>
          <w:spacing w:val="-28"/>
        </w:rPr>
        <w:t> </w:t>
      </w:r>
      <w:r>
        <w:rPr/>
        <w:t>to control,</w:t>
      </w:r>
      <w:r>
        <w:rPr>
          <w:spacing w:val="-41"/>
        </w:rPr>
        <w:t> </w:t>
      </w:r>
      <w:r>
        <w:rPr/>
        <w:t>restriction,</w:t>
      </w:r>
      <w:r>
        <w:rPr>
          <w:spacing w:val="-41"/>
        </w:rPr>
        <w:t> </w:t>
      </w:r>
      <w:r>
        <w:rPr/>
        <w:t>modification,</w:t>
      </w:r>
      <w:r>
        <w:rPr>
          <w:spacing w:val="-44"/>
        </w:rPr>
        <w:t> </w:t>
      </w:r>
      <w:r>
        <w:rPr/>
        <w:t>or</w:t>
      </w:r>
      <w:r>
        <w:rPr>
          <w:spacing w:val="-43"/>
        </w:rPr>
        <w:t> </w:t>
      </w:r>
      <w:r>
        <w:rPr/>
        <w:t>limitation</w:t>
      </w:r>
      <w:r>
        <w:rPr>
          <w:spacing w:val="-42"/>
        </w:rPr>
        <w:t> </w:t>
      </w:r>
      <w:r>
        <w:rPr/>
        <w:t>by anyone’” nor was he an employee or “under any other legal duty to [the insureds] with the exception of the public adjusting contract.</w:t>
      </w:r>
      <w:r>
        <w:rPr>
          <w:spacing w:val="-20"/>
        </w:rPr>
        <w:t> </w:t>
      </w:r>
      <w:r>
        <w:rPr>
          <w:spacing w:val="2"/>
        </w:rPr>
        <w:t>As </w:t>
      </w:r>
      <w:r>
        <w:rPr/>
        <w:t>such, he is capable of exercising his own judgment</w:t>
      </w:r>
      <w:r>
        <w:rPr>
          <w:spacing w:val="-16"/>
        </w:rPr>
        <w:t> </w:t>
      </w:r>
      <w:r>
        <w:rPr/>
        <w:t>regarding</w:t>
      </w:r>
      <w:r>
        <w:rPr>
          <w:spacing w:val="-13"/>
        </w:rPr>
        <w:t> </w:t>
      </w:r>
      <w:r>
        <w:rPr/>
        <w:t>the</w:t>
      </w:r>
      <w:r>
        <w:rPr>
          <w:spacing w:val="-15"/>
        </w:rPr>
        <w:t> </w:t>
      </w:r>
      <w:r>
        <w:rPr/>
        <w:t>value</w:t>
      </w:r>
      <w:r>
        <w:rPr>
          <w:spacing w:val="-10"/>
        </w:rPr>
        <w:t> </w:t>
      </w:r>
      <w:r>
        <w:rPr/>
        <w:t>of</w:t>
      </w:r>
      <w:r>
        <w:rPr>
          <w:spacing w:val="-14"/>
        </w:rPr>
        <w:t> </w:t>
      </w:r>
      <w:r>
        <w:rPr/>
        <w:t>the</w:t>
      </w:r>
      <w:r>
        <w:rPr>
          <w:spacing w:val="-15"/>
        </w:rPr>
        <w:t> </w:t>
      </w:r>
      <w:r>
        <w:rPr/>
        <w:t>loss</w:t>
      </w:r>
      <w:r>
        <w:rPr>
          <w:spacing w:val="-12"/>
        </w:rPr>
        <w:t> </w:t>
      </w:r>
      <w:r>
        <w:rPr/>
        <w:t>in</w:t>
      </w:r>
      <w:r>
        <w:rPr>
          <w:spacing w:val="-14"/>
        </w:rPr>
        <w:t> </w:t>
      </w:r>
      <w:r>
        <w:rPr/>
        <w:t>this proceeding and should not be disqualified to serve</w:t>
      </w:r>
      <w:r>
        <w:rPr>
          <w:spacing w:val="-15"/>
        </w:rPr>
        <w:t> </w:t>
      </w:r>
      <w:r>
        <w:rPr/>
        <w:t>as</w:t>
      </w:r>
      <w:r>
        <w:rPr>
          <w:spacing w:val="-16"/>
        </w:rPr>
        <w:t> </w:t>
      </w:r>
      <w:r>
        <w:rPr/>
        <w:t>[the</w:t>
      </w:r>
      <w:r>
        <w:rPr>
          <w:spacing w:val="-15"/>
        </w:rPr>
        <w:t> </w:t>
      </w:r>
      <w:r>
        <w:rPr/>
        <w:t>insureds’]</w:t>
      </w:r>
      <w:r>
        <w:rPr>
          <w:spacing w:val="-13"/>
        </w:rPr>
        <w:t> </w:t>
      </w:r>
      <w:r>
        <w:rPr/>
        <w:t>appraiser</w:t>
      </w:r>
      <w:r>
        <w:rPr>
          <w:spacing w:val="-16"/>
        </w:rPr>
        <w:t> </w:t>
      </w:r>
      <w:r>
        <w:rPr/>
        <w:t>in</w:t>
      </w:r>
      <w:r>
        <w:rPr>
          <w:spacing w:val="-14"/>
        </w:rPr>
        <w:t> </w:t>
      </w:r>
      <w:r>
        <w:rPr/>
        <w:t>this</w:t>
      </w:r>
      <w:r>
        <w:rPr>
          <w:spacing w:val="-14"/>
        </w:rPr>
        <w:t> </w:t>
      </w:r>
      <w:r>
        <w:rPr/>
        <w:t>dispute under the ‘competent and independent’ standard set forth in MCL</w:t>
      </w:r>
      <w:r>
        <w:rPr>
          <w:spacing w:val="-23"/>
        </w:rPr>
        <w:t> </w:t>
      </w:r>
      <w:r>
        <w:rPr/>
        <w:t>500.2833(l)(m).”</w:t>
      </w:r>
      <w:r>
        <w:rPr>
          <w:vertAlign w:val="superscript"/>
        </w:rPr>
        <w:t>782</w:t>
      </w:r>
    </w:p>
    <w:p>
      <w:pPr>
        <w:pStyle w:val="BodyText"/>
        <w:spacing w:before="7"/>
        <w:rPr>
          <w:sz w:val="25"/>
        </w:rPr>
      </w:pPr>
    </w:p>
    <w:p>
      <w:pPr>
        <w:pStyle w:val="BodyText"/>
        <w:spacing w:line="242" w:lineRule="auto" w:before="1"/>
        <w:ind w:left="1520" w:right="1519" w:firstLine="720"/>
        <w:jc w:val="both"/>
      </w:pPr>
      <w:r>
        <w:rPr/>
        <w:t>However,</w:t>
      </w:r>
      <w:r>
        <w:rPr>
          <w:spacing w:val="-34"/>
        </w:rPr>
        <w:t> </w:t>
      </w:r>
      <w:r>
        <w:rPr/>
        <w:t>in</w:t>
      </w:r>
      <w:r>
        <w:rPr>
          <w:spacing w:val="-30"/>
        </w:rPr>
        <w:t> </w:t>
      </w:r>
      <w:r>
        <w:rPr/>
        <w:t>the</w:t>
      </w:r>
      <w:r>
        <w:rPr>
          <w:spacing w:val="-31"/>
        </w:rPr>
        <w:t> </w:t>
      </w:r>
      <w:r>
        <w:rPr/>
        <w:t>state</w:t>
      </w:r>
      <w:r>
        <w:rPr>
          <w:spacing w:val="-31"/>
        </w:rPr>
        <w:t> </w:t>
      </w:r>
      <w:r>
        <w:rPr/>
        <w:t>of</w:t>
      </w:r>
      <w:r>
        <w:rPr>
          <w:spacing w:val="-29"/>
        </w:rPr>
        <w:t> </w:t>
      </w:r>
      <w:r>
        <w:rPr/>
        <w:t>New</w:t>
      </w:r>
      <w:r>
        <w:rPr>
          <w:spacing w:val="-35"/>
        </w:rPr>
        <w:t> </w:t>
      </w:r>
      <w:r>
        <w:rPr/>
        <w:t>Jersey,</w:t>
      </w:r>
      <w:r>
        <w:rPr>
          <w:spacing w:val="-33"/>
        </w:rPr>
        <w:t> </w:t>
      </w:r>
      <w:r>
        <w:rPr/>
        <w:t>it</w:t>
      </w:r>
      <w:r>
        <w:rPr>
          <w:spacing w:val="-33"/>
        </w:rPr>
        <w:t> </w:t>
      </w:r>
      <w:r>
        <w:rPr/>
        <w:t>has been held that a public adjuster working on</w:t>
      </w:r>
      <w:r>
        <w:rPr>
          <w:spacing w:val="-23"/>
        </w:rPr>
        <w:t> </w:t>
      </w:r>
      <w:r>
        <w:rPr/>
        <w:t>a contingency fee basis had a direct financial interest which disqualified him from service as appraiser.</w:t>
      </w:r>
      <w:r>
        <w:rPr>
          <w:vertAlign w:val="superscript"/>
        </w:rPr>
        <w:t>783</w:t>
      </w:r>
    </w:p>
    <w:p>
      <w:pPr>
        <w:pStyle w:val="BodyText"/>
        <w:rPr>
          <w:sz w:val="20"/>
        </w:rPr>
      </w:pPr>
    </w:p>
    <w:p>
      <w:pPr>
        <w:pStyle w:val="BodyText"/>
        <w:rPr>
          <w:sz w:val="20"/>
        </w:rPr>
      </w:pPr>
    </w:p>
    <w:p>
      <w:pPr>
        <w:pStyle w:val="BodyText"/>
        <w:spacing w:before="6"/>
      </w:pPr>
      <w:r>
        <w:rPr/>
        <w:pict>
          <v:shape style="position:absolute;margin-left:162pt;margin-top:18.64123pt;width:143.9pt;height:.1pt;mso-position-horizontal-relative:page;mso-position-vertical-relative:paragraph;z-index:-251627520;mso-wrap-distance-left:0;mso-wrap-distance-right:0" coordorigin="3240,373" coordsize="2878,0" path="m3240,373l6118,373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7"/>
        </w:numPr>
        <w:tabs>
          <w:tab w:pos="1477" w:val="left" w:leader="none"/>
        </w:tabs>
        <w:spacing w:line="240" w:lineRule="auto" w:before="71" w:after="0"/>
        <w:ind w:left="1476" w:right="0" w:hanging="317"/>
        <w:jc w:val="both"/>
        <w:rPr>
          <w:sz w:val="18"/>
        </w:rPr>
      </w:pPr>
      <w:r>
        <w:rPr>
          <w:sz w:val="18"/>
          <w:u w:val="single"/>
        </w:rPr>
        <w:t>White</w:t>
      </w:r>
      <w:r>
        <w:rPr>
          <w:spacing w:val="31"/>
          <w:sz w:val="18"/>
          <w:u w:val="single"/>
        </w:rPr>
        <w:t> </w:t>
      </w:r>
      <w:r>
        <w:rPr>
          <w:sz w:val="18"/>
          <w:u w:val="single"/>
        </w:rPr>
        <w:t>v.</w:t>
      </w:r>
      <w:r>
        <w:rPr>
          <w:spacing w:val="32"/>
          <w:sz w:val="18"/>
          <w:u w:val="single"/>
        </w:rPr>
        <w:t> </w:t>
      </w:r>
      <w:r>
        <w:rPr>
          <w:sz w:val="18"/>
          <w:u w:val="single"/>
        </w:rPr>
        <w:t>State</w:t>
      </w:r>
      <w:r>
        <w:rPr>
          <w:spacing w:val="32"/>
          <w:sz w:val="18"/>
          <w:u w:val="single"/>
        </w:rPr>
        <w:t> </w:t>
      </w:r>
      <w:r>
        <w:rPr>
          <w:sz w:val="18"/>
          <w:u w:val="single"/>
        </w:rPr>
        <w:t>Farm</w:t>
      </w:r>
      <w:r>
        <w:rPr>
          <w:spacing w:val="28"/>
          <w:sz w:val="18"/>
          <w:u w:val="single"/>
        </w:rPr>
        <w:t> </w:t>
      </w:r>
      <w:r>
        <w:rPr>
          <w:sz w:val="18"/>
          <w:u w:val="single"/>
        </w:rPr>
        <w:t>Fire</w:t>
      </w:r>
      <w:r>
        <w:rPr>
          <w:spacing w:val="32"/>
          <w:sz w:val="18"/>
          <w:u w:val="single"/>
        </w:rPr>
        <w:t> </w:t>
      </w:r>
      <w:r>
        <w:rPr>
          <w:sz w:val="18"/>
          <w:u w:val="single"/>
        </w:rPr>
        <w:t>and</w:t>
      </w:r>
      <w:r>
        <w:rPr>
          <w:spacing w:val="33"/>
          <w:sz w:val="18"/>
          <w:u w:val="single"/>
        </w:rPr>
        <w:t> </w:t>
      </w:r>
      <w:r>
        <w:rPr>
          <w:sz w:val="18"/>
          <w:u w:val="single"/>
        </w:rPr>
        <w:t>Cas.</w:t>
      </w:r>
      <w:r>
        <w:rPr>
          <w:spacing w:val="32"/>
          <w:sz w:val="18"/>
          <w:u w:val="single"/>
        </w:rPr>
        <w:t> </w:t>
      </w:r>
      <w:r>
        <w:rPr>
          <w:sz w:val="18"/>
          <w:u w:val="single"/>
        </w:rPr>
        <w:t>Co.</w:t>
      </w:r>
      <w:r>
        <w:rPr>
          <w:sz w:val="18"/>
        </w:rPr>
        <w:t>,</w:t>
      </w:r>
      <w:r>
        <w:rPr>
          <w:spacing w:val="33"/>
          <w:sz w:val="18"/>
        </w:rPr>
        <w:t> </w:t>
      </w:r>
      <w:r>
        <w:rPr>
          <w:sz w:val="18"/>
        </w:rPr>
        <w:t>953</w:t>
      </w:r>
      <w:r>
        <w:rPr>
          <w:spacing w:val="34"/>
          <w:sz w:val="18"/>
        </w:rPr>
        <w:t> </w:t>
      </w:r>
      <w:r>
        <w:rPr>
          <w:sz w:val="18"/>
        </w:rPr>
        <w:t>So.2d</w:t>
      </w:r>
      <w:r>
        <w:rPr>
          <w:spacing w:val="33"/>
          <w:sz w:val="18"/>
        </w:rPr>
        <w:t> </w:t>
      </w:r>
      <w:r>
        <w:rPr>
          <w:sz w:val="18"/>
        </w:rPr>
        <w:t>340</w:t>
      </w:r>
      <w:r>
        <w:rPr>
          <w:spacing w:val="32"/>
          <w:sz w:val="18"/>
        </w:rPr>
        <w:t> </w:t>
      </w:r>
      <w:r>
        <w:rPr>
          <w:sz w:val="18"/>
        </w:rPr>
        <w:t>(Ala.</w:t>
      </w:r>
      <w:r>
        <w:rPr>
          <w:spacing w:val="32"/>
          <w:sz w:val="18"/>
        </w:rPr>
        <w:t> </w:t>
      </w:r>
      <w:r>
        <w:rPr>
          <w:sz w:val="18"/>
        </w:rPr>
        <w:t>2008),</w:t>
      </w:r>
      <w:r>
        <w:rPr>
          <w:spacing w:val="32"/>
          <w:sz w:val="18"/>
        </w:rPr>
        <w:t> </w:t>
      </w:r>
      <w:r>
        <w:rPr>
          <w:sz w:val="18"/>
        </w:rPr>
        <w:t>citing</w:t>
      </w:r>
      <w:r>
        <w:rPr>
          <w:spacing w:val="30"/>
          <w:sz w:val="18"/>
        </w:rPr>
        <w:t> </w:t>
      </w:r>
      <w:r>
        <w:rPr>
          <w:sz w:val="18"/>
        </w:rPr>
        <w:t>MCL</w:t>
      </w:r>
    </w:p>
    <w:p>
      <w:pPr>
        <w:spacing w:line="244" w:lineRule="auto" w:before="19"/>
        <w:ind w:left="1160" w:right="1165" w:firstLine="0"/>
        <w:jc w:val="both"/>
        <w:rPr>
          <w:rFonts w:ascii="Times New Roman" w:hAnsi="Times New Roman"/>
          <w:sz w:val="18"/>
        </w:rPr>
      </w:pPr>
      <w:r>
        <w:rPr>
          <w:rFonts w:ascii="Times New Roman" w:hAnsi="Times New Roman"/>
          <w:sz w:val="18"/>
        </w:rPr>
        <w:t>§500.2833(1)(m); </w:t>
      </w:r>
      <w:r>
        <w:rPr>
          <w:rFonts w:ascii="Times New Roman" w:hAnsi="Times New Roman"/>
          <w:sz w:val="18"/>
          <w:u w:val="single"/>
        </w:rPr>
        <w:t>Rios v. Tri-State Ins. Co.</w:t>
      </w:r>
      <w:r>
        <w:rPr>
          <w:rFonts w:ascii="Times New Roman" w:hAnsi="Times New Roman"/>
          <w:sz w:val="18"/>
        </w:rPr>
        <w:t>, 714 So.2d 547 (Fla.3d DCA 1998); </w:t>
      </w:r>
      <w:r>
        <w:rPr>
          <w:rFonts w:ascii="Times New Roman" w:hAnsi="Times New Roman"/>
          <w:sz w:val="18"/>
          <w:u w:val="single"/>
        </w:rPr>
        <w:t>Auto-</w:t>
      </w:r>
      <w:r>
        <w:rPr>
          <w:rFonts w:ascii="Times New Roman" w:hAnsi="Times New Roman"/>
          <w:sz w:val="18"/>
        </w:rPr>
        <w:t> </w:t>
      </w:r>
      <w:r>
        <w:rPr>
          <w:rFonts w:ascii="Times New Roman" w:hAnsi="Times New Roman"/>
          <w:sz w:val="18"/>
          <w:u w:val="single"/>
        </w:rPr>
        <w:t>Owners Ins. Co. v. Allied Adjustors &amp; Appraisers</w:t>
      </w:r>
      <w:r>
        <w:rPr>
          <w:rFonts w:ascii="Times New Roman" w:hAnsi="Times New Roman"/>
          <w:sz w:val="18"/>
        </w:rPr>
        <w:t>, 238 Mich. App. 394, 605 N.W.2d 685 (Mich Ct. App. 1999) and </w:t>
      </w:r>
      <w:r>
        <w:rPr>
          <w:rFonts w:ascii="Times New Roman" w:hAnsi="Times New Roman"/>
          <w:i/>
          <w:sz w:val="18"/>
        </w:rPr>
        <w:t>Black’s Law Dictionary </w:t>
      </w:r>
      <w:r>
        <w:rPr>
          <w:rFonts w:ascii="Times New Roman" w:hAnsi="Times New Roman"/>
          <w:sz w:val="18"/>
        </w:rPr>
        <w:t>(6th Ed. 1990).</w:t>
      </w:r>
    </w:p>
    <w:p>
      <w:pPr>
        <w:pStyle w:val="ListParagraph"/>
        <w:numPr>
          <w:ilvl w:val="0"/>
          <w:numId w:val="7"/>
        </w:numPr>
        <w:tabs>
          <w:tab w:pos="1423" w:val="left" w:leader="none"/>
        </w:tabs>
        <w:spacing w:line="261" w:lineRule="auto" w:before="0" w:after="0"/>
        <w:ind w:left="1160" w:right="1162" w:firstLine="0"/>
        <w:jc w:val="both"/>
        <w:rPr>
          <w:sz w:val="18"/>
        </w:rPr>
      </w:pPr>
      <w:r>
        <w:rPr>
          <w:sz w:val="18"/>
          <w:u w:val="single"/>
        </w:rPr>
        <w:t>Commercial</w:t>
      </w:r>
      <w:r>
        <w:rPr>
          <w:spacing w:val="-12"/>
          <w:sz w:val="18"/>
          <w:u w:val="single"/>
        </w:rPr>
        <w:t> </w:t>
      </w:r>
      <w:r>
        <w:rPr>
          <w:sz w:val="18"/>
          <w:u w:val="single"/>
        </w:rPr>
        <w:t>Door</w:t>
      </w:r>
      <w:r>
        <w:rPr>
          <w:spacing w:val="-13"/>
          <w:sz w:val="18"/>
          <w:u w:val="single"/>
        </w:rPr>
        <w:t> </w:t>
      </w:r>
      <w:r>
        <w:rPr>
          <w:sz w:val="18"/>
          <w:u w:val="single"/>
        </w:rPr>
        <w:t>&amp;</w:t>
      </w:r>
      <w:r>
        <w:rPr>
          <w:spacing w:val="-13"/>
          <w:sz w:val="18"/>
          <w:u w:val="single"/>
        </w:rPr>
        <w:t> </w:t>
      </w:r>
      <w:r>
        <w:rPr>
          <w:sz w:val="18"/>
          <w:u w:val="single"/>
        </w:rPr>
        <w:t>Hardware</w:t>
      </w:r>
      <w:r>
        <w:rPr>
          <w:spacing w:val="-13"/>
          <w:sz w:val="18"/>
          <w:u w:val="single"/>
        </w:rPr>
        <w:t> </w:t>
      </w:r>
      <w:r>
        <w:rPr>
          <w:sz w:val="18"/>
          <w:u w:val="single"/>
        </w:rPr>
        <w:t>v.</w:t>
      </w:r>
      <w:r>
        <w:rPr>
          <w:spacing w:val="-13"/>
          <w:sz w:val="18"/>
          <w:u w:val="single"/>
        </w:rPr>
        <w:t> </w:t>
      </w:r>
      <w:r>
        <w:rPr>
          <w:sz w:val="18"/>
          <w:u w:val="single"/>
        </w:rPr>
        <w:t>Hanover</w:t>
      </w:r>
      <w:r>
        <w:rPr>
          <w:spacing w:val="-13"/>
          <w:sz w:val="18"/>
          <w:u w:val="single"/>
        </w:rPr>
        <w:t> </w:t>
      </w:r>
      <w:r>
        <w:rPr>
          <w:sz w:val="18"/>
          <w:u w:val="single"/>
        </w:rPr>
        <w:t>Ins.</w:t>
      </w:r>
      <w:r>
        <w:rPr>
          <w:spacing w:val="-13"/>
          <w:sz w:val="18"/>
          <w:u w:val="single"/>
        </w:rPr>
        <w:t> </w:t>
      </w:r>
      <w:r>
        <w:rPr>
          <w:sz w:val="18"/>
          <w:u w:val="single"/>
        </w:rPr>
        <w:t>Co.</w:t>
      </w:r>
      <w:r>
        <w:rPr>
          <w:sz w:val="18"/>
        </w:rPr>
        <w:t>,</w:t>
      </w:r>
      <w:r>
        <w:rPr>
          <w:spacing w:val="-12"/>
          <w:sz w:val="18"/>
        </w:rPr>
        <w:t> </w:t>
      </w:r>
      <w:r>
        <w:rPr>
          <w:sz w:val="18"/>
        </w:rPr>
        <w:t>2008</w:t>
      </w:r>
      <w:r>
        <w:rPr>
          <w:spacing w:val="-11"/>
          <w:sz w:val="18"/>
        </w:rPr>
        <w:t> </w:t>
      </w:r>
      <w:r>
        <w:rPr>
          <w:sz w:val="18"/>
        </w:rPr>
        <w:t>WL</w:t>
      </w:r>
      <w:r>
        <w:rPr>
          <w:spacing w:val="-15"/>
          <w:sz w:val="18"/>
        </w:rPr>
        <w:t> </w:t>
      </w:r>
      <w:r>
        <w:rPr>
          <w:sz w:val="18"/>
        </w:rPr>
        <w:t>302341</w:t>
      </w:r>
      <w:r>
        <w:rPr>
          <w:spacing w:val="-11"/>
          <w:sz w:val="18"/>
        </w:rPr>
        <w:t> </w:t>
      </w:r>
      <w:r>
        <w:rPr>
          <w:sz w:val="18"/>
        </w:rPr>
        <w:t>(N.J.</w:t>
      </w:r>
      <w:r>
        <w:rPr>
          <w:spacing w:val="-12"/>
          <w:sz w:val="18"/>
        </w:rPr>
        <w:t> </w:t>
      </w:r>
      <w:r>
        <w:rPr>
          <w:sz w:val="18"/>
        </w:rPr>
        <w:t>Super</w:t>
      </w:r>
      <w:r>
        <w:rPr>
          <w:spacing w:val="-13"/>
          <w:sz w:val="18"/>
        </w:rPr>
        <w:t> </w:t>
      </w:r>
      <w:r>
        <w:rPr>
          <w:sz w:val="18"/>
        </w:rPr>
        <w:t>.A.D. 2008).</w:t>
      </w:r>
    </w:p>
    <w:p>
      <w:pPr>
        <w:spacing w:after="0" w:line="261" w:lineRule="auto"/>
        <w:jc w:val="both"/>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8" w:firstLine="720"/>
        <w:jc w:val="both"/>
      </w:pPr>
      <w:bookmarkStart w:name="Law and Procedure 370" w:id="37"/>
      <w:bookmarkEnd w:id="37"/>
      <w:r>
        <w:rPr/>
      </w:r>
      <w:r>
        <w:rPr>
          <w:spacing w:val="3"/>
        </w:rPr>
        <w:t>It</w:t>
      </w:r>
      <w:r>
        <w:rPr>
          <w:spacing w:val="-24"/>
        </w:rPr>
        <w:t> </w:t>
      </w:r>
      <w:r>
        <w:rPr/>
        <w:t>has</w:t>
      </w:r>
      <w:r>
        <w:rPr>
          <w:spacing w:val="-23"/>
        </w:rPr>
        <w:t> </w:t>
      </w:r>
      <w:r>
        <w:rPr/>
        <w:t>also</w:t>
      </w:r>
      <w:r>
        <w:rPr>
          <w:spacing w:val="-19"/>
        </w:rPr>
        <w:t> </w:t>
      </w:r>
      <w:r>
        <w:rPr/>
        <w:t>been</w:t>
      </w:r>
      <w:r>
        <w:rPr>
          <w:spacing w:val="-23"/>
        </w:rPr>
        <w:t> </w:t>
      </w:r>
      <w:r>
        <w:rPr/>
        <w:t>held</w:t>
      </w:r>
      <w:r>
        <w:rPr>
          <w:spacing w:val="-21"/>
        </w:rPr>
        <w:t> </w:t>
      </w:r>
      <w:r>
        <w:rPr/>
        <w:t>that</w:t>
      </w:r>
      <w:r>
        <w:rPr>
          <w:spacing w:val="-22"/>
        </w:rPr>
        <w:t> </w:t>
      </w:r>
      <w:r>
        <w:rPr/>
        <w:t>even</w:t>
      </w:r>
      <w:r>
        <w:rPr>
          <w:spacing w:val="-23"/>
        </w:rPr>
        <w:t> </w:t>
      </w:r>
      <w:r>
        <w:rPr/>
        <w:t>if</w:t>
      </w:r>
      <w:r>
        <w:rPr>
          <w:spacing w:val="-21"/>
        </w:rPr>
        <w:t> </w:t>
      </w:r>
      <w:r>
        <w:rPr/>
        <w:t>a</w:t>
      </w:r>
      <w:r>
        <w:rPr>
          <w:spacing w:val="-21"/>
        </w:rPr>
        <w:t> </w:t>
      </w:r>
      <w:r>
        <w:rPr/>
        <w:t>public adjuster </w:t>
      </w:r>
      <w:r>
        <w:rPr>
          <w:spacing w:val="2"/>
        </w:rPr>
        <w:t>is </w:t>
      </w:r>
      <w:r>
        <w:rPr/>
        <w:t>or recently was a partner of the plaintiff’s agent, as a matter of law that does not</w:t>
      </w:r>
      <w:r>
        <w:rPr>
          <w:spacing w:val="-17"/>
        </w:rPr>
        <w:t> </w:t>
      </w:r>
      <w:r>
        <w:rPr/>
        <w:t>render</w:t>
      </w:r>
      <w:r>
        <w:rPr>
          <w:spacing w:val="-18"/>
        </w:rPr>
        <w:t> </w:t>
      </w:r>
      <w:r>
        <w:rPr/>
        <w:t>him</w:t>
      </w:r>
      <w:r>
        <w:rPr>
          <w:spacing w:val="-17"/>
        </w:rPr>
        <w:t> </w:t>
      </w:r>
      <w:r>
        <w:rPr/>
        <w:t>incompetent</w:t>
      </w:r>
      <w:r>
        <w:rPr>
          <w:spacing w:val="-19"/>
        </w:rPr>
        <w:t> </w:t>
      </w:r>
      <w:r>
        <w:rPr/>
        <w:t>or</w:t>
      </w:r>
      <w:r>
        <w:rPr>
          <w:spacing w:val="-16"/>
        </w:rPr>
        <w:t> </w:t>
      </w:r>
      <w:r>
        <w:rPr/>
        <w:t>biased</w:t>
      </w:r>
      <w:r>
        <w:rPr>
          <w:spacing w:val="-16"/>
        </w:rPr>
        <w:t> </w:t>
      </w:r>
      <w:r>
        <w:rPr/>
        <w:t>under</w:t>
      </w:r>
      <w:r>
        <w:rPr>
          <w:spacing w:val="-16"/>
        </w:rPr>
        <w:t> </w:t>
      </w:r>
      <w:r>
        <w:rPr>
          <w:spacing w:val="-11"/>
        </w:rPr>
        <w:t>a </w:t>
      </w:r>
      <w:r>
        <w:rPr/>
        <w:t>provision of a fire policy which requires the appointment of a disinterested</w:t>
      </w:r>
      <w:r>
        <w:rPr>
          <w:spacing w:val="-8"/>
        </w:rPr>
        <w:t> </w:t>
      </w:r>
      <w:r>
        <w:rPr/>
        <w:t>appraiser.</w:t>
      </w:r>
      <w:r>
        <w:rPr>
          <w:vertAlign w:val="superscript"/>
        </w:rPr>
        <w:t>784</w:t>
      </w:r>
    </w:p>
    <w:p>
      <w:pPr>
        <w:pStyle w:val="BodyText"/>
      </w:pPr>
    </w:p>
    <w:p>
      <w:pPr>
        <w:pStyle w:val="BodyText"/>
        <w:spacing w:line="242" w:lineRule="auto"/>
        <w:ind w:left="1520" w:right="1518" w:firstLine="720"/>
        <w:jc w:val="both"/>
      </w:pPr>
      <w:r>
        <w:rPr>
          <w:spacing w:val="2"/>
        </w:rPr>
        <w:t>An </w:t>
      </w:r>
      <w:r>
        <w:rPr/>
        <w:t>appraiser appointed by the insured was</w:t>
      </w:r>
      <w:r>
        <w:rPr>
          <w:spacing w:val="-17"/>
        </w:rPr>
        <w:t> </w:t>
      </w:r>
      <w:r>
        <w:rPr/>
        <w:t>deemed</w:t>
      </w:r>
      <w:r>
        <w:rPr>
          <w:spacing w:val="-20"/>
        </w:rPr>
        <w:t> </w:t>
      </w:r>
      <w:r>
        <w:rPr/>
        <w:t>disinterested</w:t>
      </w:r>
      <w:r>
        <w:rPr>
          <w:spacing w:val="-19"/>
        </w:rPr>
        <w:t> </w:t>
      </w:r>
      <w:r>
        <w:rPr/>
        <w:t>and</w:t>
      </w:r>
      <w:r>
        <w:rPr>
          <w:spacing w:val="-19"/>
        </w:rPr>
        <w:t> </w:t>
      </w:r>
      <w:r>
        <w:rPr/>
        <w:t>hence</w:t>
      </w:r>
      <w:r>
        <w:rPr>
          <w:spacing w:val="-20"/>
        </w:rPr>
        <w:t> </w:t>
      </w:r>
      <w:r>
        <w:rPr/>
        <w:t>was</w:t>
      </w:r>
      <w:r>
        <w:rPr>
          <w:spacing w:val="-18"/>
        </w:rPr>
        <w:t> </w:t>
      </w:r>
      <w:r>
        <w:rPr/>
        <w:t>not subject to disqualification where he had submitted an estimate of loss while previously under contract with the insured as a public adjuster. </w:t>
      </w:r>
      <w:r>
        <w:rPr>
          <w:spacing w:val="-3"/>
        </w:rPr>
        <w:t>The </w:t>
      </w:r>
      <w:r>
        <w:rPr/>
        <w:t>circumstances were that the estimate was the first business relationship between</w:t>
      </w:r>
      <w:r>
        <w:rPr>
          <w:spacing w:val="-26"/>
        </w:rPr>
        <w:t> </w:t>
      </w:r>
      <w:r>
        <w:rPr/>
        <w:t>the</w:t>
      </w:r>
      <w:r>
        <w:rPr>
          <w:spacing w:val="-26"/>
        </w:rPr>
        <w:t> </w:t>
      </w:r>
      <w:r>
        <w:rPr/>
        <w:t>insured</w:t>
      </w:r>
      <w:r>
        <w:rPr>
          <w:spacing w:val="-25"/>
        </w:rPr>
        <w:t> </w:t>
      </w:r>
      <w:r>
        <w:rPr/>
        <w:t>and</w:t>
      </w:r>
      <w:r>
        <w:rPr>
          <w:spacing w:val="-24"/>
        </w:rPr>
        <w:t> </w:t>
      </w:r>
      <w:r>
        <w:rPr/>
        <w:t>the</w:t>
      </w:r>
      <w:r>
        <w:rPr>
          <w:spacing w:val="-23"/>
        </w:rPr>
        <w:t> </w:t>
      </w:r>
      <w:r>
        <w:rPr/>
        <w:t>appraiser</w:t>
      </w:r>
      <w:r>
        <w:rPr>
          <w:spacing w:val="-24"/>
        </w:rPr>
        <w:t> </w:t>
      </w:r>
      <w:r>
        <w:rPr/>
        <w:t>and</w:t>
      </w:r>
      <w:r>
        <w:rPr>
          <w:spacing w:val="-24"/>
        </w:rPr>
        <w:t> </w:t>
      </w:r>
      <w:r>
        <w:rPr/>
        <w:t>no evidence of prejudicial misconduct was otherwise produced by the</w:t>
      </w:r>
      <w:r>
        <w:rPr>
          <w:spacing w:val="-6"/>
        </w:rPr>
        <w:t> </w:t>
      </w:r>
      <w:r>
        <w:rPr/>
        <w:t>insurer.</w:t>
      </w:r>
      <w:r>
        <w:rPr>
          <w:vertAlign w:val="superscript"/>
        </w:rPr>
        <w:t>785</w:t>
      </w:r>
    </w:p>
    <w:p>
      <w:pPr>
        <w:pStyle w:val="BodyText"/>
        <w:spacing w:before="11"/>
        <w:rPr>
          <w:sz w:val="25"/>
        </w:rPr>
      </w:pPr>
    </w:p>
    <w:p>
      <w:pPr>
        <w:pStyle w:val="BodyText"/>
        <w:spacing w:line="242" w:lineRule="auto" w:before="1"/>
        <w:ind w:left="1520" w:right="1519" w:firstLine="720"/>
        <w:jc w:val="both"/>
      </w:pPr>
      <w:r>
        <w:rPr>
          <w:spacing w:val="3"/>
        </w:rPr>
        <w:t>In </w:t>
      </w:r>
      <w:r>
        <w:rPr/>
        <w:t>Iowa and Texas courts have held that where a public adjuster was working on a contingency</w:t>
      </w:r>
      <w:r>
        <w:rPr>
          <w:spacing w:val="-31"/>
        </w:rPr>
        <w:t> </w:t>
      </w:r>
      <w:r>
        <w:rPr/>
        <w:t>basis,</w:t>
      </w:r>
      <w:r>
        <w:rPr>
          <w:spacing w:val="-31"/>
        </w:rPr>
        <w:t> </w:t>
      </w:r>
      <w:r>
        <w:rPr/>
        <w:t>an</w:t>
      </w:r>
      <w:r>
        <w:rPr>
          <w:spacing w:val="-28"/>
        </w:rPr>
        <w:t> </w:t>
      </w:r>
      <w:r>
        <w:rPr/>
        <w:t>award</w:t>
      </w:r>
      <w:r>
        <w:rPr>
          <w:spacing w:val="-30"/>
        </w:rPr>
        <w:t> </w:t>
      </w:r>
      <w:r>
        <w:rPr/>
        <w:t>produced</w:t>
      </w:r>
      <w:r>
        <w:rPr>
          <w:spacing w:val="-29"/>
        </w:rPr>
        <w:t> </w:t>
      </w:r>
      <w:r>
        <w:rPr/>
        <w:t>by</w:t>
      </w:r>
      <w:r>
        <w:rPr>
          <w:spacing w:val="-31"/>
        </w:rPr>
        <w:t> </w:t>
      </w:r>
      <w:r>
        <w:rPr/>
        <w:t>him as</w:t>
      </w:r>
      <w:r>
        <w:rPr>
          <w:spacing w:val="-21"/>
        </w:rPr>
        <w:t> </w:t>
      </w:r>
      <w:r>
        <w:rPr/>
        <w:t>appraiser</w:t>
      </w:r>
      <w:r>
        <w:rPr>
          <w:spacing w:val="-23"/>
        </w:rPr>
        <w:t> </w:t>
      </w:r>
      <w:r>
        <w:rPr/>
        <w:t>should</w:t>
      </w:r>
      <w:r>
        <w:rPr>
          <w:spacing w:val="-19"/>
        </w:rPr>
        <w:t> </w:t>
      </w:r>
      <w:r>
        <w:rPr/>
        <w:t>be</w:t>
      </w:r>
      <w:r>
        <w:rPr>
          <w:spacing w:val="-23"/>
        </w:rPr>
        <w:t> </w:t>
      </w:r>
      <w:r>
        <w:rPr/>
        <w:t>vacated</w:t>
      </w:r>
      <w:r>
        <w:rPr>
          <w:spacing w:val="-19"/>
        </w:rPr>
        <w:t> </w:t>
      </w:r>
      <w:r>
        <w:rPr/>
        <w:t>on</w:t>
      </w:r>
      <w:r>
        <w:rPr>
          <w:spacing w:val="-18"/>
        </w:rPr>
        <w:t> </w:t>
      </w:r>
      <w:r>
        <w:rPr/>
        <w:t>the</w:t>
      </w:r>
      <w:r>
        <w:rPr>
          <w:spacing w:val="-22"/>
        </w:rPr>
        <w:t> </w:t>
      </w:r>
      <w:r>
        <w:rPr/>
        <w:t>basis</w:t>
      </w:r>
      <w:r>
        <w:rPr>
          <w:spacing w:val="-21"/>
        </w:rPr>
        <w:t> </w:t>
      </w:r>
      <w:r>
        <w:rPr/>
        <w:t>of a lack of</w:t>
      </w:r>
      <w:r>
        <w:rPr>
          <w:spacing w:val="-3"/>
        </w:rPr>
        <w:t> </w:t>
      </w:r>
      <w:r>
        <w:rPr/>
        <w:t>impartiality.</w:t>
      </w:r>
      <w:r>
        <w:rPr>
          <w:vertAlign w:val="superscript"/>
        </w:rPr>
        <w:t>786</w:t>
      </w:r>
    </w:p>
    <w:p>
      <w:pPr>
        <w:pStyle w:val="BodyText"/>
      </w:pPr>
    </w:p>
    <w:p>
      <w:pPr>
        <w:pStyle w:val="BodyText"/>
        <w:spacing w:line="242" w:lineRule="auto" w:before="1"/>
        <w:ind w:left="1520" w:right="1516" w:firstLine="720"/>
        <w:jc w:val="both"/>
      </w:pPr>
      <w:r>
        <w:rPr/>
        <w:t>For example, in Texas it has been held </w:t>
      </w:r>
      <w:r>
        <w:rPr>
          <w:spacing w:val="2"/>
        </w:rPr>
        <w:t>that </w:t>
      </w:r>
      <w:r>
        <w:rPr/>
        <w:t>where the </w:t>
      </w:r>
      <w:r>
        <w:rPr>
          <w:spacing w:val="4"/>
        </w:rPr>
        <w:t>appraiser’s contingent </w:t>
      </w:r>
      <w:r>
        <w:rPr/>
        <w:t>percentage increases if the award</w:t>
      </w:r>
      <w:r>
        <w:rPr>
          <w:spacing w:val="-21"/>
        </w:rPr>
        <w:t> </w:t>
      </w:r>
      <w:r>
        <w:rPr/>
        <w:t>exceeded</w:t>
      </w:r>
    </w:p>
    <w:p>
      <w:pPr>
        <w:pStyle w:val="BodyText"/>
        <w:rPr>
          <w:sz w:val="20"/>
        </w:rPr>
      </w:pPr>
    </w:p>
    <w:p>
      <w:pPr>
        <w:pStyle w:val="BodyText"/>
        <w:spacing w:before="2"/>
        <w:rPr>
          <w:sz w:val="17"/>
        </w:rPr>
      </w:pPr>
      <w:r>
        <w:rPr/>
        <w:pict>
          <v:shape style="position:absolute;margin-left:162pt;margin-top:12.934043pt;width:143.9pt;height:.1pt;mso-position-horizontal-relative:page;mso-position-vertical-relative:paragraph;z-index:-251626496;mso-wrap-distance-left:0;mso-wrap-distance-right:0" coordorigin="3240,259" coordsize="2878,0" path="m3240,259l6118,259e" filled="false" stroked="true" strokeweight=".84pt" strokecolor="#000000">
            <v:path arrowok="t"/>
            <v:stroke dashstyle="solid"/>
            <w10:wrap type="topAndBottom"/>
          </v:shape>
        </w:pict>
      </w:r>
    </w:p>
    <w:p>
      <w:pPr>
        <w:pStyle w:val="ListParagraph"/>
        <w:numPr>
          <w:ilvl w:val="0"/>
          <w:numId w:val="7"/>
        </w:numPr>
        <w:tabs>
          <w:tab w:pos="1421" w:val="left" w:leader="none"/>
        </w:tabs>
        <w:spacing w:line="240" w:lineRule="exact" w:before="140" w:after="0"/>
        <w:ind w:left="1421" w:right="0" w:hanging="261"/>
        <w:jc w:val="both"/>
        <w:rPr>
          <w:sz w:val="18"/>
        </w:rPr>
      </w:pPr>
      <w:r>
        <w:rPr>
          <w:sz w:val="18"/>
          <w:u w:val="single"/>
        </w:rPr>
        <w:t>Meyerson</w:t>
      </w:r>
      <w:r>
        <w:rPr>
          <w:sz w:val="18"/>
        </w:rPr>
        <w:t>, 38 N.Y.S</w:t>
      </w:r>
      <w:r>
        <w:rPr>
          <w:spacing w:val="1"/>
          <w:sz w:val="18"/>
        </w:rPr>
        <w:t> </w:t>
      </w:r>
      <w:r>
        <w:rPr>
          <w:sz w:val="18"/>
        </w:rPr>
        <w:t>112.</w:t>
      </w:r>
    </w:p>
    <w:p>
      <w:pPr>
        <w:pStyle w:val="ListParagraph"/>
        <w:numPr>
          <w:ilvl w:val="0"/>
          <w:numId w:val="7"/>
        </w:numPr>
        <w:tabs>
          <w:tab w:pos="1411" w:val="left" w:leader="none"/>
        </w:tabs>
        <w:spacing w:line="240" w:lineRule="exact" w:before="0" w:after="0"/>
        <w:ind w:left="1410" w:right="0" w:hanging="251"/>
        <w:jc w:val="both"/>
        <w:rPr>
          <w:sz w:val="18"/>
        </w:rPr>
      </w:pPr>
      <w:r>
        <w:rPr>
          <w:sz w:val="18"/>
          <w:u w:val="single"/>
        </w:rPr>
        <w:t>Linford Lounge</w:t>
      </w:r>
      <w:r>
        <w:rPr>
          <w:sz w:val="18"/>
        </w:rPr>
        <w:t>, 77 Mich. App.</w:t>
      </w:r>
      <w:r>
        <w:rPr>
          <w:spacing w:val="2"/>
          <w:sz w:val="18"/>
        </w:rPr>
        <w:t> </w:t>
      </w:r>
      <w:r>
        <w:rPr>
          <w:sz w:val="18"/>
        </w:rPr>
        <w:t>710.</w:t>
      </w:r>
    </w:p>
    <w:p>
      <w:pPr>
        <w:pStyle w:val="ListParagraph"/>
        <w:numPr>
          <w:ilvl w:val="0"/>
          <w:numId w:val="7"/>
        </w:numPr>
        <w:tabs>
          <w:tab w:pos="1428" w:val="left" w:leader="none"/>
        </w:tabs>
        <w:spacing w:line="254" w:lineRule="auto" w:before="0" w:after="0"/>
        <w:ind w:left="1160" w:right="1164" w:firstLine="0"/>
        <w:jc w:val="both"/>
        <w:rPr>
          <w:sz w:val="18"/>
        </w:rPr>
      </w:pPr>
      <w:r>
        <w:rPr>
          <w:sz w:val="18"/>
          <w:u w:val="single"/>
        </w:rPr>
        <w:t>Central Life Ins. Co. v. Aetna Cas. &amp; Sur. Co.</w:t>
      </w:r>
      <w:r>
        <w:rPr>
          <w:sz w:val="18"/>
        </w:rPr>
        <w:t>, 466 N.W.2d 257 (Iowa 1991);</w:t>
      </w:r>
      <w:r>
        <w:rPr>
          <w:spacing w:val="-19"/>
          <w:sz w:val="18"/>
        </w:rPr>
        <w:t> </w:t>
      </w:r>
      <w:r>
        <w:rPr>
          <w:sz w:val="18"/>
          <w:u w:val="single"/>
        </w:rPr>
        <w:t>General Star</w:t>
      </w:r>
      <w:r>
        <w:rPr>
          <w:spacing w:val="-5"/>
          <w:sz w:val="18"/>
          <w:u w:val="single"/>
        </w:rPr>
        <w:t> </w:t>
      </w:r>
      <w:r>
        <w:rPr>
          <w:sz w:val="18"/>
          <w:u w:val="single"/>
        </w:rPr>
        <w:t>Indem.</w:t>
      </w:r>
      <w:r>
        <w:rPr>
          <w:spacing w:val="-4"/>
          <w:sz w:val="18"/>
          <w:u w:val="single"/>
        </w:rPr>
        <w:t> </w:t>
      </w:r>
      <w:r>
        <w:rPr>
          <w:sz w:val="18"/>
          <w:u w:val="single"/>
        </w:rPr>
        <w:t>Co.</w:t>
      </w:r>
      <w:r>
        <w:rPr>
          <w:spacing w:val="-5"/>
          <w:sz w:val="18"/>
          <w:u w:val="single"/>
        </w:rPr>
        <w:t> </w:t>
      </w:r>
      <w:r>
        <w:rPr>
          <w:sz w:val="18"/>
          <w:u w:val="single"/>
        </w:rPr>
        <w:t>v.</w:t>
      </w:r>
      <w:r>
        <w:rPr>
          <w:spacing w:val="-5"/>
          <w:sz w:val="18"/>
          <w:u w:val="single"/>
        </w:rPr>
        <w:t> </w:t>
      </w:r>
      <w:r>
        <w:rPr>
          <w:sz w:val="18"/>
          <w:u w:val="single"/>
        </w:rPr>
        <w:t>Spring</w:t>
      </w:r>
      <w:r>
        <w:rPr>
          <w:spacing w:val="-6"/>
          <w:sz w:val="18"/>
          <w:u w:val="single"/>
        </w:rPr>
        <w:t> </w:t>
      </w:r>
      <w:r>
        <w:rPr>
          <w:sz w:val="18"/>
          <w:u w:val="single"/>
        </w:rPr>
        <w:t>Creek</w:t>
      </w:r>
      <w:r>
        <w:rPr>
          <w:spacing w:val="-7"/>
          <w:sz w:val="18"/>
          <w:u w:val="single"/>
        </w:rPr>
        <w:t> </w:t>
      </w:r>
      <w:r>
        <w:rPr>
          <w:sz w:val="18"/>
          <w:u w:val="single"/>
        </w:rPr>
        <w:t>Village</w:t>
      </w:r>
      <w:r>
        <w:rPr>
          <w:spacing w:val="-8"/>
          <w:sz w:val="18"/>
          <w:u w:val="single"/>
        </w:rPr>
        <w:t> </w:t>
      </w:r>
      <w:r>
        <w:rPr>
          <w:sz w:val="18"/>
          <w:u w:val="single"/>
        </w:rPr>
        <w:t>Apts.</w:t>
      </w:r>
      <w:r>
        <w:rPr>
          <w:spacing w:val="-7"/>
          <w:sz w:val="18"/>
          <w:u w:val="single"/>
        </w:rPr>
        <w:t> </w:t>
      </w:r>
      <w:r>
        <w:rPr>
          <w:sz w:val="18"/>
          <w:u w:val="single"/>
        </w:rPr>
        <w:t>Phase</w:t>
      </w:r>
      <w:r>
        <w:rPr>
          <w:spacing w:val="-9"/>
          <w:sz w:val="18"/>
          <w:u w:val="single"/>
        </w:rPr>
        <w:t> </w:t>
      </w:r>
      <w:r>
        <w:rPr>
          <w:sz w:val="18"/>
          <w:u w:val="single"/>
        </w:rPr>
        <w:t>IV,</w:t>
      </w:r>
      <w:r>
        <w:rPr>
          <w:spacing w:val="-7"/>
          <w:sz w:val="18"/>
          <w:u w:val="single"/>
        </w:rPr>
        <w:t> </w:t>
      </w:r>
      <w:r>
        <w:rPr>
          <w:sz w:val="18"/>
          <w:u w:val="single"/>
        </w:rPr>
        <w:t>Inc.</w:t>
      </w:r>
      <w:r>
        <w:rPr>
          <w:sz w:val="18"/>
        </w:rPr>
        <w:t>,</w:t>
      </w:r>
      <w:r>
        <w:rPr>
          <w:spacing w:val="-4"/>
          <w:sz w:val="18"/>
        </w:rPr>
        <w:t> </w:t>
      </w:r>
      <w:r>
        <w:rPr>
          <w:sz w:val="18"/>
        </w:rPr>
        <w:t>152</w:t>
      </w:r>
      <w:r>
        <w:rPr>
          <w:spacing w:val="-3"/>
          <w:sz w:val="18"/>
        </w:rPr>
        <w:t> </w:t>
      </w:r>
      <w:r>
        <w:rPr>
          <w:sz w:val="18"/>
        </w:rPr>
        <w:t>S.W.3d</w:t>
      </w:r>
      <w:r>
        <w:rPr>
          <w:spacing w:val="-3"/>
          <w:sz w:val="18"/>
        </w:rPr>
        <w:t> </w:t>
      </w:r>
      <w:r>
        <w:rPr>
          <w:sz w:val="18"/>
        </w:rPr>
        <w:t>733</w:t>
      </w:r>
      <w:r>
        <w:rPr>
          <w:spacing w:val="-3"/>
          <w:sz w:val="18"/>
        </w:rPr>
        <w:t> </w:t>
      </w:r>
      <w:r>
        <w:rPr>
          <w:sz w:val="18"/>
        </w:rPr>
        <w:t>(Tex.</w:t>
      </w:r>
      <w:r>
        <w:rPr>
          <w:spacing w:val="-5"/>
          <w:sz w:val="18"/>
        </w:rPr>
        <w:t> </w:t>
      </w:r>
      <w:r>
        <w:rPr>
          <w:sz w:val="18"/>
        </w:rPr>
        <w:t>App.- Houston [14</w:t>
      </w:r>
      <w:r>
        <w:rPr>
          <w:position w:val="7"/>
          <w:sz w:val="10"/>
        </w:rPr>
        <w:t>th </w:t>
      </w:r>
      <w:r>
        <w:rPr>
          <w:sz w:val="18"/>
        </w:rPr>
        <w:t>Dist.] 2004).</w:t>
      </w:r>
    </w:p>
    <w:p>
      <w:pPr>
        <w:spacing w:after="0" w:line="254" w:lineRule="auto"/>
        <w:jc w:val="both"/>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9"/>
        <w:jc w:val="both"/>
      </w:pPr>
      <w:bookmarkStart w:name="Law and Procedure 371" w:id="38"/>
      <w:bookmarkEnd w:id="38"/>
      <w:r>
        <w:rPr/>
      </w:r>
      <w:r>
        <w:rPr/>
        <w:t>a</w:t>
      </w:r>
      <w:r>
        <w:rPr>
          <w:spacing w:val="-8"/>
        </w:rPr>
        <w:t> </w:t>
      </w:r>
      <w:r>
        <w:rPr/>
        <w:t>certain</w:t>
      </w:r>
      <w:r>
        <w:rPr>
          <w:spacing w:val="-7"/>
        </w:rPr>
        <w:t> </w:t>
      </w:r>
      <w:r>
        <w:rPr/>
        <w:t>pre-set</w:t>
      </w:r>
      <w:r>
        <w:rPr>
          <w:spacing w:val="-9"/>
        </w:rPr>
        <w:t> </w:t>
      </w:r>
      <w:r>
        <w:rPr/>
        <w:t>amount,</w:t>
      </w:r>
      <w:r>
        <w:rPr>
          <w:spacing w:val="-9"/>
        </w:rPr>
        <w:t> </w:t>
      </w:r>
      <w:r>
        <w:rPr/>
        <w:t>the</w:t>
      </w:r>
      <w:r>
        <w:rPr>
          <w:spacing w:val="-7"/>
        </w:rPr>
        <w:t> </w:t>
      </w:r>
      <w:r>
        <w:rPr/>
        <w:t>appraiser</w:t>
      </w:r>
      <w:r>
        <w:rPr>
          <w:spacing w:val="-8"/>
        </w:rPr>
        <w:t> </w:t>
      </w:r>
      <w:r>
        <w:rPr/>
        <w:t>had</w:t>
      </w:r>
      <w:r>
        <w:rPr>
          <w:spacing w:val="-6"/>
        </w:rPr>
        <w:t> </w:t>
      </w:r>
      <w:r>
        <w:rPr>
          <w:spacing w:val="-11"/>
        </w:rPr>
        <w:t>a </w:t>
      </w:r>
      <w:r>
        <w:rPr/>
        <w:t>sufficient financial interest in insuring that the appraisal award exceeded that amount </w:t>
      </w:r>
      <w:r>
        <w:rPr>
          <w:spacing w:val="-4"/>
        </w:rPr>
        <w:t>and </w:t>
      </w:r>
      <w:r>
        <w:rPr/>
        <w:t>a fact issue was created as to the appraiser’s impartiality.</w:t>
      </w:r>
      <w:r>
        <w:rPr>
          <w:vertAlign w:val="superscript"/>
        </w:rPr>
        <w:t>787</w:t>
      </w:r>
    </w:p>
    <w:p>
      <w:pPr>
        <w:pStyle w:val="BodyText"/>
      </w:pPr>
    </w:p>
    <w:p>
      <w:pPr>
        <w:pStyle w:val="BodyText"/>
        <w:spacing w:line="242" w:lineRule="auto" w:before="1"/>
        <w:ind w:left="1520" w:right="1519" w:firstLine="720"/>
        <w:jc w:val="both"/>
      </w:pPr>
      <w:r>
        <w:rPr>
          <w:spacing w:val="3"/>
        </w:rPr>
        <w:t>In </w:t>
      </w:r>
      <w:r>
        <w:rPr/>
        <w:t>Indiana, where a public adjuster </w:t>
      </w:r>
      <w:r>
        <w:rPr>
          <w:spacing w:val="-6"/>
        </w:rPr>
        <w:t>was </w:t>
      </w:r>
      <w:r>
        <w:rPr/>
        <w:t>hired to be the insured’s appraiser at a rate</w:t>
      </w:r>
      <w:r>
        <w:rPr>
          <w:spacing w:val="-40"/>
        </w:rPr>
        <w:t> </w:t>
      </w:r>
      <w:r>
        <w:rPr/>
        <w:t>of “$250 per hour with the maximum fee not to exceed 10% of the claim payments,” </w:t>
      </w:r>
      <w:r>
        <w:rPr>
          <w:spacing w:val="-6"/>
        </w:rPr>
        <w:t>the </w:t>
      </w:r>
      <w:r>
        <w:rPr/>
        <w:t>agreement gave the appraiser a </w:t>
      </w:r>
      <w:r>
        <w:rPr>
          <w:spacing w:val="-3"/>
        </w:rPr>
        <w:t>“vested </w:t>
      </w:r>
      <w:r>
        <w:rPr/>
        <w:t>interest and that determination is not even a close call.”</w:t>
      </w:r>
      <w:r>
        <w:rPr>
          <w:vertAlign w:val="superscript"/>
        </w:rPr>
        <w:t>788</w:t>
      </w:r>
      <w:r>
        <w:rPr>
          <w:vertAlign w:val="baseline"/>
        </w:rPr>
        <w:t> A similar result has been seen </w:t>
      </w:r>
      <w:r>
        <w:rPr>
          <w:spacing w:val="-19"/>
          <w:vertAlign w:val="baseline"/>
        </w:rPr>
        <w:t>in </w:t>
      </w:r>
      <w:r>
        <w:rPr>
          <w:vertAlign w:val="baseline"/>
        </w:rPr>
        <w:t>Louisiana.</w:t>
      </w:r>
      <w:r>
        <w:rPr>
          <w:vertAlign w:val="superscript"/>
        </w:rPr>
        <w:t>789</w:t>
      </w:r>
    </w:p>
    <w:p>
      <w:pPr>
        <w:pStyle w:val="BodyText"/>
        <w:spacing w:before="11"/>
        <w:rPr>
          <w:sz w:val="25"/>
        </w:rPr>
      </w:pPr>
    </w:p>
    <w:p>
      <w:pPr>
        <w:pStyle w:val="BodyText"/>
        <w:spacing w:line="242" w:lineRule="auto" w:before="1"/>
        <w:ind w:left="1520" w:right="1517" w:firstLine="791"/>
        <w:jc w:val="both"/>
      </w:pPr>
      <w:r>
        <w:rPr/>
        <w:t>California has examined this issue in the context of a public adjuster’s alleged </w:t>
      </w:r>
      <w:r>
        <w:rPr>
          <w:spacing w:val="-3"/>
        </w:rPr>
        <w:t>unauthorized</w:t>
      </w:r>
      <w:r>
        <w:rPr>
          <w:spacing w:val="-37"/>
        </w:rPr>
        <w:t> </w:t>
      </w:r>
      <w:r>
        <w:rPr/>
        <w:t>practice</w:t>
      </w:r>
      <w:r>
        <w:rPr>
          <w:spacing w:val="-32"/>
        </w:rPr>
        <w:t> </w:t>
      </w:r>
      <w:r>
        <w:rPr/>
        <w:t>of</w:t>
      </w:r>
      <w:r>
        <w:rPr>
          <w:spacing w:val="-32"/>
        </w:rPr>
        <w:t> </w:t>
      </w:r>
      <w:r>
        <w:rPr/>
        <w:t>law</w:t>
      </w:r>
      <w:r>
        <w:rPr>
          <w:spacing w:val="-36"/>
        </w:rPr>
        <w:t> </w:t>
      </w:r>
      <w:r>
        <w:rPr/>
        <w:t>in</w:t>
      </w:r>
      <w:r>
        <w:rPr>
          <w:spacing w:val="-33"/>
        </w:rPr>
        <w:t> </w:t>
      </w:r>
      <w:r>
        <w:rPr/>
        <w:t>representing</w:t>
      </w:r>
      <w:r>
        <w:rPr>
          <w:spacing w:val="-36"/>
        </w:rPr>
        <w:t> </w:t>
      </w:r>
      <w:r>
        <w:rPr/>
        <w:t>an insured at an appraisal proceeding. The</w:t>
      </w:r>
      <w:r>
        <w:rPr>
          <w:spacing w:val="-25"/>
        </w:rPr>
        <w:t> </w:t>
      </w:r>
      <w:r>
        <w:rPr/>
        <w:t>court there discerned no authority to support the contention</w:t>
      </w:r>
      <w:r>
        <w:rPr>
          <w:spacing w:val="-25"/>
        </w:rPr>
        <w:t> </w:t>
      </w:r>
      <w:r>
        <w:rPr/>
        <w:t>that</w:t>
      </w:r>
      <w:r>
        <w:rPr>
          <w:spacing w:val="-27"/>
        </w:rPr>
        <w:t> </w:t>
      </w:r>
      <w:r>
        <w:rPr/>
        <w:t>an</w:t>
      </w:r>
      <w:r>
        <w:rPr>
          <w:spacing w:val="-25"/>
        </w:rPr>
        <w:t> </w:t>
      </w:r>
      <w:r>
        <w:rPr/>
        <w:t>award</w:t>
      </w:r>
      <w:r>
        <w:rPr>
          <w:spacing w:val="-26"/>
        </w:rPr>
        <w:t> </w:t>
      </w:r>
      <w:r>
        <w:rPr/>
        <w:t>must</w:t>
      </w:r>
      <w:r>
        <w:rPr>
          <w:spacing w:val="-25"/>
        </w:rPr>
        <w:t> </w:t>
      </w:r>
      <w:r>
        <w:rPr/>
        <w:t>be</w:t>
      </w:r>
      <w:r>
        <w:rPr>
          <w:spacing w:val="-26"/>
        </w:rPr>
        <w:t> </w:t>
      </w:r>
      <w:r>
        <w:rPr/>
        <w:t>vacated</w:t>
      </w:r>
      <w:r>
        <w:rPr>
          <w:spacing w:val="-27"/>
        </w:rPr>
        <w:t> </w:t>
      </w:r>
      <w:r>
        <w:rPr/>
        <w:t>on the</w:t>
      </w:r>
      <w:r>
        <w:rPr>
          <w:spacing w:val="-21"/>
        </w:rPr>
        <w:t> </w:t>
      </w:r>
      <w:r>
        <w:rPr/>
        <w:t>grounds</w:t>
      </w:r>
      <w:r>
        <w:rPr>
          <w:spacing w:val="-19"/>
        </w:rPr>
        <w:t> </w:t>
      </w:r>
      <w:r>
        <w:rPr/>
        <w:t>that</w:t>
      </w:r>
      <w:r>
        <w:rPr>
          <w:spacing w:val="-23"/>
        </w:rPr>
        <w:t> </w:t>
      </w:r>
      <w:r>
        <w:rPr/>
        <w:t>a</w:t>
      </w:r>
      <w:r>
        <w:rPr>
          <w:spacing w:val="-20"/>
        </w:rPr>
        <w:t> </w:t>
      </w:r>
      <w:r>
        <w:rPr/>
        <w:t>public</w:t>
      </w:r>
      <w:r>
        <w:rPr>
          <w:spacing w:val="-23"/>
        </w:rPr>
        <w:t> </w:t>
      </w:r>
      <w:r>
        <w:rPr/>
        <w:t>adjuster</w:t>
      </w:r>
      <w:r>
        <w:rPr>
          <w:spacing w:val="-24"/>
        </w:rPr>
        <w:t> </w:t>
      </w:r>
      <w:r>
        <w:rPr/>
        <w:t>represented an</w:t>
      </w:r>
      <w:r>
        <w:rPr>
          <w:spacing w:val="-10"/>
        </w:rPr>
        <w:t> </w:t>
      </w:r>
      <w:r>
        <w:rPr/>
        <w:t>insured</w:t>
      </w:r>
      <w:r>
        <w:rPr>
          <w:spacing w:val="-10"/>
        </w:rPr>
        <w:t> </w:t>
      </w:r>
      <w:r>
        <w:rPr/>
        <w:t>at</w:t>
      </w:r>
      <w:r>
        <w:rPr>
          <w:spacing w:val="-12"/>
        </w:rPr>
        <w:t> </w:t>
      </w:r>
      <w:r>
        <w:rPr/>
        <w:t>an</w:t>
      </w:r>
      <w:r>
        <w:rPr>
          <w:spacing w:val="-9"/>
        </w:rPr>
        <w:t> </w:t>
      </w:r>
      <w:r>
        <w:rPr/>
        <w:t>arbitration</w:t>
      </w:r>
      <w:r>
        <w:rPr>
          <w:spacing w:val="-10"/>
        </w:rPr>
        <w:t> </w:t>
      </w:r>
      <w:r>
        <w:rPr/>
        <w:t>proceeding</w:t>
      </w:r>
      <w:r>
        <w:rPr>
          <w:spacing w:val="-6"/>
        </w:rPr>
        <w:t> </w:t>
      </w:r>
      <w:r>
        <w:rPr/>
        <w:t>rather than an attorney, thereby engaging in the unlawful practice of law. </w:t>
      </w:r>
      <w:r>
        <w:rPr>
          <w:spacing w:val="-3"/>
        </w:rPr>
        <w:t>The </w:t>
      </w:r>
      <w:r>
        <w:rPr/>
        <w:t>court clarified that</w:t>
      </w:r>
      <w:r>
        <w:rPr>
          <w:spacing w:val="-16"/>
        </w:rPr>
        <w:t> </w:t>
      </w:r>
      <w:r>
        <w:rPr/>
        <w:t>a</w:t>
      </w:r>
      <w:r>
        <w:rPr>
          <w:spacing w:val="-15"/>
        </w:rPr>
        <w:t> </w:t>
      </w:r>
      <w:r>
        <w:rPr/>
        <w:t>public</w:t>
      </w:r>
      <w:r>
        <w:rPr>
          <w:spacing w:val="-14"/>
        </w:rPr>
        <w:t> </w:t>
      </w:r>
      <w:r>
        <w:rPr/>
        <w:t>adjuster</w:t>
      </w:r>
      <w:r>
        <w:rPr>
          <w:spacing w:val="-18"/>
        </w:rPr>
        <w:t> </w:t>
      </w:r>
      <w:r>
        <w:rPr/>
        <w:t>may</w:t>
      </w:r>
      <w:r>
        <w:rPr>
          <w:spacing w:val="-17"/>
        </w:rPr>
        <w:t> </w:t>
      </w:r>
      <w:r>
        <w:rPr/>
        <w:t>“act</w:t>
      </w:r>
      <w:r>
        <w:rPr>
          <w:spacing w:val="-17"/>
        </w:rPr>
        <w:t> </w:t>
      </w:r>
      <w:r>
        <w:rPr/>
        <w:t>on</w:t>
      </w:r>
      <w:r>
        <w:rPr>
          <w:spacing w:val="-15"/>
        </w:rPr>
        <w:t> </w:t>
      </w:r>
      <w:r>
        <w:rPr/>
        <w:t>behalf</w:t>
      </w:r>
      <w:r>
        <w:rPr>
          <w:spacing w:val="-14"/>
        </w:rPr>
        <w:t> </w:t>
      </w:r>
      <w:r>
        <w:rPr/>
        <w:t>of</w:t>
      </w:r>
      <w:r>
        <w:rPr>
          <w:spacing w:val="-15"/>
        </w:rPr>
        <w:t> </w:t>
      </w:r>
      <w:r>
        <w:rPr>
          <w:spacing w:val="-6"/>
        </w:rPr>
        <w:t>or </w:t>
      </w:r>
      <w:r>
        <w:rPr/>
        <w:t>aid</w:t>
      </w:r>
      <w:r>
        <w:rPr>
          <w:spacing w:val="16"/>
        </w:rPr>
        <w:t> </w:t>
      </w:r>
      <w:r>
        <w:rPr/>
        <w:t>in</w:t>
      </w:r>
      <w:r>
        <w:rPr>
          <w:spacing w:val="18"/>
        </w:rPr>
        <w:t> </w:t>
      </w:r>
      <w:r>
        <w:rPr/>
        <w:t>any</w:t>
      </w:r>
      <w:r>
        <w:rPr>
          <w:spacing w:val="16"/>
        </w:rPr>
        <w:t> </w:t>
      </w:r>
      <w:r>
        <w:rPr/>
        <w:t>manner,</w:t>
      </w:r>
      <w:r>
        <w:rPr>
          <w:spacing w:val="15"/>
        </w:rPr>
        <w:t> </w:t>
      </w:r>
      <w:r>
        <w:rPr/>
        <w:t>an</w:t>
      </w:r>
      <w:r>
        <w:rPr>
          <w:spacing w:val="18"/>
        </w:rPr>
        <w:t> </w:t>
      </w:r>
      <w:r>
        <w:rPr/>
        <w:t>insured”</w:t>
      </w:r>
      <w:r>
        <w:rPr>
          <w:spacing w:val="15"/>
        </w:rPr>
        <w:t> </w:t>
      </w:r>
      <w:r>
        <w:rPr/>
        <w:t>in</w:t>
      </w:r>
      <w:r>
        <w:rPr>
          <w:spacing w:val="18"/>
        </w:rPr>
        <w:t> </w:t>
      </w:r>
      <w:r>
        <w:rPr/>
        <w:t>adjusting</w:t>
      </w:r>
      <w:r>
        <w:rPr>
          <w:spacing w:val="18"/>
        </w:rPr>
        <w:t> </w:t>
      </w:r>
      <w:r>
        <w:rPr/>
        <w:t>a</w:t>
      </w:r>
    </w:p>
    <w:p>
      <w:pPr>
        <w:pStyle w:val="BodyText"/>
        <w:spacing w:before="3"/>
        <w:rPr>
          <w:sz w:val="19"/>
        </w:rPr>
      </w:pPr>
      <w:r>
        <w:rPr/>
        <w:pict>
          <v:shape style="position:absolute;margin-left:162pt;margin-top:14.235395pt;width:143.9pt;height:.1pt;mso-position-horizontal-relative:page;mso-position-vertical-relative:paragraph;z-index:-251625472;mso-wrap-distance-left:0;mso-wrap-distance-right:0" coordorigin="3240,285" coordsize="2878,0" path="m3240,285l6118,285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7"/>
        </w:numPr>
        <w:tabs>
          <w:tab w:pos="1435" w:val="left" w:leader="none"/>
        </w:tabs>
        <w:spacing w:line="240" w:lineRule="auto" w:before="80" w:after="0"/>
        <w:ind w:left="1434" w:right="0" w:hanging="275"/>
        <w:jc w:val="left"/>
        <w:rPr>
          <w:sz w:val="18"/>
        </w:rPr>
      </w:pPr>
      <w:r>
        <w:rPr>
          <w:sz w:val="18"/>
          <w:u w:val="single"/>
        </w:rPr>
        <w:t>General Star Indem. Co. v. Spring Creek Village Apts. Phase IV, Inc.</w:t>
      </w:r>
      <w:r>
        <w:rPr>
          <w:sz w:val="18"/>
        </w:rPr>
        <w:t>,</w:t>
      </w:r>
      <w:r>
        <w:rPr>
          <w:spacing w:val="-4"/>
          <w:sz w:val="18"/>
        </w:rPr>
        <w:t> </w:t>
      </w:r>
      <w:r>
        <w:rPr>
          <w:sz w:val="18"/>
          <w:u w:val="single"/>
        </w:rPr>
        <w:t>Id</w:t>
      </w:r>
      <w:r>
        <w:rPr>
          <w:sz w:val="18"/>
        </w:rPr>
        <w:t>.</w:t>
      </w:r>
    </w:p>
    <w:p>
      <w:pPr>
        <w:pStyle w:val="BodyText"/>
        <w:spacing w:before="8"/>
        <w:rPr>
          <w:rFonts w:ascii="Times New Roman"/>
          <w:sz w:val="19"/>
        </w:rPr>
      </w:pPr>
    </w:p>
    <w:p>
      <w:pPr>
        <w:pStyle w:val="ListParagraph"/>
        <w:numPr>
          <w:ilvl w:val="0"/>
          <w:numId w:val="7"/>
        </w:numPr>
        <w:tabs>
          <w:tab w:pos="1435" w:val="left" w:leader="none"/>
        </w:tabs>
        <w:spacing w:line="240" w:lineRule="auto" w:before="71" w:after="0"/>
        <w:ind w:left="1434" w:right="0" w:hanging="275"/>
        <w:jc w:val="left"/>
        <w:rPr>
          <w:sz w:val="24"/>
        </w:rPr>
      </w:pPr>
      <w:r>
        <w:rPr>
          <w:sz w:val="18"/>
          <w:u w:val="single"/>
        </w:rPr>
        <w:t>Shree Hari Hotels, LLC v. Society Ins.</w:t>
      </w:r>
      <w:r>
        <w:rPr>
          <w:sz w:val="18"/>
        </w:rPr>
        <w:t>, 2013 WL 4777212 (S.D. Ind.</w:t>
      </w:r>
      <w:r>
        <w:rPr>
          <w:spacing w:val="-3"/>
          <w:sz w:val="18"/>
        </w:rPr>
        <w:t> </w:t>
      </w:r>
      <w:r>
        <w:rPr>
          <w:sz w:val="18"/>
        </w:rPr>
        <w:t>2013)</w:t>
      </w:r>
      <w:r>
        <w:rPr>
          <w:sz w:val="24"/>
        </w:rPr>
        <w:t>.</w:t>
      </w:r>
    </w:p>
    <w:p>
      <w:pPr>
        <w:pStyle w:val="ListParagraph"/>
        <w:numPr>
          <w:ilvl w:val="0"/>
          <w:numId w:val="7"/>
        </w:numPr>
        <w:tabs>
          <w:tab w:pos="1462" w:val="left" w:leader="none"/>
        </w:tabs>
        <w:spacing w:line="261" w:lineRule="auto" w:before="1" w:after="0"/>
        <w:ind w:left="1160" w:right="1162" w:firstLine="0"/>
        <w:jc w:val="left"/>
        <w:rPr>
          <w:sz w:val="18"/>
        </w:rPr>
      </w:pPr>
      <w:r>
        <w:rPr>
          <w:sz w:val="18"/>
          <w:u w:val="single"/>
        </w:rPr>
        <w:t>Chardonnay Village Condominium Ass’n, Inc. v. James River Ins. Co.</w:t>
      </w:r>
      <w:r>
        <w:rPr>
          <w:sz w:val="18"/>
        </w:rPr>
        <w:t>, 2008 WL 3285908 (E.D. La.</w:t>
      </w:r>
      <w:r>
        <w:rPr>
          <w:spacing w:val="1"/>
          <w:sz w:val="18"/>
        </w:rPr>
        <w:t> </w:t>
      </w:r>
      <w:r>
        <w:rPr>
          <w:sz w:val="18"/>
        </w:rPr>
        <w:t>2008).</w:t>
      </w:r>
    </w:p>
    <w:p>
      <w:pPr>
        <w:spacing w:after="0" w:line="261"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6"/>
        <w:jc w:val="both"/>
      </w:pPr>
      <w:bookmarkStart w:name="Law and Procedure 372" w:id="39"/>
      <w:bookmarkEnd w:id="39"/>
      <w:r>
        <w:rPr/>
      </w:r>
      <w:r>
        <w:rPr/>
        <w:t>claim, although may not practice law</w:t>
      </w:r>
      <w:r>
        <w:rPr>
          <w:spacing w:val="-19"/>
        </w:rPr>
        <w:t> </w:t>
      </w:r>
      <w:r>
        <w:rPr/>
        <w:t>without a</w:t>
      </w:r>
      <w:r>
        <w:rPr>
          <w:spacing w:val="-21"/>
        </w:rPr>
        <w:t> </w:t>
      </w:r>
      <w:r>
        <w:rPr/>
        <w:t>license</w:t>
      </w:r>
      <w:r>
        <w:rPr>
          <w:spacing w:val="-21"/>
        </w:rPr>
        <w:t> </w:t>
      </w:r>
      <w:r>
        <w:rPr/>
        <w:t>to</w:t>
      </w:r>
      <w:r>
        <w:rPr>
          <w:spacing w:val="-20"/>
        </w:rPr>
        <w:t> </w:t>
      </w:r>
      <w:r>
        <w:rPr/>
        <w:t>do</w:t>
      </w:r>
      <w:r>
        <w:rPr>
          <w:spacing w:val="-20"/>
        </w:rPr>
        <w:t> </w:t>
      </w:r>
      <w:r>
        <w:rPr/>
        <w:t>so.</w:t>
      </w:r>
      <w:r>
        <w:rPr>
          <w:spacing w:val="-22"/>
        </w:rPr>
        <w:t> </w:t>
      </w:r>
      <w:r>
        <w:rPr>
          <w:spacing w:val="3"/>
        </w:rPr>
        <w:t>It</w:t>
      </w:r>
      <w:r>
        <w:rPr>
          <w:spacing w:val="-25"/>
        </w:rPr>
        <w:t> </w:t>
      </w:r>
      <w:r>
        <w:rPr/>
        <w:t>found</w:t>
      </w:r>
      <w:r>
        <w:rPr>
          <w:spacing w:val="-19"/>
        </w:rPr>
        <w:t> </w:t>
      </w:r>
      <w:r>
        <w:rPr/>
        <w:t>an</w:t>
      </w:r>
      <w:r>
        <w:rPr>
          <w:spacing w:val="-17"/>
        </w:rPr>
        <w:t> </w:t>
      </w:r>
      <w:r>
        <w:rPr/>
        <w:t>Arizona</w:t>
      </w:r>
      <w:r>
        <w:rPr>
          <w:spacing w:val="-17"/>
        </w:rPr>
        <w:t> </w:t>
      </w:r>
      <w:r>
        <w:rPr/>
        <w:t>authority non-persuasive which characterized such behavior as the unlawful practice of </w:t>
      </w:r>
      <w:r>
        <w:rPr>
          <w:spacing w:val="-3"/>
        </w:rPr>
        <w:t>law </w:t>
      </w:r>
      <w:r>
        <w:rPr/>
        <w:t>because it did not apply to California law nor did</w:t>
      </w:r>
      <w:r>
        <w:rPr>
          <w:spacing w:val="-23"/>
        </w:rPr>
        <w:t> </w:t>
      </w:r>
      <w:r>
        <w:rPr/>
        <w:t>it</w:t>
      </w:r>
      <w:r>
        <w:rPr>
          <w:spacing w:val="-21"/>
        </w:rPr>
        <w:t> </w:t>
      </w:r>
      <w:r>
        <w:rPr/>
        <w:t>establish</w:t>
      </w:r>
      <w:r>
        <w:rPr>
          <w:spacing w:val="-20"/>
        </w:rPr>
        <w:t> </w:t>
      </w:r>
      <w:r>
        <w:rPr/>
        <w:t>that</w:t>
      </w:r>
      <w:r>
        <w:rPr>
          <w:spacing w:val="-20"/>
        </w:rPr>
        <w:t> </w:t>
      </w:r>
      <w:r>
        <w:rPr/>
        <w:t>an</w:t>
      </w:r>
      <w:r>
        <w:rPr>
          <w:spacing w:val="-18"/>
        </w:rPr>
        <w:t> </w:t>
      </w:r>
      <w:r>
        <w:rPr/>
        <w:t>award</w:t>
      </w:r>
      <w:r>
        <w:rPr>
          <w:spacing w:val="-21"/>
        </w:rPr>
        <w:t> </w:t>
      </w:r>
      <w:r>
        <w:rPr/>
        <w:t>must</w:t>
      </w:r>
      <w:r>
        <w:rPr>
          <w:spacing w:val="-24"/>
        </w:rPr>
        <w:t> </w:t>
      </w:r>
      <w:r>
        <w:rPr/>
        <w:t>be</w:t>
      </w:r>
      <w:r>
        <w:rPr>
          <w:spacing w:val="-21"/>
        </w:rPr>
        <w:t> </w:t>
      </w:r>
      <w:r>
        <w:rPr/>
        <w:t>vacated where an adjuster acts as an attorney. The court went further and stated that even if this adjuster had engaged in conduct</w:t>
      </w:r>
      <w:r>
        <w:rPr>
          <w:spacing w:val="-51"/>
        </w:rPr>
        <w:t> </w:t>
      </w:r>
      <w:r>
        <w:rPr/>
        <w:t>considered as</w:t>
      </w:r>
      <w:r>
        <w:rPr>
          <w:spacing w:val="-9"/>
        </w:rPr>
        <w:t> </w:t>
      </w:r>
      <w:r>
        <w:rPr/>
        <w:t>unlawful</w:t>
      </w:r>
      <w:r>
        <w:rPr>
          <w:spacing w:val="-10"/>
        </w:rPr>
        <w:t> </w:t>
      </w:r>
      <w:r>
        <w:rPr/>
        <w:t>practice</w:t>
      </w:r>
      <w:r>
        <w:rPr>
          <w:spacing w:val="-12"/>
        </w:rPr>
        <w:t> </w:t>
      </w:r>
      <w:r>
        <w:rPr/>
        <w:t>of</w:t>
      </w:r>
      <w:r>
        <w:rPr>
          <w:spacing w:val="-11"/>
        </w:rPr>
        <w:t> </w:t>
      </w:r>
      <w:r>
        <w:rPr/>
        <w:t>law,</w:t>
      </w:r>
      <w:r>
        <w:rPr>
          <w:spacing w:val="-13"/>
        </w:rPr>
        <w:t> </w:t>
      </w:r>
      <w:r>
        <w:rPr/>
        <w:t>it</w:t>
      </w:r>
      <w:r>
        <w:rPr>
          <w:spacing w:val="-14"/>
        </w:rPr>
        <w:t> </w:t>
      </w:r>
      <w:r>
        <w:rPr/>
        <w:t>failed</w:t>
      </w:r>
      <w:r>
        <w:rPr>
          <w:spacing w:val="-12"/>
        </w:rPr>
        <w:t> </w:t>
      </w:r>
      <w:r>
        <w:rPr/>
        <w:t>to</w:t>
      </w:r>
      <w:r>
        <w:rPr>
          <w:spacing w:val="-9"/>
        </w:rPr>
        <w:t> </w:t>
      </w:r>
      <w:r>
        <w:rPr/>
        <w:t>see</w:t>
      </w:r>
      <w:r>
        <w:rPr>
          <w:spacing w:val="-9"/>
        </w:rPr>
        <w:t> </w:t>
      </w:r>
      <w:r>
        <w:rPr/>
        <w:t>any unfair advantage in the appraisal</w:t>
      </w:r>
      <w:r>
        <w:rPr>
          <w:spacing w:val="-53"/>
        </w:rPr>
        <w:t> </w:t>
      </w:r>
      <w:r>
        <w:rPr/>
        <w:t>proceeding as a result or effect on the legitimacy of the award. </w:t>
      </w:r>
      <w:r>
        <w:rPr>
          <w:spacing w:val="2"/>
        </w:rPr>
        <w:t>It </w:t>
      </w:r>
      <w:r>
        <w:rPr/>
        <w:t>stated that the insurer could not honestly claim its interests were prejudiced by this behavior when it was represented by a licensed attorney at the same</w:t>
      </w:r>
      <w:r>
        <w:rPr>
          <w:spacing w:val="-14"/>
        </w:rPr>
        <w:t> </w:t>
      </w:r>
      <w:r>
        <w:rPr/>
        <w:t>proceeding.</w:t>
      </w:r>
      <w:r>
        <w:rPr>
          <w:vertAlign w:val="superscript"/>
        </w:rPr>
        <w:t>790</w:t>
      </w:r>
    </w:p>
    <w:p>
      <w:pPr>
        <w:pStyle w:val="BodyText"/>
        <w:spacing w:before="9"/>
        <w:rPr>
          <w:sz w:val="25"/>
        </w:rPr>
      </w:pPr>
    </w:p>
    <w:p>
      <w:pPr>
        <w:pStyle w:val="ListParagraph"/>
        <w:numPr>
          <w:ilvl w:val="2"/>
          <w:numId w:val="5"/>
        </w:numPr>
        <w:tabs>
          <w:tab w:pos="2598" w:val="left" w:leader="none"/>
        </w:tabs>
        <w:spacing w:line="240" w:lineRule="auto" w:before="0" w:after="0"/>
        <w:ind w:left="2597" w:right="0" w:hanging="358"/>
        <w:jc w:val="left"/>
        <w:rPr>
          <w:rFonts w:ascii="Century Gothic"/>
          <w:sz w:val="26"/>
        </w:rPr>
      </w:pPr>
      <w:r>
        <w:rPr>
          <w:rFonts w:ascii="Century Gothic"/>
          <w:sz w:val="26"/>
        </w:rPr>
        <w:t>Building Damage</w:t>
      </w:r>
      <w:r>
        <w:rPr>
          <w:rFonts w:ascii="Century Gothic"/>
          <w:spacing w:val="-3"/>
          <w:sz w:val="26"/>
        </w:rPr>
        <w:t> </w:t>
      </w:r>
      <w:r>
        <w:rPr>
          <w:rFonts w:ascii="Century Gothic"/>
          <w:sz w:val="26"/>
        </w:rPr>
        <w:t>Estimators</w:t>
      </w:r>
    </w:p>
    <w:p>
      <w:pPr>
        <w:pStyle w:val="BodyText"/>
        <w:spacing w:before="5"/>
      </w:pPr>
    </w:p>
    <w:p>
      <w:pPr>
        <w:pStyle w:val="BodyText"/>
        <w:spacing w:line="242" w:lineRule="auto"/>
        <w:ind w:left="1520" w:right="1519" w:firstLine="720"/>
        <w:jc w:val="both"/>
      </w:pPr>
      <w:r>
        <w:rPr>
          <w:spacing w:val="-3"/>
        </w:rPr>
        <w:t>Where </w:t>
      </w:r>
      <w:r>
        <w:rPr/>
        <w:t>an appraiser derives the</w:t>
      </w:r>
      <w:r>
        <w:rPr>
          <w:spacing w:val="-13"/>
        </w:rPr>
        <w:t> </w:t>
      </w:r>
      <w:r>
        <w:rPr/>
        <w:t>greatest part of his or her income and livelihood from acting on behalf of insurance companies to quantify</w:t>
      </w:r>
      <w:r>
        <w:rPr>
          <w:spacing w:val="-20"/>
        </w:rPr>
        <w:t> </w:t>
      </w:r>
      <w:r>
        <w:rPr/>
        <w:t>losses,</w:t>
      </w:r>
      <w:r>
        <w:rPr>
          <w:spacing w:val="-18"/>
        </w:rPr>
        <w:t> </w:t>
      </w:r>
      <w:r>
        <w:rPr/>
        <w:t>the</w:t>
      </w:r>
      <w:r>
        <w:rPr>
          <w:spacing w:val="-17"/>
        </w:rPr>
        <w:t> </w:t>
      </w:r>
      <w:r>
        <w:rPr/>
        <w:t>court</w:t>
      </w:r>
      <w:r>
        <w:rPr>
          <w:spacing w:val="-21"/>
        </w:rPr>
        <w:t> </w:t>
      </w:r>
      <w:r>
        <w:rPr/>
        <w:t>will</w:t>
      </w:r>
      <w:r>
        <w:rPr>
          <w:spacing w:val="-16"/>
        </w:rPr>
        <w:t> </w:t>
      </w:r>
      <w:r>
        <w:rPr/>
        <w:t>often</w:t>
      </w:r>
      <w:r>
        <w:rPr>
          <w:spacing w:val="-17"/>
        </w:rPr>
        <w:t> </w:t>
      </w:r>
      <w:r>
        <w:rPr/>
        <w:t>hold</w:t>
      </w:r>
      <w:r>
        <w:rPr>
          <w:spacing w:val="-16"/>
        </w:rPr>
        <w:t> </w:t>
      </w:r>
      <w:r>
        <w:rPr/>
        <w:t>that</w:t>
      </w:r>
      <w:r>
        <w:rPr>
          <w:spacing w:val="-20"/>
        </w:rPr>
        <w:t> </w:t>
      </w:r>
      <w:r>
        <w:rPr/>
        <w:t>he or she was not a disinterested</w:t>
      </w:r>
      <w:r>
        <w:rPr>
          <w:spacing w:val="-11"/>
        </w:rPr>
        <w:t> </w:t>
      </w:r>
      <w:r>
        <w:rPr/>
        <w:t>appraiser.</w:t>
      </w:r>
      <w:r>
        <w:rPr>
          <w:vertAlign w:val="superscript"/>
        </w:rPr>
        <w:t>791</w:t>
      </w:r>
    </w:p>
    <w:p>
      <w:pPr>
        <w:pStyle w:val="BodyText"/>
        <w:spacing w:before="1"/>
      </w:pPr>
    </w:p>
    <w:p>
      <w:pPr>
        <w:pStyle w:val="BodyText"/>
        <w:spacing w:line="242" w:lineRule="auto"/>
        <w:ind w:left="1520" w:right="1519" w:firstLine="720"/>
        <w:jc w:val="both"/>
      </w:pPr>
      <w:r>
        <w:rPr>
          <w:spacing w:val="3"/>
        </w:rPr>
        <w:t>In </w:t>
      </w:r>
      <w:r>
        <w:rPr/>
        <w:t>Arkansas, the fact that a person selected by the insured to appraise the loss had</w:t>
      </w:r>
      <w:r>
        <w:rPr>
          <w:spacing w:val="-15"/>
        </w:rPr>
        <w:t> </w:t>
      </w:r>
      <w:r>
        <w:rPr/>
        <w:t>previously</w:t>
      </w:r>
      <w:r>
        <w:rPr>
          <w:spacing w:val="-14"/>
        </w:rPr>
        <w:t> </w:t>
      </w:r>
      <w:r>
        <w:rPr/>
        <w:t>made</w:t>
      </w:r>
      <w:r>
        <w:rPr>
          <w:spacing w:val="-18"/>
        </w:rPr>
        <w:t> </w:t>
      </w:r>
      <w:r>
        <w:rPr/>
        <w:t>an</w:t>
      </w:r>
      <w:r>
        <w:rPr>
          <w:spacing w:val="-16"/>
        </w:rPr>
        <w:t> </w:t>
      </w:r>
      <w:r>
        <w:rPr/>
        <w:t>estimate</w:t>
      </w:r>
      <w:r>
        <w:rPr>
          <w:spacing w:val="-17"/>
        </w:rPr>
        <w:t> </w:t>
      </w:r>
      <w:r>
        <w:rPr/>
        <w:t>of</w:t>
      </w:r>
      <w:r>
        <w:rPr>
          <w:spacing w:val="-16"/>
        </w:rPr>
        <w:t> </w:t>
      </w:r>
      <w:r>
        <w:rPr/>
        <w:t>the</w:t>
      </w:r>
      <w:r>
        <w:rPr>
          <w:spacing w:val="-19"/>
        </w:rPr>
        <w:t> </w:t>
      </w:r>
      <w:r>
        <w:rPr/>
        <w:t>loss</w:t>
      </w:r>
      <w:r>
        <w:rPr>
          <w:spacing w:val="-14"/>
        </w:rPr>
        <w:t> </w:t>
      </w:r>
      <w:r>
        <w:rPr>
          <w:spacing w:val="-6"/>
        </w:rPr>
        <w:t>at</w:t>
      </w:r>
    </w:p>
    <w:p>
      <w:pPr>
        <w:pStyle w:val="BodyText"/>
        <w:spacing w:before="4"/>
        <w:rPr>
          <w:sz w:val="22"/>
        </w:rPr>
      </w:pPr>
      <w:r>
        <w:rPr/>
        <w:pict>
          <v:shape style="position:absolute;margin-left:162pt;margin-top:16.11582pt;width:143.9pt;height:.1pt;mso-position-horizontal-relative:page;mso-position-vertical-relative:paragraph;z-index:-251624448;mso-wrap-distance-left:0;mso-wrap-distance-right:0" coordorigin="3240,322" coordsize="2878,0" path="m3240,322l6118,322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7"/>
        </w:numPr>
        <w:tabs>
          <w:tab w:pos="1481" w:val="left" w:leader="none"/>
        </w:tabs>
        <w:spacing w:line="264" w:lineRule="auto" w:before="80" w:after="0"/>
        <w:ind w:left="1160" w:right="1169" w:firstLine="0"/>
        <w:jc w:val="left"/>
        <w:rPr>
          <w:sz w:val="18"/>
        </w:rPr>
      </w:pPr>
      <w:r>
        <w:rPr>
          <w:sz w:val="18"/>
          <w:u w:val="single"/>
        </w:rPr>
        <w:t>Fidelity Nat. Ins. Co. v. Yolanda Owens</w:t>
      </w:r>
      <w:r>
        <w:rPr>
          <w:sz w:val="18"/>
        </w:rPr>
        <w:t>, Alameda County Superior Court No. RG11589323)(6/18/15).</w:t>
      </w:r>
    </w:p>
    <w:p>
      <w:pPr>
        <w:pStyle w:val="ListParagraph"/>
        <w:numPr>
          <w:ilvl w:val="0"/>
          <w:numId w:val="7"/>
        </w:numPr>
        <w:tabs>
          <w:tab w:pos="1435" w:val="left" w:leader="none"/>
        </w:tabs>
        <w:spacing w:line="226" w:lineRule="exact" w:before="27" w:after="0"/>
        <w:ind w:left="1160" w:right="1340" w:firstLine="0"/>
        <w:jc w:val="left"/>
        <w:rPr>
          <w:sz w:val="18"/>
        </w:rPr>
      </w:pPr>
      <w:r>
        <w:rPr>
          <w:sz w:val="18"/>
          <w:u w:val="single"/>
        </w:rPr>
        <w:t>Sterling Spinning &amp; Stamping Works v. Knickerbocker Ins. Co. of N.Y.</w:t>
      </w:r>
      <w:r>
        <w:rPr>
          <w:sz w:val="18"/>
        </w:rPr>
        <w:t>, 137 Misc. 349, 242 N.Y.S. 201 (Mun. Ct.</w:t>
      </w:r>
      <w:r>
        <w:rPr>
          <w:spacing w:val="3"/>
          <w:sz w:val="18"/>
        </w:rPr>
        <w:t> </w:t>
      </w:r>
      <w:r>
        <w:rPr>
          <w:sz w:val="18"/>
        </w:rPr>
        <w:t>1930).</w:t>
      </w:r>
    </w:p>
    <w:p>
      <w:pPr>
        <w:spacing w:after="0" w:line="226" w:lineRule="exact"/>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8"/>
        <w:jc w:val="both"/>
      </w:pPr>
      <w:bookmarkStart w:name="Law and Procedure 373" w:id="40"/>
      <w:bookmarkEnd w:id="40"/>
      <w:r>
        <w:rPr/>
      </w:r>
      <w:r>
        <w:rPr/>
        <w:t>the request of the insured is a fact to </w:t>
      </w:r>
      <w:r>
        <w:rPr>
          <w:spacing w:val="-5"/>
        </w:rPr>
        <w:t>be </w:t>
      </w:r>
      <w:r>
        <w:rPr/>
        <w:t>considered</w:t>
      </w:r>
      <w:r>
        <w:rPr>
          <w:spacing w:val="-34"/>
        </w:rPr>
        <w:t> </w:t>
      </w:r>
      <w:r>
        <w:rPr/>
        <w:t>on</w:t>
      </w:r>
      <w:r>
        <w:rPr>
          <w:spacing w:val="-31"/>
        </w:rPr>
        <w:t> </w:t>
      </w:r>
      <w:r>
        <w:rPr/>
        <w:t>the</w:t>
      </w:r>
      <w:r>
        <w:rPr>
          <w:spacing w:val="-33"/>
        </w:rPr>
        <w:t> </w:t>
      </w:r>
      <w:r>
        <w:rPr/>
        <w:t>issue</w:t>
      </w:r>
      <w:r>
        <w:rPr>
          <w:spacing w:val="-31"/>
        </w:rPr>
        <w:t> </w:t>
      </w:r>
      <w:r>
        <w:rPr/>
        <w:t>of</w:t>
      </w:r>
      <w:r>
        <w:rPr>
          <w:spacing w:val="-34"/>
        </w:rPr>
        <w:t> </w:t>
      </w:r>
      <w:r>
        <w:rPr/>
        <w:t>his</w:t>
      </w:r>
      <w:r>
        <w:rPr>
          <w:spacing w:val="-32"/>
        </w:rPr>
        <w:t> </w:t>
      </w:r>
      <w:r>
        <w:rPr/>
        <w:t>competency</w:t>
      </w:r>
      <w:r>
        <w:rPr>
          <w:spacing w:val="-37"/>
        </w:rPr>
        <w:t> </w:t>
      </w:r>
      <w:r>
        <w:rPr/>
        <w:t>and whether</w:t>
      </w:r>
      <w:r>
        <w:rPr>
          <w:spacing w:val="-19"/>
        </w:rPr>
        <w:t> </w:t>
      </w:r>
      <w:r>
        <w:rPr/>
        <w:t>he</w:t>
      </w:r>
      <w:r>
        <w:rPr>
          <w:spacing w:val="-20"/>
        </w:rPr>
        <w:t> </w:t>
      </w:r>
      <w:r>
        <w:rPr/>
        <w:t>is</w:t>
      </w:r>
      <w:r>
        <w:rPr>
          <w:spacing w:val="-18"/>
        </w:rPr>
        <w:t> </w:t>
      </w:r>
      <w:r>
        <w:rPr/>
        <w:t>sufficiently</w:t>
      </w:r>
      <w:r>
        <w:rPr>
          <w:spacing w:val="-21"/>
        </w:rPr>
        <w:t> </w:t>
      </w:r>
      <w:r>
        <w:rPr/>
        <w:t>disinterested</w:t>
      </w:r>
      <w:r>
        <w:rPr>
          <w:spacing w:val="-18"/>
        </w:rPr>
        <w:t> </w:t>
      </w:r>
      <w:r>
        <w:rPr/>
        <w:t>to</w:t>
      </w:r>
      <w:r>
        <w:rPr>
          <w:spacing w:val="-17"/>
        </w:rPr>
        <w:t> </w:t>
      </w:r>
      <w:r>
        <w:rPr/>
        <w:t>act</w:t>
      </w:r>
      <w:r>
        <w:rPr>
          <w:spacing w:val="-18"/>
        </w:rPr>
        <w:t> </w:t>
      </w:r>
      <w:r>
        <w:rPr/>
        <w:t>as an appraiser, but does not of itself disqualify him to act in that</w:t>
      </w:r>
      <w:r>
        <w:rPr>
          <w:spacing w:val="-4"/>
        </w:rPr>
        <w:t> </w:t>
      </w:r>
      <w:r>
        <w:rPr/>
        <w:t>capacity.</w:t>
      </w:r>
      <w:r>
        <w:rPr>
          <w:vertAlign w:val="superscript"/>
        </w:rPr>
        <w:t>792</w:t>
      </w:r>
    </w:p>
    <w:p>
      <w:pPr>
        <w:pStyle w:val="BodyText"/>
      </w:pPr>
    </w:p>
    <w:p>
      <w:pPr>
        <w:pStyle w:val="BodyText"/>
        <w:spacing w:line="242" w:lineRule="auto" w:before="1"/>
        <w:ind w:left="1520" w:right="1517" w:firstLine="720"/>
        <w:jc w:val="both"/>
      </w:pPr>
      <w:r>
        <w:rPr/>
        <w:t>Where the insurance carrier’s appraiser conducted</w:t>
      </w:r>
      <w:r>
        <w:rPr>
          <w:spacing w:val="-23"/>
        </w:rPr>
        <w:t> </w:t>
      </w:r>
      <w:r>
        <w:rPr/>
        <w:t>himself</w:t>
      </w:r>
      <w:r>
        <w:rPr>
          <w:spacing w:val="-19"/>
        </w:rPr>
        <w:t> </w:t>
      </w:r>
      <w:r>
        <w:rPr/>
        <w:t>in</w:t>
      </w:r>
      <w:r>
        <w:rPr>
          <w:spacing w:val="-20"/>
        </w:rPr>
        <w:t> </w:t>
      </w:r>
      <w:r>
        <w:rPr/>
        <w:t>the</w:t>
      </w:r>
      <w:r>
        <w:rPr>
          <w:spacing w:val="-20"/>
        </w:rPr>
        <w:t> </w:t>
      </w:r>
      <w:r>
        <w:rPr/>
        <w:t>interests</w:t>
      </w:r>
      <w:r>
        <w:rPr>
          <w:spacing w:val="-19"/>
        </w:rPr>
        <w:t> </w:t>
      </w:r>
      <w:r>
        <w:rPr/>
        <w:t>of</w:t>
      </w:r>
      <w:r>
        <w:rPr>
          <w:spacing w:val="-19"/>
        </w:rPr>
        <w:t> </w:t>
      </w:r>
      <w:r>
        <w:rPr/>
        <w:t>the</w:t>
      </w:r>
      <w:r>
        <w:rPr>
          <w:spacing w:val="-22"/>
        </w:rPr>
        <w:t> </w:t>
      </w:r>
      <w:r>
        <w:rPr/>
        <w:t>insurer to</w:t>
      </w:r>
      <w:r>
        <w:rPr>
          <w:spacing w:val="-27"/>
        </w:rPr>
        <w:t> </w:t>
      </w:r>
      <w:r>
        <w:rPr/>
        <w:t>such</w:t>
      </w:r>
      <w:r>
        <w:rPr>
          <w:spacing w:val="-26"/>
        </w:rPr>
        <w:t> </w:t>
      </w:r>
      <w:r>
        <w:rPr/>
        <w:t>a</w:t>
      </w:r>
      <w:r>
        <w:rPr>
          <w:spacing w:val="-27"/>
        </w:rPr>
        <w:t> </w:t>
      </w:r>
      <w:r>
        <w:rPr/>
        <w:t>degree</w:t>
      </w:r>
      <w:r>
        <w:rPr>
          <w:spacing w:val="-27"/>
        </w:rPr>
        <w:t> </w:t>
      </w:r>
      <w:r>
        <w:rPr/>
        <w:t>that</w:t>
      </w:r>
      <w:r>
        <w:rPr>
          <w:spacing w:val="-27"/>
        </w:rPr>
        <w:t> </w:t>
      </w:r>
      <w:r>
        <w:rPr/>
        <w:t>he</w:t>
      </w:r>
      <w:r>
        <w:rPr>
          <w:spacing w:val="-28"/>
        </w:rPr>
        <w:t> </w:t>
      </w:r>
      <w:r>
        <w:rPr/>
        <w:t>might</w:t>
      </w:r>
      <w:r>
        <w:rPr>
          <w:spacing w:val="-28"/>
        </w:rPr>
        <w:t> </w:t>
      </w:r>
      <w:r>
        <w:rPr/>
        <w:t>be</w:t>
      </w:r>
      <w:r>
        <w:rPr>
          <w:spacing w:val="-26"/>
        </w:rPr>
        <w:t> </w:t>
      </w:r>
      <w:r>
        <w:rPr/>
        <w:t>regarded</w:t>
      </w:r>
      <w:r>
        <w:rPr>
          <w:spacing w:val="-28"/>
        </w:rPr>
        <w:t> </w:t>
      </w:r>
      <w:r>
        <w:rPr/>
        <w:t>as an agent of the insurer, he will be </w:t>
      </w:r>
      <w:r>
        <w:rPr>
          <w:spacing w:val="-3"/>
        </w:rPr>
        <w:t>deemed </w:t>
      </w:r>
      <w:r>
        <w:rPr/>
        <w:t>such</w:t>
      </w:r>
      <w:r>
        <w:rPr>
          <w:spacing w:val="-23"/>
        </w:rPr>
        <w:t> </w:t>
      </w:r>
      <w:r>
        <w:rPr/>
        <w:t>and</w:t>
      </w:r>
      <w:r>
        <w:rPr>
          <w:spacing w:val="-23"/>
        </w:rPr>
        <w:t> </w:t>
      </w:r>
      <w:r>
        <w:rPr/>
        <w:t>his</w:t>
      </w:r>
      <w:r>
        <w:rPr>
          <w:spacing w:val="-23"/>
        </w:rPr>
        <w:t> </w:t>
      </w:r>
      <w:r>
        <w:rPr/>
        <w:t>misconduct</w:t>
      </w:r>
      <w:r>
        <w:rPr>
          <w:spacing w:val="-22"/>
        </w:rPr>
        <w:t> </w:t>
      </w:r>
      <w:r>
        <w:rPr/>
        <w:t>will</w:t>
      </w:r>
      <w:r>
        <w:rPr>
          <w:spacing w:val="-22"/>
        </w:rPr>
        <w:t> </w:t>
      </w:r>
      <w:r>
        <w:rPr/>
        <w:t>be</w:t>
      </w:r>
      <w:r>
        <w:rPr>
          <w:spacing w:val="-23"/>
        </w:rPr>
        <w:t> </w:t>
      </w:r>
      <w:r>
        <w:rPr/>
        <w:t>imputed</w:t>
      </w:r>
      <w:r>
        <w:rPr>
          <w:spacing w:val="-25"/>
        </w:rPr>
        <w:t> </w:t>
      </w:r>
      <w:r>
        <w:rPr/>
        <w:t>to</w:t>
      </w:r>
      <w:r>
        <w:rPr>
          <w:spacing w:val="-23"/>
        </w:rPr>
        <w:t> </w:t>
      </w:r>
      <w:r>
        <w:rPr/>
        <w:t>the insurer.</w:t>
      </w:r>
      <w:r>
        <w:rPr>
          <w:vertAlign w:val="superscript"/>
        </w:rPr>
        <w:t>793</w:t>
      </w:r>
    </w:p>
    <w:p>
      <w:pPr>
        <w:pStyle w:val="BodyText"/>
      </w:pPr>
    </w:p>
    <w:p>
      <w:pPr>
        <w:pStyle w:val="BodyText"/>
        <w:spacing w:line="242" w:lineRule="auto"/>
        <w:ind w:left="1520" w:right="1518" w:firstLine="720"/>
        <w:jc w:val="both"/>
      </w:pPr>
      <w:r>
        <w:rPr>
          <w:spacing w:val="-3"/>
        </w:rPr>
        <w:t>Where </w:t>
      </w:r>
      <w:r>
        <w:rPr/>
        <w:t>a prior relationship exists with</w:t>
      </w:r>
      <w:r>
        <w:rPr>
          <w:spacing w:val="-29"/>
        </w:rPr>
        <w:t> </w:t>
      </w:r>
      <w:r>
        <w:rPr/>
        <w:t>one of the parties to the appraisal, the appraiser</w:t>
      </w:r>
      <w:r>
        <w:rPr>
          <w:spacing w:val="-12"/>
        </w:rPr>
        <w:t> </w:t>
      </w:r>
      <w:r>
        <w:rPr/>
        <w:t>is not</w:t>
      </w:r>
      <w:r>
        <w:rPr>
          <w:spacing w:val="-39"/>
        </w:rPr>
        <w:t> </w:t>
      </w:r>
      <w:r>
        <w:rPr/>
        <w:t>necessarily</w:t>
      </w:r>
      <w:r>
        <w:rPr>
          <w:spacing w:val="-41"/>
        </w:rPr>
        <w:t> </w:t>
      </w:r>
      <w:r>
        <w:rPr/>
        <w:t>incompetent</w:t>
      </w:r>
      <w:r>
        <w:rPr>
          <w:spacing w:val="-40"/>
        </w:rPr>
        <w:t> </w:t>
      </w:r>
      <w:r>
        <w:rPr/>
        <w:t>to</w:t>
      </w:r>
      <w:r>
        <w:rPr>
          <w:spacing w:val="-38"/>
        </w:rPr>
        <w:t> </w:t>
      </w:r>
      <w:r>
        <w:rPr/>
        <w:t>participate,</w:t>
      </w:r>
      <w:r>
        <w:rPr>
          <w:spacing w:val="-40"/>
        </w:rPr>
        <w:t> </w:t>
      </w:r>
      <w:r>
        <w:rPr/>
        <w:t>but it </w:t>
      </w:r>
      <w:r>
        <w:rPr>
          <w:spacing w:val="2"/>
        </w:rPr>
        <w:t>is </w:t>
      </w:r>
      <w:r>
        <w:rPr/>
        <w:t>his duty to disclose the facts that might create an impression of bias. The parties should</w:t>
      </w:r>
      <w:r>
        <w:rPr>
          <w:spacing w:val="-11"/>
        </w:rPr>
        <w:t> </w:t>
      </w:r>
      <w:r>
        <w:rPr/>
        <w:t>not</w:t>
      </w:r>
      <w:r>
        <w:rPr>
          <w:spacing w:val="-16"/>
        </w:rPr>
        <w:t> </w:t>
      </w:r>
      <w:r>
        <w:rPr/>
        <w:t>be</w:t>
      </w:r>
      <w:r>
        <w:rPr>
          <w:spacing w:val="-13"/>
        </w:rPr>
        <w:t> </w:t>
      </w:r>
      <w:r>
        <w:rPr/>
        <w:t>required</w:t>
      </w:r>
      <w:r>
        <w:rPr>
          <w:spacing w:val="-17"/>
        </w:rPr>
        <w:t> </w:t>
      </w:r>
      <w:r>
        <w:rPr/>
        <w:t>to</w:t>
      </w:r>
      <w:r>
        <w:rPr>
          <w:spacing w:val="-12"/>
        </w:rPr>
        <w:t> </w:t>
      </w:r>
      <w:r>
        <w:rPr/>
        <w:t>engage</w:t>
      </w:r>
      <w:r>
        <w:rPr>
          <w:spacing w:val="-13"/>
        </w:rPr>
        <w:t> </w:t>
      </w:r>
      <w:r>
        <w:rPr/>
        <w:t>in</w:t>
      </w:r>
      <w:r>
        <w:rPr>
          <w:spacing w:val="-14"/>
        </w:rPr>
        <w:t> </w:t>
      </w:r>
      <w:r>
        <w:rPr/>
        <w:t>discovery on the issue and it is the appraiser’s duty and obligation to reveal those facts</w:t>
      </w:r>
      <w:r>
        <w:rPr>
          <w:spacing w:val="-13"/>
        </w:rPr>
        <w:t> </w:t>
      </w:r>
      <w:r>
        <w:rPr/>
        <w:t>voluntarily.</w:t>
      </w:r>
      <w:r>
        <w:rPr>
          <w:vertAlign w:val="superscript"/>
        </w:rPr>
        <w:t>794</w:t>
      </w:r>
    </w:p>
    <w:p>
      <w:pPr>
        <w:pStyle w:val="BodyText"/>
      </w:pPr>
    </w:p>
    <w:p>
      <w:pPr>
        <w:pStyle w:val="BodyText"/>
        <w:spacing w:line="242" w:lineRule="auto"/>
        <w:ind w:left="1520" w:right="1517" w:firstLine="720"/>
        <w:jc w:val="both"/>
      </w:pPr>
      <w:r>
        <w:rPr/>
        <w:t>Some</w:t>
      </w:r>
      <w:r>
        <w:rPr>
          <w:spacing w:val="-37"/>
        </w:rPr>
        <w:t> </w:t>
      </w:r>
      <w:r>
        <w:rPr>
          <w:spacing w:val="-3"/>
        </w:rPr>
        <w:t>states</w:t>
      </w:r>
      <w:r>
        <w:rPr>
          <w:spacing w:val="-35"/>
        </w:rPr>
        <w:t> </w:t>
      </w:r>
      <w:r>
        <w:rPr>
          <w:spacing w:val="-3"/>
        </w:rPr>
        <w:t>have</w:t>
      </w:r>
      <w:r>
        <w:rPr>
          <w:spacing w:val="-34"/>
        </w:rPr>
        <w:t> </w:t>
      </w:r>
      <w:r>
        <w:rPr/>
        <w:t>amended</w:t>
      </w:r>
      <w:r>
        <w:rPr>
          <w:spacing w:val="-35"/>
        </w:rPr>
        <w:t> </w:t>
      </w:r>
      <w:r>
        <w:rPr/>
        <w:t>their</w:t>
      </w:r>
      <w:r>
        <w:rPr>
          <w:spacing w:val="-36"/>
        </w:rPr>
        <w:t> </w:t>
      </w:r>
      <w:r>
        <w:rPr/>
        <w:t>statutes to require a detailed disclosure by the appraiser.</w:t>
      </w:r>
      <w:r>
        <w:rPr>
          <w:spacing w:val="14"/>
        </w:rPr>
        <w:t> </w:t>
      </w:r>
      <w:r>
        <w:rPr/>
        <w:t>For</w:t>
      </w:r>
      <w:r>
        <w:rPr>
          <w:spacing w:val="-32"/>
        </w:rPr>
        <w:t> </w:t>
      </w:r>
      <w:r>
        <w:rPr/>
        <w:t>example,</w:t>
      </w:r>
      <w:r>
        <w:rPr>
          <w:spacing w:val="-31"/>
        </w:rPr>
        <w:t> </w:t>
      </w:r>
      <w:r>
        <w:rPr/>
        <w:t>in</w:t>
      </w:r>
      <w:r>
        <w:rPr>
          <w:spacing w:val="-30"/>
        </w:rPr>
        <w:t> </w:t>
      </w:r>
      <w:r>
        <w:rPr/>
        <w:t>California,</w:t>
      </w:r>
      <w:r>
        <w:rPr>
          <w:spacing w:val="-32"/>
        </w:rPr>
        <w:t> </w:t>
      </w:r>
      <w:r>
        <w:rPr/>
        <w:t>the</w:t>
      </w:r>
      <w:r>
        <w:rPr>
          <w:spacing w:val="-29"/>
        </w:rPr>
        <w:t> </w:t>
      </w:r>
      <w:r>
        <w:rPr/>
        <w:t>Code of Civil Procedure §1281.9 requires that within 10</w:t>
      </w:r>
      <w:r>
        <w:rPr>
          <w:spacing w:val="-12"/>
        </w:rPr>
        <w:t> </w:t>
      </w:r>
      <w:r>
        <w:rPr/>
        <w:t>days</w:t>
      </w:r>
      <w:r>
        <w:rPr>
          <w:spacing w:val="-12"/>
        </w:rPr>
        <w:t> </w:t>
      </w:r>
      <w:r>
        <w:rPr/>
        <w:t>of</w:t>
      </w:r>
      <w:r>
        <w:rPr>
          <w:spacing w:val="-11"/>
        </w:rPr>
        <w:t> </w:t>
      </w:r>
      <w:r>
        <w:rPr/>
        <w:t>notice</w:t>
      </w:r>
      <w:r>
        <w:rPr>
          <w:spacing w:val="-12"/>
        </w:rPr>
        <w:t> </w:t>
      </w:r>
      <w:r>
        <w:rPr/>
        <w:t>of</w:t>
      </w:r>
      <w:r>
        <w:rPr>
          <w:spacing w:val="-15"/>
        </w:rPr>
        <w:t> </w:t>
      </w:r>
      <w:r>
        <w:rPr/>
        <w:t>the</w:t>
      </w:r>
      <w:r>
        <w:rPr>
          <w:spacing w:val="-12"/>
        </w:rPr>
        <w:t> </w:t>
      </w:r>
      <w:r>
        <w:rPr/>
        <w:t>proposed</w:t>
      </w:r>
      <w:r>
        <w:rPr>
          <w:spacing w:val="-10"/>
        </w:rPr>
        <w:t> </w:t>
      </w:r>
      <w:r>
        <w:rPr/>
        <w:t>nomination, the</w:t>
      </w:r>
      <w:r>
        <w:rPr>
          <w:spacing w:val="-33"/>
        </w:rPr>
        <w:t> </w:t>
      </w:r>
      <w:r>
        <w:rPr/>
        <w:t>proposed</w:t>
      </w:r>
      <w:r>
        <w:rPr>
          <w:spacing w:val="-30"/>
        </w:rPr>
        <w:t> </w:t>
      </w:r>
      <w:r>
        <w:rPr/>
        <w:t>neutral</w:t>
      </w:r>
      <w:r>
        <w:rPr>
          <w:spacing w:val="-29"/>
        </w:rPr>
        <w:t> </w:t>
      </w:r>
      <w:r>
        <w:rPr/>
        <w:t>and</w:t>
      </w:r>
      <w:r>
        <w:rPr>
          <w:spacing w:val="-29"/>
        </w:rPr>
        <w:t> </w:t>
      </w:r>
      <w:r>
        <w:rPr/>
        <w:t>both</w:t>
      </w:r>
      <w:r>
        <w:rPr>
          <w:spacing w:val="-34"/>
        </w:rPr>
        <w:t> </w:t>
      </w:r>
      <w:r>
        <w:rPr/>
        <w:t>appraisers</w:t>
      </w:r>
      <w:r>
        <w:rPr>
          <w:spacing w:val="-32"/>
        </w:rPr>
        <w:t> </w:t>
      </w:r>
      <w:r>
        <w:rPr/>
        <w:t>must</w:t>
      </w:r>
    </w:p>
    <w:p>
      <w:pPr>
        <w:pStyle w:val="BodyText"/>
        <w:rPr>
          <w:sz w:val="20"/>
        </w:rPr>
      </w:pPr>
    </w:p>
    <w:p>
      <w:pPr>
        <w:pStyle w:val="BodyText"/>
        <w:rPr>
          <w:sz w:val="14"/>
        </w:rPr>
      </w:pPr>
      <w:r>
        <w:rPr/>
        <w:pict>
          <v:shape style="position:absolute;margin-left:162pt;margin-top:10.982652pt;width:143.9pt;height:.1pt;mso-position-horizontal-relative:page;mso-position-vertical-relative:paragraph;z-index:-251623424;mso-wrap-distance-left:0;mso-wrap-distance-right:0" coordorigin="3240,220" coordsize="2878,0" path="m3240,220l6118,220e" filled="false" stroked="true" strokeweight=".84pt" strokecolor="#000000">
            <v:path arrowok="t"/>
            <v:stroke dashstyle="solid"/>
            <w10:wrap type="topAndBottom"/>
          </v:shape>
        </w:pict>
      </w:r>
    </w:p>
    <w:p>
      <w:pPr>
        <w:pStyle w:val="BodyText"/>
        <w:spacing w:before="11"/>
        <w:rPr>
          <w:sz w:val="10"/>
        </w:rPr>
      </w:pPr>
    </w:p>
    <w:p>
      <w:pPr>
        <w:pStyle w:val="ListParagraph"/>
        <w:numPr>
          <w:ilvl w:val="0"/>
          <w:numId w:val="7"/>
        </w:numPr>
        <w:tabs>
          <w:tab w:pos="1459" w:val="left" w:leader="none"/>
        </w:tabs>
        <w:spacing w:line="178" w:lineRule="exact" w:before="69" w:after="0"/>
        <w:ind w:left="1458" w:right="0" w:hanging="299"/>
        <w:jc w:val="left"/>
        <w:rPr>
          <w:sz w:val="18"/>
        </w:rPr>
      </w:pPr>
      <w:r>
        <w:rPr>
          <w:sz w:val="18"/>
          <w:u w:val="single"/>
        </w:rPr>
        <w:t>National Fire Ins. Co. v. O’Bryan</w:t>
      </w:r>
      <w:r>
        <w:rPr>
          <w:sz w:val="18"/>
        </w:rPr>
        <w:t>, 74 Ark. 198, 87 S.W. 129</w:t>
      </w:r>
      <w:r>
        <w:rPr>
          <w:spacing w:val="5"/>
          <w:sz w:val="18"/>
        </w:rPr>
        <w:t> </w:t>
      </w:r>
      <w:r>
        <w:rPr>
          <w:sz w:val="18"/>
        </w:rPr>
        <w:t>(1904).</w:t>
      </w:r>
    </w:p>
    <w:p>
      <w:pPr>
        <w:pStyle w:val="ListParagraph"/>
        <w:numPr>
          <w:ilvl w:val="0"/>
          <w:numId w:val="7"/>
        </w:numPr>
        <w:tabs>
          <w:tab w:pos="1421" w:val="left" w:leader="none"/>
        </w:tabs>
        <w:spacing w:line="211" w:lineRule="exact" w:before="0" w:after="0"/>
        <w:ind w:left="1421" w:right="0" w:hanging="261"/>
        <w:jc w:val="left"/>
        <w:rPr>
          <w:sz w:val="18"/>
        </w:rPr>
      </w:pPr>
      <w:r>
        <w:rPr>
          <w:sz w:val="18"/>
          <w:u w:val="single"/>
        </w:rPr>
        <w:t>Slepski v. German Fire Ins. Co. of Peoria</w:t>
      </w:r>
      <w:r>
        <w:rPr>
          <w:sz w:val="18"/>
        </w:rPr>
        <w:t>, 141 Ill. App. 614 (1</w:t>
      </w:r>
      <w:r>
        <w:rPr>
          <w:position w:val="7"/>
          <w:sz w:val="10"/>
        </w:rPr>
        <w:t>st </w:t>
      </w:r>
      <w:r>
        <w:rPr>
          <w:sz w:val="18"/>
        </w:rPr>
        <w:t>Dist. 1908).</w:t>
      </w:r>
    </w:p>
    <w:p>
      <w:pPr>
        <w:pStyle w:val="ListParagraph"/>
        <w:numPr>
          <w:ilvl w:val="0"/>
          <w:numId w:val="7"/>
        </w:numPr>
        <w:tabs>
          <w:tab w:pos="1416" w:val="left" w:leader="none"/>
        </w:tabs>
        <w:spacing w:line="240" w:lineRule="exact" w:before="0" w:after="0"/>
        <w:ind w:left="1415" w:right="0" w:hanging="256"/>
        <w:jc w:val="left"/>
        <w:rPr>
          <w:sz w:val="18"/>
        </w:rPr>
      </w:pPr>
      <w:r>
        <w:rPr>
          <w:sz w:val="18"/>
          <w:u w:val="single"/>
        </w:rPr>
        <w:t>Kaiser Foundation Hospitals, Inc. v. Superior Court</w:t>
      </w:r>
      <w:r>
        <w:rPr>
          <w:sz w:val="18"/>
        </w:rPr>
        <w:t>, 19 Cal. App. 4</w:t>
      </w:r>
      <w:r>
        <w:rPr>
          <w:position w:val="7"/>
          <w:sz w:val="10"/>
        </w:rPr>
        <w:t>th </w:t>
      </w:r>
      <w:r>
        <w:rPr>
          <w:sz w:val="18"/>
        </w:rPr>
        <w:t>513, 517, 23</w:t>
      </w:r>
      <w:r>
        <w:rPr>
          <w:spacing w:val="-24"/>
          <w:sz w:val="18"/>
        </w:rPr>
        <w:t> </w:t>
      </w:r>
      <w:r>
        <w:rPr>
          <w:sz w:val="18"/>
        </w:rPr>
        <w:t>Cal.</w:t>
      </w:r>
    </w:p>
    <w:p>
      <w:pPr>
        <w:spacing w:before="4"/>
        <w:ind w:left="1160" w:right="0" w:firstLine="0"/>
        <w:jc w:val="left"/>
        <w:rPr>
          <w:rFonts w:ascii="Times New Roman"/>
          <w:sz w:val="18"/>
        </w:rPr>
      </w:pPr>
      <w:r>
        <w:rPr>
          <w:rFonts w:ascii="Times New Roman"/>
          <w:sz w:val="18"/>
        </w:rPr>
        <w:t>Rptr.2d 431, 433 (2d Dist. 1993).</w:t>
      </w:r>
    </w:p>
    <w:p>
      <w:pPr>
        <w:spacing w:after="0"/>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446"/>
      </w:pPr>
      <w:bookmarkStart w:name="Law and Procedure 374" w:id="41"/>
      <w:bookmarkEnd w:id="41"/>
      <w:r>
        <w:rPr/>
      </w:r>
      <w:r>
        <w:rPr/>
        <w:t>disclose all of the following for the proceeding five years:</w:t>
      </w:r>
    </w:p>
    <w:p>
      <w:pPr>
        <w:pStyle w:val="BodyText"/>
        <w:spacing w:before="1"/>
      </w:pPr>
    </w:p>
    <w:p>
      <w:pPr>
        <w:pStyle w:val="BodyText"/>
        <w:spacing w:line="242" w:lineRule="auto" w:before="1"/>
        <w:ind w:left="2240" w:right="2237"/>
        <w:jc w:val="both"/>
      </w:pPr>
      <w:r>
        <w:rPr/>
        <w:t>[T]he names of the parties to all prior or pending cases to which</w:t>
      </w:r>
      <w:r>
        <w:rPr>
          <w:spacing w:val="-46"/>
        </w:rPr>
        <w:t> </w:t>
      </w:r>
      <w:r>
        <w:rPr>
          <w:spacing w:val="-6"/>
        </w:rPr>
        <w:t>he </w:t>
      </w:r>
      <w:r>
        <w:rPr/>
        <w:t>was acting as an appraiser or umpire; any prior attorney-client relationship between any of the parties; any significant</w:t>
      </w:r>
      <w:r>
        <w:rPr>
          <w:spacing w:val="-48"/>
        </w:rPr>
        <w:t> </w:t>
      </w:r>
      <w:r>
        <w:rPr/>
        <w:t>professional or personal relationship between the</w:t>
      </w:r>
      <w:r>
        <w:rPr>
          <w:spacing w:val="-34"/>
        </w:rPr>
        <w:t> </w:t>
      </w:r>
      <w:r>
        <w:rPr/>
        <w:t>neutral,</w:t>
      </w:r>
      <w:r>
        <w:rPr>
          <w:spacing w:val="-35"/>
        </w:rPr>
        <w:t> </w:t>
      </w:r>
      <w:r>
        <w:rPr>
          <w:spacing w:val="-3"/>
        </w:rPr>
        <w:t>the</w:t>
      </w:r>
      <w:r>
        <w:rPr>
          <w:spacing w:val="-36"/>
        </w:rPr>
        <w:t> </w:t>
      </w:r>
      <w:r>
        <w:rPr/>
        <w:t>appraisers,</w:t>
      </w:r>
      <w:r>
        <w:rPr>
          <w:spacing w:val="-36"/>
        </w:rPr>
        <w:t> </w:t>
      </w:r>
      <w:r>
        <w:rPr/>
        <w:t>and</w:t>
      </w:r>
      <w:r>
        <w:rPr>
          <w:spacing w:val="-33"/>
        </w:rPr>
        <w:t> </w:t>
      </w:r>
      <w:r>
        <w:rPr/>
        <w:t>any of the parties or the spouses of</w:t>
      </w:r>
      <w:r>
        <w:rPr>
          <w:spacing w:val="-12"/>
        </w:rPr>
        <w:t> </w:t>
      </w:r>
      <w:r>
        <w:rPr/>
        <w:t>the parties.”</w:t>
      </w:r>
    </w:p>
    <w:p>
      <w:pPr>
        <w:spacing w:after="0" w:line="242" w:lineRule="auto"/>
        <w:jc w:val="both"/>
        <w:sectPr>
          <w:pgSz w:w="12240" w:h="15840"/>
          <w:pgMar w:header="0" w:footer="2273" w:top="1500" w:bottom="2460" w:left="1720" w:right="1720"/>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BodyText"/>
        <w:tabs>
          <w:tab w:pos="2239" w:val="left" w:leader="none"/>
        </w:tabs>
        <w:spacing w:before="41"/>
        <w:ind w:left="1520"/>
      </w:pPr>
      <w:bookmarkStart w:name="Law and Procedure 375" w:id="42"/>
      <w:bookmarkEnd w:id="42"/>
      <w:r>
        <w:rPr/>
      </w:r>
      <w:r>
        <w:rPr/>
        <w:t>C]</w:t>
        <w:tab/>
        <w:t>FEES</w:t>
      </w:r>
    </w:p>
    <w:p>
      <w:pPr>
        <w:pStyle w:val="BodyText"/>
        <w:spacing w:before="6"/>
      </w:pPr>
    </w:p>
    <w:p>
      <w:pPr>
        <w:pStyle w:val="BodyText"/>
        <w:spacing w:line="242" w:lineRule="auto"/>
        <w:ind w:left="1520" w:right="1515" w:firstLine="720"/>
        <w:jc w:val="both"/>
      </w:pPr>
      <w:r>
        <w:rPr/>
        <w:t>Appraisers have traditionally been hired by written agreement on an hourly basis, plus expenses. </w:t>
      </w:r>
      <w:r>
        <w:rPr>
          <w:spacing w:val="2"/>
        </w:rPr>
        <w:t>As </w:t>
      </w:r>
      <w:r>
        <w:rPr/>
        <w:t>discussed in Chapter VII </w:t>
      </w:r>
      <w:r>
        <w:rPr>
          <w:spacing w:val="-3"/>
        </w:rPr>
        <w:t>[C], </w:t>
      </w:r>
      <w:r>
        <w:rPr/>
        <w:t>contingent</w:t>
      </w:r>
      <w:r>
        <w:rPr>
          <w:spacing w:val="-29"/>
        </w:rPr>
        <w:t> </w:t>
      </w:r>
      <w:r>
        <w:rPr/>
        <w:t>fees</w:t>
      </w:r>
      <w:r>
        <w:rPr>
          <w:spacing w:val="-28"/>
        </w:rPr>
        <w:t> </w:t>
      </w:r>
      <w:r>
        <w:rPr/>
        <w:t>are</w:t>
      </w:r>
      <w:r>
        <w:rPr>
          <w:spacing w:val="-28"/>
        </w:rPr>
        <w:t> </w:t>
      </w:r>
      <w:r>
        <w:rPr/>
        <w:t>generally</w:t>
      </w:r>
      <w:r>
        <w:rPr>
          <w:spacing w:val="-27"/>
        </w:rPr>
        <w:t> </w:t>
      </w:r>
      <w:r>
        <w:rPr/>
        <w:t>discouraged</w:t>
      </w:r>
      <w:r>
        <w:rPr>
          <w:spacing w:val="-26"/>
        </w:rPr>
        <w:t> </w:t>
      </w:r>
      <w:r>
        <w:rPr/>
        <w:t>but have been approved in a number of</w:t>
      </w:r>
      <w:r>
        <w:rPr>
          <w:spacing w:val="-16"/>
        </w:rPr>
        <w:t> </w:t>
      </w:r>
      <w:r>
        <w:rPr/>
        <w:t>cases.</w:t>
      </w:r>
    </w:p>
    <w:p>
      <w:pPr>
        <w:pStyle w:val="BodyText"/>
        <w:spacing w:before="1"/>
      </w:pPr>
    </w:p>
    <w:p>
      <w:pPr>
        <w:pStyle w:val="BodyText"/>
        <w:spacing w:line="242" w:lineRule="auto"/>
        <w:ind w:left="1520" w:right="1515" w:firstLine="720"/>
        <w:jc w:val="both"/>
      </w:pPr>
      <w:r>
        <w:rPr/>
        <w:t>Pursuant to the Standard Fire Policy, generally, “[E]ach appraiser shall be paid by the party selecting him and the expenses of the appraisal...shall be paid by the parties equally.”</w:t>
      </w:r>
      <w:r>
        <w:rPr>
          <w:vertAlign w:val="superscript"/>
        </w:rPr>
        <w:t>795</w:t>
      </w:r>
    </w:p>
    <w:p>
      <w:pPr>
        <w:pStyle w:val="BodyText"/>
        <w:spacing w:before="1"/>
      </w:pPr>
    </w:p>
    <w:p>
      <w:pPr>
        <w:pStyle w:val="BodyText"/>
        <w:spacing w:line="242" w:lineRule="auto"/>
        <w:ind w:left="1520" w:right="1518" w:firstLine="720"/>
        <w:jc w:val="both"/>
      </w:pPr>
      <w:r>
        <w:rPr/>
        <w:t>Hourly</w:t>
      </w:r>
      <w:r>
        <w:rPr>
          <w:spacing w:val="-37"/>
        </w:rPr>
        <w:t> </w:t>
      </w:r>
      <w:r>
        <w:rPr/>
        <w:t>rates</w:t>
      </w:r>
      <w:r>
        <w:rPr>
          <w:spacing w:val="-35"/>
        </w:rPr>
        <w:t> </w:t>
      </w:r>
      <w:r>
        <w:rPr/>
        <w:t>vary</w:t>
      </w:r>
      <w:r>
        <w:rPr>
          <w:spacing w:val="-38"/>
        </w:rPr>
        <w:t> </w:t>
      </w:r>
      <w:r>
        <w:rPr/>
        <w:t>from</w:t>
      </w:r>
      <w:r>
        <w:rPr>
          <w:spacing w:val="-34"/>
        </w:rPr>
        <w:t> </w:t>
      </w:r>
      <w:r>
        <w:rPr/>
        <w:t>place</w:t>
      </w:r>
      <w:r>
        <w:rPr>
          <w:spacing w:val="-32"/>
        </w:rPr>
        <w:t> </w:t>
      </w:r>
      <w:r>
        <w:rPr/>
        <w:t>to</w:t>
      </w:r>
      <w:r>
        <w:rPr>
          <w:spacing w:val="-34"/>
        </w:rPr>
        <w:t> </w:t>
      </w:r>
      <w:r>
        <w:rPr/>
        <w:t>place</w:t>
      </w:r>
      <w:r>
        <w:rPr>
          <w:spacing w:val="-32"/>
        </w:rPr>
        <w:t> </w:t>
      </w:r>
      <w:r>
        <w:rPr/>
        <w:t>and can accumulate in complex and time consuming</w:t>
      </w:r>
      <w:r>
        <w:rPr>
          <w:spacing w:val="-30"/>
        </w:rPr>
        <w:t> </w:t>
      </w:r>
      <w:r>
        <w:rPr/>
        <w:t>appraisals.</w:t>
      </w:r>
      <w:r>
        <w:rPr>
          <w:spacing w:val="12"/>
        </w:rPr>
        <w:t> </w:t>
      </w:r>
      <w:r>
        <w:rPr>
          <w:spacing w:val="-3"/>
        </w:rPr>
        <w:t>Good</w:t>
      </w:r>
      <w:r>
        <w:rPr>
          <w:spacing w:val="-33"/>
        </w:rPr>
        <w:t> </w:t>
      </w:r>
      <w:r>
        <w:rPr>
          <w:spacing w:val="-3"/>
        </w:rPr>
        <w:t>practice</w:t>
      </w:r>
      <w:r>
        <w:rPr>
          <w:spacing w:val="-32"/>
        </w:rPr>
        <w:t> </w:t>
      </w:r>
      <w:r>
        <w:rPr/>
        <w:t>dictates periodic</w:t>
      </w:r>
      <w:r>
        <w:rPr>
          <w:spacing w:val="-30"/>
        </w:rPr>
        <w:t> </w:t>
      </w:r>
      <w:r>
        <w:rPr/>
        <w:t>billing</w:t>
      </w:r>
      <w:r>
        <w:rPr>
          <w:spacing w:val="-28"/>
        </w:rPr>
        <w:t> </w:t>
      </w:r>
      <w:r>
        <w:rPr/>
        <w:t>and</w:t>
      </w:r>
      <w:r>
        <w:rPr>
          <w:spacing w:val="-29"/>
        </w:rPr>
        <w:t> </w:t>
      </w:r>
      <w:r>
        <w:rPr/>
        <w:t>often</w:t>
      </w:r>
      <w:r>
        <w:rPr>
          <w:spacing w:val="-29"/>
        </w:rPr>
        <w:t> </w:t>
      </w:r>
      <w:r>
        <w:rPr/>
        <w:t>involves</w:t>
      </w:r>
      <w:r>
        <w:rPr>
          <w:spacing w:val="-30"/>
        </w:rPr>
        <w:t> </w:t>
      </w:r>
      <w:r>
        <w:rPr/>
        <w:t>the</w:t>
      </w:r>
      <w:r>
        <w:rPr>
          <w:spacing w:val="-30"/>
        </w:rPr>
        <w:t> </w:t>
      </w:r>
      <w:r>
        <w:rPr>
          <w:spacing w:val="-3"/>
        </w:rPr>
        <w:t>payment </w:t>
      </w:r>
      <w:r>
        <w:rPr/>
        <w:t>of</w:t>
      </w:r>
      <w:r>
        <w:rPr>
          <w:spacing w:val="-21"/>
        </w:rPr>
        <w:t> </w:t>
      </w:r>
      <w:r>
        <w:rPr/>
        <w:t>an</w:t>
      </w:r>
      <w:r>
        <w:rPr>
          <w:spacing w:val="-24"/>
        </w:rPr>
        <w:t> </w:t>
      </w:r>
      <w:r>
        <w:rPr/>
        <w:t>initial</w:t>
      </w:r>
      <w:r>
        <w:rPr>
          <w:spacing w:val="-23"/>
        </w:rPr>
        <w:t> </w:t>
      </w:r>
      <w:r>
        <w:rPr/>
        <w:t>advance</w:t>
      </w:r>
      <w:r>
        <w:rPr>
          <w:spacing w:val="-23"/>
        </w:rPr>
        <w:t> </w:t>
      </w:r>
      <w:r>
        <w:rPr/>
        <w:t>to</w:t>
      </w:r>
      <w:r>
        <w:rPr>
          <w:spacing w:val="-22"/>
        </w:rPr>
        <w:t> </w:t>
      </w:r>
      <w:r>
        <w:rPr/>
        <w:t>cover</w:t>
      </w:r>
      <w:r>
        <w:rPr>
          <w:spacing w:val="-26"/>
        </w:rPr>
        <w:t> </w:t>
      </w:r>
      <w:r>
        <w:rPr/>
        <w:t>at</w:t>
      </w:r>
      <w:r>
        <w:rPr>
          <w:spacing w:val="-25"/>
        </w:rPr>
        <w:t> </w:t>
      </w:r>
      <w:r>
        <w:rPr/>
        <w:t>least</w:t>
      </w:r>
      <w:r>
        <w:rPr>
          <w:spacing w:val="-24"/>
        </w:rPr>
        <w:t> </w:t>
      </w:r>
      <w:r>
        <w:rPr/>
        <w:t>a</w:t>
      </w:r>
      <w:r>
        <w:rPr>
          <w:spacing w:val="-21"/>
        </w:rPr>
        <w:t> </w:t>
      </w:r>
      <w:r>
        <w:rPr/>
        <w:t>portion of the anticipated fee where this is financially possible.</w:t>
      </w:r>
    </w:p>
    <w:p>
      <w:pPr>
        <w:pStyle w:val="BodyText"/>
      </w:pPr>
    </w:p>
    <w:p>
      <w:pPr>
        <w:pStyle w:val="BodyText"/>
        <w:spacing w:line="242" w:lineRule="auto"/>
        <w:ind w:left="1520" w:right="1519" w:firstLine="720"/>
        <w:jc w:val="both"/>
      </w:pPr>
      <w:r>
        <w:rPr>
          <w:spacing w:val="3"/>
        </w:rPr>
        <w:t>It </w:t>
      </w:r>
      <w:r>
        <w:rPr/>
        <w:t>is also permissible for an insured to authorize an appraiser to have a separate check</w:t>
      </w:r>
      <w:r>
        <w:rPr>
          <w:spacing w:val="-16"/>
        </w:rPr>
        <w:t> </w:t>
      </w:r>
      <w:r>
        <w:rPr/>
        <w:t>cut</w:t>
      </w:r>
      <w:r>
        <w:rPr>
          <w:spacing w:val="-17"/>
        </w:rPr>
        <w:t> </w:t>
      </w:r>
      <w:r>
        <w:rPr/>
        <w:t>to</w:t>
      </w:r>
      <w:r>
        <w:rPr>
          <w:spacing w:val="-18"/>
        </w:rPr>
        <w:t> </w:t>
      </w:r>
      <w:r>
        <w:rPr/>
        <w:t>the</w:t>
      </w:r>
      <w:r>
        <w:rPr>
          <w:spacing w:val="-18"/>
        </w:rPr>
        <w:t> </w:t>
      </w:r>
      <w:r>
        <w:rPr/>
        <w:t>appraiser</w:t>
      </w:r>
      <w:r>
        <w:rPr>
          <w:spacing w:val="-20"/>
        </w:rPr>
        <w:t> </w:t>
      </w:r>
      <w:r>
        <w:rPr/>
        <w:t>from</w:t>
      </w:r>
      <w:r>
        <w:rPr>
          <w:spacing w:val="-16"/>
        </w:rPr>
        <w:t> </w:t>
      </w:r>
      <w:r>
        <w:rPr/>
        <w:t>the</w:t>
      </w:r>
      <w:r>
        <w:rPr>
          <w:spacing w:val="-16"/>
        </w:rPr>
        <w:t> </w:t>
      </w:r>
      <w:r>
        <w:rPr>
          <w:spacing w:val="-3"/>
        </w:rPr>
        <w:t>settlement </w:t>
      </w:r>
      <w:r>
        <w:rPr/>
        <w:t>proceeds in satisfaction of fees where the insured</w:t>
      </w:r>
      <w:r>
        <w:rPr>
          <w:spacing w:val="-13"/>
        </w:rPr>
        <w:t> </w:t>
      </w:r>
      <w:r>
        <w:rPr/>
        <w:t>was</w:t>
      </w:r>
      <w:r>
        <w:rPr>
          <w:spacing w:val="-11"/>
        </w:rPr>
        <w:t> </w:t>
      </w:r>
      <w:r>
        <w:rPr/>
        <w:t>unable</w:t>
      </w:r>
      <w:r>
        <w:rPr>
          <w:spacing w:val="-8"/>
        </w:rPr>
        <w:t> </w:t>
      </w:r>
      <w:r>
        <w:rPr/>
        <w:t>to</w:t>
      </w:r>
      <w:r>
        <w:rPr>
          <w:spacing w:val="-11"/>
        </w:rPr>
        <w:t> </w:t>
      </w:r>
      <w:r>
        <w:rPr/>
        <w:t>fund</w:t>
      </w:r>
      <w:r>
        <w:rPr>
          <w:spacing w:val="-10"/>
        </w:rPr>
        <w:t> </w:t>
      </w:r>
      <w:r>
        <w:rPr/>
        <w:t>the</w:t>
      </w:r>
      <w:r>
        <w:rPr>
          <w:spacing w:val="-12"/>
        </w:rPr>
        <w:t> </w:t>
      </w:r>
      <w:r>
        <w:rPr/>
        <w:t>appraisal</w:t>
      </w:r>
      <w:r>
        <w:rPr>
          <w:spacing w:val="-9"/>
        </w:rPr>
        <w:t> </w:t>
      </w:r>
      <w:r>
        <w:rPr>
          <w:spacing w:val="-4"/>
        </w:rPr>
        <w:t>costs</w:t>
      </w:r>
    </w:p>
    <w:p>
      <w:pPr>
        <w:pStyle w:val="BodyText"/>
        <w:spacing w:before="11"/>
        <w:rPr>
          <w:sz w:val="19"/>
        </w:rPr>
      </w:pPr>
      <w:r>
        <w:rPr/>
        <w:pict>
          <v:shape style="position:absolute;margin-left:162pt;margin-top:14.618408pt;width:143.9pt;height:.1pt;mso-position-horizontal-relative:page;mso-position-vertical-relative:paragraph;z-index:-251622400;mso-wrap-distance-left:0;mso-wrap-distance-right:0" coordorigin="3240,292" coordsize="2878,0" path="m3240,292l6118,292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7"/>
        </w:numPr>
        <w:tabs>
          <w:tab w:pos="1423" w:val="left" w:leader="none"/>
        </w:tabs>
        <w:spacing w:line="247" w:lineRule="auto" w:before="71" w:after="0"/>
        <w:ind w:left="1160" w:right="1162" w:firstLine="0"/>
        <w:jc w:val="both"/>
        <w:rPr>
          <w:sz w:val="18"/>
        </w:rPr>
      </w:pPr>
      <w:r>
        <w:rPr>
          <w:i/>
          <w:sz w:val="18"/>
        </w:rPr>
        <w:t>See</w:t>
      </w:r>
      <w:r>
        <w:rPr>
          <w:i/>
          <w:spacing w:val="-13"/>
          <w:sz w:val="18"/>
        </w:rPr>
        <w:t> </w:t>
      </w:r>
      <w:r>
        <w:rPr>
          <w:i/>
          <w:sz w:val="18"/>
        </w:rPr>
        <w:t>e.g.,</w:t>
      </w:r>
      <w:r>
        <w:rPr>
          <w:i/>
          <w:spacing w:val="-11"/>
          <w:sz w:val="18"/>
        </w:rPr>
        <w:t> </w:t>
      </w:r>
      <w:r>
        <w:rPr>
          <w:sz w:val="18"/>
        </w:rPr>
        <w:t>N.Y.</w:t>
      </w:r>
      <w:r>
        <w:rPr>
          <w:spacing w:val="-11"/>
          <w:sz w:val="18"/>
        </w:rPr>
        <w:t> </w:t>
      </w:r>
      <w:r>
        <w:rPr>
          <w:sz w:val="18"/>
        </w:rPr>
        <w:t>Ins.</w:t>
      </w:r>
      <w:r>
        <w:rPr>
          <w:spacing w:val="-12"/>
          <w:sz w:val="18"/>
        </w:rPr>
        <w:t> </w:t>
      </w:r>
      <w:r>
        <w:rPr>
          <w:sz w:val="18"/>
        </w:rPr>
        <w:t>§3404,</w:t>
      </w:r>
      <w:r>
        <w:rPr>
          <w:spacing w:val="-10"/>
          <w:sz w:val="18"/>
        </w:rPr>
        <w:t> </w:t>
      </w:r>
      <w:r>
        <w:rPr>
          <w:sz w:val="18"/>
        </w:rPr>
        <w:t>Lines</w:t>
      </w:r>
      <w:r>
        <w:rPr>
          <w:spacing w:val="-13"/>
          <w:sz w:val="18"/>
        </w:rPr>
        <w:t> </w:t>
      </w:r>
      <w:r>
        <w:rPr>
          <w:sz w:val="18"/>
        </w:rPr>
        <w:t>137-140;</w:t>
      </w:r>
      <w:r>
        <w:rPr>
          <w:spacing w:val="-12"/>
          <w:sz w:val="18"/>
        </w:rPr>
        <w:t> </w:t>
      </w:r>
      <w:r>
        <w:rPr>
          <w:sz w:val="18"/>
        </w:rPr>
        <w:t>Virginia,</w:t>
      </w:r>
      <w:r>
        <w:rPr>
          <w:spacing w:val="-13"/>
          <w:sz w:val="18"/>
        </w:rPr>
        <w:t> </w:t>
      </w:r>
      <w:r>
        <w:rPr>
          <w:sz w:val="18"/>
        </w:rPr>
        <w:t>for</w:t>
      </w:r>
      <w:r>
        <w:rPr>
          <w:spacing w:val="-11"/>
          <w:sz w:val="18"/>
        </w:rPr>
        <w:t> </w:t>
      </w:r>
      <w:r>
        <w:rPr>
          <w:sz w:val="18"/>
        </w:rPr>
        <w:t>example</w:t>
      </w:r>
      <w:r>
        <w:rPr>
          <w:spacing w:val="-10"/>
          <w:sz w:val="18"/>
        </w:rPr>
        <w:t> </w:t>
      </w:r>
      <w:r>
        <w:rPr>
          <w:sz w:val="18"/>
        </w:rPr>
        <w:t>provides</w:t>
      </w:r>
      <w:r>
        <w:rPr>
          <w:spacing w:val="-11"/>
          <w:sz w:val="18"/>
        </w:rPr>
        <w:t> </w:t>
      </w:r>
      <w:r>
        <w:rPr>
          <w:sz w:val="18"/>
        </w:rPr>
        <w:t>in</w:t>
      </w:r>
      <w:r>
        <w:rPr>
          <w:spacing w:val="-9"/>
          <w:sz w:val="18"/>
        </w:rPr>
        <w:t> </w:t>
      </w:r>
      <w:r>
        <w:rPr>
          <w:sz w:val="18"/>
        </w:rPr>
        <w:t>its</w:t>
      </w:r>
      <w:r>
        <w:rPr>
          <w:spacing w:val="-8"/>
          <w:sz w:val="18"/>
        </w:rPr>
        <w:t> </w:t>
      </w:r>
      <w:r>
        <w:rPr>
          <w:sz w:val="18"/>
        </w:rPr>
        <w:t>Standard Fire</w:t>
      </w:r>
      <w:r>
        <w:rPr>
          <w:spacing w:val="-10"/>
          <w:sz w:val="18"/>
        </w:rPr>
        <w:t> </w:t>
      </w:r>
      <w:r>
        <w:rPr>
          <w:sz w:val="18"/>
        </w:rPr>
        <w:t>Policy</w:t>
      </w:r>
      <w:r>
        <w:rPr>
          <w:spacing w:val="-13"/>
          <w:sz w:val="18"/>
        </w:rPr>
        <w:t> </w:t>
      </w:r>
      <w:r>
        <w:rPr>
          <w:sz w:val="18"/>
        </w:rPr>
        <w:t>that</w:t>
      </w:r>
      <w:r>
        <w:rPr>
          <w:spacing w:val="-10"/>
          <w:sz w:val="18"/>
        </w:rPr>
        <w:t> </w:t>
      </w:r>
      <w:r>
        <w:rPr>
          <w:sz w:val="18"/>
        </w:rPr>
        <w:t>“[I]f</w:t>
      </w:r>
      <w:r>
        <w:rPr>
          <w:spacing w:val="-12"/>
          <w:sz w:val="18"/>
        </w:rPr>
        <w:t> </w:t>
      </w:r>
      <w:r>
        <w:rPr>
          <w:sz w:val="18"/>
        </w:rPr>
        <w:t>the</w:t>
      </w:r>
      <w:r>
        <w:rPr>
          <w:spacing w:val="-11"/>
          <w:sz w:val="18"/>
        </w:rPr>
        <w:t> </w:t>
      </w:r>
      <w:r>
        <w:rPr>
          <w:sz w:val="18"/>
        </w:rPr>
        <w:t>written</w:t>
      </w:r>
      <w:r>
        <w:rPr>
          <w:spacing w:val="-8"/>
          <w:sz w:val="18"/>
        </w:rPr>
        <w:t> </w:t>
      </w:r>
      <w:r>
        <w:rPr>
          <w:sz w:val="18"/>
        </w:rPr>
        <w:t>demand</w:t>
      </w:r>
      <w:r>
        <w:rPr>
          <w:spacing w:val="-8"/>
          <w:sz w:val="18"/>
        </w:rPr>
        <w:t> </w:t>
      </w:r>
      <w:r>
        <w:rPr>
          <w:sz w:val="18"/>
        </w:rPr>
        <w:t>is</w:t>
      </w:r>
      <w:r>
        <w:rPr>
          <w:spacing w:val="-12"/>
          <w:sz w:val="18"/>
        </w:rPr>
        <w:t> </w:t>
      </w:r>
      <w:r>
        <w:rPr>
          <w:sz w:val="18"/>
        </w:rPr>
        <w:t>made</w:t>
      </w:r>
      <w:r>
        <w:rPr>
          <w:spacing w:val="-10"/>
          <w:sz w:val="18"/>
        </w:rPr>
        <w:t> </w:t>
      </w:r>
      <w:r>
        <w:rPr>
          <w:sz w:val="18"/>
        </w:rPr>
        <w:t>by</w:t>
      </w:r>
      <w:r>
        <w:rPr>
          <w:spacing w:val="-13"/>
          <w:sz w:val="18"/>
        </w:rPr>
        <w:t> </w:t>
      </w:r>
      <w:r>
        <w:rPr>
          <w:sz w:val="18"/>
        </w:rPr>
        <w:t>this</w:t>
      </w:r>
      <w:r>
        <w:rPr>
          <w:spacing w:val="-12"/>
          <w:sz w:val="18"/>
        </w:rPr>
        <w:t> </w:t>
      </w:r>
      <w:r>
        <w:rPr>
          <w:sz w:val="18"/>
        </w:rPr>
        <w:t>Company,</w:t>
      </w:r>
      <w:r>
        <w:rPr>
          <w:spacing w:val="-9"/>
          <w:sz w:val="18"/>
        </w:rPr>
        <w:t> </w:t>
      </w:r>
      <w:r>
        <w:rPr>
          <w:sz w:val="18"/>
        </w:rPr>
        <w:t>then</w:t>
      </w:r>
      <w:r>
        <w:rPr>
          <w:spacing w:val="-10"/>
          <w:sz w:val="18"/>
        </w:rPr>
        <w:t> </w:t>
      </w:r>
      <w:r>
        <w:rPr>
          <w:sz w:val="18"/>
        </w:rPr>
        <w:t>the</w:t>
      </w:r>
      <w:r>
        <w:rPr>
          <w:spacing w:val="-10"/>
          <w:sz w:val="18"/>
        </w:rPr>
        <w:t> </w:t>
      </w:r>
      <w:r>
        <w:rPr>
          <w:sz w:val="18"/>
        </w:rPr>
        <w:t>insured</w:t>
      </w:r>
      <w:r>
        <w:rPr>
          <w:spacing w:val="-9"/>
          <w:sz w:val="18"/>
        </w:rPr>
        <w:t> </w:t>
      </w:r>
      <w:r>
        <w:rPr>
          <w:sz w:val="18"/>
        </w:rPr>
        <w:t>shall</w:t>
      </w:r>
      <w:r>
        <w:rPr>
          <w:spacing w:val="-10"/>
          <w:sz w:val="18"/>
        </w:rPr>
        <w:t> </w:t>
      </w:r>
      <w:r>
        <w:rPr>
          <w:sz w:val="18"/>
        </w:rPr>
        <w:t>be reimbursed by this Company for the reasonable cost of the insured’s appraiser and the insured’s portion of the cost of the umpire.” Standard Provisions, Conditions,</w:t>
      </w:r>
      <w:r>
        <w:rPr>
          <w:spacing w:val="-25"/>
          <w:sz w:val="18"/>
        </w:rPr>
        <w:t> </w:t>
      </w:r>
      <w:r>
        <w:rPr>
          <w:sz w:val="18"/>
        </w:rPr>
        <w:t>Stipulations and</w:t>
      </w:r>
      <w:r>
        <w:rPr>
          <w:spacing w:val="-9"/>
          <w:sz w:val="18"/>
        </w:rPr>
        <w:t> </w:t>
      </w:r>
      <w:r>
        <w:rPr>
          <w:sz w:val="18"/>
        </w:rPr>
        <w:t>Agreements</w:t>
      </w:r>
      <w:r>
        <w:rPr>
          <w:spacing w:val="-10"/>
          <w:sz w:val="18"/>
        </w:rPr>
        <w:t> </w:t>
      </w:r>
      <w:r>
        <w:rPr>
          <w:sz w:val="18"/>
        </w:rPr>
        <w:t>for</w:t>
      </w:r>
      <w:r>
        <w:rPr>
          <w:spacing w:val="-9"/>
          <w:sz w:val="18"/>
        </w:rPr>
        <w:t> </w:t>
      </w:r>
      <w:r>
        <w:rPr>
          <w:sz w:val="18"/>
        </w:rPr>
        <w:t>such</w:t>
      </w:r>
      <w:r>
        <w:rPr>
          <w:spacing w:val="-6"/>
          <w:sz w:val="18"/>
        </w:rPr>
        <w:t> </w:t>
      </w:r>
      <w:r>
        <w:rPr>
          <w:sz w:val="18"/>
        </w:rPr>
        <w:t>Policies,</w:t>
      </w:r>
      <w:r>
        <w:rPr>
          <w:spacing w:val="-7"/>
          <w:sz w:val="18"/>
        </w:rPr>
        <w:t> </w:t>
      </w:r>
      <w:r>
        <w:rPr>
          <w:sz w:val="18"/>
        </w:rPr>
        <w:t>Va.</w:t>
      </w:r>
      <w:r>
        <w:rPr>
          <w:spacing w:val="-7"/>
          <w:sz w:val="18"/>
        </w:rPr>
        <w:t> </w:t>
      </w:r>
      <w:r>
        <w:rPr>
          <w:sz w:val="18"/>
        </w:rPr>
        <w:t>Code</w:t>
      </w:r>
      <w:r>
        <w:rPr>
          <w:spacing w:val="-10"/>
          <w:sz w:val="18"/>
        </w:rPr>
        <w:t> </w:t>
      </w:r>
      <w:r>
        <w:rPr>
          <w:sz w:val="18"/>
        </w:rPr>
        <w:t>Annot.</w:t>
      </w:r>
      <w:r>
        <w:rPr>
          <w:spacing w:val="-8"/>
          <w:sz w:val="18"/>
        </w:rPr>
        <w:t> </w:t>
      </w:r>
      <w:r>
        <w:rPr>
          <w:sz w:val="18"/>
        </w:rPr>
        <w:t>§38.2-2105</w:t>
      </w:r>
      <w:r>
        <w:rPr>
          <w:spacing w:val="-8"/>
          <w:sz w:val="18"/>
        </w:rPr>
        <w:t> </w:t>
      </w:r>
      <w:r>
        <w:rPr>
          <w:sz w:val="18"/>
        </w:rPr>
        <w:t>(Michie</w:t>
      </w:r>
      <w:r>
        <w:rPr>
          <w:spacing w:val="-10"/>
          <w:sz w:val="18"/>
        </w:rPr>
        <w:t> </w:t>
      </w:r>
      <w:r>
        <w:rPr>
          <w:sz w:val="18"/>
        </w:rPr>
        <w:t>2002)</w:t>
      </w:r>
      <w:r>
        <w:rPr>
          <w:spacing w:val="-9"/>
          <w:sz w:val="18"/>
        </w:rPr>
        <w:t> </w:t>
      </w:r>
      <w:r>
        <w:rPr>
          <w:sz w:val="18"/>
        </w:rPr>
        <w:t>(Lines</w:t>
      </w:r>
      <w:r>
        <w:rPr>
          <w:spacing w:val="-10"/>
          <w:sz w:val="18"/>
        </w:rPr>
        <w:t> </w:t>
      </w:r>
      <w:r>
        <w:rPr>
          <w:sz w:val="18"/>
        </w:rPr>
        <w:t>144- 47).</w:t>
      </w:r>
    </w:p>
    <w:p>
      <w:pPr>
        <w:spacing w:after="0" w:line="247" w:lineRule="auto"/>
        <w:jc w:val="both"/>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tabs>
          <w:tab w:pos="2302" w:val="left" w:leader="none"/>
          <w:tab w:pos="2826" w:val="left" w:leader="none"/>
          <w:tab w:pos="3285" w:val="left" w:leader="none"/>
          <w:tab w:pos="3899" w:val="left" w:leader="none"/>
          <w:tab w:pos="5009" w:val="left" w:leader="none"/>
          <w:tab w:pos="5722" w:val="left" w:leader="none"/>
          <w:tab w:pos="6190" w:val="left" w:leader="none"/>
        </w:tabs>
        <w:spacing w:line="242" w:lineRule="auto" w:before="42"/>
        <w:ind w:left="1520" w:right="1524"/>
      </w:pPr>
      <w:bookmarkStart w:name="Law and Procedure 376" w:id="43"/>
      <w:bookmarkEnd w:id="43"/>
      <w:r>
        <w:rPr/>
      </w:r>
      <w:r>
        <w:rPr/>
        <w:t>from</w:t>
        <w:tab/>
        <w:t>his</w:t>
        <w:tab/>
        <w:t>or</w:t>
        <w:tab/>
        <w:t>her</w:t>
        <w:tab/>
        <w:t>pocket</w:t>
        <w:tab/>
        <w:t>due</w:t>
        <w:tab/>
        <w:t>to</w:t>
        <w:tab/>
        <w:t>financial constraints.</w:t>
      </w:r>
    </w:p>
    <w:p>
      <w:pPr>
        <w:pStyle w:val="BodyText"/>
        <w:spacing w:before="1"/>
      </w:pPr>
    </w:p>
    <w:p>
      <w:pPr>
        <w:pStyle w:val="BodyText"/>
        <w:spacing w:line="242" w:lineRule="auto" w:before="1"/>
        <w:ind w:left="1520" w:right="1518" w:firstLine="720"/>
        <w:jc w:val="both"/>
      </w:pPr>
      <w:r>
        <w:rPr>
          <w:spacing w:val="-3"/>
        </w:rPr>
        <w:t>Where </w:t>
      </w:r>
      <w:r>
        <w:rPr/>
        <w:t>the appraiser is to be paid out of the proceeds of the claim, it would be appropriate</w:t>
      </w:r>
      <w:r>
        <w:rPr>
          <w:spacing w:val="-10"/>
        </w:rPr>
        <w:t> </w:t>
      </w:r>
      <w:r>
        <w:rPr/>
        <w:t>for</w:t>
      </w:r>
      <w:r>
        <w:rPr>
          <w:spacing w:val="-10"/>
        </w:rPr>
        <w:t> </w:t>
      </w:r>
      <w:r>
        <w:rPr/>
        <w:t>the</w:t>
      </w:r>
      <w:r>
        <w:rPr>
          <w:spacing w:val="-10"/>
        </w:rPr>
        <w:t> </w:t>
      </w:r>
      <w:r>
        <w:rPr/>
        <w:t>appraiser</w:t>
      </w:r>
      <w:r>
        <w:rPr>
          <w:spacing w:val="-11"/>
        </w:rPr>
        <w:t> </w:t>
      </w:r>
      <w:r>
        <w:rPr/>
        <w:t>to</w:t>
      </w:r>
      <w:r>
        <w:rPr>
          <w:spacing w:val="-9"/>
        </w:rPr>
        <w:t> </w:t>
      </w:r>
      <w:r>
        <w:rPr/>
        <w:t>be</w:t>
      </w:r>
      <w:r>
        <w:rPr>
          <w:spacing w:val="-10"/>
        </w:rPr>
        <w:t> </w:t>
      </w:r>
      <w:r>
        <w:rPr/>
        <w:t>named</w:t>
      </w:r>
      <w:r>
        <w:rPr>
          <w:spacing w:val="-10"/>
        </w:rPr>
        <w:t> </w:t>
      </w:r>
      <w:r>
        <w:rPr/>
        <w:t>on a separate check and, in the event of an interpleader action to determine the proper payees of an appraisal award, the appraiser should properly be paid directly from the interpleader</w:t>
      </w:r>
      <w:r>
        <w:rPr>
          <w:spacing w:val="-1"/>
        </w:rPr>
        <w:t> </w:t>
      </w:r>
      <w:r>
        <w:rPr/>
        <w:t>fund.</w:t>
      </w:r>
    </w:p>
    <w:p>
      <w:pPr>
        <w:pStyle w:val="BodyText"/>
        <w:spacing w:before="12"/>
        <w:rPr>
          <w:sz w:val="25"/>
        </w:rPr>
      </w:pPr>
    </w:p>
    <w:p>
      <w:pPr>
        <w:pStyle w:val="BodyText"/>
        <w:spacing w:line="242" w:lineRule="auto"/>
        <w:ind w:left="1520" w:right="1517" w:firstLine="720"/>
        <w:jc w:val="both"/>
      </w:pPr>
      <w:r>
        <w:rPr>
          <w:spacing w:val="-3"/>
        </w:rPr>
        <w:t>To</w:t>
      </w:r>
      <w:r>
        <w:rPr>
          <w:spacing w:val="-28"/>
        </w:rPr>
        <w:t> </w:t>
      </w:r>
      <w:r>
        <w:rPr/>
        <w:t>the</w:t>
      </w:r>
      <w:r>
        <w:rPr>
          <w:spacing w:val="-28"/>
        </w:rPr>
        <w:t> </w:t>
      </w:r>
      <w:r>
        <w:rPr/>
        <w:t>extent</w:t>
      </w:r>
      <w:r>
        <w:rPr>
          <w:spacing w:val="-31"/>
        </w:rPr>
        <w:t> </w:t>
      </w:r>
      <w:r>
        <w:rPr/>
        <w:t>significant</w:t>
      </w:r>
      <w:r>
        <w:rPr>
          <w:spacing w:val="-28"/>
        </w:rPr>
        <w:t> </w:t>
      </w:r>
      <w:r>
        <w:rPr/>
        <w:t>expenses</w:t>
      </w:r>
      <w:r>
        <w:rPr>
          <w:spacing w:val="-30"/>
        </w:rPr>
        <w:t> </w:t>
      </w:r>
      <w:r>
        <w:rPr/>
        <w:t>can</w:t>
      </w:r>
      <w:r>
        <w:rPr>
          <w:spacing w:val="-29"/>
        </w:rPr>
        <w:t> </w:t>
      </w:r>
      <w:r>
        <w:rPr/>
        <w:t>be anticipated under the circumstances of the particular</w:t>
      </w:r>
      <w:r>
        <w:rPr>
          <w:spacing w:val="-24"/>
        </w:rPr>
        <w:t> </w:t>
      </w:r>
      <w:r>
        <w:rPr/>
        <w:t>appraisal,</w:t>
      </w:r>
      <w:r>
        <w:rPr>
          <w:spacing w:val="-22"/>
        </w:rPr>
        <w:t> </w:t>
      </w:r>
      <w:r>
        <w:rPr/>
        <w:t>these</w:t>
      </w:r>
      <w:r>
        <w:rPr>
          <w:spacing w:val="-22"/>
        </w:rPr>
        <w:t> </w:t>
      </w:r>
      <w:r>
        <w:rPr/>
        <w:t>should</w:t>
      </w:r>
      <w:r>
        <w:rPr>
          <w:spacing w:val="-21"/>
        </w:rPr>
        <w:t> </w:t>
      </w:r>
      <w:r>
        <w:rPr/>
        <w:t>be</w:t>
      </w:r>
      <w:r>
        <w:rPr>
          <w:spacing w:val="-24"/>
        </w:rPr>
        <w:t> </w:t>
      </w:r>
      <w:r>
        <w:rPr/>
        <w:t>discussed and provided for in writing at the time of the appraiser’s hiring or immediately thereafter. Expenses can include the cost of travel and</w:t>
      </w:r>
      <w:r>
        <w:rPr>
          <w:spacing w:val="-34"/>
        </w:rPr>
        <w:t> </w:t>
      </w:r>
      <w:r>
        <w:rPr/>
        <w:t>in complex claims, experts such as </w:t>
      </w:r>
      <w:r>
        <w:rPr>
          <w:spacing w:val="-3"/>
        </w:rPr>
        <w:t>accountants, </w:t>
      </w:r>
      <w:r>
        <w:rPr/>
        <w:t>inventory counters, mold remediation </w:t>
      </w:r>
      <w:r>
        <w:rPr>
          <w:spacing w:val="-3"/>
        </w:rPr>
        <w:t>experts, </w:t>
      </w:r>
      <w:r>
        <w:rPr/>
        <w:t>engineers,</w:t>
      </w:r>
      <w:r>
        <w:rPr>
          <w:spacing w:val="-29"/>
        </w:rPr>
        <w:t> </w:t>
      </w:r>
      <w:r>
        <w:rPr/>
        <w:t>architects,</w:t>
      </w:r>
      <w:r>
        <w:rPr>
          <w:spacing w:val="-27"/>
        </w:rPr>
        <w:t> </w:t>
      </w:r>
      <w:r>
        <w:rPr/>
        <w:t>market</w:t>
      </w:r>
      <w:r>
        <w:rPr>
          <w:spacing w:val="-27"/>
        </w:rPr>
        <w:t> </w:t>
      </w:r>
      <w:r>
        <w:rPr/>
        <w:t>value</w:t>
      </w:r>
      <w:r>
        <w:rPr>
          <w:spacing w:val="-24"/>
        </w:rPr>
        <w:t> </w:t>
      </w:r>
      <w:r>
        <w:rPr/>
        <w:t>appraisers, </w:t>
      </w:r>
      <w:r>
        <w:rPr>
          <w:spacing w:val="-3"/>
        </w:rPr>
        <w:t>salvors,</w:t>
      </w:r>
      <w:r>
        <w:rPr>
          <w:spacing w:val="-41"/>
        </w:rPr>
        <w:t> </w:t>
      </w:r>
      <w:r>
        <w:rPr/>
        <w:t>building</w:t>
      </w:r>
      <w:r>
        <w:rPr>
          <w:spacing w:val="-38"/>
        </w:rPr>
        <w:t> </w:t>
      </w:r>
      <w:r>
        <w:rPr/>
        <w:t>damage</w:t>
      </w:r>
      <w:r>
        <w:rPr>
          <w:spacing w:val="-37"/>
        </w:rPr>
        <w:t> </w:t>
      </w:r>
      <w:r>
        <w:rPr/>
        <w:t>estimators,</w:t>
      </w:r>
      <w:r>
        <w:rPr>
          <w:spacing w:val="-3"/>
        </w:rPr>
        <w:t> </w:t>
      </w:r>
      <w:r>
        <w:rPr/>
        <w:t>attorneys, and the cost of laboratory analysis of samples (in</w:t>
      </w:r>
      <w:r>
        <w:rPr>
          <w:spacing w:val="-34"/>
        </w:rPr>
        <w:t> </w:t>
      </w:r>
      <w:r>
        <w:rPr/>
        <w:t>cases</w:t>
      </w:r>
      <w:r>
        <w:rPr>
          <w:spacing w:val="-34"/>
        </w:rPr>
        <w:t> </w:t>
      </w:r>
      <w:r>
        <w:rPr/>
        <w:t>of</w:t>
      </w:r>
      <w:r>
        <w:rPr>
          <w:spacing w:val="-34"/>
        </w:rPr>
        <w:t> </w:t>
      </w:r>
      <w:r>
        <w:rPr/>
        <w:t>suspected</w:t>
      </w:r>
      <w:r>
        <w:rPr>
          <w:spacing w:val="-33"/>
        </w:rPr>
        <w:t> </w:t>
      </w:r>
      <w:r>
        <w:rPr/>
        <w:t>mold,</w:t>
      </w:r>
      <w:r>
        <w:rPr>
          <w:spacing w:val="-35"/>
        </w:rPr>
        <w:t> </w:t>
      </w:r>
      <w:r>
        <w:rPr/>
        <w:t>smoke</w:t>
      </w:r>
      <w:r>
        <w:rPr>
          <w:spacing w:val="-34"/>
        </w:rPr>
        <w:t> </w:t>
      </w:r>
      <w:r>
        <w:rPr/>
        <w:t>damage</w:t>
      </w:r>
      <w:r>
        <w:rPr>
          <w:spacing w:val="-33"/>
        </w:rPr>
        <w:t> </w:t>
      </w:r>
      <w:r>
        <w:rPr/>
        <w:t>or asbestos, for</w:t>
      </w:r>
      <w:r>
        <w:rPr>
          <w:spacing w:val="-4"/>
        </w:rPr>
        <w:t> </w:t>
      </w:r>
      <w:r>
        <w:rPr/>
        <w:t>example).</w:t>
      </w:r>
    </w:p>
    <w:p>
      <w:pPr>
        <w:pStyle w:val="BodyText"/>
        <w:spacing w:before="10"/>
        <w:rPr>
          <w:sz w:val="25"/>
        </w:rPr>
      </w:pPr>
    </w:p>
    <w:p>
      <w:pPr>
        <w:pStyle w:val="BodyText"/>
        <w:spacing w:line="242" w:lineRule="auto"/>
        <w:ind w:left="1520" w:right="1516" w:firstLine="720"/>
        <w:jc w:val="both"/>
      </w:pPr>
      <w:r>
        <w:rPr/>
        <w:t>While most appraisals will be</w:t>
      </w:r>
      <w:r>
        <w:rPr>
          <w:spacing w:val="-40"/>
        </w:rPr>
        <w:t> </w:t>
      </w:r>
      <w:r>
        <w:rPr/>
        <w:t>conducted successfully without any expert assistance, expert involvement should be considered, particularly</w:t>
      </w:r>
      <w:r>
        <w:rPr>
          <w:spacing w:val="-27"/>
        </w:rPr>
        <w:t> </w:t>
      </w:r>
      <w:r>
        <w:rPr/>
        <w:t>in</w:t>
      </w:r>
      <w:r>
        <w:rPr>
          <w:spacing w:val="-25"/>
        </w:rPr>
        <w:t> </w:t>
      </w:r>
      <w:r>
        <w:rPr/>
        <w:t>claims</w:t>
      </w:r>
      <w:r>
        <w:rPr>
          <w:spacing w:val="-26"/>
        </w:rPr>
        <w:t> </w:t>
      </w:r>
      <w:r>
        <w:rPr/>
        <w:t>where</w:t>
      </w:r>
      <w:r>
        <w:rPr>
          <w:spacing w:val="-26"/>
        </w:rPr>
        <w:t> </w:t>
      </w:r>
      <w:r>
        <w:rPr/>
        <w:t>the</w:t>
      </w:r>
      <w:r>
        <w:rPr>
          <w:spacing w:val="-25"/>
        </w:rPr>
        <w:t> </w:t>
      </w:r>
      <w:r>
        <w:rPr/>
        <w:t>insured</w:t>
      </w:r>
      <w:r>
        <w:rPr>
          <w:spacing w:val="-23"/>
        </w:rPr>
        <w:t> </w:t>
      </w:r>
      <w:r>
        <w:rPr/>
        <w:t>was</w:t>
      </w:r>
      <w:r>
        <w:rPr>
          <w:spacing w:val="-22"/>
        </w:rPr>
        <w:t> </w:t>
      </w:r>
      <w:r>
        <w:rPr/>
        <w:t>not represented by a public adjuster. One of the distinct</w:t>
      </w:r>
      <w:r>
        <w:rPr>
          <w:spacing w:val="38"/>
        </w:rPr>
        <w:t> </w:t>
      </w:r>
      <w:r>
        <w:rPr/>
        <w:t>advantages</w:t>
      </w:r>
      <w:r>
        <w:rPr>
          <w:spacing w:val="41"/>
        </w:rPr>
        <w:t> </w:t>
      </w:r>
      <w:r>
        <w:rPr/>
        <w:t>of</w:t>
      </w:r>
      <w:r>
        <w:rPr>
          <w:spacing w:val="42"/>
        </w:rPr>
        <w:t> </w:t>
      </w:r>
      <w:r>
        <w:rPr/>
        <w:t>the</w:t>
      </w:r>
      <w:r>
        <w:rPr>
          <w:spacing w:val="40"/>
        </w:rPr>
        <w:t> </w:t>
      </w:r>
      <w:r>
        <w:rPr/>
        <w:t>involvement</w:t>
      </w:r>
      <w:r>
        <w:rPr>
          <w:spacing w:val="38"/>
        </w:rPr>
        <w:t> </w:t>
      </w:r>
      <w:r>
        <w:rPr/>
        <w:t>of</w:t>
      </w:r>
      <w:r>
        <w:rPr>
          <w:spacing w:val="41"/>
        </w:rPr>
        <w:t> </w:t>
      </w:r>
      <w:r>
        <w:rPr/>
        <w:t>a</w:t>
      </w:r>
    </w:p>
    <w:p>
      <w:pPr>
        <w:spacing w:after="0" w:line="242" w:lineRule="auto"/>
        <w:jc w:val="both"/>
        <w:sectPr>
          <w:pgSz w:w="12240" w:h="15840"/>
          <w:pgMar w:header="0" w:footer="2273" w:top="1500" w:bottom="2460" w:left="1720" w:right="1720"/>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BodyText"/>
        <w:spacing w:line="242" w:lineRule="auto" w:before="41"/>
        <w:ind w:left="1520" w:right="1519"/>
        <w:jc w:val="both"/>
      </w:pPr>
      <w:bookmarkStart w:name="Law and Procedure 377" w:id="44"/>
      <w:bookmarkEnd w:id="44"/>
      <w:r>
        <w:rPr/>
      </w:r>
      <w:r>
        <w:rPr/>
        <w:t>public adjuster on behalf of the insured is the assistance they provide with respect to claim preparation and presentation.</w:t>
      </w:r>
    </w:p>
    <w:p>
      <w:pPr>
        <w:pStyle w:val="BodyText"/>
        <w:spacing w:before="2"/>
      </w:pPr>
    </w:p>
    <w:p>
      <w:pPr>
        <w:pStyle w:val="BodyText"/>
        <w:spacing w:line="242" w:lineRule="auto"/>
        <w:ind w:left="1520" w:right="1517" w:firstLine="720"/>
        <w:jc w:val="both"/>
      </w:pPr>
      <w:r>
        <w:rPr>
          <w:spacing w:val="-3"/>
        </w:rPr>
        <w:t>To </w:t>
      </w:r>
      <w:r>
        <w:rPr/>
        <w:t>the extent an insured is in difficult financial</w:t>
      </w:r>
      <w:r>
        <w:rPr>
          <w:spacing w:val="-19"/>
        </w:rPr>
        <w:t> </w:t>
      </w:r>
      <w:r>
        <w:rPr/>
        <w:t>straits</w:t>
      </w:r>
      <w:r>
        <w:rPr>
          <w:spacing w:val="-19"/>
        </w:rPr>
        <w:t> </w:t>
      </w:r>
      <w:r>
        <w:rPr/>
        <w:t>and</w:t>
      </w:r>
      <w:r>
        <w:rPr>
          <w:spacing w:val="-18"/>
        </w:rPr>
        <w:t> </w:t>
      </w:r>
      <w:r>
        <w:rPr/>
        <w:t>may</w:t>
      </w:r>
      <w:r>
        <w:rPr>
          <w:spacing w:val="-22"/>
        </w:rPr>
        <w:t> </w:t>
      </w:r>
      <w:r>
        <w:rPr/>
        <w:t>be</w:t>
      </w:r>
      <w:r>
        <w:rPr>
          <w:spacing w:val="-20"/>
        </w:rPr>
        <w:t> </w:t>
      </w:r>
      <w:r>
        <w:rPr/>
        <w:t>unable</w:t>
      </w:r>
      <w:r>
        <w:rPr>
          <w:spacing w:val="-16"/>
        </w:rPr>
        <w:t> </w:t>
      </w:r>
      <w:r>
        <w:rPr/>
        <w:t>to</w:t>
      </w:r>
      <w:r>
        <w:rPr>
          <w:spacing w:val="-21"/>
        </w:rPr>
        <w:t> </w:t>
      </w:r>
      <w:r>
        <w:rPr/>
        <w:t>fund</w:t>
      </w:r>
      <w:r>
        <w:rPr>
          <w:spacing w:val="-22"/>
        </w:rPr>
        <w:t> </w:t>
      </w:r>
      <w:r>
        <w:rPr/>
        <w:t>the cost of appraisal, an advance payment from the insurer representing the amount not in dispute should be sought to help finance the undertaking. Indeed, it is often wise to</w:t>
      </w:r>
      <w:r>
        <w:rPr>
          <w:spacing w:val="-35"/>
        </w:rPr>
        <w:t> </w:t>
      </w:r>
      <w:r>
        <w:rPr/>
        <w:t>request payment by the insurer of any undisputed amounts,</w:t>
      </w:r>
      <w:r>
        <w:rPr>
          <w:spacing w:val="-33"/>
        </w:rPr>
        <w:t> </w:t>
      </w:r>
      <w:r>
        <w:rPr/>
        <w:t>or</w:t>
      </w:r>
      <w:r>
        <w:rPr>
          <w:spacing w:val="-32"/>
        </w:rPr>
        <w:t> </w:t>
      </w:r>
      <w:r>
        <w:rPr/>
        <w:t>those</w:t>
      </w:r>
      <w:r>
        <w:rPr>
          <w:spacing w:val="-31"/>
        </w:rPr>
        <w:t> </w:t>
      </w:r>
      <w:r>
        <w:rPr/>
        <w:t>amounts</w:t>
      </w:r>
      <w:r>
        <w:rPr>
          <w:spacing w:val="-31"/>
        </w:rPr>
        <w:t> </w:t>
      </w:r>
      <w:r>
        <w:rPr>
          <w:spacing w:val="-3"/>
        </w:rPr>
        <w:t>which</w:t>
      </w:r>
      <w:r>
        <w:rPr>
          <w:spacing w:val="-33"/>
        </w:rPr>
        <w:t> </w:t>
      </w:r>
      <w:r>
        <w:rPr>
          <w:spacing w:val="-4"/>
        </w:rPr>
        <w:t>represent</w:t>
      </w:r>
      <w:r>
        <w:rPr>
          <w:spacing w:val="-35"/>
        </w:rPr>
        <w:t> </w:t>
      </w:r>
      <w:r>
        <w:rPr/>
        <w:t>the portion</w:t>
      </w:r>
      <w:r>
        <w:rPr>
          <w:spacing w:val="-9"/>
        </w:rPr>
        <w:t> </w:t>
      </w:r>
      <w:r>
        <w:rPr/>
        <w:t>of</w:t>
      </w:r>
      <w:r>
        <w:rPr>
          <w:spacing w:val="-9"/>
        </w:rPr>
        <w:t> </w:t>
      </w:r>
      <w:r>
        <w:rPr/>
        <w:t>the</w:t>
      </w:r>
      <w:r>
        <w:rPr>
          <w:spacing w:val="-10"/>
        </w:rPr>
        <w:t> </w:t>
      </w:r>
      <w:r>
        <w:rPr/>
        <w:t>insured’s</w:t>
      </w:r>
      <w:r>
        <w:rPr>
          <w:spacing w:val="-10"/>
        </w:rPr>
        <w:t> </w:t>
      </w:r>
      <w:r>
        <w:rPr/>
        <w:t>claim</w:t>
      </w:r>
      <w:r>
        <w:rPr>
          <w:spacing w:val="-10"/>
        </w:rPr>
        <w:t> </w:t>
      </w:r>
      <w:r>
        <w:rPr/>
        <w:t>which</w:t>
      </w:r>
      <w:r>
        <w:rPr>
          <w:spacing w:val="-8"/>
        </w:rPr>
        <w:t> </w:t>
      </w:r>
      <w:r>
        <w:rPr/>
        <w:t>the</w:t>
      </w:r>
      <w:r>
        <w:rPr>
          <w:spacing w:val="-11"/>
        </w:rPr>
        <w:t> </w:t>
      </w:r>
      <w:r>
        <w:rPr/>
        <w:t>carrier agrees is due and owing </w:t>
      </w:r>
      <w:r>
        <w:rPr>
          <w:spacing w:val="2"/>
        </w:rPr>
        <w:t>prior </w:t>
      </w:r>
      <w:r>
        <w:rPr/>
        <w:t>to the onset of the</w:t>
      </w:r>
      <w:r>
        <w:rPr>
          <w:spacing w:val="-2"/>
        </w:rPr>
        <w:t> </w:t>
      </w:r>
      <w:r>
        <w:rPr/>
        <w:t>appraisal.</w:t>
      </w:r>
    </w:p>
    <w:p>
      <w:pPr>
        <w:pStyle w:val="BodyText"/>
        <w:spacing w:before="11"/>
        <w:rPr>
          <w:sz w:val="25"/>
        </w:rPr>
      </w:pPr>
    </w:p>
    <w:p>
      <w:pPr>
        <w:pStyle w:val="BodyText"/>
        <w:spacing w:line="242" w:lineRule="auto"/>
        <w:ind w:left="1520" w:right="1515" w:firstLine="720"/>
        <w:jc w:val="both"/>
      </w:pPr>
      <w:r>
        <w:rPr>
          <w:spacing w:val="3"/>
        </w:rPr>
        <w:t>It </w:t>
      </w:r>
      <w:r>
        <w:rPr/>
        <w:t>is always advisable to confirm the appraiser’s hiring by a written agreement setting</w:t>
      </w:r>
      <w:r>
        <w:rPr>
          <w:spacing w:val="-9"/>
        </w:rPr>
        <w:t> </w:t>
      </w:r>
      <w:r>
        <w:rPr/>
        <w:t>forth</w:t>
      </w:r>
      <w:r>
        <w:rPr>
          <w:spacing w:val="-8"/>
        </w:rPr>
        <w:t> </w:t>
      </w:r>
      <w:r>
        <w:rPr/>
        <w:t>at</w:t>
      </w:r>
      <w:r>
        <w:rPr>
          <w:spacing w:val="-9"/>
        </w:rPr>
        <w:t> </w:t>
      </w:r>
      <w:r>
        <w:rPr/>
        <w:t>the</w:t>
      </w:r>
      <w:r>
        <w:rPr>
          <w:spacing w:val="-8"/>
        </w:rPr>
        <w:t> </w:t>
      </w:r>
      <w:r>
        <w:rPr/>
        <w:t>minimum,</w:t>
      </w:r>
      <w:r>
        <w:rPr>
          <w:spacing w:val="-13"/>
        </w:rPr>
        <w:t> </w:t>
      </w:r>
      <w:r>
        <w:rPr/>
        <w:t>the</w:t>
      </w:r>
      <w:r>
        <w:rPr>
          <w:spacing w:val="-11"/>
        </w:rPr>
        <w:t> </w:t>
      </w:r>
      <w:r>
        <w:rPr/>
        <w:t>names</w:t>
      </w:r>
      <w:r>
        <w:rPr>
          <w:spacing w:val="-11"/>
        </w:rPr>
        <w:t> </w:t>
      </w:r>
      <w:r>
        <w:rPr/>
        <w:t>of</w:t>
      </w:r>
      <w:r>
        <w:rPr>
          <w:spacing w:val="-7"/>
        </w:rPr>
        <w:t> </w:t>
      </w:r>
      <w:r>
        <w:rPr/>
        <w:t>the parties, a provision as to the payment of fees and expenses, and a statement of the appraiser’s</w:t>
      </w:r>
      <w:r>
        <w:rPr>
          <w:spacing w:val="-16"/>
        </w:rPr>
        <w:t> </w:t>
      </w:r>
      <w:r>
        <w:rPr/>
        <w:t>authority,</w:t>
      </w:r>
      <w:r>
        <w:rPr>
          <w:spacing w:val="-18"/>
        </w:rPr>
        <w:t> </w:t>
      </w:r>
      <w:r>
        <w:rPr/>
        <w:t>designating</w:t>
      </w:r>
      <w:r>
        <w:rPr>
          <w:spacing w:val="-13"/>
        </w:rPr>
        <w:t> </w:t>
      </w:r>
      <w:r>
        <w:rPr/>
        <w:t>him</w:t>
      </w:r>
      <w:r>
        <w:rPr>
          <w:spacing w:val="-15"/>
        </w:rPr>
        <w:t> </w:t>
      </w:r>
      <w:r>
        <w:rPr/>
        <w:t>or</w:t>
      </w:r>
      <w:r>
        <w:rPr>
          <w:spacing w:val="-17"/>
        </w:rPr>
        <w:t> </w:t>
      </w:r>
      <w:r>
        <w:rPr/>
        <w:t>her</w:t>
      </w:r>
      <w:r>
        <w:rPr>
          <w:spacing w:val="-18"/>
        </w:rPr>
        <w:t> </w:t>
      </w:r>
      <w:r>
        <w:rPr/>
        <w:t>to act as appraiser on behalf of the </w:t>
      </w:r>
      <w:r>
        <w:rPr>
          <w:spacing w:val="-4"/>
        </w:rPr>
        <w:t>party</w:t>
      </w:r>
      <w:r>
        <w:rPr>
          <w:spacing w:val="63"/>
        </w:rPr>
        <w:t> </w:t>
      </w:r>
      <w:r>
        <w:rPr/>
        <w:t>nominating</w:t>
      </w:r>
      <w:r>
        <w:rPr>
          <w:spacing w:val="-2"/>
        </w:rPr>
        <w:t> </w:t>
      </w:r>
      <w:r>
        <w:rPr/>
        <w:t>them.</w:t>
      </w:r>
    </w:p>
    <w:p>
      <w:pPr>
        <w:pStyle w:val="BodyText"/>
      </w:pPr>
    </w:p>
    <w:p>
      <w:pPr>
        <w:pStyle w:val="BodyText"/>
        <w:spacing w:line="242" w:lineRule="auto"/>
        <w:ind w:left="1520" w:right="1517" w:firstLine="720"/>
        <w:jc w:val="both"/>
      </w:pPr>
      <w:r>
        <w:rPr>
          <w:spacing w:val="2"/>
        </w:rPr>
        <w:t>As </w:t>
      </w:r>
      <w:r>
        <w:rPr/>
        <w:t>stated earlier, it has been held that a contingency fee arrangement with an appraiser might under certain circumstances be</w:t>
      </w:r>
      <w:r>
        <w:rPr>
          <w:spacing w:val="-31"/>
        </w:rPr>
        <w:t> </w:t>
      </w:r>
      <w:r>
        <w:rPr/>
        <w:t>acceptable.</w:t>
      </w:r>
      <w:r>
        <w:rPr>
          <w:spacing w:val="12"/>
        </w:rPr>
        <w:t> </w:t>
      </w:r>
      <w:r>
        <w:rPr>
          <w:spacing w:val="3"/>
        </w:rPr>
        <w:t>In</w:t>
      </w:r>
      <w:r>
        <w:rPr>
          <w:spacing w:val="-30"/>
        </w:rPr>
        <w:t> </w:t>
      </w:r>
      <w:r>
        <w:rPr>
          <w:u w:val="single"/>
        </w:rPr>
        <w:t>Hozlock</w:t>
      </w:r>
      <w:r>
        <w:rPr>
          <w:spacing w:val="-27"/>
          <w:u w:val="single"/>
        </w:rPr>
        <w:t> </w:t>
      </w:r>
      <w:r>
        <w:rPr>
          <w:u w:val="single"/>
        </w:rPr>
        <w:t>v.</w:t>
      </w:r>
      <w:r>
        <w:rPr>
          <w:spacing w:val="-32"/>
          <w:u w:val="single"/>
        </w:rPr>
        <w:t> </w:t>
      </w:r>
      <w:r>
        <w:rPr>
          <w:u w:val="single"/>
        </w:rPr>
        <w:t>Donegal</w:t>
      </w:r>
      <w:r>
        <w:rPr>
          <w:spacing w:val="-27"/>
          <w:u w:val="single"/>
        </w:rPr>
        <w:t> </w:t>
      </w:r>
      <w:r>
        <w:rPr>
          <w:u w:val="single"/>
        </w:rPr>
        <w:t>Mut.</w:t>
      </w:r>
      <w:r>
        <w:rPr>
          <w:spacing w:val="-30"/>
          <w:u w:val="single"/>
        </w:rPr>
        <w:t> </w:t>
      </w:r>
      <w:r>
        <w:rPr>
          <w:u w:val="single"/>
        </w:rPr>
        <w:t>Ins.</w:t>
      </w:r>
    </w:p>
    <w:p>
      <w:pPr>
        <w:spacing w:after="0" w:line="242" w:lineRule="auto"/>
        <w:jc w:val="both"/>
        <w:sectPr>
          <w:pgSz w:w="12240" w:h="15840"/>
          <w:pgMar w:header="0" w:footer="2273" w:top="1500" w:bottom="2460" w:left="1720" w:right="1720"/>
        </w:sectPr>
      </w:pPr>
    </w:p>
    <w:p>
      <w:pPr>
        <w:pStyle w:val="BodyText"/>
        <w:rPr>
          <w:sz w:val="20"/>
        </w:rPr>
      </w:pPr>
    </w:p>
    <w:p>
      <w:pPr>
        <w:pStyle w:val="BodyText"/>
        <w:rPr>
          <w:sz w:val="20"/>
        </w:rPr>
      </w:pPr>
    </w:p>
    <w:p>
      <w:pPr>
        <w:pStyle w:val="BodyText"/>
        <w:rPr>
          <w:sz w:val="20"/>
        </w:rPr>
      </w:pPr>
    </w:p>
    <w:p>
      <w:pPr>
        <w:pStyle w:val="BodyText"/>
        <w:spacing w:before="6"/>
        <w:rPr>
          <w:sz w:val="17"/>
        </w:rPr>
      </w:pPr>
    </w:p>
    <w:p>
      <w:pPr>
        <w:pStyle w:val="BodyText"/>
        <w:spacing w:line="242" w:lineRule="auto" w:before="77"/>
        <w:ind w:left="1520" w:right="1517"/>
        <w:jc w:val="both"/>
      </w:pPr>
      <w:bookmarkStart w:name="Law and Procedure 378" w:id="45"/>
      <w:bookmarkEnd w:id="45"/>
      <w:r>
        <w:rPr/>
      </w:r>
      <w:r>
        <w:rPr>
          <w:u w:val="single"/>
        </w:rPr>
        <w:t>Co.</w:t>
      </w:r>
      <w:r>
        <w:rPr/>
        <w:t>,</w:t>
      </w:r>
      <w:r>
        <w:rPr>
          <w:vertAlign w:val="superscript"/>
        </w:rPr>
        <w:t>796</w:t>
      </w:r>
      <w:r>
        <w:rPr>
          <w:spacing w:val="-11"/>
          <w:vertAlign w:val="baseline"/>
        </w:rPr>
        <w:t> </w:t>
      </w:r>
      <w:r>
        <w:rPr>
          <w:vertAlign w:val="baseline"/>
        </w:rPr>
        <w:t>it</w:t>
      </w:r>
      <w:r>
        <w:rPr>
          <w:spacing w:val="-12"/>
          <w:vertAlign w:val="baseline"/>
        </w:rPr>
        <w:t> </w:t>
      </w:r>
      <w:r>
        <w:rPr>
          <w:vertAlign w:val="baseline"/>
        </w:rPr>
        <w:t>was</w:t>
      </w:r>
      <w:r>
        <w:rPr>
          <w:spacing w:val="-9"/>
          <w:vertAlign w:val="baseline"/>
        </w:rPr>
        <w:t> </w:t>
      </w:r>
      <w:r>
        <w:rPr>
          <w:vertAlign w:val="baseline"/>
        </w:rPr>
        <w:t>held</w:t>
      </w:r>
      <w:r>
        <w:rPr>
          <w:spacing w:val="-9"/>
          <w:vertAlign w:val="baseline"/>
        </w:rPr>
        <w:t> </w:t>
      </w:r>
      <w:r>
        <w:rPr>
          <w:vertAlign w:val="baseline"/>
        </w:rPr>
        <w:t>that</w:t>
      </w:r>
      <w:r>
        <w:rPr>
          <w:spacing w:val="-12"/>
          <w:vertAlign w:val="baseline"/>
        </w:rPr>
        <w:t> </w:t>
      </w:r>
      <w:r>
        <w:rPr>
          <w:vertAlign w:val="baseline"/>
        </w:rPr>
        <w:t>the</w:t>
      </w:r>
      <w:r>
        <w:rPr>
          <w:spacing w:val="-10"/>
          <w:vertAlign w:val="baseline"/>
        </w:rPr>
        <w:t> </w:t>
      </w:r>
      <w:r>
        <w:rPr>
          <w:vertAlign w:val="baseline"/>
        </w:rPr>
        <w:t>mere</w:t>
      </w:r>
      <w:r>
        <w:rPr>
          <w:spacing w:val="-10"/>
          <w:vertAlign w:val="baseline"/>
        </w:rPr>
        <w:t> </w:t>
      </w:r>
      <w:r>
        <w:rPr>
          <w:vertAlign w:val="baseline"/>
        </w:rPr>
        <w:t>existence</w:t>
      </w:r>
      <w:r>
        <w:rPr>
          <w:spacing w:val="-10"/>
          <w:vertAlign w:val="baseline"/>
        </w:rPr>
        <w:t> </w:t>
      </w:r>
      <w:r>
        <w:rPr>
          <w:vertAlign w:val="baseline"/>
        </w:rPr>
        <w:t>of</w:t>
      </w:r>
      <w:r>
        <w:rPr>
          <w:spacing w:val="-7"/>
          <w:vertAlign w:val="baseline"/>
        </w:rPr>
        <w:t> </w:t>
      </w:r>
      <w:r>
        <w:rPr>
          <w:spacing w:val="-31"/>
          <w:vertAlign w:val="baseline"/>
        </w:rPr>
        <w:t>a </w:t>
      </w:r>
      <w:r>
        <w:rPr>
          <w:vertAlign w:val="baseline"/>
        </w:rPr>
        <w:t>contingency fee agreement between a</w:t>
      </w:r>
      <w:r>
        <w:rPr>
          <w:spacing w:val="-46"/>
          <w:vertAlign w:val="baseline"/>
        </w:rPr>
        <w:t> </w:t>
      </w:r>
      <w:r>
        <w:rPr>
          <w:vertAlign w:val="baseline"/>
        </w:rPr>
        <w:t>party and his or her appointed appraiser does not render the appraiser unfit </w:t>
      </w:r>
      <w:r>
        <w:rPr>
          <w:i/>
          <w:vertAlign w:val="baseline"/>
        </w:rPr>
        <w:t>per se</w:t>
      </w:r>
      <w:r>
        <w:rPr>
          <w:vertAlign w:val="baseline"/>
        </w:rPr>
        <w:t>, when the policy’s</w:t>
      </w:r>
      <w:r>
        <w:rPr>
          <w:spacing w:val="-13"/>
          <w:vertAlign w:val="baseline"/>
        </w:rPr>
        <w:t> </w:t>
      </w:r>
      <w:r>
        <w:rPr>
          <w:vertAlign w:val="baseline"/>
        </w:rPr>
        <w:t>appraisal</w:t>
      </w:r>
      <w:r>
        <w:rPr>
          <w:spacing w:val="-9"/>
          <w:vertAlign w:val="baseline"/>
        </w:rPr>
        <w:t> </w:t>
      </w:r>
      <w:r>
        <w:rPr>
          <w:vertAlign w:val="baseline"/>
        </w:rPr>
        <w:t>clause</w:t>
      </w:r>
      <w:r>
        <w:rPr>
          <w:spacing w:val="-9"/>
          <w:vertAlign w:val="baseline"/>
        </w:rPr>
        <w:t> </w:t>
      </w:r>
      <w:r>
        <w:rPr>
          <w:vertAlign w:val="baseline"/>
        </w:rPr>
        <w:t>requires</w:t>
      </w:r>
      <w:r>
        <w:rPr>
          <w:spacing w:val="-11"/>
          <w:vertAlign w:val="baseline"/>
        </w:rPr>
        <w:t> </w:t>
      </w:r>
      <w:r>
        <w:rPr>
          <w:vertAlign w:val="baseline"/>
        </w:rPr>
        <w:t>only</w:t>
      </w:r>
      <w:r>
        <w:rPr>
          <w:spacing w:val="-11"/>
          <w:vertAlign w:val="baseline"/>
        </w:rPr>
        <w:t> </w:t>
      </w:r>
      <w:r>
        <w:rPr>
          <w:vertAlign w:val="baseline"/>
        </w:rPr>
        <w:t>that</w:t>
      </w:r>
      <w:r>
        <w:rPr>
          <w:spacing w:val="-11"/>
          <w:vertAlign w:val="baseline"/>
        </w:rPr>
        <w:t> </w:t>
      </w:r>
      <w:r>
        <w:rPr>
          <w:vertAlign w:val="baseline"/>
        </w:rPr>
        <w:t>the appointed appraisers be “competent.”</w:t>
      </w:r>
      <w:r>
        <w:rPr>
          <w:spacing w:val="-34"/>
          <w:vertAlign w:val="baseline"/>
        </w:rPr>
        <w:t> </w:t>
      </w:r>
      <w:r>
        <w:rPr>
          <w:vertAlign w:val="baseline"/>
        </w:rPr>
        <w:t>Unless the policy provision specifically requires the appraisers to be completely neutral, </w:t>
      </w:r>
      <w:r>
        <w:rPr>
          <w:spacing w:val="-11"/>
          <w:vertAlign w:val="baseline"/>
        </w:rPr>
        <w:t>a </w:t>
      </w:r>
      <w:r>
        <w:rPr>
          <w:vertAlign w:val="baseline"/>
        </w:rPr>
        <w:t>contingency fee payment scheme does </w:t>
      </w:r>
      <w:r>
        <w:rPr>
          <w:spacing w:val="-5"/>
          <w:vertAlign w:val="baseline"/>
        </w:rPr>
        <w:t>not </w:t>
      </w:r>
      <w:r>
        <w:rPr>
          <w:vertAlign w:val="baseline"/>
        </w:rPr>
        <w:t>disqualify the appraiser. Without a specific clause, and without the appraiser having an independent fiduciary duty, the appointment would likely not be</w:t>
      </w:r>
      <w:r>
        <w:rPr>
          <w:spacing w:val="-8"/>
          <w:vertAlign w:val="baseline"/>
        </w:rPr>
        <w:t> </w:t>
      </w:r>
      <w:r>
        <w:rPr>
          <w:vertAlign w:val="baseline"/>
        </w:rPr>
        <w:t>vacated.</w:t>
      </w:r>
    </w:p>
    <w:p>
      <w:pPr>
        <w:pStyle w:val="BodyText"/>
        <w:spacing w:before="5"/>
        <w:rPr>
          <w:sz w:val="22"/>
        </w:rPr>
      </w:pPr>
    </w:p>
    <w:p>
      <w:pPr>
        <w:pStyle w:val="BodyText"/>
        <w:spacing w:line="242" w:lineRule="auto" w:before="42"/>
        <w:ind w:left="1520" w:right="1518" w:firstLine="720"/>
        <w:jc w:val="both"/>
      </w:pPr>
      <w:r>
        <w:rPr/>
        <w:t>Similarly, in </w:t>
      </w:r>
      <w:r>
        <w:rPr>
          <w:u w:val="single"/>
        </w:rPr>
        <w:t>White v. State Farm Fire &amp;</w:t>
      </w:r>
      <w:r>
        <w:rPr/>
        <w:t> </w:t>
      </w:r>
      <w:r>
        <w:rPr>
          <w:u w:val="single"/>
        </w:rPr>
        <w:t>Casualty</w:t>
      </w:r>
      <w:r>
        <w:rPr>
          <w:spacing w:val="-29"/>
          <w:u w:val="single"/>
        </w:rPr>
        <w:t> </w:t>
      </w:r>
      <w:r>
        <w:rPr>
          <w:u w:val="single"/>
        </w:rPr>
        <w:t>Co.</w:t>
      </w:r>
      <w:r>
        <w:rPr/>
        <w:t>,</w:t>
      </w:r>
      <w:r>
        <w:rPr>
          <w:vertAlign w:val="superscript"/>
        </w:rPr>
        <w:t>797</w:t>
      </w:r>
      <w:r>
        <w:rPr>
          <w:spacing w:val="-28"/>
          <w:vertAlign w:val="baseline"/>
        </w:rPr>
        <w:t> </w:t>
      </w:r>
      <w:r>
        <w:rPr>
          <w:vertAlign w:val="baseline"/>
        </w:rPr>
        <w:t>the</w:t>
      </w:r>
      <w:r>
        <w:rPr>
          <w:spacing w:val="-27"/>
          <w:vertAlign w:val="baseline"/>
        </w:rPr>
        <w:t> </w:t>
      </w:r>
      <w:r>
        <w:rPr>
          <w:vertAlign w:val="baseline"/>
        </w:rPr>
        <w:t>Michigan</w:t>
      </w:r>
      <w:r>
        <w:rPr>
          <w:spacing w:val="-24"/>
          <w:vertAlign w:val="baseline"/>
        </w:rPr>
        <w:t> </w:t>
      </w:r>
      <w:r>
        <w:rPr>
          <w:vertAlign w:val="baseline"/>
        </w:rPr>
        <w:t>Court</w:t>
      </w:r>
      <w:r>
        <w:rPr>
          <w:spacing w:val="-28"/>
          <w:vertAlign w:val="baseline"/>
        </w:rPr>
        <w:t> </w:t>
      </w:r>
      <w:r>
        <w:rPr>
          <w:vertAlign w:val="baseline"/>
        </w:rPr>
        <w:t>of</w:t>
      </w:r>
      <w:r>
        <w:rPr>
          <w:spacing w:val="-25"/>
          <w:vertAlign w:val="baseline"/>
        </w:rPr>
        <w:t> </w:t>
      </w:r>
      <w:r>
        <w:rPr>
          <w:spacing w:val="-6"/>
          <w:vertAlign w:val="baseline"/>
        </w:rPr>
        <w:t>Appeals </w:t>
      </w:r>
      <w:r>
        <w:rPr>
          <w:vertAlign w:val="baseline"/>
        </w:rPr>
        <w:t>held</w:t>
      </w:r>
      <w:r>
        <w:rPr>
          <w:spacing w:val="-26"/>
          <w:vertAlign w:val="baseline"/>
        </w:rPr>
        <w:t> </w:t>
      </w:r>
      <w:r>
        <w:rPr>
          <w:vertAlign w:val="baseline"/>
        </w:rPr>
        <w:t>that</w:t>
      </w:r>
      <w:r>
        <w:rPr>
          <w:spacing w:val="-30"/>
          <w:vertAlign w:val="baseline"/>
        </w:rPr>
        <w:t> </w:t>
      </w:r>
      <w:r>
        <w:rPr>
          <w:vertAlign w:val="baseline"/>
        </w:rPr>
        <w:t>“a</w:t>
      </w:r>
      <w:r>
        <w:rPr>
          <w:spacing w:val="-28"/>
          <w:vertAlign w:val="baseline"/>
        </w:rPr>
        <w:t> </w:t>
      </w:r>
      <w:r>
        <w:rPr>
          <w:vertAlign w:val="baseline"/>
        </w:rPr>
        <w:t>contingency-fee</w:t>
      </w:r>
      <w:r>
        <w:rPr>
          <w:spacing w:val="-29"/>
          <w:vertAlign w:val="baseline"/>
        </w:rPr>
        <w:t> </w:t>
      </w:r>
      <w:r>
        <w:rPr>
          <w:vertAlign w:val="baseline"/>
        </w:rPr>
        <w:t>agreement</w:t>
      </w:r>
      <w:r>
        <w:rPr>
          <w:spacing w:val="-31"/>
          <w:vertAlign w:val="baseline"/>
        </w:rPr>
        <w:t> </w:t>
      </w:r>
      <w:r>
        <w:rPr>
          <w:vertAlign w:val="baseline"/>
        </w:rPr>
        <w:t>does not </w:t>
      </w:r>
      <w:r>
        <w:rPr>
          <w:spacing w:val="4"/>
          <w:vertAlign w:val="baseline"/>
        </w:rPr>
        <w:t>prohibit </w:t>
      </w:r>
      <w:r>
        <w:rPr>
          <w:spacing w:val="2"/>
          <w:vertAlign w:val="baseline"/>
        </w:rPr>
        <w:t>an </w:t>
      </w:r>
      <w:r>
        <w:rPr>
          <w:vertAlign w:val="baseline"/>
        </w:rPr>
        <w:t>appraiser from </w:t>
      </w:r>
      <w:r>
        <w:rPr>
          <w:spacing w:val="2"/>
          <w:vertAlign w:val="baseline"/>
        </w:rPr>
        <w:t>being </w:t>
      </w:r>
      <w:r>
        <w:rPr>
          <w:vertAlign w:val="baseline"/>
        </w:rPr>
        <w:t>‘independent’ under MCL 500.2833" but </w:t>
      </w:r>
      <w:r>
        <w:rPr>
          <w:spacing w:val="-4"/>
          <w:vertAlign w:val="baseline"/>
        </w:rPr>
        <w:t>that</w:t>
      </w:r>
      <w:r>
        <w:rPr>
          <w:spacing w:val="63"/>
          <w:vertAlign w:val="baseline"/>
        </w:rPr>
        <w:t> </w:t>
      </w:r>
      <w:r>
        <w:rPr>
          <w:vertAlign w:val="baseline"/>
        </w:rPr>
        <w:t>the opposing party must be made aware of such an agreement. Because the insured’s adjuster was not the insured’s employee or under any legal duty to the insured with the exception</w:t>
      </w:r>
      <w:r>
        <w:rPr>
          <w:spacing w:val="-12"/>
          <w:vertAlign w:val="baseline"/>
        </w:rPr>
        <w:t> </w:t>
      </w:r>
      <w:r>
        <w:rPr>
          <w:vertAlign w:val="baseline"/>
        </w:rPr>
        <w:t>of</w:t>
      </w:r>
      <w:r>
        <w:rPr>
          <w:spacing w:val="-11"/>
          <w:vertAlign w:val="baseline"/>
        </w:rPr>
        <w:t> </w:t>
      </w:r>
      <w:r>
        <w:rPr>
          <w:vertAlign w:val="baseline"/>
        </w:rPr>
        <w:t>the</w:t>
      </w:r>
      <w:r>
        <w:rPr>
          <w:spacing w:val="-13"/>
          <w:vertAlign w:val="baseline"/>
        </w:rPr>
        <w:t> </w:t>
      </w:r>
      <w:r>
        <w:rPr>
          <w:vertAlign w:val="baseline"/>
        </w:rPr>
        <w:t>public-adjusting</w:t>
      </w:r>
      <w:r>
        <w:rPr>
          <w:spacing w:val="-11"/>
          <w:vertAlign w:val="baseline"/>
        </w:rPr>
        <w:t> </w:t>
      </w:r>
      <w:r>
        <w:rPr>
          <w:vertAlign w:val="baseline"/>
        </w:rPr>
        <w:t>contract,</w:t>
      </w:r>
      <w:r>
        <w:rPr>
          <w:spacing w:val="-17"/>
          <w:vertAlign w:val="baseline"/>
        </w:rPr>
        <w:t> </w:t>
      </w:r>
      <w:r>
        <w:rPr>
          <w:vertAlign w:val="baseline"/>
        </w:rPr>
        <w:t>he could be capable of exercising his </w:t>
      </w:r>
      <w:r>
        <w:rPr>
          <w:spacing w:val="-6"/>
          <w:vertAlign w:val="baseline"/>
        </w:rPr>
        <w:t>own </w:t>
      </w:r>
      <w:r>
        <w:rPr>
          <w:vertAlign w:val="baseline"/>
        </w:rPr>
        <w:t>judgment regarding the value of the</w:t>
      </w:r>
      <w:r>
        <w:rPr>
          <w:spacing w:val="-13"/>
          <w:vertAlign w:val="baseline"/>
        </w:rPr>
        <w:t> </w:t>
      </w:r>
      <w:r>
        <w:rPr>
          <w:vertAlign w:val="baseline"/>
        </w:rPr>
        <w:t>loss.</w:t>
      </w:r>
    </w:p>
    <w:p>
      <w:pPr>
        <w:pStyle w:val="BodyText"/>
        <w:spacing w:before="10"/>
        <w:rPr>
          <w:sz w:val="25"/>
        </w:rPr>
      </w:pPr>
    </w:p>
    <w:p>
      <w:pPr>
        <w:pStyle w:val="BodyText"/>
        <w:spacing w:before="1"/>
        <w:ind w:left="2240"/>
      </w:pPr>
      <w:r>
        <w:rPr/>
        <w:t>A similar result was reached in the state of</w:t>
      </w:r>
    </w:p>
    <w:p>
      <w:pPr>
        <w:pStyle w:val="BodyText"/>
        <w:rPr>
          <w:sz w:val="20"/>
        </w:rPr>
      </w:pPr>
    </w:p>
    <w:p>
      <w:pPr>
        <w:pStyle w:val="BodyText"/>
        <w:spacing w:before="4"/>
        <w:rPr>
          <w:sz w:val="14"/>
        </w:rPr>
      </w:pPr>
      <w:r>
        <w:rPr/>
        <w:pict>
          <v:shape style="position:absolute;margin-left:162pt;margin-top:11.214829pt;width:143.9pt;height:.1pt;mso-position-horizontal-relative:page;mso-position-vertical-relative:paragraph;z-index:-251621376;mso-wrap-distance-left:0;mso-wrap-distance-right:0" coordorigin="3240,224" coordsize="2878,0" path="m3240,224l6118,224e" filled="false" stroked="true" strokeweight=".84pt" strokecolor="#000000">
            <v:path arrowok="t"/>
            <v:stroke dashstyle="solid"/>
            <w10:wrap type="topAndBottom"/>
          </v:shape>
        </w:pict>
      </w:r>
    </w:p>
    <w:p>
      <w:pPr>
        <w:pStyle w:val="ListParagraph"/>
        <w:numPr>
          <w:ilvl w:val="0"/>
          <w:numId w:val="7"/>
        </w:numPr>
        <w:tabs>
          <w:tab w:pos="1406" w:val="left" w:leader="none"/>
        </w:tabs>
        <w:spacing w:line="244" w:lineRule="auto" w:before="140" w:after="0"/>
        <w:ind w:left="1160" w:right="1160" w:firstLine="0"/>
        <w:jc w:val="both"/>
        <w:rPr>
          <w:sz w:val="18"/>
        </w:rPr>
      </w:pPr>
      <w:r>
        <w:rPr>
          <w:sz w:val="18"/>
        </w:rPr>
        <w:t>2000</w:t>
      </w:r>
      <w:r>
        <w:rPr>
          <w:spacing w:val="-12"/>
          <w:sz w:val="18"/>
        </w:rPr>
        <w:t> </w:t>
      </w:r>
      <w:r>
        <w:rPr>
          <w:sz w:val="18"/>
        </w:rPr>
        <w:t>Pa.</w:t>
      </w:r>
      <w:r>
        <w:rPr>
          <w:spacing w:val="-16"/>
          <w:sz w:val="18"/>
        </w:rPr>
        <w:t> </w:t>
      </w:r>
      <w:r>
        <w:rPr>
          <w:sz w:val="18"/>
        </w:rPr>
        <w:t>Super.</w:t>
      </w:r>
      <w:r>
        <w:rPr>
          <w:spacing w:val="-16"/>
          <w:sz w:val="18"/>
        </w:rPr>
        <w:t> </w:t>
      </w:r>
      <w:r>
        <w:rPr>
          <w:sz w:val="18"/>
        </w:rPr>
        <w:t>25,</w:t>
      </w:r>
      <w:r>
        <w:rPr>
          <w:spacing w:val="-15"/>
          <w:sz w:val="18"/>
        </w:rPr>
        <w:t> </w:t>
      </w:r>
      <w:r>
        <w:rPr>
          <w:sz w:val="18"/>
        </w:rPr>
        <w:t>745</w:t>
      </w:r>
      <w:r>
        <w:rPr>
          <w:spacing w:val="-14"/>
          <w:sz w:val="18"/>
        </w:rPr>
        <w:t> </w:t>
      </w:r>
      <w:r>
        <w:rPr>
          <w:sz w:val="18"/>
        </w:rPr>
        <w:t>A.2d</w:t>
      </w:r>
      <w:r>
        <w:rPr>
          <w:spacing w:val="-13"/>
          <w:sz w:val="18"/>
        </w:rPr>
        <w:t> </w:t>
      </w:r>
      <w:r>
        <w:rPr>
          <w:sz w:val="18"/>
        </w:rPr>
        <w:t>1261(2000);</w:t>
      </w:r>
      <w:r>
        <w:rPr>
          <w:spacing w:val="-15"/>
          <w:sz w:val="18"/>
        </w:rPr>
        <w:t> </w:t>
      </w:r>
      <w:r>
        <w:rPr>
          <w:i/>
          <w:sz w:val="18"/>
        </w:rPr>
        <w:t>See</w:t>
      </w:r>
      <w:r>
        <w:rPr>
          <w:i/>
          <w:spacing w:val="-17"/>
          <w:sz w:val="18"/>
        </w:rPr>
        <w:t> </w:t>
      </w:r>
      <w:r>
        <w:rPr>
          <w:i/>
          <w:sz w:val="18"/>
        </w:rPr>
        <w:t>also,</w:t>
      </w:r>
      <w:r>
        <w:rPr>
          <w:i/>
          <w:spacing w:val="-14"/>
          <w:sz w:val="18"/>
        </w:rPr>
        <w:t> </w:t>
      </w:r>
      <w:r>
        <w:rPr>
          <w:sz w:val="18"/>
          <w:u w:val="single"/>
        </w:rPr>
        <w:t>Rios</w:t>
      </w:r>
      <w:r>
        <w:rPr>
          <w:spacing w:val="-14"/>
          <w:sz w:val="18"/>
          <w:u w:val="single"/>
        </w:rPr>
        <w:t> </w:t>
      </w:r>
      <w:r>
        <w:rPr>
          <w:sz w:val="18"/>
          <w:u w:val="single"/>
        </w:rPr>
        <w:t>v.</w:t>
      </w:r>
      <w:r>
        <w:rPr>
          <w:spacing w:val="-12"/>
          <w:sz w:val="18"/>
          <w:u w:val="single"/>
        </w:rPr>
        <w:t> </w:t>
      </w:r>
      <w:r>
        <w:rPr>
          <w:sz w:val="18"/>
          <w:u w:val="single"/>
        </w:rPr>
        <w:t>Tri-State</w:t>
      </w:r>
      <w:r>
        <w:rPr>
          <w:spacing w:val="-13"/>
          <w:sz w:val="18"/>
          <w:u w:val="single"/>
        </w:rPr>
        <w:t> </w:t>
      </w:r>
      <w:r>
        <w:rPr>
          <w:sz w:val="18"/>
          <w:u w:val="single"/>
        </w:rPr>
        <w:t>Ins.</w:t>
      </w:r>
      <w:r>
        <w:rPr>
          <w:spacing w:val="-13"/>
          <w:sz w:val="18"/>
          <w:u w:val="single"/>
        </w:rPr>
        <w:t> </w:t>
      </w:r>
      <w:r>
        <w:rPr>
          <w:sz w:val="18"/>
          <w:u w:val="single"/>
        </w:rPr>
        <w:t>Co.</w:t>
      </w:r>
      <w:r>
        <w:rPr>
          <w:sz w:val="18"/>
        </w:rPr>
        <w:t>,</w:t>
      </w:r>
      <w:r>
        <w:rPr>
          <w:spacing w:val="-12"/>
          <w:sz w:val="18"/>
        </w:rPr>
        <w:t> </w:t>
      </w:r>
      <w:r>
        <w:rPr>
          <w:sz w:val="18"/>
        </w:rPr>
        <w:t>714</w:t>
      </w:r>
      <w:r>
        <w:rPr>
          <w:spacing w:val="-11"/>
          <w:sz w:val="18"/>
        </w:rPr>
        <w:t> </w:t>
      </w:r>
      <w:r>
        <w:rPr>
          <w:sz w:val="18"/>
        </w:rPr>
        <w:t>So.2d 547</w:t>
      </w:r>
      <w:r>
        <w:rPr>
          <w:spacing w:val="-9"/>
          <w:sz w:val="18"/>
        </w:rPr>
        <w:t> </w:t>
      </w:r>
      <w:r>
        <w:rPr>
          <w:sz w:val="18"/>
        </w:rPr>
        <w:t>(Fla.</w:t>
      </w:r>
      <w:r>
        <w:rPr>
          <w:spacing w:val="-8"/>
          <w:sz w:val="18"/>
        </w:rPr>
        <w:t> </w:t>
      </w:r>
      <w:r>
        <w:rPr>
          <w:sz w:val="18"/>
        </w:rPr>
        <w:t>3d</w:t>
      </w:r>
      <w:r>
        <w:rPr>
          <w:spacing w:val="-8"/>
          <w:sz w:val="18"/>
        </w:rPr>
        <w:t> </w:t>
      </w:r>
      <w:r>
        <w:rPr>
          <w:sz w:val="18"/>
        </w:rPr>
        <w:t>DCA</w:t>
      </w:r>
      <w:r>
        <w:rPr>
          <w:spacing w:val="-10"/>
          <w:sz w:val="18"/>
        </w:rPr>
        <w:t> </w:t>
      </w:r>
      <w:r>
        <w:rPr>
          <w:sz w:val="18"/>
        </w:rPr>
        <w:t>1998);</w:t>
      </w:r>
      <w:r>
        <w:rPr>
          <w:spacing w:val="-7"/>
          <w:sz w:val="18"/>
        </w:rPr>
        <w:t> </w:t>
      </w:r>
      <w:r>
        <w:rPr>
          <w:sz w:val="18"/>
          <w:u w:val="single"/>
        </w:rPr>
        <w:t>Central</w:t>
      </w:r>
      <w:r>
        <w:rPr>
          <w:spacing w:val="-7"/>
          <w:sz w:val="18"/>
          <w:u w:val="single"/>
        </w:rPr>
        <w:t> </w:t>
      </w:r>
      <w:r>
        <w:rPr>
          <w:sz w:val="18"/>
          <w:u w:val="single"/>
        </w:rPr>
        <w:t>Life</w:t>
      </w:r>
      <w:r>
        <w:rPr>
          <w:spacing w:val="-8"/>
          <w:sz w:val="18"/>
          <w:u w:val="single"/>
        </w:rPr>
        <w:t> </w:t>
      </w:r>
      <w:r>
        <w:rPr>
          <w:sz w:val="18"/>
          <w:u w:val="single"/>
        </w:rPr>
        <w:t>Ins.</w:t>
      </w:r>
      <w:r>
        <w:rPr>
          <w:spacing w:val="-7"/>
          <w:sz w:val="18"/>
          <w:u w:val="single"/>
        </w:rPr>
        <w:t> </w:t>
      </w:r>
      <w:r>
        <w:rPr>
          <w:sz w:val="18"/>
          <w:u w:val="single"/>
        </w:rPr>
        <w:t>v.</w:t>
      </w:r>
      <w:r>
        <w:rPr>
          <w:spacing w:val="-6"/>
          <w:sz w:val="18"/>
          <w:u w:val="single"/>
        </w:rPr>
        <w:t> </w:t>
      </w:r>
      <w:r>
        <w:rPr>
          <w:sz w:val="18"/>
          <w:u w:val="single"/>
        </w:rPr>
        <w:t>Aetna</w:t>
      </w:r>
      <w:r>
        <w:rPr>
          <w:spacing w:val="-8"/>
          <w:sz w:val="18"/>
          <w:u w:val="single"/>
        </w:rPr>
        <w:t> </w:t>
      </w:r>
      <w:r>
        <w:rPr>
          <w:sz w:val="18"/>
          <w:u w:val="single"/>
        </w:rPr>
        <w:t>Cas.&amp;</w:t>
      </w:r>
      <w:r>
        <w:rPr>
          <w:spacing w:val="-11"/>
          <w:sz w:val="18"/>
          <w:u w:val="single"/>
        </w:rPr>
        <w:t> </w:t>
      </w:r>
      <w:r>
        <w:rPr>
          <w:sz w:val="18"/>
          <w:u w:val="single"/>
        </w:rPr>
        <w:t>Sur.</w:t>
      </w:r>
      <w:r>
        <w:rPr>
          <w:spacing w:val="-9"/>
          <w:sz w:val="18"/>
          <w:u w:val="single"/>
        </w:rPr>
        <w:t> </w:t>
      </w:r>
      <w:r>
        <w:rPr>
          <w:sz w:val="18"/>
          <w:u w:val="single"/>
        </w:rPr>
        <w:t>Co.</w:t>
      </w:r>
      <w:r>
        <w:rPr>
          <w:sz w:val="18"/>
        </w:rPr>
        <w:t>,</w:t>
      </w:r>
      <w:r>
        <w:rPr>
          <w:spacing w:val="-8"/>
          <w:sz w:val="18"/>
        </w:rPr>
        <w:t> </w:t>
      </w:r>
      <w:r>
        <w:rPr>
          <w:sz w:val="18"/>
        </w:rPr>
        <w:t>468</w:t>
      </w:r>
      <w:r>
        <w:rPr>
          <w:spacing w:val="-9"/>
          <w:sz w:val="18"/>
        </w:rPr>
        <w:t> </w:t>
      </w:r>
      <w:r>
        <w:rPr>
          <w:sz w:val="18"/>
        </w:rPr>
        <w:t>N.W.2d</w:t>
      </w:r>
      <w:r>
        <w:rPr>
          <w:spacing w:val="-7"/>
          <w:sz w:val="18"/>
        </w:rPr>
        <w:t> </w:t>
      </w:r>
      <w:r>
        <w:rPr>
          <w:sz w:val="18"/>
        </w:rPr>
        <w:t>257</w:t>
      </w:r>
      <w:r>
        <w:rPr>
          <w:spacing w:val="-8"/>
          <w:sz w:val="18"/>
        </w:rPr>
        <w:t> </w:t>
      </w:r>
      <w:r>
        <w:rPr>
          <w:sz w:val="18"/>
        </w:rPr>
        <w:t>(Iowa 1991); </w:t>
      </w:r>
      <w:r>
        <w:rPr>
          <w:sz w:val="18"/>
          <w:u w:val="single"/>
        </w:rPr>
        <w:t>White v. State Farm Fire &amp; Cas. Co.</w:t>
      </w:r>
      <w:r>
        <w:rPr>
          <w:sz w:val="18"/>
        </w:rPr>
        <w:t>, 2011 WL 3208140 (Mich.App</w:t>
      </w:r>
      <w:r>
        <w:rPr>
          <w:spacing w:val="6"/>
          <w:sz w:val="18"/>
        </w:rPr>
        <w:t> </w:t>
      </w:r>
      <w:r>
        <w:rPr>
          <w:sz w:val="18"/>
        </w:rPr>
        <w:t>2011).</w:t>
      </w:r>
    </w:p>
    <w:p>
      <w:pPr>
        <w:spacing w:line="206" w:lineRule="exact" w:before="0"/>
        <w:ind w:left="1160" w:right="0" w:firstLine="0"/>
        <w:jc w:val="both"/>
        <w:rPr>
          <w:rFonts w:ascii="Times New Roman"/>
          <w:sz w:val="18"/>
        </w:rPr>
      </w:pPr>
      <w:r>
        <w:rPr>
          <w:rFonts w:ascii="Times New Roman"/>
          <w:position w:val="9"/>
          <w:sz w:val="14"/>
        </w:rPr>
        <w:t>797 </w:t>
      </w:r>
      <w:r>
        <w:rPr>
          <w:rFonts w:ascii="Times New Roman"/>
          <w:sz w:val="18"/>
        </w:rPr>
        <w:t>2011 WL 3208150 (Mich.App 2011.)</w:t>
      </w:r>
    </w:p>
    <w:p>
      <w:pPr>
        <w:spacing w:after="0" w:line="206" w:lineRule="exact"/>
        <w:jc w:val="both"/>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9"/>
        <w:jc w:val="both"/>
      </w:pPr>
      <w:bookmarkStart w:name="Law and Procedure 379" w:id="46"/>
      <w:bookmarkEnd w:id="46"/>
      <w:r>
        <w:rPr/>
      </w:r>
      <w:r>
        <w:rPr/>
        <w:t>Florida where an appraiser was considered competent</w:t>
      </w:r>
      <w:r>
        <w:rPr>
          <w:spacing w:val="-15"/>
        </w:rPr>
        <w:t> </w:t>
      </w:r>
      <w:r>
        <w:rPr/>
        <w:t>despite</w:t>
      </w:r>
      <w:r>
        <w:rPr>
          <w:spacing w:val="-14"/>
        </w:rPr>
        <w:t> </w:t>
      </w:r>
      <w:r>
        <w:rPr/>
        <w:t>working</w:t>
      </w:r>
      <w:r>
        <w:rPr>
          <w:spacing w:val="-14"/>
        </w:rPr>
        <w:t> </w:t>
      </w:r>
      <w:r>
        <w:rPr/>
        <w:t>on</w:t>
      </w:r>
      <w:r>
        <w:rPr>
          <w:spacing w:val="-13"/>
        </w:rPr>
        <w:t> </w:t>
      </w:r>
      <w:r>
        <w:rPr/>
        <w:t>a</w:t>
      </w:r>
      <w:r>
        <w:rPr>
          <w:spacing w:val="-13"/>
        </w:rPr>
        <w:t> </w:t>
      </w:r>
      <w:r>
        <w:rPr/>
        <w:t>contingency basis.</w:t>
      </w:r>
      <w:r>
        <w:rPr>
          <w:vertAlign w:val="superscript"/>
        </w:rPr>
        <w:t>798</w:t>
      </w:r>
    </w:p>
    <w:p>
      <w:pPr>
        <w:pStyle w:val="BodyText"/>
        <w:spacing w:before="1"/>
      </w:pPr>
    </w:p>
    <w:p>
      <w:pPr>
        <w:pStyle w:val="BodyText"/>
        <w:spacing w:line="242" w:lineRule="auto"/>
        <w:ind w:left="1520" w:right="1518" w:firstLine="720"/>
        <w:jc w:val="both"/>
      </w:pPr>
      <w:r>
        <w:rPr>
          <w:spacing w:val="3"/>
        </w:rPr>
        <w:t>In </w:t>
      </w:r>
      <w:r>
        <w:rPr/>
        <w:t>Georgia, it has been held that where the Declaration of Appraisers concluded the “appraisers are impartial, independent</w:t>
      </w:r>
      <w:r>
        <w:rPr>
          <w:spacing w:val="61"/>
        </w:rPr>
        <w:t> </w:t>
      </w:r>
      <w:r>
        <w:rPr/>
        <w:t>and competent”</w:t>
      </w:r>
      <w:r>
        <w:rPr>
          <w:spacing w:val="-36"/>
        </w:rPr>
        <w:t> </w:t>
      </w:r>
      <w:r>
        <w:rPr/>
        <w:t>and</w:t>
      </w:r>
      <w:r>
        <w:rPr>
          <w:spacing w:val="-31"/>
        </w:rPr>
        <w:t> </w:t>
      </w:r>
      <w:r>
        <w:rPr/>
        <w:t>where</w:t>
      </w:r>
      <w:r>
        <w:rPr>
          <w:spacing w:val="-32"/>
        </w:rPr>
        <w:t> </w:t>
      </w:r>
      <w:r>
        <w:rPr/>
        <w:t>the</w:t>
      </w:r>
      <w:r>
        <w:rPr>
          <w:spacing w:val="-32"/>
        </w:rPr>
        <w:t> </w:t>
      </w:r>
      <w:r>
        <w:rPr/>
        <w:t>insured’s</w:t>
      </w:r>
      <w:r>
        <w:rPr>
          <w:spacing w:val="-31"/>
        </w:rPr>
        <w:t> </w:t>
      </w:r>
      <w:r>
        <w:rPr/>
        <w:t>appraiser had</w:t>
      </w:r>
      <w:r>
        <w:rPr>
          <w:spacing w:val="-15"/>
        </w:rPr>
        <w:t> </w:t>
      </w:r>
      <w:r>
        <w:rPr/>
        <w:t>disclosed</w:t>
      </w:r>
      <w:r>
        <w:rPr>
          <w:spacing w:val="-13"/>
        </w:rPr>
        <w:t> </w:t>
      </w:r>
      <w:r>
        <w:rPr/>
        <w:t>a</w:t>
      </w:r>
      <w:r>
        <w:rPr>
          <w:spacing w:val="-15"/>
        </w:rPr>
        <w:t> </w:t>
      </w:r>
      <w:r>
        <w:rPr/>
        <w:t>percentage</w:t>
      </w:r>
      <w:r>
        <w:rPr>
          <w:spacing w:val="-11"/>
        </w:rPr>
        <w:t> </w:t>
      </w:r>
      <w:r>
        <w:rPr/>
        <w:t>fee</w:t>
      </w:r>
      <w:r>
        <w:rPr>
          <w:spacing w:val="-13"/>
        </w:rPr>
        <w:t> </w:t>
      </w:r>
      <w:r>
        <w:rPr/>
        <w:t>interest</w:t>
      </w:r>
      <w:r>
        <w:rPr>
          <w:spacing w:val="-15"/>
        </w:rPr>
        <w:t> </w:t>
      </w:r>
      <w:r>
        <w:rPr/>
        <w:t>in</w:t>
      </w:r>
      <w:r>
        <w:rPr>
          <w:spacing w:val="-12"/>
        </w:rPr>
        <w:t> </w:t>
      </w:r>
      <w:r>
        <w:rPr/>
        <w:t>the claim, the insurer could not later void the award based upon a claim of</w:t>
      </w:r>
      <w:r>
        <w:rPr>
          <w:spacing w:val="-8"/>
        </w:rPr>
        <w:t> </w:t>
      </w:r>
      <w:r>
        <w:rPr/>
        <w:t>partiality.</w:t>
      </w:r>
      <w:r>
        <w:rPr>
          <w:vertAlign w:val="superscript"/>
        </w:rPr>
        <w:t>799</w:t>
      </w:r>
    </w:p>
    <w:p>
      <w:pPr>
        <w:pStyle w:val="BodyText"/>
      </w:pPr>
    </w:p>
    <w:p>
      <w:pPr>
        <w:pStyle w:val="BodyText"/>
        <w:spacing w:line="242" w:lineRule="auto" w:before="1"/>
        <w:ind w:left="1520" w:right="1518" w:firstLine="720"/>
        <w:jc w:val="both"/>
      </w:pPr>
      <w:r>
        <w:rPr/>
        <w:t>However, where the policy required a “competent and impartial appraiser,” a </w:t>
      </w:r>
      <w:r>
        <w:rPr>
          <w:spacing w:val="-4"/>
        </w:rPr>
        <w:t>fee </w:t>
      </w:r>
      <w:r>
        <w:rPr/>
        <w:t>agreement which quoted an hourly rate but also included an alternative percentage of recovery formula which increases as the money recovered from the insurer increases disqualified the appraiser. </w:t>
      </w:r>
      <w:r>
        <w:rPr>
          <w:spacing w:val="3"/>
        </w:rPr>
        <w:t>In </w:t>
      </w:r>
      <w:r>
        <w:rPr/>
        <w:t>this Louisiana matter</w:t>
      </w:r>
      <w:r>
        <w:rPr>
          <w:spacing w:val="-16"/>
        </w:rPr>
        <w:t> </w:t>
      </w:r>
      <w:r>
        <w:rPr/>
        <w:t>growing</w:t>
      </w:r>
      <w:r>
        <w:rPr>
          <w:spacing w:val="-12"/>
        </w:rPr>
        <w:t> </w:t>
      </w:r>
      <w:r>
        <w:rPr/>
        <w:t>out</w:t>
      </w:r>
      <w:r>
        <w:rPr>
          <w:spacing w:val="-14"/>
        </w:rPr>
        <w:t> </w:t>
      </w:r>
      <w:r>
        <w:rPr/>
        <w:t>of</w:t>
      </w:r>
      <w:r>
        <w:rPr>
          <w:spacing w:val="-13"/>
        </w:rPr>
        <w:t> </w:t>
      </w:r>
      <w:r>
        <w:rPr/>
        <w:t>Hurricane</w:t>
      </w:r>
      <w:r>
        <w:rPr>
          <w:spacing w:val="-15"/>
        </w:rPr>
        <w:t> </w:t>
      </w:r>
      <w:r>
        <w:rPr/>
        <w:t>Katrina,</w:t>
      </w:r>
      <w:r>
        <w:rPr>
          <w:spacing w:val="-18"/>
        </w:rPr>
        <w:t> </w:t>
      </w:r>
      <w:r>
        <w:rPr/>
        <w:t>it</w:t>
      </w:r>
      <w:r>
        <w:rPr>
          <w:spacing w:val="-17"/>
        </w:rPr>
        <w:t> </w:t>
      </w:r>
      <w:r>
        <w:rPr/>
        <w:t>was held</w:t>
      </w:r>
      <w:r>
        <w:rPr>
          <w:spacing w:val="-30"/>
        </w:rPr>
        <w:t> </w:t>
      </w:r>
      <w:r>
        <w:rPr/>
        <w:t>that</w:t>
      </w:r>
      <w:r>
        <w:rPr>
          <w:spacing w:val="-30"/>
        </w:rPr>
        <w:t> </w:t>
      </w:r>
      <w:r>
        <w:rPr/>
        <w:t>such</w:t>
      </w:r>
      <w:r>
        <w:rPr>
          <w:spacing w:val="-31"/>
        </w:rPr>
        <w:t> </w:t>
      </w:r>
      <w:r>
        <w:rPr/>
        <w:t>a</w:t>
      </w:r>
      <w:r>
        <w:rPr>
          <w:spacing w:val="-30"/>
        </w:rPr>
        <w:t> </w:t>
      </w:r>
      <w:r>
        <w:rPr/>
        <w:t>contract</w:t>
      </w:r>
      <w:r>
        <w:rPr>
          <w:spacing w:val="-30"/>
        </w:rPr>
        <w:t> </w:t>
      </w:r>
      <w:r>
        <w:rPr/>
        <w:t>impermissibly</w:t>
      </w:r>
      <w:r>
        <w:rPr>
          <w:spacing w:val="-31"/>
        </w:rPr>
        <w:t> </w:t>
      </w:r>
      <w:r>
        <w:rPr/>
        <w:t>renders the appraiser a partial and interested </w:t>
      </w:r>
      <w:r>
        <w:rPr>
          <w:spacing w:val="-6"/>
        </w:rPr>
        <w:t>party.</w:t>
      </w:r>
      <w:r>
        <w:rPr>
          <w:spacing w:val="-6"/>
          <w:vertAlign w:val="superscript"/>
        </w:rPr>
        <w:t>800</w:t>
      </w:r>
      <w:r>
        <w:rPr>
          <w:spacing w:val="-6"/>
          <w:vertAlign w:val="baseline"/>
        </w:rPr>
        <w:t> </w:t>
      </w:r>
      <w:r>
        <w:rPr>
          <w:vertAlign w:val="baseline"/>
        </w:rPr>
        <w:t>A similar result was seen in Indiana where an award was set</w:t>
      </w:r>
      <w:r>
        <w:rPr>
          <w:spacing w:val="-4"/>
          <w:vertAlign w:val="baseline"/>
        </w:rPr>
        <w:t> </w:t>
      </w:r>
      <w:r>
        <w:rPr>
          <w:vertAlign w:val="baseline"/>
        </w:rPr>
        <w:t>aside.</w:t>
      </w:r>
      <w:r>
        <w:rPr>
          <w:vertAlign w:val="superscript"/>
        </w:rPr>
        <w:t>801</w:t>
      </w:r>
    </w:p>
    <w:p>
      <w:pPr>
        <w:pStyle w:val="BodyText"/>
        <w:rPr>
          <w:sz w:val="20"/>
        </w:rPr>
      </w:pPr>
    </w:p>
    <w:p>
      <w:pPr>
        <w:pStyle w:val="BodyText"/>
        <w:rPr>
          <w:sz w:val="20"/>
        </w:rPr>
      </w:pPr>
    </w:p>
    <w:p>
      <w:pPr>
        <w:pStyle w:val="BodyText"/>
        <w:spacing w:before="6"/>
        <w:rPr>
          <w:sz w:val="23"/>
        </w:rPr>
      </w:pPr>
      <w:r>
        <w:rPr/>
        <w:pict>
          <v:shape style="position:absolute;margin-left:162pt;margin-top:16.825937pt;width:143.9pt;height:.1pt;mso-position-horizontal-relative:page;mso-position-vertical-relative:paragraph;z-index:-251620352;mso-wrap-distance-left:0;mso-wrap-distance-right:0" coordorigin="3240,337" coordsize="2878,0" path="m3240,337l6118,337e" filled="false" stroked="true" strokeweight=".84pt" strokecolor="#000000">
            <v:path arrowok="t"/>
            <v:stroke dashstyle="solid"/>
            <w10:wrap type="topAndBottom"/>
          </v:shape>
        </w:pict>
      </w:r>
    </w:p>
    <w:p>
      <w:pPr>
        <w:pStyle w:val="BodyText"/>
        <w:spacing w:before="4"/>
        <w:rPr>
          <w:sz w:val="10"/>
        </w:rPr>
      </w:pPr>
    </w:p>
    <w:p>
      <w:pPr>
        <w:spacing w:line="254" w:lineRule="auto" w:before="71"/>
        <w:ind w:left="1160" w:right="1163" w:firstLine="0"/>
        <w:jc w:val="both"/>
        <w:rPr>
          <w:rFonts w:ascii="Times New Roman"/>
          <w:sz w:val="18"/>
        </w:rPr>
      </w:pPr>
      <w:r>
        <w:rPr>
          <w:rFonts w:ascii="Times New Roman"/>
          <w:position w:val="10"/>
          <w:sz w:val="14"/>
        </w:rPr>
        <w:t>798</w:t>
      </w:r>
      <w:r>
        <w:rPr>
          <w:rFonts w:ascii="Times New Roman"/>
          <w:spacing w:val="11"/>
          <w:sz w:val="14"/>
        </w:rPr>
        <w:t> </w:t>
      </w:r>
      <w:r>
        <w:rPr>
          <w:rFonts w:ascii="Times New Roman"/>
          <w:sz w:val="18"/>
          <w:u w:val="single"/>
        </w:rPr>
        <w:t>Citizens</w:t>
      </w:r>
      <w:r>
        <w:rPr>
          <w:rFonts w:ascii="Times New Roman"/>
          <w:spacing w:val="-14"/>
          <w:sz w:val="18"/>
          <w:u w:val="single"/>
        </w:rPr>
        <w:t> </w:t>
      </w:r>
      <w:r>
        <w:rPr>
          <w:rFonts w:ascii="Times New Roman"/>
          <w:sz w:val="18"/>
          <w:u w:val="single"/>
        </w:rPr>
        <w:t>Prop.</w:t>
      </w:r>
      <w:r>
        <w:rPr>
          <w:rFonts w:ascii="Times New Roman"/>
          <w:spacing w:val="-14"/>
          <w:sz w:val="18"/>
          <w:u w:val="single"/>
        </w:rPr>
        <w:t> </w:t>
      </w:r>
      <w:r>
        <w:rPr>
          <w:rFonts w:ascii="Times New Roman"/>
          <w:sz w:val="18"/>
          <w:u w:val="single"/>
        </w:rPr>
        <w:t>Ins.</w:t>
      </w:r>
      <w:r>
        <w:rPr>
          <w:rFonts w:ascii="Times New Roman"/>
          <w:spacing w:val="-13"/>
          <w:sz w:val="18"/>
          <w:u w:val="single"/>
        </w:rPr>
        <w:t> </w:t>
      </w:r>
      <w:r>
        <w:rPr>
          <w:rFonts w:ascii="Times New Roman"/>
          <w:sz w:val="18"/>
          <w:u w:val="single"/>
        </w:rPr>
        <w:t>Corp.</w:t>
      </w:r>
      <w:r>
        <w:rPr>
          <w:rFonts w:ascii="Times New Roman"/>
          <w:spacing w:val="-12"/>
          <w:sz w:val="18"/>
          <w:u w:val="single"/>
        </w:rPr>
        <w:t> </w:t>
      </w:r>
      <w:r>
        <w:rPr>
          <w:rFonts w:ascii="Times New Roman"/>
          <w:sz w:val="18"/>
          <w:u w:val="single"/>
        </w:rPr>
        <w:t>v.</w:t>
      </w:r>
      <w:r>
        <w:rPr>
          <w:rFonts w:ascii="Times New Roman"/>
          <w:spacing w:val="-10"/>
          <w:sz w:val="18"/>
          <w:u w:val="single"/>
        </w:rPr>
        <w:t> </w:t>
      </w:r>
      <w:r>
        <w:rPr>
          <w:rFonts w:ascii="Times New Roman"/>
          <w:sz w:val="18"/>
          <w:u w:val="single"/>
        </w:rPr>
        <w:t>M.A.</w:t>
      </w:r>
      <w:r>
        <w:rPr>
          <w:rFonts w:ascii="Times New Roman"/>
          <w:spacing w:val="-10"/>
          <w:sz w:val="18"/>
          <w:u w:val="single"/>
        </w:rPr>
        <w:t> </w:t>
      </w:r>
      <w:r>
        <w:rPr>
          <w:rFonts w:ascii="Times New Roman"/>
          <w:sz w:val="18"/>
          <w:u w:val="single"/>
        </w:rPr>
        <w:t>&amp;</w:t>
      </w:r>
      <w:r>
        <w:rPr>
          <w:rFonts w:ascii="Times New Roman"/>
          <w:spacing w:val="-13"/>
          <w:sz w:val="18"/>
          <w:u w:val="single"/>
        </w:rPr>
        <w:t> </w:t>
      </w:r>
      <w:r>
        <w:rPr>
          <w:rFonts w:ascii="Times New Roman"/>
          <w:sz w:val="18"/>
          <w:u w:val="single"/>
        </w:rPr>
        <w:t>F.M.</w:t>
      </w:r>
      <w:r>
        <w:rPr>
          <w:rFonts w:ascii="Times New Roman"/>
          <w:spacing w:val="-8"/>
          <w:sz w:val="18"/>
          <w:u w:val="single"/>
        </w:rPr>
        <w:t> </w:t>
      </w:r>
      <w:r>
        <w:rPr>
          <w:rFonts w:ascii="Times New Roman"/>
          <w:sz w:val="18"/>
          <w:u w:val="single"/>
        </w:rPr>
        <w:t>Prop.,</w:t>
      </w:r>
      <w:r>
        <w:rPr>
          <w:rFonts w:ascii="Times New Roman"/>
          <w:spacing w:val="-13"/>
          <w:sz w:val="18"/>
          <w:u w:val="single"/>
        </w:rPr>
        <w:t> </w:t>
      </w:r>
      <w:r>
        <w:rPr>
          <w:rFonts w:ascii="Times New Roman"/>
          <w:sz w:val="18"/>
          <w:u w:val="single"/>
        </w:rPr>
        <w:t>Ltd.</w:t>
      </w:r>
      <w:r>
        <w:rPr>
          <w:rFonts w:ascii="Times New Roman"/>
          <w:sz w:val="18"/>
        </w:rPr>
        <w:t>,</w:t>
      </w:r>
      <w:r>
        <w:rPr>
          <w:rFonts w:ascii="Times New Roman"/>
          <w:spacing w:val="-12"/>
          <w:sz w:val="18"/>
        </w:rPr>
        <w:t> </w:t>
      </w:r>
      <w:r>
        <w:rPr>
          <w:rFonts w:ascii="Times New Roman"/>
          <w:sz w:val="18"/>
        </w:rPr>
        <w:t>948</w:t>
      </w:r>
      <w:r>
        <w:rPr>
          <w:rFonts w:ascii="Times New Roman"/>
          <w:spacing w:val="-13"/>
          <w:sz w:val="18"/>
        </w:rPr>
        <w:t> </w:t>
      </w:r>
      <w:r>
        <w:rPr>
          <w:rFonts w:ascii="Times New Roman"/>
          <w:sz w:val="18"/>
        </w:rPr>
        <w:t>So.2d</w:t>
      </w:r>
      <w:r>
        <w:rPr>
          <w:rFonts w:ascii="Times New Roman"/>
          <w:spacing w:val="-13"/>
          <w:sz w:val="18"/>
        </w:rPr>
        <w:t> </w:t>
      </w:r>
      <w:r>
        <w:rPr>
          <w:rFonts w:ascii="Times New Roman"/>
          <w:sz w:val="18"/>
        </w:rPr>
        <w:t>1017,</w:t>
      </w:r>
      <w:r>
        <w:rPr>
          <w:rFonts w:ascii="Times New Roman"/>
          <w:spacing w:val="-13"/>
          <w:sz w:val="18"/>
        </w:rPr>
        <w:t> </w:t>
      </w:r>
      <w:r>
        <w:rPr>
          <w:rFonts w:ascii="Times New Roman"/>
          <w:sz w:val="18"/>
        </w:rPr>
        <w:t>32</w:t>
      </w:r>
      <w:r>
        <w:rPr>
          <w:rFonts w:ascii="Times New Roman"/>
          <w:spacing w:val="-14"/>
          <w:sz w:val="18"/>
        </w:rPr>
        <w:t> </w:t>
      </w:r>
      <w:r>
        <w:rPr>
          <w:rFonts w:ascii="Times New Roman"/>
          <w:sz w:val="18"/>
        </w:rPr>
        <w:t>Fla.</w:t>
      </w:r>
      <w:r>
        <w:rPr>
          <w:rFonts w:ascii="Times New Roman"/>
          <w:spacing w:val="-12"/>
          <w:sz w:val="18"/>
        </w:rPr>
        <w:t> </w:t>
      </w:r>
      <w:r>
        <w:rPr>
          <w:rFonts w:ascii="Times New Roman"/>
          <w:sz w:val="18"/>
        </w:rPr>
        <w:t>L.</w:t>
      </w:r>
      <w:r>
        <w:rPr>
          <w:rFonts w:ascii="Times New Roman"/>
          <w:spacing w:val="-14"/>
          <w:sz w:val="18"/>
        </w:rPr>
        <w:t> </w:t>
      </w:r>
      <w:r>
        <w:rPr>
          <w:rFonts w:ascii="Times New Roman"/>
          <w:sz w:val="18"/>
        </w:rPr>
        <w:t>Weekly D537 (Fla. App. 3 Dist. 2007); </w:t>
      </w:r>
      <w:r>
        <w:rPr>
          <w:rFonts w:ascii="Times New Roman"/>
          <w:sz w:val="18"/>
          <w:u w:val="single"/>
        </w:rPr>
        <w:t>Galvis v. Allstate Ins. Co.</w:t>
      </w:r>
      <w:r>
        <w:rPr>
          <w:rFonts w:ascii="Times New Roman"/>
          <w:sz w:val="18"/>
        </w:rPr>
        <w:t>, 721 So.2d 421 (Fla. Dist. Ct. App. 3d Dist. 1998); </w:t>
      </w:r>
      <w:r>
        <w:rPr>
          <w:rFonts w:ascii="Times New Roman"/>
          <w:sz w:val="18"/>
          <w:u w:val="single"/>
        </w:rPr>
        <w:t>Rios v. Tri-State Ins. Co.</w:t>
      </w:r>
      <w:r>
        <w:rPr>
          <w:rFonts w:ascii="Times New Roman"/>
          <w:sz w:val="18"/>
        </w:rPr>
        <w:t>, 714 So.2d 547 (Fla. 3d DCA</w:t>
      </w:r>
      <w:r>
        <w:rPr>
          <w:rFonts w:ascii="Times New Roman"/>
          <w:spacing w:val="12"/>
          <w:sz w:val="18"/>
        </w:rPr>
        <w:t> </w:t>
      </w:r>
      <w:r>
        <w:rPr>
          <w:rFonts w:ascii="Times New Roman"/>
          <w:sz w:val="18"/>
        </w:rPr>
        <w:t>1998).</w:t>
      </w:r>
    </w:p>
    <w:p>
      <w:pPr>
        <w:spacing w:line="267" w:lineRule="exact" w:before="0"/>
        <w:ind w:left="1160" w:right="0" w:firstLine="0"/>
        <w:jc w:val="both"/>
        <w:rPr>
          <w:rFonts w:ascii="Times New Roman"/>
          <w:sz w:val="24"/>
        </w:rPr>
      </w:pPr>
      <w:r>
        <w:rPr>
          <w:rFonts w:ascii="Times New Roman"/>
          <w:position w:val="10"/>
          <w:sz w:val="14"/>
        </w:rPr>
        <w:t>799 </w:t>
      </w:r>
      <w:r>
        <w:rPr>
          <w:rFonts w:ascii="Times New Roman"/>
          <w:sz w:val="18"/>
          <w:u w:val="single"/>
        </w:rPr>
        <w:t>Colony Ins. Co. v. 9400 Abercorn, LLC</w:t>
      </w:r>
      <w:r>
        <w:rPr>
          <w:rFonts w:ascii="Times New Roman"/>
          <w:sz w:val="18"/>
        </w:rPr>
        <w:t>, 2012 WL 3985088 (S.D.Ga. 2012)</w:t>
      </w:r>
      <w:r>
        <w:rPr>
          <w:rFonts w:ascii="Times New Roman"/>
          <w:sz w:val="24"/>
        </w:rPr>
        <w:t>.</w:t>
      </w:r>
    </w:p>
    <w:p>
      <w:pPr>
        <w:spacing w:line="261" w:lineRule="auto" w:before="1"/>
        <w:ind w:left="1160" w:right="1162" w:firstLine="0"/>
        <w:jc w:val="both"/>
        <w:rPr>
          <w:rFonts w:ascii="Times New Roman" w:hAnsi="Times New Roman"/>
          <w:sz w:val="18"/>
        </w:rPr>
      </w:pPr>
      <w:r>
        <w:rPr>
          <w:rFonts w:ascii="Times New Roman" w:hAnsi="Times New Roman"/>
          <w:position w:val="10"/>
          <w:sz w:val="14"/>
        </w:rPr>
        <w:t>800</w:t>
      </w:r>
      <w:r>
        <w:rPr>
          <w:rFonts w:ascii="Times New Roman" w:hAnsi="Times New Roman"/>
          <w:sz w:val="14"/>
        </w:rPr>
        <w:t> </w:t>
      </w:r>
      <w:r>
        <w:rPr>
          <w:rFonts w:ascii="Times New Roman" w:hAnsi="Times New Roman"/>
          <w:sz w:val="18"/>
          <w:u w:val="single"/>
        </w:rPr>
        <w:t>Chardonnay Village Condominium Ass’n, Inc. v. James River Ins. Co.</w:t>
      </w:r>
      <w:r>
        <w:rPr>
          <w:rFonts w:ascii="Times New Roman" w:hAnsi="Times New Roman"/>
          <w:sz w:val="18"/>
        </w:rPr>
        <w:t>, 2008 WL 3285908 (E.D. La. 2008).</w:t>
      </w:r>
    </w:p>
    <w:p>
      <w:pPr>
        <w:spacing w:line="263" w:lineRule="exact" w:before="0"/>
        <w:ind w:left="1160" w:right="0" w:firstLine="0"/>
        <w:jc w:val="both"/>
        <w:rPr>
          <w:rFonts w:ascii="Times New Roman"/>
          <w:sz w:val="24"/>
        </w:rPr>
      </w:pPr>
      <w:r>
        <w:rPr>
          <w:rFonts w:ascii="Times New Roman"/>
          <w:position w:val="10"/>
          <w:sz w:val="14"/>
        </w:rPr>
        <w:t>801</w:t>
      </w:r>
      <w:r>
        <w:rPr>
          <w:rFonts w:ascii="Times New Roman"/>
          <w:sz w:val="18"/>
          <w:u w:val="single"/>
        </w:rPr>
        <w:t>Shree Hari Hotels, LLC V. Society Ins.</w:t>
      </w:r>
      <w:r>
        <w:rPr>
          <w:rFonts w:ascii="Times New Roman"/>
          <w:sz w:val="18"/>
        </w:rPr>
        <w:t>, 2013 WL 4777212 (S.D. Ind. 2013)</w:t>
      </w:r>
      <w:r>
        <w:rPr>
          <w:rFonts w:ascii="Times New Roman"/>
          <w:sz w:val="24"/>
        </w:rPr>
        <w:t>.</w:t>
      </w:r>
    </w:p>
    <w:p>
      <w:pPr>
        <w:spacing w:after="0" w:line="263" w:lineRule="exact"/>
        <w:jc w:val="both"/>
        <w:rPr>
          <w:rFonts w:ascii="Times New Roman"/>
          <w:sz w:val="24"/>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9" w:firstLine="720"/>
        <w:jc w:val="both"/>
      </w:pPr>
      <w:bookmarkStart w:name="Law and Procedure 380" w:id="47"/>
      <w:bookmarkEnd w:id="47"/>
      <w:r>
        <w:rPr/>
      </w:r>
      <w:r>
        <w:rPr/>
        <w:t>For a further discussion of </w:t>
      </w:r>
      <w:r>
        <w:rPr>
          <w:spacing w:val="-6"/>
        </w:rPr>
        <w:t>the </w:t>
      </w:r>
      <w:r>
        <w:rPr/>
        <w:t>appropriateness of certain types of fee arrangements,</w:t>
      </w:r>
      <w:r>
        <w:rPr>
          <w:spacing w:val="-38"/>
        </w:rPr>
        <w:t> </w:t>
      </w:r>
      <w:r>
        <w:rPr/>
        <w:t>see</w:t>
      </w:r>
      <w:r>
        <w:rPr>
          <w:spacing w:val="-37"/>
        </w:rPr>
        <w:t> </w:t>
      </w:r>
      <w:r>
        <w:rPr/>
        <w:t>the</w:t>
      </w:r>
      <w:r>
        <w:rPr>
          <w:spacing w:val="-39"/>
        </w:rPr>
        <w:t> </w:t>
      </w:r>
      <w:r>
        <w:rPr/>
        <w:t>discussion</w:t>
      </w:r>
      <w:r>
        <w:rPr>
          <w:spacing w:val="-34"/>
        </w:rPr>
        <w:t> </w:t>
      </w:r>
      <w:r>
        <w:rPr/>
        <w:t>under</w:t>
      </w:r>
      <w:r>
        <w:rPr>
          <w:spacing w:val="-37"/>
        </w:rPr>
        <w:t> </w:t>
      </w:r>
      <w:r>
        <w:rPr/>
        <w:t>“Public Adjusters” at page</w:t>
      </w:r>
      <w:r>
        <w:rPr>
          <w:spacing w:val="-5"/>
        </w:rPr>
        <w:t> </w:t>
      </w:r>
      <w:r>
        <w:rPr/>
        <w:t>404.</w:t>
      </w:r>
    </w:p>
    <w:p>
      <w:pPr>
        <w:pStyle w:val="BodyText"/>
        <w:spacing w:before="1"/>
      </w:pPr>
    </w:p>
    <w:p>
      <w:pPr>
        <w:pStyle w:val="BodyText"/>
        <w:spacing w:line="242" w:lineRule="auto"/>
        <w:ind w:left="1520" w:right="1517" w:firstLine="720"/>
        <w:jc w:val="both"/>
      </w:pPr>
      <w:r>
        <w:rPr/>
        <w:t>For</w:t>
      </w:r>
      <w:r>
        <w:rPr>
          <w:spacing w:val="-36"/>
        </w:rPr>
        <w:t> </w:t>
      </w:r>
      <w:r>
        <w:rPr/>
        <w:t>a</w:t>
      </w:r>
      <w:r>
        <w:rPr>
          <w:spacing w:val="-33"/>
        </w:rPr>
        <w:t> </w:t>
      </w:r>
      <w:r>
        <w:rPr/>
        <w:t>sample</w:t>
      </w:r>
      <w:r>
        <w:rPr>
          <w:spacing w:val="-32"/>
        </w:rPr>
        <w:t> </w:t>
      </w:r>
      <w:r>
        <w:rPr/>
        <w:t>form</w:t>
      </w:r>
      <w:r>
        <w:rPr>
          <w:spacing w:val="-33"/>
        </w:rPr>
        <w:t> </w:t>
      </w:r>
      <w:r>
        <w:rPr/>
        <w:t>of</w:t>
      </w:r>
      <w:r>
        <w:rPr>
          <w:spacing w:val="-33"/>
        </w:rPr>
        <w:t> </w:t>
      </w:r>
      <w:r>
        <w:rPr/>
        <w:t>a</w:t>
      </w:r>
      <w:r>
        <w:rPr>
          <w:spacing w:val="-33"/>
        </w:rPr>
        <w:t> </w:t>
      </w:r>
      <w:r>
        <w:rPr/>
        <w:t>written</w:t>
      </w:r>
      <w:r>
        <w:rPr>
          <w:spacing w:val="-34"/>
        </w:rPr>
        <w:t> </w:t>
      </w:r>
      <w:r>
        <w:rPr/>
        <w:t>agreement between an appraiser and insured or insurer, see the forms contained in Appendix</w:t>
      </w:r>
      <w:r>
        <w:rPr>
          <w:spacing w:val="-7"/>
        </w:rPr>
        <w:t> </w:t>
      </w:r>
      <w:r>
        <w:rPr>
          <w:spacing w:val="2"/>
        </w:rPr>
        <w:t>A.</w:t>
      </w:r>
    </w:p>
    <w:p>
      <w:pPr>
        <w:spacing w:after="0" w:line="242" w:lineRule="auto"/>
        <w:jc w:val="both"/>
        <w:sectPr>
          <w:pgSz w:w="12240" w:h="15840"/>
          <w:pgMar w:header="0" w:footer="2273" w:top="1500" w:bottom="2460" w:left="1720" w:right="1720"/>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ListParagraph"/>
        <w:numPr>
          <w:ilvl w:val="0"/>
          <w:numId w:val="8"/>
        </w:numPr>
        <w:tabs>
          <w:tab w:pos="2311" w:val="left" w:leader="none"/>
          <w:tab w:pos="2312" w:val="left" w:leader="none"/>
        </w:tabs>
        <w:spacing w:line="240" w:lineRule="auto" w:before="41" w:after="0"/>
        <w:ind w:left="2311" w:right="0" w:hanging="792"/>
        <w:jc w:val="left"/>
        <w:rPr>
          <w:rFonts w:ascii="Century Gothic"/>
          <w:sz w:val="26"/>
        </w:rPr>
      </w:pPr>
      <w:bookmarkStart w:name="Law and Procedure 381" w:id="48"/>
      <w:bookmarkEnd w:id="48"/>
      <w:r>
        <w:rPr/>
      </w:r>
      <w:bookmarkStart w:name="Law and Procedure 381" w:id="49"/>
      <w:bookmarkEnd w:id="49"/>
      <w:r>
        <w:rPr>
          <w:rFonts w:ascii="Century Gothic"/>
          <w:sz w:val="26"/>
        </w:rPr>
        <w:t>R</w:t>
      </w:r>
      <w:r>
        <w:rPr>
          <w:rFonts w:ascii="Century Gothic"/>
          <w:sz w:val="26"/>
        </w:rPr>
        <w:t>EPLACEMENT OF AN</w:t>
      </w:r>
      <w:r>
        <w:rPr>
          <w:rFonts w:ascii="Century Gothic"/>
          <w:spacing w:val="-6"/>
          <w:sz w:val="26"/>
        </w:rPr>
        <w:t> </w:t>
      </w:r>
      <w:r>
        <w:rPr>
          <w:rFonts w:ascii="Century Gothic"/>
          <w:sz w:val="26"/>
        </w:rPr>
        <w:t>APPRAISER</w:t>
      </w:r>
    </w:p>
    <w:p>
      <w:pPr>
        <w:pStyle w:val="BodyText"/>
        <w:spacing w:before="6"/>
      </w:pPr>
    </w:p>
    <w:p>
      <w:pPr>
        <w:pStyle w:val="BodyText"/>
        <w:spacing w:line="242" w:lineRule="auto"/>
        <w:ind w:left="1520" w:right="1515" w:firstLine="720"/>
        <w:jc w:val="both"/>
      </w:pPr>
      <w:r>
        <w:rPr>
          <w:spacing w:val="2"/>
        </w:rPr>
        <w:t>An </w:t>
      </w:r>
      <w:r>
        <w:rPr/>
        <w:t>insured had not waived the right to object</w:t>
      </w:r>
      <w:r>
        <w:rPr>
          <w:spacing w:val="-31"/>
        </w:rPr>
        <w:t> </w:t>
      </w:r>
      <w:r>
        <w:rPr/>
        <w:t>to</w:t>
      </w:r>
      <w:r>
        <w:rPr>
          <w:spacing w:val="-28"/>
        </w:rPr>
        <w:t> </w:t>
      </w:r>
      <w:r>
        <w:rPr/>
        <w:t>the</w:t>
      </w:r>
      <w:r>
        <w:rPr>
          <w:spacing w:val="-31"/>
        </w:rPr>
        <w:t> </w:t>
      </w:r>
      <w:r>
        <w:rPr/>
        <w:t>selection</w:t>
      </w:r>
      <w:r>
        <w:rPr>
          <w:spacing w:val="-30"/>
        </w:rPr>
        <w:t> </w:t>
      </w:r>
      <w:r>
        <w:rPr/>
        <w:t>of</w:t>
      </w:r>
      <w:r>
        <w:rPr>
          <w:spacing w:val="-30"/>
        </w:rPr>
        <w:t> </w:t>
      </w:r>
      <w:r>
        <w:rPr/>
        <w:t>an</w:t>
      </w:r>
      <w:r>
        <w:rPr>
          <w:spacing w:val="-28"/>
        </w:rPr>
        <w:t> </w:t>
      </w:r>
      <w:r>
        <w:rPr/>
        <w:t>appraiser</w:t>
      </w:r>
      <w:r>
        <w:rPr>
          <w:spacing w:val="-30"/>
        </w:rPr>
        <w:t> </w:t>
      </w:r>
      <w:r>
        <w:rPr/>
        <w:t>and</w:t>
      </w:r>
      <w:r>
        <w:rPr>
          <w:spacing w:val="-28"/>
        </w:rPr>
        <w:t> </w:t>
      </w:r>
      <w:r>
        <w:rPr/>
        <w:t>was not estopped from doing so, despite the fact that it did not file a formal objection until 8 months after the appraiser in question had been appointed. Under those circumstances, the insured’s counsel had expressed</w:t>
      </w:r>
      <w:r>
        <w:rPr>
          <w:spacing w:val="-38"/>
        </w:rPr>
        <w:t> </w:t>
      </w:r>
      <w:r>
        <w:rPr/>
        <w:t>concerns about</w:t>
      </w:r>
      <w:r>
        <w:rPr>
          <w:spacing w:val="-21"/>
        </w:rPr>
        <w:t> </w:t>
      </w:r>
      <w:r>
        <w:rPr/>
        <w:t>the</w:t>
      </w:r>
      <w:r>
        <w:rPr>
          <w:spacing w:val="-25"/>
        </w:rPr>
        <w:t> </w:t>
      </w:r>
      <w:r>
        <w:rPr/>
        <w:t>insurer’s</w:t>
      </w:r>
      <w:r>
        <w:rPr>
          <w:spacing w:val="-25"/>
        </w:rPr>
        <w:t> </w:t>
      </w:r>
      <w:r>
        <w:rPr/>
        <w:t>appraiser</w:t>
      </w:r>
      <w:r>
        <w:rPr>
          <w:spacing w:val="-26"/>
        </w:rPr>
        <w:t> </w:t>
      </w:r>
      <w:r>
        <w:rPr/>
        <w:t>to</w:t>
      </w:r>
      <w:r>
        <w:rPr>
          <w:spacing w:val="-24"/>
        </w:rPr>
        <w:t> </w:t>
      </w:r>
      <w:r>
        <w:rPr/>
        <w:t>the</w:t>
      </w:r>
      <w:r>
        <w:rPr>
          <w:spacing w:val="-24"/>
        </w:rPr>
        <w:t> </w:t>
      </w:r>
      <w:r>
        <w:rPr/>
        <w:t>insurer,</w:t>
      </w:r>
      <w:r>
        <w:rPr>
          <w:spacing w:val="-27"/>
        </w:rPr>
        <w:t> </w:t>
      </w:r>
      <w:r>
        <w:rPr/>
        <w:t>and the</w:t>
      </w:r>
      <w:r>
        <w:rPr>
          <w:spacing w:val="-13"/>
        </w:rPr>
        <w:t> </w:t>
      </w:r>
      <w:r>
        <w:rPr/>
        <w:t>insured</w:t>
      </w:r>
      <w:r>
        <w:rPr>
          <w:spacing w:val="-13"/>
        </w:rPr>
        <w:t> </w:t>
      </w:r>
      <w:r>
        <w:rPr/>
        <w:t>had</w:t>
      </w:r>
      <w:r>
        <w:rPr>
          <w:spacing w:val="-12"/>
        </w:rPr>
        <w:t> </w:t>
      </w:r>
      <w:r>
        <w:rPr/>
        <w:t>even</w:t>
      </w:r>
      <w:r>
        <w:rPr>
          <w:spacing w:val="-13"/>
        </w:rPr>
        <w:t> </w:t>
      </w:r>
      <w:r>
        <w:rPr/>
        <w:t>sent</w:t>
      </w:r>
      <w:r>
        <w:rPr>
          <w:spacing w:val="-16"/>
        </w:rPr>
        <w:t> </w:t>
      </w:r>
      <w:r>
        <w:rPr/>
        <w:t>a</w:t>
      </w:r>
      <w:r>
        <w:rPr>
          <w:spacing w:val="-13"/>
        </w:rPr>
        <w:t> </w:t>
      </w:r>
      <w:r>
        <w:rPr/>
        <w:t>letter</w:t>
      </w:r>
      <w:r>
        <w:rPr>
          <w:spacing w:val="-15"/>
        </w:rPr>
        <w:t> </w:t>
      </w:r>
      <w:r>
        <w:rPr/>
        <w:t>to</w:t>
      </w:r>
      <w:r>
        <w:rPr>
          <w:spacing w:val="-12"/>
        </w:rPr>
        <w:t> </w:t>
      </w:r>
      <w:r>
        <w:rPr/>
        <w:t>this</w:t>
      </w:r>
      <w:r>
        <w:rPr>
          <w:spacing w:val="-13"/>
        </w:rPr>
        <w:t> </w:t>
      </w:r>
      <w:r>
        <w:rPr/>
        <w:t>effect in connection with a different appraisal with the insurer. Further, the insured had sought discovery as to the relationship between the appraiser and insurer on multiple occasions. The court found the circumstances did not </w:t>
      </w:r>
      <w:r>
        <w:rPr>
          <w:spacing w:val="7"/>
        </w:rPr>
        <w:t>show </w:t>
      </w:r>
      <w:r>
        <w:rPr>
          <w:spacing w:val="5"/>
        </w:rPr>
        <w:t>the </w:t>
      </w:r>
      <w:r>
        <w:rPr>
          <w:spacing w:val="8"/>
        </w:rPr>
        <w:t>insured </w:t>
      </w:r>
      <w:r>
        <w:rPr>
          <w:spacing w:val="6"/>
        </w:rPr>
        <w:t>had “‘clearly</w:t>
      </w:r>
      <w:r>
        <w:rPr>
          <w:spacing w:val="83"/>
        </w:rPr>
        <w:t> </w:t>
      </w:r>
      <w:r>
        <w:rPr>
          <w:spacing w:val="5"/>
        </w:rPr>
        <w:t>and </w:t>
      </w:r>
      <w:r>
        <w:rPr/>
        <w:t>unequivocally’ relinquished its ‘known right’</w:t>
      </w:r>
      <w:r>
        <w:rPr>
          <w:spacing w:val="-53"/>
        </w:rPr>
        <w:t> </w:t>
      </w:r>
      <w:r>
        <w:rPr/>
        <w:t>to object to [the appraiser’s] appointment” and that failure to formally object did not “forever preclude” a challenge to the appointment given</w:t>
      </w:r>
      <w:r>
        <w:rPr>
          <w:spacing w:val="-25"/>
        </w:rPr>
        <w:t> </w:t>
      </w:r>
      <w:r>
        <w:rPr/>
        <w:t>the</w:t>
      </w:r>
      <w:r>
        <w:rPr>
          <w:spacing w:val="-25"/>
        </w:rPr>
        <w:t> </w:t>
      </w:r>
      <w:r>
        <w:rPr/>
        <w:t>efforts</w:t>
      </w:r>
      <w:r>
        <w:rPr>
          <w:spacing w:val="-24"/>
        </w:rPr>
        <w:t> </w:t>
      </w:r>
      <w:r>
        <w:rPr/>
        <w:t>to</w:t>
      </w:r>
      <w:r>
        <w:rPr>
          <w:spacing w:val="-24"/>
        </w:rPr>
        <w:t> </w:t>
      </w:r>
      <w:r>
        <w:rPr/>
        <w:t>investigate</w:t>
      </w:r>
      <w:r>
        <w:rPr>
          <w:spacing w:val="-25"/>
        </w:rPr>
        <w:t> </w:t>
      </w:r>
      <w:r>
        <w:rPr/>
        <w:t>the</w:t>
      </w:r>
      <w:r>
        <w:rPr>
          <w:spacing w:val="-25"/>
        </w:rPr>
        <w:t> </w:t>
      </w:r>
      <w:r>
        <w:rPr/>
        <w:t>bias</w:t>
      </w:r>
      <w:r>
        <w:rPr>
          <w:spacing w:val="-23"/>
        </w:rPr>
        <w:t> </w:t>
      </w:r>
      <w:r>
        <w:rPr/>
        <w:t>and</w:t>
      </w:r>
      <w:r>
        <w:rPr>
          <w:spacing w:val="-25"/>
        </w:rPr>
        <w:t> </w:t>
      </w:r>
      <w:r>
        <w:rPr/>
        <w:t>the insurer’s role in concealing the</w:t>
      </w:r>
      <w:r>
        <w:rPr>
          <w:spacing w:val="-2"/>
        </w:rPr>
        <w:t> </w:t>
      </w:r>
      <w:r>
        <w:rPr/>
        <w:t>information.</w:t>
      </w:r>
      <w:r>
        <w:rPr>
          <w:vertAlign w:val="superscript"/>
        </w:rPr>
        <w:t>802</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6"/>
        </w:rPr>
      </w:pPr>
      <w:r>
        <w:rPr/>
        <w:pict>
          <v:shape style="position:absolute;margin-left:162pt;margin-top:12.227719pt;width:143.9pt;height:.1pt;mso-position-horizontal-relative:page;mso-position-vertical-relative:paragraph;z-index:-251619328;mso-wrap-distance-left:0;mso-wrap-distance-right:0" coordorigin="3240,245" coordsize="2878,0" path="m3240,245l6118,245e" filled="false" stroked="true" strokeweight=".84pt" strokecolor="#000000">
            <v:path arrowok="t"/>
            <v:stroke dashstyle="solid"/>
            <w10:wrap type="topAndBottom"/>
          </v:shape>
        </w:pict>
      </w:r>
    </w:p>
    <w:p>
      <w:pPr>
        <w:pStyle w:val="ListParagraph"/>
        <w:numPr>
          <w:ilvl w:val="0"/>
          <w:numId w:val="9"/>
        </w:numPr>
        <w:tabs>
          <w:tab w:pos="1430" w:val="left" w:leader="none"/>
        </w:tabs>
        <w:spacing w:line="244" w:lineRule="auto" w:before="140" w:after="0"/>
        <w:ind w:left="1160" w:right="1165" w:firstLine="0"/>
        <w:jc w:val="left"/>
        <w:rPr>
          <w:sz w:val="18"/>
        </w:rPr>
      </w:pPr>
      <w:r>
        <w:rPr>
          <w:sz w:val="18"/>
          <w:u w:val="single"/>
        </w:rPr>
        <w:t>Tamko Bldg. Products, Inc. v. Factory Mut .lns Co.</w:t>
      </w:r>
      <w:r>
        <w:rPr>
          <w:sz w:val="18"/>
        </w:rPr>
        <w:t>, 890 F.Supp.2d 1129 (E.D. Mo. 2012).</w:t>
      </w:r>
    </w:p>
    <w:p>
      <w:pPr>
        <w:spacing w:after="0" w:line="244"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ListParagraph"/>
        <w:numPr>
          <w:ilvl w:val="0"/>
          <w:numId w:val="8"/>
        </w:numPr>
        <w:tabs>
          <w:tab w:pos="2239" w:val="left" w:leader="none"/>
          <w:tab w:pos="2240" w:val="left" w:leader="none"/>
        </w:tabs>
        <w:spacing w:line="240" w:lineRule="auto" w:before="42" w:after="0"/>
        <w:ind w:left="2240" w:right="0" w:hanging="720"/>
        <w:jc w:val="left"/>
        <w:rPr>
          <w:rFonts w:ascii="Century Gothic"/>
          <w:sz w:val="26"/>
        </w:rPr>
      </w:pPr>
      <w:bookmarkStart w:name="Law and Procedure 382" w:id="50"/>
      <w:bookmarkEnd w:id="50"/>
      <w:r>
        <w:rPr/>
      </w:r>
      <w:bookmarkStart w:name="Law and Procedure 382" w:id="51"/>
      <w:bookmarkEnd w:id="51"/>
      <w:r>
        <w:rPr>
          <w:rFonts w:ascii="Century Gothic"/>
          <w:spacing w:val="2"/>
          <w:sz w:val="26"/>
        </w:rPr>
        <w:t>L</w:t>
      </w:r>
      <w:r>
        <w:rPr>
          <w:rFonts w:ascii="Century Gothic"/>
          <w:spacing w:val="2"/>
          <w:sz w:val="26"/>
        </w:rPr>
        <w:t>IABILITY </w:t>
      </w:r>
      <w:r>
        <w:rPr>
          <w:rFonts w:ascii="Century Gothic"/>
          <w:sz w:val="26"/>
        </w:rPr>
        <w:t>OF THE</w:t>
      </w:r>
      <w:r>
        <w:rPr>
          <w:rFonts w:ascii="Century Gothic"/>
          <w:spacing w:val="-3"/>
          <w:sz w:val="26"/>
        </w:rPr>
        <w:t> </w:t>
      </w:r>
      <w:r>
        <w:rPr>
          <w:rFonts w:ascii="Century Gothic"/>
          <w:sz w:val="26"/>
        </w:rPr>
        <w:t>APPRAISER</w:t>
      </w:r>
    </w:p>
    <w:p>
      <w:pPr>
        <w:pStyle w:val="BodyText"/>
        <w:spacing w:before="5"/>
      </w:pPr>
    </w:p>
    <w:p>
      <w:pPr>
        <w:pStyle w:val="BodyText"/>
        <w:spacing w:line="242" w:lineRule="auto"/>
        <w:ind w:left="1520" w:right="1515" w:firstLine="720"/>
        <w:jc w:val="both"/>
      </w:pPr>
      <w:r>
        <w:rPr>
          <w:spacing w:val="3"/>
        </w:rPr>
        <w:t>In </w:t>
      </w:r>
      <w:r>
        <w:rPr/>
        <w:t>the rare case when an appraisal fails, it is not unheard of for one of the parties to consider holding one of the participants responsible. Generally, appraisers enjoy the same immunity as arbitrators.</w:t>
      </w:r>
      <w:r>
        <w:rPr>
          <w:vertAlign w:val="superscript"/>
        </w:rPr>
        <w:t>803</w:t>
      </w:r>
      <w:r>
        <w:rPr>
          <w:vertAlign w:val="baseline"/>
        </w:rPr>
        <w:t> </w:t>
      </w:r>
      <w:r>
        <w:rPr>
          <w:spacing w:val="-3"/>
          <w:vertAlign w:val="baseline"/>
        </w:rPr>
        <w:t>Arbitral </w:t>
      </w:r>
      <w:r>
        <w:rPr>
          <w:vertAlign w:val="baseline"/>
        </w:rPr>
        <w:t>immunity, like judicial immunity, promotes fearless</w:t>
      </w:r>
      <w:r>
        <w:rPr>
          <w:spacing w:val="-42"/>
          <w:vertAlign w:val="baseline"/>
        </w:rPr>
        <w:t> </w:t>
      </w:r>
      <w:r>
        <w:rPr>
          <w:vertAlign w:val="baseline"/>
        </w:rPr>
        <w:t>and</w:t>
      </w:r>
      <w:r>
        <w:rPr>
          <w:spacing w:val="-40"/>
          <w:vertAlign w:val="baseline"/>
        </w:rPr>
        <w:t> </w:t>
      </w:r>
      <w:r>
        <w:rPr>
          <w:vertAlign w:val="baseline"/>
        </w:rPr>
        <w:t>independent</w:t>
      </w:r>
      <w:r>
        <w:rPr>
          <w:spacing w:val="-44"/>
          <w:vertAlign w:val="baseline"/>
        </w:rPr>
        <w:t> </w:t>
      </w:r>
      <w:r>
        <w:rPr>
          <w:vertAlign w:val="baseline"/>
        </w:rPr>
        <w:t>decision</w:t>
      </w:r>
      <w:r>
        <w:rPr>
          <w:spacing w:val="-42"/>
          <w:vertAlign w:val="baseline"/>
        </w:rPr>
        <w:t> </w:t>
      </w:r>
      <w:r>
        <w:rPr>
          <w:vertAlign w:val="baseline"/>
        </w:rPr>
        <w:t>making</w:t>
      </w:r>
      <w:r>
        <w:rPr>
          <w:spacing w:val="-42"/>
          <w:vertAlign w:val="baseline"/>
        </w:rPr>
        <w:t> </w:t>
      </w:r>
      <w:r>
        <w:rPr>
          <w:vertAlign w:val="baseline"/>
        </w:rPr>
        <w:t>and for this reason, courts have been reluctant, absent evidence of fraud or deceit, to hold those involved in this process liable for their “judicial” actions and in many cases in which their misconduct in arriving at decisions has been</w:t>
      </w:r>
      <w:r>
        <w:rPr>
          <w:spacing w:val="-15"/>
          <w:vertAlign w:val="baseline"/>
        </w:rPr>
        <w:t> </w:t>
      </w:r>
      <w:r>
        <w:rPr>
          <w:vertAlign w:val="baseline"/>
        </w:rPr>
        <w:t>alleged,</w:t>
      </w:r>
      <w:r>
        <w:rPr>
          <w:spacing w:val="-14"/>
          <w:vertAlign w:val="baseline"/>
        </w:rPr>
        <w:t> </w:t>
      </w:r>
      <w:r>
        <w:rPr>
          <w:vertAlign w:val="baseline"/>
        </w:rPr>
        <w:t>courts</w:t>
      </w:r>
      <w:r>
        <w:rPr>
          <w:spacing w:val="-14"/>
          <w:vertAlign w:val="baseline"/>
        </w:rPr>
        <w:t> </w:t>
      </w:r>
      <w:r>
        <w:rPr>
          <w:vertAlign w:val="baseline"/>
        </w:rPr>
        <w:t>have</w:t>
      </w:r>
      <w:r>
        <w:rPr>
          <w:spacing w:val="-17"/>
          <w:vertAlign w:val="baseline"/>
        </w:rPr>
        <w:t> </w:t>
      </w:r>
      <w:r>
        <w:rPr>
          <w:vertAlign w:val="baseline"/>
        </w:rPr>
        <w:t>cloaked</w:t>
      </w:r>
      <w:r>
        <w:rPr>
          <w:spacing w:val="-16"/>
          <w:vertAlign w:val="baseline"/>
        </w:rPr>
        <w:t> </w:t>
      </w:r>
      <w:r>
        <w:rPr>
          <w:vertAlign w:val="baseline"/>
        </w:rPr>
        <w:t>appraisers and arbitrators with</w:t>
      </w:r>
      <w:r>
        <w:rPr>
          <w:spacing w:val="-5"/>
          <w:vertAlign w:val="baseline"/>
        </w:rPr>
        <w:t> </w:t>
      </w:r>
      <w:r>
        <w:rPr>
          <w:vertAlign w:val="baseline"/>
        </w:rPr>
        <w:t>immunity.</w:t>
      </w:r>
      <w:r>
        <w:rPr>
          <w:vertAlign w:val="superscript"/>
        </w:rPr>
        <w:t>804</w:t>
      </w:r>
    </w:p>
    <w:p>
      <w:pPr>
        <w:pStyle w:val="BodyText"/>
        <w:spacing w:before="10"/>
        <w:rPr>
          <w:sz w:val="25"/>
        </w:rPr>
      </w:pPr>
    </w:p>
    <w:p>
      <w:pPr>
        <w:pStyle w:val="BodyText"/>
        <w:spacing w:line="242" w:lineRule="auto"/>
        <w:ind w:left="1520" w:right="1517" w:firstLine="720"/>
        <w:jc w:val="both"/>
      </w:pPr>
      <w:r>
        <w:rPr/>
        <w:t>A disinterested appraiser had immunity from suit over his role as an appraiser in a fire </w:t>
      </w:r>
      <w:r>
        <w:rPr>
          <w:spacing w:val="-3"/>
        </w:rPr>
        <w:t>insurance</w:t>
      </w:r>
      <w:r>
        <w:rPr>
          <w:spacing w:val="-42"/>
        </w:rPr>
        <w:t> </w:t>
      </w:r>
      <w:r>
        <w:rPr/>
        <w:t>appraisal</w:t>
      </w:r>
      <w:r>
        <w:rPr>
          <w:spacing w:val="-38"/>
        </w:rPr>
        <w:t> </w:t>
      </w:r>
      <w:r>
        <w:rPr/>
        <w:t>proceeding.</w:t>
      </w:r>
      <w:r>
        <w:rPr>
          <w:spacing w:val="-9"/>
        </w:rPr>
        <w:t> </w:t>
      </w:r>
      <w:r>
        <w:rPr/>
        <w:t>California</w:t>
      </w:r>
      <w:r>
        <w:rPr>
          <w:spacing w:val="-41"/>
        </w:rPr>
        <w:t> </w:t>
      </w:r>
      <w:r>
        <w:rPr/>
        <w:t>law recognizes</w:t>
      </w:r>
      <w:r>
        <w:rPr>
          <w:spacing w:val="-15"/>
        </w:rPr>
        <w:t> </w:t>
      </w:r>
      <w:r>
        <w:rPr/>
        <w:t>such</w:t>
      </w:r>
      <w:r>
        <w:rPr>
          <w:spacing w:val="-13"/>
        </w:rPr>
        <w:t> </w:t>
      </w:r>
      <w:r>
        <w:rPr/>
        <w:t>a</w:t>
      </w:r>
      <w:r>
        <w:rPr>
          <w:spacing w:val="-14"/>
        </w:rPr>
        <w:t> </w:t>
      </w:r>
      <w:r>
        <w:rPr/>
        <w:t>benefit</w:t>
      </w:r>
      <w:r>
        <w:rPr>
          <w:spacing w:val="-14"/>
        </w:rPr>
        <w:t> </w:t>
      </w:r>
      <w:r>
        <w:rPr/>
        <w:t>because</w:t>
      </w:r>
      <w:r>
        <w:rPr>
          <w:spacing w:val="-12"/>
        </w:rPr>
        <w:t> </w:t>
      </w:r>
      <w:r>
        <w:rPr/>
        <w:t>the</w:t>
      </w:r>
      <w:r>
        <w:rPr>
          <w:spacing w:val="-15"/>
        </w:rPr>
        <w:t> </w:t>
      </w:r>
      <w:r>
        <w:rPr/>
        <w:t>role</w:t>
      </w:r>
      <w:r>
        <w:rPr>
          <w:spacing w:val="-13"/>
        </w:rPr>
        <w:t> </w:t>
      </w:r>
      <w:r>
        <w:rPr/>
        <w:t>he or she executes is analogous to that of </w:t>
      </w:r>
      <w:r>
        <w:rPr>
          <w:spacing w:val="-11"/>
        </w:rPr>
        <w:t>a </w:t>
      </w:r>
      <w:r>
        <w:rPr/>
        <w:t>judge.</w:t>
      </w:r>
      <w:r>
        <w:rPr>
          <w:vertAlign w:val="superscript"/>
        </w:rPr>
        <w:t>805</w:t>
      </w:r>
    </w:p>
    <w:p>
      <w:pPr>
        <w:pStyle w:val="BodyText"/>
        <w:spacing w:before="1"/>
      </w:pPr>
    </w:p>
    <w:p>
      <w:pPr>
        <w:pStyle w:val="BodyText"/>
        <w:spacing w:line="242" w:lineRule="auto"/>
        <w:ind w:left="1520" w:right="1519" w:firstLine="720"/>
        <w:jc w:val="both"/>
      </w:pPr>
      <w:r>
        <w:rPr>
          <w:spacing w:val="3"/>
        </w:rPr>
        <w:t>In </w:t>
      </w:r>
      <w:r>
        <w:rPr/>
        <w:t>Alabama, the court found no </w:t>
      </w:r>
      <w:r>
        <w:rPr>
          <w:spacing w:val="-3"/>
        </w:rPr>
        <w:t>valid </w:t>
      </w:r>
      <w:r>
        <w:rPr/>
        <w:t>cause</w:t>
      </w:r>
      <w:r>
        <w:rPr>
          <w:spacing w:val="-19"/>
        </w:rPr>
        <w:t> </w:t>
      </w:r>
      <w:r>
        <w:rPr/>
        <w:t>of</w:t>
      </w:r>
      <w:r>
        <w:rPr>
          <w:spacing w:val="-19"/>
        </w:rPr>
        <w:t> </w:t>
      </w:r>
      <w:r>
        <w:rPr/>
        <w:t>action</w:t>
      </w:r>
      <w:r>
        <w:rPr>
          <w:spacing w:val="-21"/>
        </w:rPr>
        <w:t> </w:t>
      </w:r>
      <w:r>
        <w:rPr/>
        <w:t>for</w:t>
      </w:r>
      <w:r>
        <w:rPr>
          <w:spacing w:val="-21"/>
        </w:rPr>
        <w:t> </w:t>
      </w:r>
      <w:r>
        <w:rPr/>
        <w:t>negligence,</w:t>
      </w:r>
      <w:r>
        <w:rPr>
          <w:spacing w:val="-20"/>
        </w:rPr>
        <w:t> </w:t>
      </w:r>
      <w:r>
        <w:rPr/>
        <w:t>wantonness</w:t>
      </w:r>
      <w:r>
        <w:rPr>
          <w:spacing w:val="-17"/>
        </w:rPr>
        <w:t> </w:t>
      </w:r>
      <w:r>
        <w:rPr/>
        <w:t>or</w:t>
      </w:r>
    </w:p>
    <w:p>
      <w:pPr>
        <w:pStyle w:val="BodyText"/>
        <w:rPr>
          <w:sz w:val="29"/>
        </w:rPr>
      </w:pPr>
      <w:r>
        <w:rPr/>
        <w:pict>
          <v:shape style="position:absolute;margin-left:162pt;margin-top:20.182529pt;width:143.9pt;height:.1pt;mso-position-horizontal-relative:page;mso-position-vertical-relative:paragraph;z-index:-251618304;mso-wrap-distance-left:0;mso-wrap-distance-right:0" coordorigin="3240,404" coordsize="2878,0" path="m3240,404l6118,404e" filled="false" stroked="true" strokeweight=".84pt" strokecolor="#000000">
            <v:path arrowok="t"/>
            <v:stroke dashstyle="solid"/>
            <w10:wrap type="topAndBottom"/>
          </v:shape>
        </w:pict>
      </w:r>
    </w:p>
    <w:p>
      <w:pPr>
        <w:pStyle w:val="ListParagraph"/>
        <w:numPr>
          <w:ilvl w:val="0"/>
          <w:numId w:val="9"/>
        </w:numPr>
        <w:tabs>
          <w:tab w:pos="1421" w:val="left" w:leader="none"/>
        </w:tabs>
        <w:spacing w:line="240" w:lineRule="auto" w:before="140" w:after="0"/>
        <w:ind w:left="1421" w:right="11" w:hanging="1421"/>
        <w:jc w:val="left"/>
        <w:rPr>
          <w:sz w:val="18"/>
        </w:rPr>
      </w:pPr>
      <w:r>
        <w:rPr>
          <w:sz w:val="18"/>
          <w:u w:val="single"/>
        </w:rPr>
        <w:t>Coopers and Lybrand v. Superior Court</w:t>
      </w:r>
      <w:r>
        <w:rPr>
          <w:sz w:val="18"/>
        </w:rPr>
        <w:t>, 212 Cal. App.3d 524, 260 Cal. Rptr. 713</w:t>
      </w:r>
      <w:r>
        <w:rPr>
          <w:spacing w:val="21"/>
          <w:sz w:val="18"/>
        </w:rPr>
        <w:t> </w:t>
      </w:r>
      <w:r>
        <w:rPr>
          <w:sz w:val="18"/>
        </w:rPr>
        <w:t>(2d</w:t>
      </w:r>
    </w:p>
    <w:p>
      <w:pPr>
        <w:spacing w:line="178" w:lineRule="exact" w:before="4"/>
        <w:ind w:left="1160" w:right="0" w:firstLine="0"/>
        <w:jc w:val="left"/>
        <w:rPr>
          <w:rFonts w:ascii="Times New Roman"/>
          <w:sz w:val="18"/>
        </w:rPr>
      </w:pPr>
      <w:r>
        <w:rPr>
          <w:rFonts w:ascii="Times New Roman"/>
          <w:sz w:val="18"/>
        </w:rPr>
        <w:t>Dist. 1989).</w:t>
      </w:r>
    </w:p>
    <w:p>
      <w:pPr>
        <w:pStyle w:val="ListParagraph"/>
        <w:numPr>
          <w:ilvl w:val="0"/>
          <w:numId w:val="9"/>
        </w:numPr>
        <w:tabs>
          <w:tab w:pos="1423" w:val="left" w:leader="none"/>
        </w:tabs>
        <w:spacing w:line="240" w:lineRule="exact" w:before="0" w:after="0"/>
        <w:ind w:left="1422" w:right="7" w:hanging="1423"/>
        <w:jc w:val="left"/>
        <w:rPr>
          <w:sz w:val="18"/>
        </w:rPr>
      </w:pPr>
      <w:r>
        <w:rPr>
          <w:sz w:val="18"/>
          <w:u w:val="single"/>
        </w:rPr>
        <w:t>Baar v. Tigerman</w:t>
      </w:r>
      <w:r>
        <w:rPr>
          <w:sz w:val="18"/>
        </w:rPr>
        <w:t>, 140 Cal. App.3d 979, 189 Cal. Rptr. 426 (2d Dist. 1983) (note</w:t>
      </w:r>
      <w:r>
        <w:rPr>
          <w:spacing w:val="37"/>
          <w:sz w:val="18"/>
        </w:rPr>
        <w:t> </w:t>
      </w:r>
      <w:r>
        <w:rPr>
          <w:sz w:val="18"/>
        </w:rPr>
        <w:t>that</w:t>
      </w:r>
    </w:p>
    <w:p>
      <w:pPr>
        <w:spacing w:line="244" w:lineRule="auto" w:before="5"/>
        <w:ind w:left="1160" w:right="1160" w:firstLine="0"/>
        <w:jc w:val="left"/>
        <w:rPr>
          <w:rFonts w:ascii="Times New Roman" w:hAnsi="Times New Roman"/>
          <w:sz w:val="18"/>
        </w:rPr>
      </w:pPr>
      <w:r>
        <w:rPr>
          <w:rFonts w:ascii="Times New Roman" w:hAnsi="Times New Roman"/>
          <w:sz w:val="18"/>
        </w:rPr>
        <w:t>this</w:t>
      </w:r>
      <w:r>
        <w:rPr>
          <w:rFonts w:ascii="Times New Roman" w:hAnsi="Times New Roman"/>
          <w:spacing w:val="-16"/>
          <w:sz w:val="18"/>
        </w:rPr>
        <w:t> </w:t>
      </w:r>
      <w:r>
        <w:rPr>
          <w:rFonts w:ascii="Times New Roman" w:hAnsi="Times New Roman"/>
          <w:sz w:val="18"/>
        </w:rPr>
        <w:t>case</w:t>
      </w:r>
      <w:r>
        <w:rPr>
          <w:rFonts w:ascii="Times New Roman" w:hAnsi="Times New Roman"/>
          <w:spacing w:val="-17"/>
          <w:sz w:val="18"/>
        </w:rPr>
        <w:t> </w:t>
      </w:r>
      <w:r>
        <w:rPr>
          <w:rFonts w:ascii="Times New Roman" w:hAnsi="Times New Roman"/>
          <w:sz w:val="18"/>
        </w:rPr>
        <w:t>was</w:t>
      </w:r>
      <w:r>
        <w:rPr>
          <w:rFonts w:ascii="Times New Roman" w:hAnsi="Times New Roman"/>
          <w:spacing w:val="-15"/>
          <w:sz w:val="18"/>
        </w:rPr>
        <w:t> </w:t>
      </w:r>
      <w:r>
        <w:rPr>
          <w:rFonts w:ascii="Times New Roman" w:hAnsi="Times New Roman"/>
          <w:sz w:val="18"/>
        </w:rPr>
        <w:t>superceded</w:t>
      </w:r>
      <w:r>
        <w:rPr>
          <w:rFonts w:ascii="Times New Roman" w:hAnsi="Times New Roman"/>
          <w:spacing w:val="-14"/>
          <w:sz w:val="18"/>
        </w:rPr>
        <w:t> </w:t>
      </w:r>
      <w:r>
        <w:rPr>
          <w:rFonts w:ascii="Times New Roman" w:hAnsi="Times New Roman"/>
          <w:sz w:val="18"/>
        </w:rPr>
        <w:t>by</w:t>
      </w:r>
      <w:r>
        <w:rPr>
          <w:rFonts w:ascii="Times New Roman" w:hAnsi="Times New Roman"/>
          <w:spacing w:val="-17"/>
          <w:sz w:val="18"/>
        </w:rPr>
        <w:t> </w:t>
      </w:r>
      <w:r>
        <w:rPr>
          <w:rFonts w:ascii="Times New Roman" w:hAnsi="Times New Roman"/>
          <w:sz w:val="18"/>
        </w:rPr>
        <w:t>statute,</w:t>
      </w:r>
      <w:r>
        <w:rPr>
          <w:rFonts w:ascii="Times New Roman" w:hAnsi="Times New Roman"/>
          <w:spacing w:val="-14"/>
          <w:sz w:val="18"/>
        </w:rPr>
        <w:t> </w:t>
      </w:r>
      <w:r>
        <w:rPr>
          <w:rFonts w:ascii="Times New Roman" w:hAnsi="Times New Roman"/>
          <w:sz w:val="18"/>
        </w:rPr>
        <w:t>Ca.</w:t>
      </w:r>
      <w:r>
        <w:rPr>
          <w:rFonts w:ascii="Times New Roman" w:hAnsi="Times New Roman"/>
          <w:spacing w:val="-14"/>
          <w:sz w:val="18"/>
        </w:rPr>
        <w:t> </w:t>
      </w:r>
      <w:r>
        <w:rPr>
          <w:rFonts w:ascii="Times New Roman" w:hAnsi="Times New Roman"/>
          <w:sz w:val="18"/>
        </w:rPr>
        <w:t>Civ.</w:t>
      </w:r>
      <w:r>
        <w:rPr>
          <w:rFonts w:ascii="Times New Roman" w:hAnsi="Times New Roman"/>
          <w:spacing w:val="-12"/>
          <w:sz w:val="18"/>
        </w:rPr>
        <w:t> </w:t>
      </w:r>
      <w:r>
        <w:rPr>
          <w:rFonts w:ascii="Times New Roman" w:hAnsi="Times New Roman"/>
          <w:sz w:val="18"/>
        </w:rPr>
        <w:t>Pro.</w:t>
      </w:r>
      <w:r>
        <w:rPr>
          <w:rFonts w:ascii="Times New Roman" w:hAnsi="Times New Roman"/>
          <w:spacing w:val="-10"/>
          <w:sz w:val="18"/>
        </w:rPr>
        <w:t> </w:t>
      </w:r>
      <w:r>
        <w:rPr>
          <w:rFonts w:ascii="Times New Roman" w:hAnsi="Times New Roman"/>
          <w:sz w:val="18"/>
        </w:rPr>
        <w:t>§1280.1,</w:t>
      </w:r>
      <w:r>
        <w:rPr>
          <w:rFonts w:ascii="Times New Roman" w:hAnsi="Times New Roman"/>
          <w:spacing w:val="-11"/>
          <w:sz w:val="18"/>
        </w:rPr>
        <w:t> </w:t>
      </w:r>
      <w:r>
        <w:rPr>
          <w:rFonts w:ascii="Times New Roman" w:hAnsi="Times New Roman"/>
          <w:sz w:val="18"/>
        </w:rPr>
        <w:t>which</w:t>
      </w:r>
      <w:r>
        <w:rPr>
          <w:rFonts w:ascii="Times New Roman" w:hAnsi="Times New Roman"/>
          <w:spacing w:val="-13"/>
          <w:sz w:val="18"/>
        </w:rPr>
        <w:t> </w:t>
      </w:r>
      <w:r>
        <w:rPr>
          <w:rFonts w:ascii="Times New Roman" w:hAnsi="Times New Roman"/>
          <w:sz w:val="18"/>
        </w:rPr>
        <w:t>itself</w:t>
      </w:r>
      <w:r>
        <w:rPr>
          <w:rFonts w:ascii="Times New Roman" w:hAnsi="Times New Roman"/>
          <w:spacing w:val="-18"/>
          <w:sz w:val="18"/>
        </w:rPr>
        <w:t> </w:t>
      </w:r>
      <w:r>
        <w:rPr>
          <w:rFonts w:ascii="Times New Roman" w:hAnsi="Times New Roman"/>
          <w:sz w:val="18"/>
        </w:rPr>
        <w:t>appears</w:t>
      </w:r>
      <w:r>
        <w:rPr>
          <w:rFonts w:ascii="Times New Roman" w:hAnsi="Times New Roman"/>
          <w:spacing w:val="-16"/>
          <w:sz w:val="18"/>
        </w:rPr>
        <w:t> </w:t>
      </w:r>
      <w:r>
        <w:rPr>
          <w:rFonts w:ascii="Times New Roman" w:hAnsi="Times New Roman"/>
          <w:sz w:val="18"/>
        </w:rPr>
        <w:t>to</w:t>
      </w:r>
      <w:r>
        <w:rPr>
          <w:rFonts w:ascii="Times New Roman" w:hAnsi="Times New Roman"/>
          <w:spacing w:val="-12"/>
          <w:sz w:val="18"/>
        </w:rPr>
        <w:t> </w:t>
      </w:r>
      <w:r>
        <w:rPr>
          <w:rFonts w:ascii="Times New Roman" w:hAnsi="Times New Roman"/>
          <w:sz w:val="18"/>
        </w:rPr>
        <w:t>have</w:t>
      </w:r>
      <w:r>
        <w:rPr>
          <w:rFonts w:ascii="Times New Roman" w:hAnsi="Times New Roman"/>
          <w:spacing w:val="-15"/>
          <w:sz w:val="18"/>
        </w:rPr>
        <w:t> </w:t>
      </w:r>
      <w:r>
        <w:rPr>
          <w:rFonts w:ascii="Times New Roman" w:hAnsi="Times New Roman"/>
          <w:sz w:val="18"/>
        </w:rPr>
        <w:t>been repealed effectively Jan. 1,</w:t>
      </w:r>
      <w:r>
        <w:rPr>
          <w:rFonts w:ascii="Times New Roman" w:hAnsi="Times New Roman"/>
          <w:spacing w:val="-6"/>
          <w:sz w:val="18"/>
        </w:rPr>
        <w:t> </w:t>
      </w:r>
      <w:r>
        <w:rPr>
          <w:rFonts w:ascii="Times New Roman" w:hAnsi="Times New Roman"/>
          <w:sz w:val="18"/>
        </w:rPr>
        <w:t>1997).</w:t>
      </w:r>
    </w:p>
    <w:p>
      <w:pPr>
        <w:pStyle w:val="ListParagraph"/>
        <w:numPr>
          <w:ilvl w:val="0"/>
          <w:numId w:val="9"/>
        </w:numPr>
        <w:tabs>
          <w:tab w:pos="1453" w:val="left" w:leader="none"/>
        </w:tabs>
        <w:spacing w:line="265" w:lineRule="exact" w:before="0" w:after="0"/>
        <w:ind w:left="1452" w:right="3" w:hanging="1453"/>
        <w:jc w:val="left"/>
        <w:rPr>
          <w:sz w:val="18"/>
        </w:rPr>
      </w:pPr>
      <w:r>
        <w:rPr>
          <w:sz w:val="18"/>
          <w:u w:val="single"/>
        </w:rPr>
        <w:t>Lambert</w:t>
      </w:r>
      <w:r>
        <w:rPr>
          <w:spacing w:val="9"/>
          <w:sz w:val="18"/>
          <w:u w:val="single"/>
        </w:rPr>
        <w:t> </w:t>
      </w:r>
      <w:r>
        <w:rPr>
          <w:sz w:val="18"/>
          <w:u w:val="single"/>
        </w:rPr>
        <w:t>v.</w:t>
      </w:r>
      <w:r>
        <w:rPr>
          <w:spacing w:val="9"/>
          <w:sz w:val="18"/>
          <w:u w:val="single"/>
        </w:rPr>
        <w:t> </w:t>
      </w:r>
      <w:r>
        <w:rPr>
          <w:sz w:val="18"/>
          <w:u w:val="single"/>
        </w:rPr>
        <w:t>Carneghi</w:t>
      </w:r>
      <w:r>
        <w:rPr>
          <w:sz w:val="18"/>
        </w:rPr>
        <w:t>,</w:t>
      </w:r>
      <w:r>
        <w:rPr>
          <w:spacing w:val="11"/>
          <w:sz w:val="18"/>
        </w:rPr>
        <w:t> </w:t>
      </w:r>
      <w:r>
        <w:rPr>
          <w:sz w:val="18"/>
        </w:rPr>
        <w:t>158</w:t>
      </w:r>
      <w:r>
        <w:rPr>
          <w:spacing w:val="11"/>
          <w:sz w:val="18"/>
        </w:rPr>
        <w:t> </w:t>
      </w:r>
      <w:r>
        <w:rPr>
          <w:sz w:val="18"/>
        </w:rPr>
        <w:t>Cal.</w:t>
      </w:r>
      <w:r>
        <w:rPr>
          <w:spacing w:val="11"/>
          <w:sz w:val="18"/>
        </w:rPr>
        <w:t> </w:t>
      </w:r>
      <w:r>
        <w:rPr>
          <w:sz w:val="18"/>
        </w:rPr>
        <w:t>App.4th</w:t>
      </w:r>
      <w:r>
        <w:rPr>
          <w:spacing w:val="11"/>
          <w:sz w:val="18"/>
        </w:rPr>
        <w:t> </w:t>
      </w:r>
      <w:r>
        <w:rPr>
          <w:sz w:val="18"/>
        </w:rPr>
        <w:t>1120,</w:t>
      </w:r>
      <w:r>
        <w:rPr>
          <w:spacing w:val="10"/>
          <w:sz w:val="18"/>
        </w:rPr>
        <w:t> </w:t>
      </w:r>
      <w:r>
        <w:rPr>
          <w:sz w:val="18"/>
        </w:rPr>
        <w:t>70</w:t>
      </w:r>
      <w:r>
        <w:rPr>
          <w:spacing w:val="10"/>
          <w:sz w:val="18"/>
        </w:rPr>
        <w:t> </w:t>
      </w:r>
      <w:r>
        <w:rPr>
          <w:sz w:val="18"/>
        </w:rPr>
        <w:t>Cal.</w:t>
      </w:r>
      <w:r>
        <w:rPr>
          <w:spacing w:val="11"/>
          <w:sz w:val="18"/>
        </w:rPr>
        <w:t> </w:t>
      </w:r>
      <w:r>
        <w:rPr>
          <w:sz w:val="18"/>
        </w:rPr>
        <w:t>Rptr.3d</w:t>
      </w:r>
      <w:r>
        <w:rPr>
          <w:spacing w:val="11"/>
          <w:sz w:val="18"/>
        </w:rPr>
        <w:t> </w:t>
      </w:r>
      <w:r>
        <w:rPr>
          <w:sz w:val="18"/>
        </w:rPr>
        <w:t>626</w:t>
      </w:r>
      <w:r>
        <w:rPr>
          <w:spacing w:val="11"/>
          <w:sz w:val="18"/>
        </w:rPr>
        <w:t> </w:t>
      </w:r>
      <w:r>
        <w:rPr>
          <w:sz w:val="18"/>
        </w:rPr>
        <w:t>(Cal.</w:t>
      </w:r>
      <w:r>
        <w:rPr>
          <w:spacing w:val="10"/>
          <w:sz w:val="18"/>
        </w:rPr>
        <w:t> </w:t>
      </w:r>
      <w:r>
        <w:rPr>
          <w:sz w:val="18"/>
        </w:rPr>
        <w:t>App.1</w:t>
      </w:r>
      <w:r>
        <w:rPr>
          <w:spacing w:val="13"/>
          <w:sz w:val="18"/>
        </w:rPr>
        <w:t> </w:t>
      </w:r>
      <w:r>
        <w:rPr>
          <w:sz w:val="18"/>
        </w:rPr>
        <w:t>Dist.</w:t>
      </w:r>
    </w:p>
    <w:p>
      <w:pPr>
        <w:spacing w:before="18"/>
        <w:ind w:left="1160" w:right="0" w:firstLine="0"/>
        <w:jc w:val="left"/>
        <w:rPr>
          <w:rFonts w:ascii="Times New Roman"/>
          <w:sz w:val="18"/>
        </w:rPr>
      </w:pPr>
      <w:r>
        <w:rPr>
          <w:rFonts w:ascii="Times New Roman"/>
          <w:sz w:val="18"/>
        </w:rPr>
        <w:t>2008).</w:t>
      </w:r>
    </w:p>
    <w:p>
      <w:pPr>
        <w:spacing w:after="0"/>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7"/>
        <w:jc w:val="both"/>
      </w:pPr>
      <w:bookmarkStart w:name="Law and Procedure 383" w:id="52"/>
      <w:bookmarkEnd w:id="52"/>
      <w:r>
        <w:rPr/>
      </w:r>
      <w:r>
        <w:rPr/>
        <w:t>civil conspiracy by an insured against an insurer’s</w:t>
      </w:r>
      <w:r>
        <w:rPr>
          <w:spacing w:val="-14"/>
        </w:rPr>
        <w:t> </w:t>
      </w:r>
      <w:r>
        <w:rPr/>
        <w:t>appraiser</w:t>
      </w:r>
      <w:r>
        <w:rPr>
          <w:spacing w:val="-16"/>
        </w:rPr>
        <w:t> </w:t>
      </w:r>
      <w:r>
        <w:rPr/>
        <w:t>following</w:t>
      </w:r>
      <w:r>
        <w:rPr>
          <w:spacing w:val="-11"/>
        </w:rPr>
        <w:t> </w:t>
      </w:r>
      <w:r>
        <w:rPr/>
        <w:t>the</w:t>
      </w:r>
      <w:r>
        <w:rPr>
          <w:spacing w:val="-13"/>
        </w:rPr>
        <w:t> </w:t>
      </w:r>
      <w:r>
        <w:rPr/>
        <w:t>issuance</w:t>
      </w:r>
      <w:r>
        <w:rPr>
          <w:spacing w:val="-9"/>
        </w:rPr>
        <w:t> </w:t>
      </w:r>
      <w:r>
        <w:rPr/>
        <w:t>of</w:t>
      </w:r>
      <w:r>
        <w:rPr>
          <w:spacing w:val="-12"/>
        </w:rPr>
        <w:t> </w:t>
      </w:r>
      <w:r>
        <w:rPr/>
        <w:t>an appraisal award. The court found that Alabama law “clearly imposes a duty on adjusters who are acting pursuant to an appraisal</w:t>
      </w:r>
      <w:r>
        <w:rPr>
          <w:spacing w:val="-34"/>
        </w:rPr>
        <w:t> </w:t>
      </w:r>
      <w:r>
        <w:rPr/>
        <w:t>provision,</w:t>
      </w:r>
      <w:r>
        <w:rPr>
          <w:spacing w:val="-38"/>
        </w:rPr>
        <w:t> </w:t>
      </w:r>
      <w:r>
        <w:rPr/>
        <w:t>who</w:t>
      </w:r>
      <w:r>
        <w:rPr>
          <w:spacing w:val="-34"/>
        </w:rPr>
        <w:t> </w:t>
      </w:r>
      <w:r>
        <w:rPr/>
        <w:t>have</w:t>
      </w:r>
      <w:r>
        <w:rPr>
          <w:spacing w:val="-35"/>
        </w:rPr>
        <w:t> </w:t>
      </w:r>
      <w:r>
        <w:rPr/>
        <w:t>been</w:t>
      </w:r>
      <w:r>
        <w:rPr>
          <w:spacing w:val="-34"/>
        </w:rPr>
        <w:t> </w:t>
      </w:r>
      <w:r>
        <w:rPr/>
        <w:t>appointed to</w:t>
      </w:r>
      <w:r>
        <w:rPr>
          <w:spacing w:val="-23"/>
        </w:rPr>
        <w:t> </w:t>
      </w:r>
      <w:r>
        <w:rPr/>
        <w:t>act</w:t>
      </w:r>
      <w:r>
        <w:rPr>
          <w:spacing w:val="-23"/>
        </w:rPr>
        <w:t> </w:t>
      </w:r>
      <w:r>
        <w:rPr/>
        <w:t>as</w:t>
      </w:r>
      <w:r>
        <w:rPr>
          <w:spacing w:val="-22"/>
        </w:rPr>
        <w:t> </w:t>
      </w:r>
      <w:r>
        <w:rPr/>
        <w:t>appraisers,</w:t>
      </w:r>
      <w:r>
        <w:rPr>
          <w:spacing w:val="-25"/>
        </w:rPr>
        <w:t> </w:t>
      </w:r>
      <w:r>
        <w:rPr/>
        <w:t>and</w:t>
      </w:r>
      <w:r>
        <w:rPr>
          <w:spacing w:val="-22"/>
        </w:rPr>
        <w:t> </w:t>
      </w:r>
      <w:r>
        <w:rPr/>
        <w:t>not</w:t>
      </w:r>
      <w:r>
        <w:rPr>
          <w:spacing w:val="-26"/>
        </w:rPr>
        <w:t> </w:t>
      </w:r>
      <w:r>
        <w:rPr/>
        <w:t>merely</w:t>
      </w:r>
      <w:r>
        <w:rPr>
          <w:spacing w:val="-28"/>
        </w:rPr>
        <w:t> </w:t>
      </w:r>
      <w:r>
        <w:rPr/>
        <w:t>adjusters.” However, here there was no duty by an insurer’s</w:t>
      </w:r>
      <w:r>
        <w:rPr>
          <w:spacing w:val="-10"/>
        </w:rPr>
        <w:t> </w:t>
      </w:r>
      <w:r>
        <w:rPr/>
        <w:t>adjuster</w:t>
      </w:r>
      <w:r>
        <w:rPr>
          <w:spacing w:val="-12"/>
        </w:rPr>
        <w:t> </w:t>
      </w:r>
      <w:r>
        <w:rPr/>
        <w:t>to</w:t>
      </w:r>
      <w:r>
        <w:rPr>
          <w:spacing w:val="-10"/>
        </w:rPr>
        <w:t> </w:t>
      </w:r>
      <w:r>
        <w:rPr/>
        <w:t>an</w:t>
      </w:r>
      <w:r>
        <w:rPr>
          <w:spacing w:val="-10"/>
        </w:rPr>
        <w:t> </w:t>
      </w:r>
      <w:r>
        <w:rPr/>
        <w:t>insured;</w:t>
      </w:r>
      <w:r>
        <w:rPr>
          <w:spacing w:val="-13"/>
        </w:rPr>
        <w:t> </w:t>
      </w:r>
      <w:r>
        <w:rPr/>
        <w:t>any</w:t>
      </w:r>
      <w:r>
        <w:rPr>
          <w:spacing w:val="-12"/>
        </w:rPr>
        <w:t> </w:t>
      </w:r>
      <w:r>
        <w:rPr/>
        <w:t>duty</w:t>
      </w:r>
      <w:r>
        <w:rPr>
          <w:spacing w:val="-10"/>
        </w:rPr>
        <w:t> </w:t>
      </w:r>
      <w:r>
        <w:rPr/>
        <w:t>owed would</w:t>
      </w:r>
      <w:r>
        <w:rPr>
          <w:spacing w:val="-21"/>
        </w:rPr>
        <w:t> </w:t>
      </w:r>
      <w:r>
        <w:rPr/>
        <w:t>have</w:t>
      </w:r>
      <w:r>
        <w:rPr>
          <w:spacing w:val="-23"/>
        </w:rPr>
        <w:t> </w:t>
      </w:r>
      <w:r>
        <w:rPr/>
        <w:t>been</w:t>
      </w:r>
      <w:r>
        <w:rPr>
          <w:spacing w:val="-23"/>
        </w:rPr>
        <w:t> </w:t>
      </w:r>
      <w:r>
        <w:rPr/>
        <w:t>to</w:t>
      </w:r>
      <w:r>
        <w:rPr>
          <w:spacing w:val="-22"/>
        </w:rPr>
        <w:t> </w:t>
      </w:r>
      <w:r>
        <w:rPr/>
        <w:t>the</w:t>
      </w:r>
      <w:r>
        <w:rPr>
          <w:spacing w:val="-20"/>
        </w:rPr>
        <w:t> </w:t>
      </w:r>
      <w:r>
        <w:rPr/>
        <w:t>insurer</w:t>
      </w:r>
      <w:r>
        <w:rPr>
          <w:spacing w:val="-23"/>
        </w:rPr>
        <w:t> </w:t>
      </w:r>
      <w:r>
        <w:rPr/>
        <w:t>to</w:t>
      </w:r>
      <w:r>
        <w:rPr>
          <w:spacing w:val="-23"/>
        </w:rPr>
        <w:t> </w:t>
      </w:r>
      <w:r>
        <w:rPr/>
        <w:t>appraise</w:t>
      </w:r>
      <w:r>
        <w:rPr>
          <w:spacing w:val="-23"/>
        </w:rPr>
        <w:t> </w:t>
      </w:r>
      <w:r>
        <w:rPr/>
        <w:t>the loss on its behalf. </w:t>
      </w:r>
      <w:r>
        <w:rPr>
          <w:spacing w:val="2"/>
        </w:rPr>
        <w:t>As </w:t>
      </w:r>
      <w:r>
        <w:rPr/>
        <w:t>to an adjuster, the Alabama Supreme Court has “consistently failed to recognize a cause of action for the negligent handling of insurance claims, and…[does] not recognize a cause of action for the alleged wanton handling of insurance claims.”</w:t>
      </w:r>
      <w:r>
        <w:rPr>
          <w:u w:val="single"/>
          <w:vertAlign w:val="superscript"/>
        </w:rPr>
        <w:t>806</w:t>
      </w:r>
    </w:p>
    <w:p>
      <w:pPr>
        <w:pStyle w:val="BodyText"/>
        <w:spacing w:before="8"/>
        <w:rPr>
          <w:sz w:val="25"/>
        </w:rPr>
      </w:pPr>
    </w:p>
    <w:p>
      <w:pPr>
        <w:pStyle w:val="BodyText"/>
        <w:spacing w:line="242" w:lineRule="auto"/>
        <w:ind w:left="1520" w:right="1517" w:firstLine="720"/>
        <w:jc w:val="both"/>
      </w:pPr>
      <w:r>
        <w:rPr>
          <w:spacing w:val="3"/>
        </w:rPr>
        <w:t>In </w:t>
      </w:r>
      <w:r>
        <w:rPr/>
        <w:t>Connecticut, it has been held that</w:t>
      </w:r>
      <w:r>
        <w:rPr>
          <w:spacing w:val="-20"/>
        </w:rPr>
        <w:t> </w:t>
      </w:r>
      <w:r>
        <w:rPr/>
        <w:t>an independent</w:t>
      </w:r>
      <w:r>
        <w:rPr>
          <w:spacing w:val="-16"/>
        </w:rPr>
        <w:t> </w:t>
      </w:r>
      <w:r>
        <w:rPr/>
        <w:t>insurance</w:t>
      </w:r>
      <w:r>
        <w:rPr>
          <w:spacing w:val="-14"/>
        </w:rPr>
        <w:t> </w:t>
      </w:r>
      <w:r>
        <w:rPr/>
        <w:t>adjuster</w:t>
      </w:r>
      <w:r>
        <w:rPr>
          <w:spacing w:val="-12"/>
        </w:rPr>
        <w:t> </w:t>
      </w:r>
      <w:r>
        <w:rPr/>
        <w:t>does</w:t>
      </w:r>
      <w:r>
        <w:rPr>
          <w:spacing w:val="-14"/>
        </w:rPr>
        <w:t> </w:t>
      </w:r>
      <w:r>
        <w:rPr/>
        <w:t>not</w:t>
      </w:r>
      <w:r>
        <w:rPr>
          <w:spacing w:val="-14"/>
        </w:rPr>
        <w:t> </w:t>
      </w:r>
      <w:r>
        <w:rPr>
          <w:spacing w:val="-6"/>
        </w:rPr>
        <w:t>owe </w:t>
      </w:r>
      <w:r>
        <w:rPr/>
        <w:t>a duty of care to an insured but rather only to the insurance company which hired them to adjust or investigate the claim of one of its insureds. The court relied upon a previous decision, which clarified “‘[t]his is partly</w:t>
      </w:r>
      <w:r>
        <w:rPr>
          <w:spacing w:val="-42"/>
        </w:rPr>
        <w:t> </w:t>
      </w:r>
      <w:r>
        <w:rPr/>
        <w:t>based on</w:t>
      </w:r>
      <w:r>
        <w:rPr>
          <w:spacing w:val="-13"/>
        </w:rPr>
        <w:t> </w:t>
      </w:r>
      <w:r>
        <w:rPr/>
        <w:t>the</w:t>
      </w:r>
      <w:r>
        <w:rPr>
          <w:spacing w:val="-11"/>
        </w:rPr>
        <w:t> </w:t>
      </w:r>
      <w:r>
        <w:rPr/>
        <w:t>public</w:t>
      </w:r>
      <w:r>
        <w:rPr>
          <w:spacing w:val="-11"/>
        </w:rPr>
        <w:t> </w:t>
      </w:r>
      <w:r>
        <w:rPr/>
        <w:t>policy</w:t>
      </w:r>
      <w:r>
        <w:rPr>
          <w:spacing w:val="-14"/>
        </w:rPr>
        <w:t> </w:t>
      </w:r>
      <w:r>
        <w:rPr/>
        <w:t>ground</w:t>
      </w:r>
      <w:r>
        <w:rPr>
          <w:spacing w:val="-9"/>
        </w:rPr>
        <w:t> </w:t>
      </w:r>
      <w:r>
        <w:rPr/>
        <w:t>that</w:t>
      </w:r>
      <w:r>
        <w:rPr>
          <w:spacing w:val="-13"/>
        </w:rPr>
        <w:t> </w:t>
      </w:r>
      <w:r>
        <w:rPr/>
        <w:t>if</w:t>
      </w:r>
      <w:r>
        <w:rPr>
          <w:spacing w:val="-13"/>
        </w:rPr>
        <w:t> </w:t>
      </w:r>
      <w:r>
        <w:rPr/>
        <w:t>the</w:t>
      </w:r>
      <w:r>
        <w:rPr>
          <w:spacing w:val="-14"/>
        </w:rPr>
        <w:t> </w:t>
      </w:r>
      <w:r>
        <w:rPr/>
        <w:t>adjuster also owed a duty of care to the insured, </w:t>
      </w:r>
      <w:r>
        <w:rPr>
          <w:spacing w:val="-5"/>
        </w:rPr>
        <w:t>it </w:t>
      </w:r>
      <w:r>
        <w:rPr/>
        <w:t>would</w:t>
      </w:r>
      <w:r>
        <w:rPr>
          <w:spacing w:val="17"/>
        </w:rPr>
        <w:t> </w:t>
      </w:r>
      <w:r>
        <w:rPr/>
        <w:t>thrust</w:t>
      </w:r>
      <w:r>
        <w:rPr>
          <w:spacing w:val="14"/>
        </w:rPr>
        <w:t> </w:t>
      </w:r>
      <w:r>
        <w:rPr/>
        <w:t>the</w:t>
      </w:r>
      <w:r>
        <w:rPr>
          <w:spacing w:val="16"/>
        </w:rPr>
        <w:t> </w:t>
      </w:r>
      <w:r>
        <w:rPr/>
        <w:t>adjuster</w:t>
      </w:r>
      <w:r>
        <w:rPr>
          <w:spacing w:val="13"/>
        </w:rPr>
        <w:t> </w:t>
      </w:r>
      <w:r>
        <w:rPr/>
        <w:t>in</w:t>
      </w:r>
      <w:r>
        <w:rPr>
          <w:spacing w:val="16"/>
        </w:rPr>
        <w:t> </w:t>
      </w:r>
      <w:r>
        <w:rPr/>
        <w:t>to</w:t>
      </w:r>
      <w:r>
        <w:rPr>
          <w:spacing w:val="16"/>
        </w:rPr>
        <w:t> </w:t>
      </w:r>
      <w:r>
        <w:rPr/>
        <w:t>what</w:t>
      </w:r>
      <w:r>
        <w:rPr>
          <w:spacing w:val="13"/>
        </w:rPr>
        <w:t> </w:t>
      </w:r>
      <w:r>
        <w:rPr/>
        <w:t>could</w:t>
      </w:r>
      <w:r>
        <w:rPr>
          <w:spacing w:val="18"/>
        </w:rPr>
        <w:t> </w:t>
      </w:r>
      <w:r>
        <w:rPr/>
        <w:t>be</w:t>
      </w:r>
    </w:p>
    <w:p>
      <w:pPr>
        <w:pStyle w:val="BodyText"/>
        <w:rPr>
          <w:sz w:val="20"/>
        </w:rPr>
      </w:pPr>
    </w:p>
    <w:p>
      <w:pPr>
        <w:pStyle w:val="BodyText"/>
        <w:spacing w:before="4"/>
        <w:rPr>
          <w:sz w:val="19"/>
        </w:rPr>
      </w:pPr>
      <w:r>
        <w:rPr/>
        <w:pict>
          <v:shape style="position:absolute;margin-left:162pt;margin-top:14.286909pt;width:143.9pt;height:.1pt;mso-position-horizontal-relative:page;mso-position-vertical-relative:paragraph;z-index:-251617280;mso-wrap-distance-left:0;mso-wrap-distance-right:0" coordorigin="3240,286" coordsize="2878,0" path="m3240,286l6118,286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9"/>
        </w:numPr>
        <w:tabs>
          <w:tab w:pos="1447" w:val="left" w:leader="none"/>
        </w:tabs>
        <w:spacing w:line="261" w:lineRule="auto" w:before="71" w:after="0"/>
        <w:ind w:left="1160" w:right="1166" w:firstLine="0"/>
        <w:jc w:val="left"/>
        <w:rPr>
          <w:sz w:val="18"/>
        </w:rPr>
      </w:pPr>
      <w:r>
        <w:rPr>
          <w:sz w:val="18"/>
          <w:u w:val="single"/>
        </w:rPr>
        <w:t>St. John’s Deliverance Temple v. Frontier Adjusters</w:t>
      </w:r>
      <w:r>
        <w:rPr>
          <w:sz w:val="18"/>
        </w:rPr>
        <w:t>, 2012 W.L. 629056 (S.D. Ala. 2012).</w:t>
      </w:r>
    </w:p>
    <w:p>
      <w:pPr>
        <w:spacing w:after="0" w:line="261"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7"/>
        <w:jc w:val="both"/>
      </w:pPr>
      <w:bookmarkStart w:name="Law and Procedure 384" w:id="53"/>
      <w:bookmarkEnd w:id="53"/>
      <w:r>
        <w:rPr/>
      </w:r>
      <w:r>
        <w:rPr/>
        <w:t>an</w:t>
      </w:r>
      <w:r>
        <w:rPr>
          <w:spacing w:val="-25"/>
        </w:rPr>
        <w:t> </w:t>
      </w:r>
      <w:r>
        <w:rPr/>
        <w:t>irreconcilable</w:t>
      </w:r>
      <w:r>
        <w:rPr>
          <w:spacing w:val="-22"/>
        </w:rPr>
        <w:t> </w:t>
      </w:r>
      <w:r>
        <w:rPr/>
        <w:t>conflict</w:t>
      </w:r>
      <w:r>
        <w:rPr>
          <w:spacing w:val="-26"/>
        </w:rPr>
        <w:t> </w:t>
      </w:r>
      <w:r>
        <w:rPr/>
        <w:t>between</w:t>
      </w:r>
      <w:r>
        <w:rPr>
          <w:spacing w:val="-26"/>
        </w:rPr>
        <w:t> </w:t>
      </w:r>
      <w:r>
        <w:rPr/>
        <w:t>such</w:t>
      </w:r>
      <w:r>
        <w:rPr>
          <w:spacing w:val="-26"/>
        </w:rPr>
        <w:t> </w:t>
      </w:r>
      <w:r>
        <w:rPr/>
        <w:t>a</w:t>
      </w:r>
      <w:r>
        <w:rPr>
          <w:spacing w:val="-27"/>
        </w:rPr>
        <w:t> </w:t>
      </w:r>
      <w:r>
        <w:rPr/>
        <w:t>duty and the adjuster’s contractual duty to follow the instructions of its client, the insurer.” Interestingly,</w:t>
      </w:r>
      <w:r>
        <w:rPr>
          <w:spacing w:val="-32"/>
        </w:rPr>
        <w:t> </w:t>
      </w:r>
      <w:r>
        <w:rPr/>
        <w:t>while</w:t>
      </w:r>
      <w:r>
        <w:rPr>
          <w:spacing w:val="-31"/>
        </w:rPr>
        <w:t> </w:t>
      </w:r>
      <w:r>
        <w:rPr/>
        <w:t>the</w:t>
      </w:r>
      <w:r>
        <w:rPr>
          <w:spacing w:val="-29"/>
        </w:rPr>
        <w:t> </w:t>
      </w:r>
      <w:r>
        <w:rPr/>
        <w:t>appellate</w:t>
      </w:r>
      <w:r>
        <w:rPr>
          <w:spacing w:val="-29"/>
        </w:rPr>
        <w:t> </w:t>
      </w:r>
      <w:r>
        <w:rPr/>
        <w:t>court</w:t>
      </w:r>
      <w:r>
        <w:rPr>
          <w:spacing w:val="-31"/>
        </w:rPr>
        <w:t> </w:t>
      </w:r>
      <w:r>
        <w:rPr/>
        <w:t>had</w:t>
      </w:r>
      <w:r>
        <w:rPr>
          <w:spacing w:val="-28"/>
        </w:rPr>
        <w:t> </w:t>
      </w:r>
      <w:r>
        <w:rPr/>
        <w:t>not yet addressed an appraiser’s liability to third parties, it had been decided that such</w:t>
      </w:r>
      <w:r>
        <w:rPr>
          <w:spacing w:val="-38"/>
        </w:rPr>
        <w:t> </w:t>
      </w:r>
      <w:r>
        <w:rPr/>
        <w:t>liability may be applicable to builders, contractors, architects, engineers and attorneys without privity of contract.</w:t>
      </w:r>
      <w:r>
        <w:rPr>
          <w:spacing w:val="-7"/>
        </w:rPr>
        <w:t> </w:t>
      </w:r>
      <w:r>
        <w:rPr>
          <w:vertAlign w:val="superscript"/>
        </w:rPr>
        <w:t>807</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9"/>
        </w:rPr>
      </w:pPr>
      <w:r>
        <w:rPr/>
        <w:pict>
          <v:shape style="position:absolute;margin-left:162pt;margin-top:14.323921pt;width:143.9pt;height:.1pt;mso-position-horizontal-relative:page;mso-position-vertical-relative:paragraph;z-index:-251616256;mso-wrap-distance-left:0;mso-wrap-distance-right:0" coordorigin="3240,286" coordsize="2878,0" path="m3240,286l6118,286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9"/>
        </w:numPr>
        <w:tabs>
          <w:tab w:pos="1457" w:val="left" w:leader="none"/>
        </w:tabs>
        <w:spacing w:line="266" w:lineRule="auto" w:before="71" w:after="0"/>
        <w:ind w:left="1160" w:right="1165" w:firstLine="0"/>
        <w:jc w:val="left"/>
        <w:rPr>
          <w:rFonts w:ascii="Century Gothic"/>
          <w:sz w:val="18"/>
        </w:rPr>
      </w:pPr>
      <w:r>
        <w:rPr>
          <w:sz w:val="18"/>
          <w:u w:val="single"/>
        </w:rPr>
        <w:t>Savanella v. Kemper Independence Ins. Co.</w:t>
      </w:r>
      <w:r>
        <w:rPr>
          <w:sz w:val="18"/>
        </w:rPr>
        <w:t>, 2011 WL 7049491 (Conn. Super. Ct. 2011),</w:t>
      </w:r>
      <w:r>
        <w:rPr>
          <w:spacing w:val="-2"/>
          <w:sz w:val="18"/>
        </w:rPr>
        <w:t> </w:t>
      </w:r>
      <w:r>
        <w:rPr>
          <w:sz w:val="18"/>
        </w:rPr>
        <w:t>citing</w:t>
      </w:r>
      <w:r>
        <w:rPr>
          <w:spacing w:val="-3"/>
          <w:sz w:val="18"/>
        </w:rPr>
        <w:t> </w:t>
      </w:r>
      <w:r>
        <w:rPr>
          <w:sz w:val="18"/>
          <w:u w:val="single"/>
        </w:rPr>
        <w:t>Grossman</w:t>
      </w:r>
      <w:r>
        <w:rPr>
          <w:spacing w:val="-2"/>
          <w:sz w:val="18"/>
          <w:u w:val="single"/>
        </w:rPr>
        <w:t> </w:t>
      </w:r>
      <w:r>
        <w:rPr>
          <w:sz w:val="18"/>
          <w:u w:val="single"/>
        </w:rPr>
        <w:t>v.</w:t>
      </w:r>
      <w:r>
        <w:rPr>
          <w:spacing w:val="-2"/>
          <w:sz w:val="18"/>
          <w:u w:val="single"/>
        </w:rPr>
        <w:t> </w:t>
      </w:r>
      <w:r>
        <w:rPr>
          <w:sz w:val="18"/>
          <w:u w:val="single"/>
        </w:rPr>
        <w:t>Homesite</w:t>
      </w:r>
      <w:r>
        <w:rPr>
          <w:spacing w:val="-6"/>
          <w:sz w:val="18"/>
          <w:u w:val="single"/>
        </w:rPr>
        <w:t> </w:t>
      </w:r>
      <w:r>
        <w:rPr>
          <w:sz w:val="18"/>
          <w:u w:val="single"/>
        </w:rPr>
        <w:t>Ins.</w:t>
      </w:r>
      <w:r>
        <w:rPr>
          <w:spacing w:val="-4"/>
          <w:sz w:val="18"/>
          <w:u w:val="single"/>
        </w:rPr>
        <w:t> </w:t>
      </w:r>
      <w:r>
        <w:rPr>
          <w:sz w:val="18"/>
          <w:u w:val="single"/>
        </w:rPr>
        <w:t>Co.</w:t>
      </w:r>
      <w:r>
        <w:rPr>
          <w:sz w:val="18"/>
        </w:rPr>
        <w:t>,</w:t>
      </w:r>
      <w:r>
        <w:rPr>
          <w:spacing w:val="-3"/>
          <w:sz w:val="18"/>
        </w:rPr>
        <w:t> </w:t>
      </w:r>
      <w:r>
        <w:rPr>
          <w:sz w:val="18"/>
        </w:rPr>
        <w:t>2009</w:t>
      </w:r>
      <w:r>
        <w:rPr>
          <w:spacing w:val="-3"/>
          <w:sz w:val="18"/>
        </w:rPr>
        <w:t> </w:t>
      </w:r>
      <w:r>
        <w:rPr>
          <w:sz w:val="18"/>
        </w:rPr>
        <w:t>WL</w:t>
      </w:r>
      <w:r>
        <w:rPr>
          <w:spacing w:val="-8"/>
          <w:sz w:val="18"/>
        </w:rPr>
        <w:t> </w:t>
      </w:r>
      <w:r>
        <w:rPr>
          <w:sz w:val="18"/>
        </w:rPr>
        <w:t>5357978</w:t>
      </w:r>
      <w:r>
        <w:rPr>
          <w:spacing w:val="-2"/>
          <w:sz w:val="18"/>
        </w:rPr>
        <w:t> </w:t>
      </w:r>
      <w:r>
        <w:rPr>
          <w:sz w:val="18"/>
        </w:rPr>
        <w:t>(Conn.</w:t>
      </w:r>
      <w:r>
        <w:rPr>
          <w:spacing w:val="-2"/>
          <w:sz w:val="18"/>
        </w:rPr>
        <w:t> </w:t>
      </w:r>
      <w:r>
        <w:rPr>
          <w:sz w:val="18"/>
        </w:rPr>
        <w:t>Super.</w:t>
      </w:r>
      <w:r>
        <w:rPr>
          <w:spacing w:val="-1"/>
          <w:sz w:val="18"/>
        </w:rPr>
        <w:t> </w:t>
      </w:r>
      <w:r>
        <w:rPr>
          <w:sz w:val="18"/>
        </w:rPr>
        <w:t>Ct.</w:t>
      </w:r>
      <w:r>
        <w:rPr>
          <w:spacing w:val="-1"/>
          <w:sz w:val="18"/>
        </w:rPr>
        <w:t> </w:t>
      </w:r>
      <w:r>
        <w:rPr>
          <w:sz w:val="18"/>
        </w:rPr>
        <w:t>2009)</w:t>
      </w:r>
      <w:r>
        <w:rPr>
          <w:rFonts w:ascii="Century Gothic"/>
          <w:sz w:val="18"/>
        </w:rPr>
        <w:t>.</w:t>
      </w:r>
    </w:p>
    <w:p>
      <w:pPr>
        <w:spacing w:after="0" w:line="266" w:lineRule="auto"/>
        <w:jc w:val="left"/>
        <w:rPr>
          <w:rFonts w:ascii="Century Gothic"/>
          <w:sz w:val="18"/>
        </w:rPr>
        <w:sectPr>
          <w:pgSz w:w="12240" w:h="15840"/>
          <w:pgMar w:header="0" w:footer="2273" w:top="1500" w:bottom="2460" w:left="1720" w:right="1720"/>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ListParagraph"/>
        <w:numPr>
          <w:ilvl w:val="0"/>
          <w:numId w:val="8"/>
        </w:numPr>
        <w:tabs>
          <w:tab w:pos="2239" w:val="left" w:leader="none"/>
          <w:tab w:pos="2240" w:val="left" w:leader="none"/>
          <w:tab w:pos="2876" w:val="left" w:leader="none"/>
        </w:tabs>
        <w:spacing w:line="242" w:lineRule="auto" w:before="41" w:after="0"/>
        <w:ind w:left="2240" w:right="1769" w:hanging="720"/>
        <w:jc w:val="left"/>
        <w:rPr>
          <w:rFonts w:ascii="Century Gothic"/>
          <w:sz w:val="26"/>
        </w:rPr>
      </w:pPr>
      <w:bookmarkStart w:name="Law and Procedure 385" w:id="54"/>
      <w:bookmarkEnd w:id="54"/>
      <w:r>
        <w:rPr/>
      </w:r>
      <w:bookmarkStart w:name="Law and Procedure 385" w:id="55"/>
      <w:bookmarkEnd w:id="55"/>
      <w:r>
        <w:rPr>
          <w:rFonts w:ascii="Century Gothic"/>
          <w:sz w:val="26"/>
        </w:rPr>
        <w:t>EXPENSES</w:t>
      </w:r>
      <w:r>
        <w:rPr>
          <w:rFonts w:ascii="Century Gothic"/>
          <w:sz w:val="26"/>
        </w:rPr>
        <w:t> FOR CONSULTANTS HIRED </w:t>
      </w:r>
      <w:r>
        <w:rPr>
          <w:rFonts w:ascii="Century Gothic"/>
          <w:spacing w:val="-6"/>
          <w:sz w:val="26"/>
        </w:rPr>
        <w:t>BY </w:t>
      </w:r>
      <w:r>
        <w:rPr>
          <w:rFonts w:ascii="Century Gothic"/>
          <w:sz w:val="26"/>
        </w:rPr>
        <w:t>THE</w:t>
        <w:tab/>
        <w:t>APPRAISER</w:t>
      </w:r>
    </w:p>
    <w:p>
      <w:pPr>
        <w:pStyle w:val="BodyText"/>
        <w:spacing w:before="2"/>
      </w:pPr>
    </w:p>
    <w:p>
      <w:pPr>
        <w:pStyle w:val="BodyText"/>
        <w:spacing w:line="242" w:lineRule="auto"/>
        <w:ind w:left="1520" w:right="1516" w:firstLine="720"/>
        <w:jc w:val="both"/>
      </w:pPr>
      <w:r>
        <w:rPr>
          <w:spacing w:val="-3"/>
        </w:rPr>
        <w:t>Where </w:t>
      </w:r>
      <w:r>
        <w:rPr/>
        <w:t>an appraiser hired a certified public accountant to perform work in connection with an appraisal on behalf of an insured,</w:t>
      </w:r>
      <w:r>
        <w:rPr>
          <w:spacing w:val="-20"/>
        </w:rPr>
        <w:t> </w:t>
      </w:r>
      <w:r>
        <w:rPr/>
        <w:t>upon</w:t>
      </w:r>
      <w:r>
        <w:rPr>
          <w:spacing w:val="-12"/>
        </w:rPr>
        <w:t> </w:t>
      </w:r>
      <w:r>
        <w:rPr/>
        <w:t>the</w:t>
      </w:r>
      <w:r>
        <w:rPr>
          <w:spacing w:val="-15"/>
        </w:rPr>
        <w:t> </w:t>
      </w:r>
      <w:r>
        <w:rPr/>
        <w:t>appraiser’s</w:t>
      </w:r>
      <w:r>
        <w:rPr>
          <w:spacing w:val="-14"/>
        </w:rPr>
        <w:t> </w:t>
      </w:r>
      <w:r>
        <w:rPr/>
        <w:t>failure</w:t>
      </w:r>
      <w:r>
        <w:rPr>
          <w:spacing w:val="-15"/>
        </w:rPr>
        <w:t> </w:t>
      </w:r>
      <w:r>
        <w:rPr/>
        <w:t>to</w:t>
      </w:r>
      <w:r>
        <w:rPr>
          <w:spacing w:val="-16"/>
        </w:rPr>
        <w:t> </w:t>
      </w:r>
      <w:r>
        <w:rPr/>
        <w:t>pay,</w:t>
      </w:r>
      <w:r>
        <w:rPr>
          <w:spacing w:val="-18"/>
        </w:rPr>
        <w:t> </w:t>
      </w:r>
      <w:r>
        <w:rPr/>
        <w:t>an action by the accountant was commenced claiming </w:t>
      </w:r>
      <w:r>
        <w:rPr>
          <w:i/>
        </w:rPr>
        <w:t>quantum meruit</w:t>
      </w:r>
      <w:r>
        <w:rPr/>
        <w:t>. The court held that the action was properly maintained against the appraiser, based on a variety of reasons: that the accountant had been hired by the appraiser, was asked to sign a confidentiality agreement and a consulting and non- disclosure agreement with the appraiser, had discussed</w:t>
      </w:r>
      <w:r>
        <w:rPr>
          <w:spacing w:val="-14"/>
        </w:rPr>
        <w:t> </w:t>
      </w:r>
      <w:r>
        <w:rPr/>
        <w:t>an</w:t>
      </w:r>
      <w:r>
        <w:rPr>
          <w:spacing w:val="-16"/>
        </w:rPr>
        <w:t> </w:t>
      </w:r>
      <w:r>
        <w:rPr/>
        <w:t>hourly</w:t>
      </w:r>
      <w:r>
        <w:rPr>
          <w:spacing w:val="-17"/>
        </w:rPr>
        <w:t> </w:t>
      </w:r>
      <w:r>
        <w:rPr/>
        <w:t>rate</w:t>
      </w:r>
      <w:r>
        <w:rPr>
          <w:spacing w:val="-16"/>
        </w:rPr>
        <w:t> </w:t>
      </w:r>
      <w:r>
        <w:rPr/>
        <w:t>of</w:t>
      </w:r>
      <w:r>
        <w:rPr>
          <w:spacing w:val="-16"/>
        </w:rPr>
        <w:t> </w:t>
      </w:r>
      <w:r>
        <w:rPr/>
        <w:t>compensation</w:t>
      </w:r>
      <w:r>
        <w:rPr>
          <w:spacing w:val="-15"/>
        </w:rPr>
        <w:t> </w:t>
      </w:r>
      <w:r>
        <w:rPr/>
        <w:t>with the</w:t>
      </w:r>
      <w:r>
        <w:rPr>
          <w:spacing w:val="-16"/>
        </w:rPr>
        <w:t> </w:t>
      </w:r>
      <w:r>
        <w:rPr/>
        <w:t>appraiser,</w:t>
      </w:r>
      <w:r>
        <w:rPr>
          <w:spacing w:val="-20"/>
        </w:rPr>
        <w:t> </w:t>
      </w:r>
      <w:r>
        <w:rPr/>
        <w:t>his</w:t>
      </w:r>
      <w:r>
        <w:rPr>
          <w:spacing w:val="-18"/>
        </w:rPr>
        <w:t> </w:t>
      </w:r>
      <w:r>
        <w:rPr/>
        <w:t>work</w:t>
      </w:r>
      <w:r>
        <w:rPr>
          <w:spacing w:val="-18"/>
        </w:rPr>
        <w:t> </w:t>
      </w:r>
      <w:r>
        <w:rPr/>
        <w:t>had</w:t>
      </w:r>
      <w:r>
        <w:rPr>
          <w:spacing w:val="-16"/>
        </w:rPr>
        <w:t> </w:t>
      </w:r>
      <w:r>
        <w:rPr/>
        <w:t>been</w:t>
      </w:r>
      <w:r>
        <w:rPr>
          <w:spacing w:val="-15"/>
        </w:rPr>
        <w:t> </w:t>
      </w:r>
      <w:r>
        <w:rPr/>
        <w:t>managed</w:t>
      </w:r>
      <w:r>
        <w:rPr>
          <w:spacing w:val="-14"/>
        </w:rPr>
        <w:t> </w:t>
      </w:r>
      <w:r>
        <w:rPr/>
        <w:t>by the appraiser throughout the appraisal, and worksheets had been prepared for the appraiser detailing work performed and amounts due. Additional elements of the </w:t>
      </w:r>
      <w:r>
        <w:rPr>
          <w:i/>
        </w:rPr>
        <w:t>quantum meruit </w:t>
      </w:r>
      <w:r>
        <w:rPr/>
        <w:t>claim, that he had provided “valuable services” which were “accepted, used and enjoyed, were not disputed. The decision pointed out that the accountant acknowledged that insurance proceeds payable</w:t>
      </w:r>
      <w:r>
        <w:rPr>
          <w:spacing w:val="-19"/>
        </w:rPr>
        <w:t> </w:t>
      </w:r>
      <w:r>
        <w:rPr/>
        <w:t>in</w:t>
      </w:r>
      <w:r>
        <w:rPr>
          <w:spacing w:val="-20"/>
        </w:rPr>
        <w:t> </w:t>
      </w:r>
      <w:r>
        <w:rPr/>
        <w:t>the</w:t>
      </w:r>
      <w:r>
        <w:rPr>
          <w:spacing w:val="-23"/>
        </w:rPr>
        <w:t> </w:t>
      </w:r>
      <w:r>
        <w:rPr/>
        <w:t>matter</w:t>
      </w:r>
      <w:r>
        <w:rPr>
          <w:spacing w:val="-23"/>
        </w:rPr>
        <w:t> </w:t>
      </w:r>
      <w:r>
        <w:rPr/>
        <w:t>were</w:t>
      </w:r>
      <w:r>
        <w:rPr>
          <w:spacing w:val="-21"/>
        </w:rPr>
        <w:t> </w:t>
      </w:r>
      <w:r>
        <w:rPr/>
        <w:t>to</w:t>
      </w:r>
      <w:r>
        <w:rPr>
          <w:spacing w:val="-20"/>
        </w:rPr>
        <w:t> </w:t>
      </w:r>
      <w:r>
        <w:rPr/>
        <w:t>be</w:t>
      </w:r>
      <w:r>
        <w:rPr>
          <w:spacing w:val="-21"/>
        </w:rPr>
        <w:t> </w:t>
      </w:r>
      <w:r>
        <w:rPr/>
        <w:t>the</w:t>
      </w:r>
      <w:r>
        <w:rPr>
          <w:spacing w:val="-20"/>
        </w:rPr>
        <w:t> </w:t>
      </w:r>
      <w:r>
        <w:rPr/>
        <w:t>source</w:t>
      </w:r>
      <w:r>
        <w:rPr>
          <w:spacing w:val="-20"/>
        </w:rPr>
        <w:t> </w:t>
      </w:r>
      <w:r>
        <w:rPr/>
        <w:t>of compensation for the appraisal team but</w:t>
      </w:r>
      <w:r>
        <w:rPr>
          <w:spacing w:val="-31"/>
        </w:rPr>
        <w:t> </w:t>
      </w:r>
      <w:r>
        <w:rPr/>
        <w:t>was also aware of the agreement between the appraiser</w:t>
      </w:r>
      <w:r>
        <w:rPr>
          <w:spacing w:val="27"/>
        </w:rPr>
        <w:t> </w:t>
      </w:r>
      <w:r>
        <w:rPr/>
        <w:t>and</w:t>
      </w:r>
      <w:r>
        <w:rPr>
          <w:spacing w:val="30"/>
        </w:rPr>
        <w:t> </w:t>
      </w:r>
      <w:r>
        <w:rPr/>
        <w:t>insured</w:t>
      </w:r>
      <w:r>
        <w:rPr>
          <w:spacing w:val="29"/>
        </w:rPr>
        <w:t> </w:t>
      </w:r>
      <w:r>
        <w:rPr/>
        <w:t>regarding</w:t>
      </w:r>
      <w:r>
        <w:rPr>
          <w:spacing w:val="30"/>
        </w:rPr>
        <w:t> </w:t>
      </w:r>
      <w:r>
        <w:rPr/>
        <w:t>payment</w:t>
      </w:r>
      <w:r>
        <w:rPr>
          <w:spacing w:val="27"/>
        </w:rPr>
        <w:t> </w:t>
      </w:r>
      <w:r>
        <w:rPr/>
        <w:t>of</w:t>
      </w:r>
    </w:p>
    <w:p>
      <w:pPr>
        <w:spacing w:after="0" w:line="242" w:lineRule="auto"/>
        <w:jc w:val="both"/>
        <w:sectPr>
          <w:pgSz w:w="12240" w:h="15840"/>
          <w:pgMar w:header="0" w:footer="2273" w:top="1500" w:bottom="2460" w:left="1720" w:right="1720"/>
        </w:sectPr>
      </w:pPr>
    </w:p>
    <w:p>
      <w:pPr>
        <w:pStyle w:val="BodyText"/>
        <w:rPr>
          <w:sz w:val="20"/>
        </w:rPr>
      </w:pPr>
    </w:p>
    <w:p>
      <w:pPr>
        <w:pStyle w:val="BodyText"/>
        <w:rPr>
          <w:sz w:val="20"/>
        </w:rPr>
      </w:pPr>
    </w:p>
    <w:p>
      <w:pPr>
        <w:pStyle w:val="BodyText"/>
        <w:rPr>
          <w:sz w:val="20"/>
        </w:rPr>
      </w:pPr>
    </w:p>
    <w:p>
      <w:pPr>
        <w:pStyle w:val="BodyText"/>
        <w:spacing w:before="6"/>
        <w:rPr>
          <w:sz w:val="17"/>
        </w:rPr>
      </w:pPr>
    </w:p>
    <w:p>
      <w:pPr>
        <w:pStyle w:val="BodyText"/>
        <w:spacing w:before="77"/>
        <w:ind w:left="1520"/>
      </w:pPr>
      <w:bookmarkStart w:name="Law and Procedure 386" w:id="56"/>
      <w:bookmarkEnd w:id="56"/>
      <w:r>
        <w:rPr/>
      </w:r>
      <w:r>
        <w:rPr/>
        <w:t>appraisal costs.</w:t>
      </w:r>
      <w:r>
        <w:rPr>
          <w:vertAlign w:val="superscript"/>
        </w:rPr>
        <w:t>808</w:t>
      </w:r>
    </w:p>
    <w:p>
      <w:pPr>
        <w:pStyle w:val="BodyText"/>
        <w:spacing w:before="5"/>
      </w:pPr>
    </w:p>
    <w:p>
      <w:pPr>
        <w:pStyle w:val="BodyText"/>
        <w:spacing w:line="242" w:lineRule="auto" w:before="1"/>
        <w:ind w:left="1520" w:right="1522" w:firstLine="720"/>
        <w:jc w:val="both"/>
      </w:pPr>
      <w:r>
        <w:rPr>
          <w:spacing w:val="4"/>
        </w:rPr>
        <w:t>The </w:t>
      </w:r>
      <w:r>
        <w:rPr>
          <w:spacing w:val="7"/>
        </w:rPr>
        <w:t>lesson </w:t>
      </w:r>
      <w:r>
        <w:rPr>
          <w:spacing w:val="8"/>
        </w:rPr>
        <w:t>for </w:t>
      </w:r>
      <w:r>
        <w:rPr>
          <w:spacing w:val="5"/>
        </w:rPr>
        <w:t>the </w:t>
      </w:r>
      <w:r>
        <w:rPr>
          <w:spacing w:val="8"/>
        </w:rPr>
        <w:t>practitioner </w:t>
      </w:r>
      <w:r>
        <w:rPr>
          <w:spacing w:val="6"/>
        </w:rPr>
        <w:t>is that </w:t>
      </w:r>
      <w:r>
        <w:rPr/>
        <w:t>clarity</w:t>
      </w:r>
      <w:r>
        <w:rPr>
          <w:spacing w:val="-26"/>
        </w:rPr>
        <w:t> </w:t>
      </w:r>
      <w:r>
        <w:rPr/>
        <w:t>is</w:t>
      </w:r>
      <w:r>
        <w:rPr>
          <w:spacing w:val="-25"/>
        </w:rPr>
        <w:t> </w:t>
      </w:r>
      <w:r>
        <w:rPr/>
        <w:t>critical</w:t>
      </w:r>
      <w:r>
        <w:rPr>
          <w:spacing w:val="-22"/>
        </w:rPr>
        <w:t> </w:t>
      </w:r>
      <w:r>
        <w:rPr/>
        <w:t>as</w:t>
      </w:r>
      <w:r>
        <w:rPr>
          <w:spacing w:val="-23"/>
        </w:rPr>
        <w:t> </w:t>
      </w:r>
      <w:r>
        <w:rPr/>
        <w:t>to</w:t>
      </w:r>
      <w:r>
        <w:rPr>
          <w:spacing w:val="-23"/>
        </w:rPr>
        <w:t> </w:t>
      </w:r>
      <w:r>
        <w:rPr/>
        <w:t>the</w:t>
      </w:r>
      <w:r>
        <w:rPr>
          <w:spacing w:val="-25"/>
        </w:rPr>
        <w:t> </w:t>
      </w:r>
      <w:r>
        <w:rPr/>
        <w:t>method</w:t>
      </w:r>
      <w:r>
        <w:rPr>
          <w:spacing w:val="-23"/>
        </w:rPr>
        <w:t> </w:t>
      </w:r>
      <w:r>
        <w:rPr/>
        <w:t>and</w:t>
      </w:r>
      <w:r>
        <w:rPr>
          <w:spacing w:val="-27"/>
        </w:rPr>
        <w:t> </w:t>
      </w:r>
      <w:r>
        <w:rPr/>
        <w:t>source</w:t>
      </w:r>
      <w:r>
        <w:rPr>
          <w:spacing w:val="-24"/>
        </w:rPr>
        <w:t> </w:t>
      </w:r>
      <w:r>
        <w:rPr/>
        <w:t>of payment</w:t>
      </w:r>
      <w:r>
        <w:rPr>
          <w:spacing w:val="-28"/>
        </w:rPr>
        <w:t> </w:t>
      </w:r>
      <w:r>
        <w:rPr/>
        <w:t>for</w:t>
      </w:r>
      <w:r>
        <w:rPr>
          <w:spacing w:val="-25"/>
        </w:rPr>
        <w:t> </w:t>
      </w:r>
      <w:r>
        <w:rPr/>
        <w:t>consultants</w:t>
      </w:r>
      <w:r>
        <w:rPr>
          <w:spacing w:val="-27"/>
        </w:rPr>
        <w:t> </w:t>
      </w:r>
      <w:r>
        <w:rPr/>
        <w:t>or</w:t>
      </w:r>
      <w:r>
        <w:rPr>
          <w:spacing w:val="-26"/>
        </w:rPr>
        <w:t> </w:t>
      </w:r>
      <w:r>
        <w:rPr/>
        <w:t>experts</w:t>
      </w:r>
      <w:r>
        <w:rPr>
          <w:spacing w:val="-27"/>
        </w:rPr>
        <w:t> </w:t>
      </w:r>
      <w:r>
        <w:rPr/>
        <w:t>hired</w:t>
      </w:r>
      <w:r>
        <w:rPr>
          <w:spacing w:val="-26"/>
        </w:rPr>
        <w:t> </w:t>
      </w:r>
      <w:r>
        <w:rPr/>
        <w:t>by</w:t>
      </w:r>
      <w:r>
        <w:rPr>
          <w:spacing w:val="-27"/>
        </w:rPr>
        <w:t> </w:t>
      </w:r>
      <w:r>
        <w:rPr/>
        <w:t>the appraiser and should be confirmed in</w:t>
      </w:r>
      <w:r>
        <w:rPr>
          <w:spacing w:val="-13"/>
        </w:rPr>
        <w:t> </w:t>
      </w:r>
      <w:r>
        <w:rPr/>
        <w:t>writing.</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0"/>
        </w:rPr>
      </w:pPr>
      <w:r>
        <w:rPr/>
        <w:pict>
          <v:shape style="position:absolute;margin-left:162pt;margin-top:8.931787pt;width:143.9pt;height:.1pt;mso-position-horizontal-relative:page;mso-position-vertical-relative:paragraph;z-index:-251615232;mso-wrap-distance-left:0;mso-wrap-distance-right:0" coordorigin="3240,179" coordsize="2878,0" path="m3240,179l6118,179e" filled="false" stroked="true" strokeweight=".84pt" strokecolor="#000000">
            <v:path arrowok="t"/>
            <v:stroke dashstyle="solid"/>
            <w10:wrap type="topAndBottom"/>
          </v:shape>
        </w:pict>
      </w:r>
    </w:p>
    <w:p>
      <w:pPr>
        <w:pStyle w:val="BodyText"/>
        <w:spacing w:before="10"/>
        <w:rPr>
          <w:sz w:val="13"/>
        </w:rPr>
      </w:pPr>
    </w:p>
    <w:p>
      <w:pPr>
        <w:spacing w:before="72"/>
        <w:ind w:left="1160" w:right="0" w:firstLine="0"/>
        <w:jc w:val="left"/>
        <w:rPr>
          <w:rFonts w:ascii="Times New Roman"/>
          <w:sz w:val="18"/>
        </w:rPr>
      </w:pPr>
      <w:r>
        <w:rPr>
          <w:rFonts w:ascii="Times New Roman"/>
          <w:position w:val="10"/>
          <w:sz w:val="14"/>
        </w:rPr>
        <w:t>808 </w:t>
      </w:r>
      <w:r>
        <w:rPr>
          <w:rFonts w:ascii="Times New Roman"/>
          <w:sz w:val="18"/>
          <w:u w:val="single"/>
        </w:rPr>
        <w:t>Fulgham v. Fisher</w:t>
      </w:r>
      <w:r>
        <w:rPr>
          <w:rFonts w:ascii="Times New Roman"/>
          <w:sz w:val="18"/>
        </w:rPr>
        <w:t>, 349 S.W.3d 153 (2011).</w:t>
      </w:r>
    </w:p>
    <w:sectPr>
      <w:pgSz w:w="12240" w:h="15840"/>
      <w:pgMar w:header="0" w:footer="2273" w:top="1500" w:bottom="2460" w:left="1720" w:right="1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94pt;margin-top:667.371460pt;width:24pt;height:14pt;mso-position-horizontal-relative:page;mso-position-vertical-relative:page;z-index:-252861440" type="#_x0000_t202" filled="false" stroked="false">
          <v:textbox inset="0,0,0,0">
            <w:txbxContent>
              <w:p>
                <w:pPr>
                  <w:spacing w:line="255" w:lineRule="exact" w:before="0"/>
                  <w:ind w:left="60" w:right="0" w:firstLine="0"/>
                  <w:jc w:val="left"/>
                  <w:rPr>
                    <w:rFonts w:ascii="Times New Roman"/>
                    <w:sz w:val="24"/>
                  </w:rPr>
                </w:pPr>
                <w:r>
                  <w:rPr/>
                  <w:fldChar w:fldCharType="begin"/>
                </w:r>
                <w:r>
                  <w:rPr>
                    <w:rFonts w:ascii="Times New Roman"/>
                    <w:sz w:val="24"/>
                  </w:rPr>
                  <w:instrText> PAGE </w:instrText>
                </w:r>
                <w:r>
                  <w:rPr/>
                  <w:fldChar w:fldCharType="separate"/>
                </w:r>
                <w:r>
                  <w:rPr/>
                  <w:t>374</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52860416" from="162pt,599.940002pt" to="305.88pt,599.940002pt" stroked="true" strokeweight=".84pt" strokecolor="#000000">
          <v:stroke dashstyle="solid"/>
          <w10:wrap type="none"/>
        </v:line>
      </w:pict>
    </w:r>
    <w:r>
      <w:rPr/>
      <w:pict>
        <v:shape style="position:absolute;margin-left:296pt;margin-top:667.371460pt;width:20pt;height:14pt;mso-position-horizontal-relative:page;mso-position-vertical-relative:page;z-index:-252859392" type="#_x0000_t202" filled="false" stroked="false">
          <v:textbox inset="0,0,0,0">
            <w:txbxContent>
              <w:p>
                <w:pPr>
                  <w:spacing w:line="255" w:lineRule="exact" w:before="0"/>
                  <w:ind w:left="20" w:right="0" w:firstLine="0"/>
                  <w:jc w:val="left"/>
                  <w:rPr>
                    <w:rFonts w:ascii="Times New Roman"/>
                    <w:sz w:val="24"/>
                  </w:rPr>
                </w:pPr>
                <w:r>
                  <w:rPr>
                    <w:rFonts w:ascii="Times New Roman"/>
                    <w:sz w:val="24"/>
                  </w:rPr>
                  <w:t>390</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4pt;margin-top:667.371460pt;width:24pt;height:14pt;mso-position-horizontal-relative:page;mso-position-vertical-relative:page;z-index:-252858368" type="#_x0000_t202" filled="false" stroked="false">
          <v:textbox inset="0,0,0,0">
            <w:txbxContent>
              <w:p>
                <w:pPr>
                  <w:spacing w:line="255" w:lineRule="exact" w:before="0"/>
                  <w:ind w:left="60" w:right="0" w:firstLine="0"/>
                  <w:jc w:val="left"/>
                  <w:rPr>
                    <w:rFonts w:ascii="Times New Roman"/>
                    <w:sz w:val="24"/>
                  </w:rPr>
                </w:pPr>
                <w:r>
                  <w:rPr/>
                  <w:fldChar w:fldCharType="begin"/>
                </w:r>
                <w:r>
                  <w:rPr>
                    <w:rFonts w:ascii="Times New Roman"/>
                    <w:sz w:val="24"/>
                  </w:rPr>
                  <w:instrText> PAGE </w:instrText>
                </w:r>
                <w:r>
                  <w:rPr/>
                  <w:fldChar w:fldCharType="separate"/>
                </w:r>
                <w:r>
                  <w:rPr/>
                  <w:t>391</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52857344" from="162pt,603.299988pt" to="305.88pt,603.299988pt" stroked="true" strokeweight=".84pt" strokecolor="#000000">
          <v:stroke dashstyle="solid"/>
          <w10:wrap type="none"/>
        </v:line>
      </w:pict>
    </w:r>
    <w:r>
      <w:rPr/>
      <w:pict>
        <v:shape style="position:absolute;margin-left:296pt;margin-top:667.371460pt;width:20pt;height:14pt;mso-position-horizontal-relative:page;mso-position-vertical-relative:page;z-index:-252856320" type="#_x0000_t202" filled="false" stroked="false">
          <v:textbox inset="0,0,0,0">
            <w:txbxContent>
              <w:p>
                <w:pPr>
                  <w:spacing w:line="255" w:lineRule="exact" w:before="0"/>
                  <w:ind w:left="20" w:right="0" w:firstLine="0"/>
                  <w:jc w:val="left"/>
                  <w:rPr>
                    <w:rFonts w:ascii="Times New Roman"/>
                    <w:sz w:val="24"/>
                  </w:rPr>
                </w:pPr>
                <w:r>
                  <w:rPr>
                    <w:rFonts w:ascii="Times New Roman"/>
                    <w:sz w:val="24"/>
                  </w:rPr>
                  <w:t>402</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4pt;margin-top:667.371460pt;width:24pt;height:14pt;mso-position-horizontal-relative:page;mso-position-vertical-relative:page;z-index:-252855296" type="#_x0000_t202" filled="false" stroked="false">
          <v:textbox inset="0,0,0,0">
            <w:txbxContent>
              <w:p>
                <w:pPr>
                  <w:spacing w:line="255" w:lineRule="exact" w:before="0"/>
                  <w:ind w:left="60" w:right="0" w:firstLine="0"/>
                  <w:jc w:val="left"/>
                  <w:rPr>
                    <w:rFonts w:ascii="Times New Roman"/>
                    <w:sz w:val="24"/>
                  </w:rPr>
                </w:pPr>
                <w:r>
                  <w:rPr/>
                  <w:fldChar w:fldCharType="begin"/>
                </w:r>
                <w:r>
                  <w:rPr>
                    <w:rFonts w:ascii="Times New Roman"/>
                    <w:sz w:val="24"/>
                  </w:rPr>
                  <w:instrText> PAGE </w:instrText>
                </w:r>
                <w:r>
                  <w:rPr/>
                  <w:fldChar w:fldCharType="separate"/>
                </w:r>
                <w:r>
                  <w:rPr/>
                  <w:t>403</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4"/>
      <w:numFmt w:val="upperLetter"/>
      <w:lvlText w:val="%1]"/>
      <w:lvlJc w:val="left"/>
      <w:pPr>
        <w:ind w:left="2311" w:hanging="792"/>
        <w:jc w:val="left"/>
      </w:pPr>
      <w:rPr>
        <w:rFonts w:hint="default" w:ascii="Century Gothic" w:hAnsi="Century Gothic" w:eastAsia="Century Gothic" w:cs="Century Gothic"/>
        <w:w w:val="99"/>
        <w:sz w:val="26"/>
        <w:szCs w:val="26"/>
      </w:rPr>
    </w:lvl>
    <w:lvl w:ilvl="1">
      <w:start w:val="0"/>
      <w:numFmt w:val="bullet"/>
      <w:lvlText w:val="•"/>
      <w:lvlJc w:val="left"/>
      <w:pPr>
        <w:ind w:left="2968" w:hanging="792"/>
      </w:pPr>
      <w:rPr>
        <w:rFonts w:hint="default"/>
      </w:rPr>
    </w:lvl>
    <w:lvl w:ilvl="2">
      <w:start w:val="0"/>
      <w:numFmt w:val="bullet"/>
      <w:lvlText w:val="•"/>
      <w:lvlJc w:val="left"/>
      <w:pPr>
        <w:ind w:left="3616" w:hanging="792"/>
      </w:pPr>
      <w:rPr>
        <w:rFonts w:hint="default"/>
      </w:rPr>
    </w:lvl>
    <w:lvl w:ilvl="3">
      <w:start w:val="0"/>
      <w:numFmt w:val="bullet"/>
      <w:lvlText w:val="•"/>
      <w:lvlJc w:val="left"/>
      <w:pPr>
        <w:ind w:left="4264" w:hanging="792"/>
      </w:pPr>
      <w:rPr>
        <w:rFonts w:hint="default"/>
      </w:rPr>
    </w:lvl>
    <w:lvl w:ilvl="4">
      <w:start w:val="0"/>
      <w:numFmt w:val="bullet"/>
      <w:lvlText w:val="•"/>
      <w:lvlJc w:val="left"/>
      <w:pPr>
        <w:ind w:left="4912" w:hanging="792"/>
      </w:pPr>
      <w:rPr>
        <w:rFonts w:hint="default"/>
      </w:rPr>
    </w:lvl>
    <w:lvl w:ilvl="5">
      <w:start w:val="0"/>
      <w:numFmt w:val="bullet"/>
      <w:lvlText w:val="•"/>
      <w:lvlJc w:val="left"/>
      <w:pPr>
        <w:ind w:left="5560" w:hanging="792"/>
      </w:pPr>
      <w:rPr>
        <w:rFonts w:hint="default"/>
      </w:rPr>
    </w:lvl>
    <w:lvl w:ilvl="6">
      <w:start w:val="0"/>
      <w:numFmt w:val="bullet"/>
      <w:lvlText w:val="•"/>
      <w:lvlJc w:val="left"/>
      <w:pPr>
        <w:ind w:left="6208" w:hanging="792"/>
      </w:pPr>
      <w:rPr>
        <w:rFonts w:hint="default"/>
      </w:rPr>
    </w:lvl>
    <w:lvl w:ilvl="7">
      <w:start w:val="0"/>
      <w:numFmt w:val="bullet"/>
      <w:lvlText w:val="•"/>
      <w:lvlJc w:val="left"/>
      <w:pPr>
        <w:ind w:left="6856" w:hanging="792"/>
      </w:pPr>
      <w:rPr>
        <w:rFonts w:hint="default"/>
      </w:rPr>
    </w:lvl>
    <w:lvl w:ilvl="8">
      <w:start w:val="0"/>
      <w:numFmt w:val="bullet"/>
      <w:lvlText w:val="•"/>
      <w:lvlJc w:val="left"/>
      <w:pPr>
        <w:ind w:left="7504" w:hanging="792"/>
      </w:pPr>
      <w:rPr>
        <w:rFonts w:hint="default"/>
      </w:rPr>
    </w:lvl>
  </w:abstractNum>
  <w:abstractNum w:abstractNumId="8">
    <w:multiLevelType w:val="hybridMultilevel"/>
    <w:lvl w:ilvl="0">
      <w:start w:val="802"/>
      <w:numFmt w:val="decimal"/>
      <w:lvlText w:val="%1"/>
      <w:lvlJc w:val="left"/>
      <w:pPr>
        <w:ind w:left="1160" w:hanging="270"/>
        <w:jc w:val="left"/>
      </w:pPr>
      <w:rPr>
        <w:rFonts w:hint="default" w:ascii="Times New Roman" w:hAnsi="Times New Roman" w:eastAsia="Times New Roman" w:cs="Times New Roman"/>
        <w:spacing w:val="0"/>
        <w:w w:val="99"/>
        <w:position w:val="10"/>
        <w:sz w:val="14"/>
        <w:szCs w:val="14"/>
      </w:rPr>
    </w:lvl>
    <w:lvl w:ilvl="1">
      <w:start w:val="0"/>
      <w:numFmt w:val="bullet"/>
      <w:lvlText w:val="•"/>
      <w:lvlJc w:val="left"/>
      <w:pPr>
        <w:ind w:left="1924" w:hanging="270"/>
      </w:pPr>
      <w:rPr>
        <w:rFonts w:hint="default"/>
      </w:rPr>
    </w:lvl>
    <w:lvl w:ilvl="2">
      <w:start w:val="0"/>
      <w:numFmt w:val="bullet"/>
      <w:lvlText w:val="•"/>
      <w:lvlJc w:val="left"/>
      <w:pPr>
        <w:ind w:left="2688" w:hanging="270"/>
      </w:pPr>
      <w:rPr>
        <w:rFonts w:hint="default"/>
      </w:rPr>
    </w:lvl>
    <w:lvl w:ilvl="3">
      <w:start w:val="0"/>
      <w:numFmt w:val="bullet"/>
      <w:lvlText w:val="•"/>
      <w:lvlJc w:val="left"/>
      <w:pPr>
        <w:ind w:left="3452" w:hanging="270"/>
      </w:pPr>
      <w:rPr>
        <w:rFonts w:hint="default"/>
      </w:rPr>
    </w:lvl>
    <w:lvl w:ilvl="4">
      <w:start w:val="0"/>
      <w:numFmt w:val="bullet"/>
      <w:lvlText w:val="•"/>
      <w:lvlJc w:val="left"/>
      <w:pPr>
        <w:ind w:left="4216" w:hanging="270"/>
      </w:pPr>
      <w:rPr>
        <w:rFonts w:hint="default"/>
      </w:rPr>
    </w:lvl>
    <w:lvl w:ilvl="5">
      <w:start w:val="0"/>
      <w:numFmt w:val="bullet"/>
      <w:lvlText w:val="•"/>
      <w:lvlJc w:val="left"/>
      <w:pPr>
        <w:ind w:left="4980" w:hanging="270"/>
      </w:pPr>
      <w:rPr>
        <w:rFonts w:hint="default"/>
      </w:rPr>
    </w:lvl>
    <w:lvl w:ilvl="6">
      <w:start w:val="0"/>
      <w:numFmt w:val="bullet"/>
      <w:lvlText w:val="•"/>
      <w:lvlJc w:val="left"/>
      <w:pPr>
        <w:ind w:left="5744" w:hanging="270"/>
      </w:pPr>
      <w:rPr>
        <w:rFonts w:hint="default"/>
      </w:rPr>
    </w:lvl>
    <w:lvl w:ilvl="7">
      <w:start w:val="0"/>
      <w:numFmt w:val="bullet"/>
      <w:lvlText w:val="•"/>
      <w:lvlJc w:val="left"/>
      <w:pPr>
        <w:ind w:left="6508" w:hanging="270"/>
      </w:pPr>
      <w:rPr>
        <w:rFonts w:hint="default"/>
      </w:rPr>
    </w:lvl>
    <w:lvl w:ilvl="8">
      <w:start w:val="0"/>
      <w:numFmt w:val="bullet"/>
      <w:lvlText w:val="•"/>
      <w:lvlJc w:val="left"/>
      <w:pPr>
        <w:ind w:left="7272" w:hanging="270"/>
      </w:pPr>
      <w:rPr>
        <w:rFonts w:hint="default"/>
      </w:rPr>
    </w:lvl>
  </w:abstractNum>
  <w:abstractNum w:abstractNumId="6">
    <w:multiLevelType w:val="hybridMultilevel"/>
    <w:lvl w:ilvl="0">
      <w:start w:val="779"/>
      <w:numFmt w:val="decimal"/>
      <w:lvlText w:val="%1"/>
      <w:lvlJc w:val="left"/>
      <w:pPr>
        <w:ind w:left="1434" w:hanging="275"/>
        <w:jc w:val="left"/>
      </w:pPr>
      <w:rPr>
        <w:rFonts w:hint="default" w:ascii="Times New Roman" w:hAnsi="Times New Roman" w:eastAsia="Times New Roman" w:cs="Times New Roman"/>
        <w:spacing w:val="0"/>
        <w:w w:val="99"/>
        <w:position w:val="10"/>
        <w:sz w:val="14"/>
        <w:szCs w:val="14"/>
      </w:rPr>
    </w:lvl>
    <w:lvl w:ilvl="1">
      <w:start w:val="0"/>
      <w:numFmt w:val="bullet"/>
      <w:lvlText w:val="•"/>
      <w:lvlJc w:val="left"/>
      <w:pPr>
        <w:ind w:left="2240" w:hanging="275"/>
      </w:pPr>
      <w:rPr>
        <w:rFonts w:hint="default"/>
      </w:rPr>
    </w:lvl>
    <w:lvl w:ilvl="2">
      <w:start w:val="0"/>
      <w:numFmt w:val="bullet"/>
      <w:lvlText w:val="•"/>
      <w:lvlJc w:val="left"/>
      <w:pPr>
        <w:ind w:left="2968" w:hanging="275"/>
      </w:pPr>
      <w:rPr>
        <w:rFonts w:hint="default"/>
      </w:rPr>
    </w:lvl>
    <w:lvl w:ilvl="3">
      <w:start w:val="0"/>
      <w:numFmt w:val="bullet"/>
      <w:lvlText w:val="•"/>
      <w:lvlJc w:val="left"/>
      <w:pPr>
        <w:ind w:left="3697" w:hanging="275"/>
      </w:pPr>
      <w:rPr>
        <w:rFonts w:hint="default"/>
      </w:rPr>
    </w:lvl>
    <w:lvl w:ilvl="4">
      <w:start w:val="0"/>
      <w:numFmt w:val="bullet"/>
      <w:lvlText w:val="•"/>
      <w:lvlJc w:val="left"/>
      <w:pPr>
        <w:ind w:left="4426" w:hanging="275"/>
      </w:pPr>
      <w:rPr>
        <w:rFonts w:hint="default"/>
      </w:rPr>
    </w:lvl>
    <w:lvl w:ilvl="5">
      <w:start w:val="0"/>
      <w:numFmt w:val="bullet"/>
      <w:lvlText w:val="•"/>
      <w:lvlJc w:val="left"/>
      <w:pPr>
        <w:ind w:left="5155" w:hanging="275"/>
      </w:pPr>
      <w:rPr>
        <w:rFonts w:hint="default"/>
      </w:rPr>
    </w:lvl>
    <w:lvl w:ilvl="6">
      <w:start w:val="0"/>
      <w:numFmt w:val="bullet"/>
      <w:lvlText w:val="•"/>
      <w:lvlJc w:val="left"/>
      <w:pPr>
        <w:ind w:left="5884" w:hanging="275"/>
      </w:pPr>
      <w:rPr>
        <w:rFonts w:hint="default"/>
      </w:rPr>
    </w:lvl>
    <w:lvl w:ilvl="7">
      <w:start w:val="0"/>
      <w:numFmt w:val="bullet"/>
      <w:lvlText w:val="•"/>
      <w:lvlJc w:val="left"/>
      <w:pPr>
        <w:ind w:left="6613" w:hanging="275"/>
      </w:pPr>
      <w:rPr>
        <w:rFonts w:hint="default"/>
      </w:rPr>
    </w:lvl>
    <w:lvl w:ilvl="8">
      <w:start w:val="0"/>
      <w:numFmt w:val="bullet"/>
      <w:lvlText w:val="•"/>
      <w:lvlJc w:val="left"/>
      <w:pPr>
        <w:ind w:left="7342" w:hanging="275"/>
      </w:pPr>
      <w:rPr>
        <w:rFonts w:hint="default"/>
      </w:rPr>
    </w:lvl>
  </w:abstractNum>
  <w:abstractNum w:abstractNumId="5">
    <w:multiLevelType w:val="hybridMultilevel"/>
    <w:lvl w:ilvl="0">
      <w:start w:val="772"/>
      <w:numFmt w:val="decimal"/>
      <w:lvlText w:val="%1"/>
      <w:lvlJc w:val="left"/>
      <w:pPr>
        <w:ind w:left="1160" w:hanging="278"/>
        <w:jc w:val="left"/>
      </w:pPr>
      <w:rPr>
        <w:rFonts w:hint="default" w:ascii="Times New Roman" w:hAnsi="Times New Roman" w:eastAsia="Times New Roman" w:cs="Times New Roman"/>
        <w:spacing w:val="0"/>
        <w:w w:val="99"/>
        <w:position w:val="10"/>
        <w:sz w:val="14"/>
        <w:szCs w:val="14"/>
      </w:rPr>
    </w:lvl>
    <w:lvl w:ilvl="1">
      <w:start w:val="0"/>
      <w:numFmt w:val="bullet"/>
      <w:lvlText w:val="•"/>
      <w:lvlJc w:val="left"/>
      <w:pPr>
        <w:ind w:left="1924" w:hanging="278"/>
      </w:pPr>
      <w:rPr>
        <w:rFonts w:hint="default"/>
      </w:rPr>
    </w:lvl>
    <w:lvl w:ilvl="2">
      <w:start w:val="0"/>
      <w:numFmt w:val="bullet"/>
      <w:lvlText w:val="•"/>
      <w:lvlJc w:val="left"/>
      <w:pPr>
        <w:ind w:left="2688" w:hanging="278"/>
      </w:pPr>
      <w:rPr>
        <w:rFonts w:hint="default"/>
      </w:rPr>
    </w:lvl>
    <w:lvl w:ilvl="3">
      <w:start w:val="0"/>
      <w:numFmt w:val="bullet"/>
      <w:lvlText w:val="•"/>
      <w:lvlJc w:val="left"/>
      <w:pPr>
        <w:ind w:left="3452" w:hanging="278"/>
      </w:pPr>
      <w:rPr>
        <w:rFonts w:hint="default"/>
      </w:rPr>
    </w:lvl>
    <w:lvl w:ilvl="4">
      <w:start w:val="0"/>
      <w:numFmt w:val="bullet"/>
      <w:lvlText w:val="•"/>
      <w:lvlJc w:val="left"/>
      <w:pPr>
        <w:ind w:left="4216" w:hanging="278"/>
      </w:pPr>
      <w:rPr>
        <w:rFonts w:hint="default"/>
      </w:rPr>
    </w:lvl>
    <w:lvl w:ilvl="5">
      <w:start w:val="0"/>
      <w:numFmt w:val="bullet"/>
      <w:lvlText w:val="•"/>
      <w:lvlJc w:val="left"/>
      <w:pPr>
        <w:ind w:left="4980" w:hanging="278"/>
      </w:pPr>
      <w:rPr>
        <w:rFonts w:hint="default"/>
      </w:rPr>
    </w:lvl>
    <w:lvl w:ilvl="6">
      <w:start w:val="0"/>
      <w:numFmt w:val="bullet"/>
      <w:lvlText w:val="•"/>
      <w:lvlJc w:val="left"/>
      <w:pPr>
        <w:ind w:left="5744" w:hanging="278"/>
      </w:pPr>
      <w:rPr>
        <w:rFonts w:hint="default"/>
      </w:rPr>
    </w:lvl>
    <w:lvl w:ilvl="7">
      <w:start w:val="0"/>
      <w:numFmt w:val="bullet"/>
      <w:lvlText w:val="•"/>
      <w:lvlJc w:val="left"/>
      <w:pPr>
        <w:ind w:left="6508" w:hanging="278"/>
      </w:pPr>
      <w:rPr>
        <w:rFonts w:hint="default"/>
      </w:rPr>
    </w:lvl>
    <w:lvl w:ilvl="8">
      <w:start w:val="0"/>
      <w:numFmt w:val="bullet"/>
      <w:lvlText w:val="•"/>
      <w:lvlJc w:val="left"/>
      <w:pPr>
        <w:ind w:left="7272" w:hanging="278"/>
      </w:pPr>
      <w:rPr>
        <w:rFonts w:hint="default"/>
      </w:rPr>
    </w:lvl>
  </w:abstractNum>
  <w:abstractNum w:abstractNumId="4">
    <w:multiLevelType w:val="hybridMultilevel"/>
    <w:lvl w:ilvl="0">
      <w:start w:val="762"/>
      <w:numFmt w:val="decimal"/>
      <w:lvlText w:val="%1"/>
      <w:lvlJc w:val="left"/>
      <w:pPr>
        <w:ind w:left="1418" w:hanging="258"/>
        <w:jc w:val="left"/>
      </w:pPr>
      <w:rPr>
        <w:rFonts w:hint="default" w:ascii="Times New Roman" w:hAnsi="Times New Roman" w:eastAsia="Times New Roman" w:cs="Times New Roman"/>
        <w:spacing w:val="0"/>
        <w:w w:val="99"/>
        <w:position w:val="10"/>
        <w:sz w:val="14"/>
        <w:szCs w:val="14"/>
      </w:rPr>
    </w:lvl>
    <w:lvl w:ilvl="1">
      <w:start w:val="2"/>
      <w:numFmt w:val="upperLetter"/>
      <w:lvlText w:val="%2]"/>
      <w:lvlJc w:val="left"/>
      <w:pPr>
        <w:ind w:left="2240" w:hanging="720"/>
        <w:jc w:val="left"/>
      </w:pPr>
      <w:rPr>
        <w:rFonts w:hint="default" w:ascii="Century Gothic" w:hAnsi="Century Gothic" w:eastAsia="Century Gothic" w:cs="Century Gothic"/>
        <w:w w:val="99"/>
        <w:sz w:val="26"/>
        <w:szCs w:val="26"/>
      </w:rPr>
    </w:lvl>
    <w:lvl w:ilvl="2">
      <w:start w:val="1"/>
      <w:numFmt w:val="decimal"/>
      <w:lvlText w:val="%3."/>
      <w:lvlJc w:val="left"/>
      <w:pPr>
        <w:ind w:left="2597" w:hanging="358"/>
        <w:jc w:val="left"/>
      </w:pPr>
      <w:rPr>
        <w:rFonts w:hint="default" w:ascii="Century Gothic" w:hAnsi="Century Gothic" w:eastAsia="Century Gothic" w:cs="Century Gothic"/>
        <w:w w:val="99"/>
        <w:sz w:val="26"/>
        <w:szCs w:val="26"/>
      </w:rPr>
    </w:lvl>
    <w:lvl w:ilvl="3">
      <w:start w:val="0"/>
      <w:numFmt w:val="bullet"/>
      <w:lvlText w:val="•"/>
      <w:lvlJc w:val="left"/>
      <w:pPr>
        <w:ind w:left="3375" w:hanging="358"/>
      </w:pPr>
      <w:rPr>
        <w:rFonts w:hint="default"/>
      </w:rPr>
    </w:lvl>
    <w:lvl w:ilvl="4">
      <w:start w:val="0"/>
      <w:numFmt w:val="bullet"/>
      <w:lvlText w:val="•"/>
      <w:lvlJc w:val="left"/>
      <w:pPr>
        <w:ind w:left="4150" w:hanging="358"/>
      </w:pPr>
      <w:rPr>
        <w:rFonts w:hint="default"/>
      </w:rPr>
    </w:lvl>
    <w:lvl w:ilvl="5">
      <w:start w:val="0"/>
      <w:numFmt w:val="bullet"/>
      <w:lvlText w:val="•"/>
      <w:lvlJc w:val="left"/>
      <w:pPr>
        <w:ind w:left="4925" w:hanging="358"/>
      </w:pPr>
      <w:rPr>
        <w:rFonts w:hint="default"/>
      </w:rPr>
    </w:lvl>
    <w:lvl w:ilvl="6">
      <w:start w:val="0"/>
      <w:numFmt w:val="bullet"/>
      <w:lvlText w:val="•"/>
      <w:lvlJc w:val="left"/>
      <w:pPr>
        <w:ind w:left="5700" w:hanging="358"/>
      </w:pPr>
      <w:rPr>
        <w:rFonts w:hint="default"/>
      </w:rPr>
    </w:lvl>
    <w:lvl w:ilvl="7">
      <w:start w:val="0"/>
      <w:numFmt w:val="bullet"/>
      <w:lvlText w:val="•"/>
      <w:lvlJc w:val="left"/>
      <w:pPr>
        <w:ind w:left="6475" w:hanging="358"/>
      </w:pPr>
      <w:rPr>
        <w:rFonts w:hint="default"/>
      </w:rPr>
    </w:lvl>
    <w:lvl w:ilvl="8">
      <w:start w:val="0"/>
      <w:numFmt w:val="bullet"/>
      <w:lvlText w:val="•"/>
      <w:lvlJc w:val="left"/>
      <w:pPr>
        <w:ind w:left="7250" w:hanging="358"/>
      </w:pPr>
      <w:rPr>
        <w:rFonts w:hint="default"/>
      </w:rPr>
    </w:lvl>
  </w:abstractNum>
  <w:abstractNum w:abstractNumId="3">
    <w:multiLevelType w:val="hybridMultilevel"/>
    <w:lvl w:ilvl="0">
      <w:start w:val="1"/>
      <w:numFmt w:val="lowerLetter"/>
      <w:lvlText w:val="(%1)"/>
      <w:lvlJc w:val="left"/>
      <w:pPr>
        <w:ind w:left="2960" w:hanging="720"/>
        <w:jc w:val="left"/>
      </w:pPr>
      <w:rPr>
        <w:rFonts w:hint="default" w:ascii="Century Gothic" w:hAnsi="Century Gothic" w:eastAsia="Century Gothic" w:cs="Century Gothic"/>
        <w:spacing w:val="-5"/>
        <w:w w:val="99"/>
        <w:sz w:val="26"/>
        <w:szCs w:val="26"/>
      </w:rPr>
    </w:lvl>
    <w:lvl w:ilvl="1">
      <w:start w:val="0"/>
      <w:numFmt w:val="bullet"/>
      <w:lvlText w:val="•"/>
      <w:lvlJc w:val="left"/>
      <w:pPr>
        <w:ind w:left="3544" w:hanging="720"/>
      </w:pPr>
      <w:rPr>
        <w:rFonts w:hint="default"/>
      </w:rPr>
    </w:lvl>
    <w:lvl w:ilvl="2">
      <w:start w:val="0"/>
      <w:numFmt w:val="bullet"/>
      <w:lvlText w:val="•"/>
      <w:lvlJc w:val="left"/>
      <w:pPr>
        <w:ind w:left="4128" w:hanging="720"/>
      </w:pPr>
      <w:rPr>
        <w:rFonts w:hint="default"/>
      </w:rPr>
    </w:lvl>
    <w:lvl w:ilvl="3">
      <w:start w:val="0"/>
      <w:numFmt w:val="bullet"/>
      <w:lvlText w:val="•"/>
      <w:lvlJc w:val="left"/>
      <w:pPr>
        <w:ind w:left="4712" w:hanging="720"/>
      </w:pPr>
      <w:rPr>
        <w:rFonts w:hint="default"/>
      </w:rPr>
    </w:lvl>
    <w:lvl w:ilvl="4">
      <w:start w:val="0"/>
      <w:numFmt w:val="bullet"/>
      <w:lvlText w:val="•"/>
      <w:lvlJc w:val="left"/>
      <w:pPr>
        <w:ind w:left="5296" w:hanging="720"/>
      </w:pPr>
      <w:rPr>
        <w:rFonts w:hint="default"/>
      </w:rPr>
    </w:lvl>
    <w:lvl w:ilvl="5">
      <w:start w:val="0"/>
      <w:numFmt w:val="bullet"/>
      <w:lvlText w:val="•"/>
      <w:lvlJc w:val="left"/>
      <w:pPr>
        <w:ind w:left="5880" w:hanging="720"/>
      </w:pPr>
      <w:rPr>
        <w:rFonts w:hint="default"/>
      </w:rPr>
    </w:lvl>
    <w:lvl w:ilvl="6">
      <w:start w:val="0"/>
      <w:numFmt w:val="bullet"/>
      <w:lvlText w:val="•"/>
      <w:lvlJc w:val="left"/>
      <w:pPr>
        <w:ind w:left="6464" w:hanging="720"/>
      </w:pPr>
      <w:rPr>
        <w:rFonts w:hint="default"/>
      </w:rPr>
    </w:lvl>
    <w:lvl w:ilvl="7">
      <w:start w:val="0"/>
      <w:numFmt w:val="bullet"/>
      <w:lvlText w:val="•"/>
      <w:lvlJc w:val="left"/>
      <w:pPr>
        <w:ind w:left="7048" w:hanging="720"/>
      </w:pPr>
      <w:rPr>
        <w:rFonts w:hint="default"/>
      </w:rPr>
    </w:lvl>
    <w:lvl w:ilvl="8">
      <w:start w:val="0"/>
      <w:numFmt w:val="bullet"/>
      <w:lvlText w:val="•"/>
      <w:lvlJc w:val="left"/>
      <w:pPr>
        <w:ind w:left="7632" w:hanging="720"/>
      </w:pPr>
      <w:rPr>
        <w:rFonts w:hint="default"/>
      </w:rPr>
    </w:lvl>
  </w:abstractNum>
  <w:abstractNum w:abstractNumId="2">
    <w:multiLevelType w:val="hybridMultilevel"/>
    <w:lvl w:ilvl="0">
      <w:start w:val="749"/>
      <w:numFmt w:val="decimal"/>
      <w:lvlText w:val="%1"/>
      <w:lvlJc w:val="left"/>
      <w:pPr>
        <w:ind w:left="1425" w:hanging="266"/>
        <w:jc w:val="left"/>
      </w:pPr>
      <w:rPr>
        <w:rFonts w:hint="default" w:ascii="Times New Roman" w:hAnsi="Times New Roman" w:eastAsia="Times New Roman" w:cs="Times New Roman"/>
        <w:spacing w:val="0"/>
        <w:w w:val="99"/>
        <w:position w:val="10"/>
        <w:sz w:val="14"/>
        <w:szCs w:val="14"/>
      </w:rPr>
    </w:lvl>
    <w:lvl w:ilvl="1">
      <w:start w:val="1"/>
      <w:numFmt w:val="decimal"/>
      <w:lvlText w:val="%2."/>
      <w:lvlJc w:val="left"/>
      <w:pPr>
        <w:ind w:left="2240" w:hanging="365"/>
        <w:jc w:val="right"/>
      </w:pPr>
      <w:rPr>
        <w:rFonts w:hint="default" w:ascii="Century Gothic" w:hAnsi="Century Gothic" w:eastAsia="Century Gothic" w:cs="Century Gothic"/>
        <w:w w:val="99"/>
        <w:sz w:val="26"/>
        <w:szCs w:val="26"/>
      </w:rPr>
    </w:lvl>
    <w:lvl w:ilvl="2">
      <w:start w:val="0"/>
      <w:numFmt w:val="bullet"/>
      <w:lvlText w:val="•"/>
      <w:lvlJc w:val="left"/>
      <w:pPr>
        <w:ind w:left="2968" w:hanging="365"/>
      </w:pPr>
      <w:rPr>
        <w:rFonts w:hint="default"/>
      </w:rPr>
    </w:lvl>
    <w:lvl w:ilvl="3">
      <w:start w:val="0"/>
      <w:numFmt w:val="bullet"/>
      <w:lvlText w:val="•"/>
      <w:lvlJc w:val="left"/>
      <w:pPr>
        <w:ind w:left="3697" w:hanging="365"/>
      </w:pPr>
      <w:rPr>
        <w:rFonts w:hint="default"/>
      </w:rPr>
    </w:lvl>
    <w:lvl w:ilvl="4">
      <w:start w:val="0"/>
      <w:numFmt w:val="bullet"/>
      <w:lvlText w:val="•"/>
      <w:lvlJc w:val="left"/>
      <w:pPr>
        <w:ind w:left="4426" w:hanging="365"/>
      </w:pPr>
      <w:rPr>
        <w:rFonts w:hint="default"/>
      </w:rPr>
    </w:lvl>
    <w:lvl w:ilvl="5">
      <w:start w:val="0"/>
      <w:numFmt w:val="bullet"/>
      <w:lvlText w:val="•"/>
      <w:lvlJc w:val="left"/>
      <w:pPr>
        <w:ind w:left="5155" w:hanging="365"/>
      </w:pPr>
      <w:rPr>
        <w:rFonts w:hint="default"/>
      </w:rPr>
    </w:lvl>
    <w:lvl w:ilvl="6">
      <w:start w:val="0"/>
      <w:numFmt w:val="bullet"/>
      <w:lvlText w:val="•"/>
      <w:lvlJc w:val="left"/>
      <w:pPr>
        <w:ind w:left="5884" w:hanging="365"/>
      </w:pPr>
      <w:rPr>
        <w:rFonts w:hint="default"/>
      </w:rPr>
    </w:lvl>
    <w:lvl w:ilvl="7">
      <w:start w:val="0"/>
      <w:numFmt w:val="bullet"/>
      <w:lvlText w:val="•"/>
      <w:lvlJc w:val="left"/>
      <w:pPr>
        <w:ind w:left="6613" w:hanging="365"/>
      </w:pPr>
      <w:rPr>
        <w:rFonts w:hint="default"/>
      </w:rPr>
    </w:lvl>
    <w:lvl w:ilvl="8">
      <w:start w:val="0"/>
      <w:numFmt w:val="bullet"/>
      <w:lvlText w:val="•"/>
      <w:lvlJc w:val="left"/>
      <w:pPr>
        <w:ind w:left="7342" w:hanging="365"/>
      </w:pPr>
      <w:rPr>
        <w:rFonts w:hint="default"/>
      </w:rPr>
    </w:lvl>
  </w:abstractNum>
  <w:abstractNum w:abstractNumId="1">
    <w:multiLevelType w:val="hybridMultilevel"/>
    <w:lvl w:ilvl="0">
      <w:start w:val="727"/>
      <w:numFmt w:val="decimal"/>
      <w:lvlText w:val="%1"/>
      <w:lvlJc w:val="left"/>
      <w:pPr>
        <w:ind w:left="1401" w:hanging="242"/>
        <w:jc w:val="left"/>
      </w:pPr>
      <w:rPr>
        <w:rFonts w:hint="default" w:ascii="Times New Roman" w:hAnsi="Times New Roman" w:eastAsia="Times New Roman" w:cs="Times New Roman"/>
        <w:spacing w:val="0"/>
        <w:w w:val="99"/>
        <w:position w:val="10"/>
        <w:sz w:val="14"/>
        <w:szCs w:val="14"/>
      </w:rPr>
    </w:lvl>
    <w:lvl w:ilvl="1">
      <w:start w:val="0"/>
      <w:numFmt w:val="bullet"/>
      <w:lvlText w:val="•"/>
      <w:lvlJc w:val="left"/>
      <w:pPr>
        <w:ind w:left="1520" w:hanging="242"/>
      </w:pPr>
      <w:rPr>
        <w:rFonts w:hint="default"/>
      </w:rPr>
    </w:lvl>
    <w:lvl w:ilvl="2">
      <w:start w:val="0"/>
      <w:numFmt w:val="bullet"/>
      <w:lvlText w:val="•"/>
      <w:lvlJc w:val="left"/>
      <w:pPr>
        <w:ind w:left="2328" w:hanging="242"/>
      </w:pPr>
      <w:rPr>
        <w:rFonts w:hint="default"/>
      </w:rPr>
    </w:lvl>
    <w:lvl w:ilvl="3">
      <w:start w:val="0"/>
      <w:numFmt w:val="bullet"/>
      <w:lvlText w:val="•"/>
      <w:lvlJc w:val="left"/>
      <w:pPr>
        <w:ind w:left="3137" w:hanging="242"/>
      </w:pPr>
      <w:rPr>
        <w:rFonts w:hint="default"/>
      </w:rPr>
    </w:lvl>
    <w:lvl w:ilvl="4">
      <w:start w:val="0"/>
      <w:numFmt w:val="bullet"/>
      <w:lvlText w:val="•"/>
      <w:lvlJc w:val="left"/>
      <w:pPr>
        <w:ind w:left="3946" w:hanging="242"/>
      </w:pPr>
      <w:rPr>
        <w:rFonts w:hint="default"/>
      </w:rPr>
    </w:lvl>
    <w:lvl w:ilvl="5">
      <w:start w:val="0"/>
      <w:numFmt w:val="bullet"/>
      <w:lvlText w:val="•"/>
      <w:lvlJc w:val="left"/>
      <w:pPr>
        <w:ind w:left="4755" w:hanging="242"/>
      </w:pPr>
      <w:rPr>
        <w:rFonts w:hint="default"/>
      </w:rPr>
    </w:lvl>
    <w:lvl w:ilvl="6">
      <w:start w:val="0"/>
      <w:numFmt w:val="bullet"/>
      <w:lvlText w:val="•"/>
      <w:lvlJc w:val="left"/>
      <w:pPr>
        <w:ind w:left="5564" w:hanging="242"/>
      </w:pPr>
      <w:rPr>
        <w:rFonts w:hint="default"/>
      </w:rPr>
    </w:lvl>
    <w:lvl w:ilvl="7">
      <w:start w:val="0"/>
      <w:numFmt w:val="bullet"/>
      <w:lvlText w:val="•"/>
      <w:lvlJc w:val="left"/>
      <w:pPr>
        <w:ind w:left="6373" w:hanging="242"/>
      </w:pPr>
      <w:rPr>
        <w:rFonts w:hint="default"/>
      </w:rPr>
    </w:lvl>
    <w:lvl w:ilvl="8">
      <w:start w:val="0"/>
      <w:numFmt w:val="bullet"/>
      <w:lvlText w:val="•"/>
      <w:lvlJc w:val="left"/>
      <w:pPr>
        <w:ind w:left="7182" w:hanging="242"/>
      </w:pPr>
      <w:rPr>
        <w:rFonts w:hint="default"/>
      </w:rPr>
    </w:lvl>
  </w:abstractNum>
  <w:abstractNum w:abstractNumId="0">
    <w:multiLevelType w:val="hybridMultilevel"/>
    <w:lvl w:ilvl="0">
      <w:start w:val="712"/>
      <w:numFmt w:val="decimal"/>
      <w:lvlText w:val="%1"/>
      <w:lvlJc w:val="left"/>
      <w:pPr>
        <w:ind w:left="1421" w:hanging="261"/>
        <w:jc w:val="left"/>
      </w:pPr>
      <w:rPr>
        <w:rFonts w:hint="default" w:ascii="Times New Roman" w:hAnsi="Times New Roman" w:eastAsia="Times New Roman" w:cs="Times New Roman"/>
        <w:spacing w:val="0"/>
        <w:w w:val="99"/>
        <w:position w:val="9"/>
        <w:sz w:val="14"/>
        <w:szCs w:val="14"/>
      </w:rPr>
    </w:lvl>
    <w:lvl w:ilvl="1">
      <w:start w:val="0"/>
      <w:numFmt w:val="bullet"/>
      <w:lvlText w:val="•"/>
      <w:lvlJc w:val="left"/>
      <w:pPr>
        <w:ind w:left="2158" w:hanging="261"/>
      </w:pPr>
      <w:rPr>
        <w:rFonts w:hint="default"/>
      </w:rPr>
    </w:lvl>
    <w:lvl w:ilvl="2">
      <w:start w:val="0"/>
      <w:numFmt w:val="bullet"/>
      <w:lvlText w:val="•"/>
      <w:lvlJc w:val="left"/>
      <w:pPr>
        <w:ind w:left="2896" w:hanging="261"/>
      </w:pPr>
      <w:rPr>
        <w:rFonts w:hint="default"/>
      </w:rPr>
    </w:lvl>
    <w:lvl w:ilvl="3">
      <w:start w:val="0"/>
      <w:numFmt w:val="bullet"/>
      <w:lvlText w:val="•"/>
      <w:lvlJc w:val="left"/>
      <w:pPr>
        <w:ind w:left="3634" w:hanging="261"/>
      </w:pPr>
      <w:rPr>
        <w:rFonts w:hint="default"/>
      </w:rPr>
    </w:lvl>
    <w:lvl w:ilvl="4">
      <w:start w:val="0"/>
      <w:numFmt w:val="bullet"/>
      <w:lvlText w:val="•"/>
      <w:lvlJc w:val="left"/>
      <w:pPr>
        <w:ind w:left="4372" w:hanging="261"/>
      </w:pPr>
      <w:rPr>
        <w:rFonts w:hint="default"/>
      </w:rPr>
    </w:lvl>
    <w:lvl w:ilvl="5">
      <w:start w:val="0"/>
      <w:numFmt w:val="bullet"/>
      <w:lvlText w:val="•"/>
      <w:lvlJc w:val="left"/>
      <w:pPr>
        <w:ind w:left="5110" w:hanging="261"/>
      </w:pPr>
      <w:rPr>
        <w:rFonts w:hint="default"/>
      </w:rPr>
    </w:lvl>
    <w:lvl w:ilvl="6">
      <w:start w:val="0"/>
      <w:numFmt w:val="bullet"/>
      <w:lvlText w:val="•"/>
      <w:lvlJc w:val="left"/>
      <w:pPr>
        <w:ind w:left="5848" w:hanging="261"/>
      </w:pPr>
      <w:rPr>
        <w:rFonts w:hint="default"/>
      </w:rPr>
    </w:lvl>
    <w:lvl w:ilvl="7">
      <w:start w:val="0"/>
      <w:numFmt w:val="bullet"/>
      <w:lvlText w:val="•"/>
      <w:lvlJc w:val="left"/>
      <w:pPr>
        <w:ind w:left="6586" w:hanging="261"/>
      </w:pPr>
      <w:rPr>
        <w:rFonts w:hint="default"/>
      </w:rPr>
    </w:lvl>
    <w:lvl w:ilvl="8">
      <w:start w:val="0"/>
      <w:numFmt w:val="bullet"/>
      <w:lvlText w:val="•"/>
      <w:lvlJc w:val="left"/>
      <w:pPr>
        <w:ind w:left="7324" w:hanging="261"/>
      </w:pPr>
      <w:rPr>
        <w:rFonts w:hint="default"/>
      </w:rPr>
    </w:lvl>
  </w:abstractNum>
  <w:num w:numId="8">
    <w:abstractNumId w:val="7"/>
  </w:num>
  <w:num w:numId="9">
    <w:abstractNumId w:val="8"/>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rPr>
  </w:style>
  <w:style w:styleId="BodyText" w:type="paragraph">
    <w:name w:val="Body Text"/>
    <w:basedOn w:val="Normal"/>
    <w:uiPriority w:val="1"/>
    <w:qFormat/>
    <w:pPr/>
    <w:rPr>
      <w:rFonts w:ascii="Century Gothic" w:hAnsi="Century Gothic" w:eastAsia="Century Gothic" w:cs="Century Gothic"/>
      <w:sz w:val="26"/>
      <w:szCs w:val="26"/>
    </w:rPr>
  </w:style>
  <w:style w:styleId="ListParagraph" w:type="paragraph">
    <w:name w:val="List Paragraph"/>
    <w:basedOn w:val="Normal"/>
    <w:uiPriority w:val="1"/>
    <w:qFormat/>
    <w:pPr>
      <w:ind w:left="1160"/>
    </w:pPr>
    <w:rPr>
      <w:rFonts w:ascii="Times New Roman" w:hAnsi="Times New Roman" w:eastAsia="Times New Roman" w:cs="Times New Roman"/>
    </w:rPr>
  </w:style>
  <w:style w:styleId="TableParagraph" w:type="paragraph">
    <w:name w:val="Table Paragraph"/>
    <w:basedOn w:val="Normal"/>
    <w:uiPriority w:val="1"/>
    <w:qFormat/>
    <w:pPr>
      <w:spacing w:line="223" w:lineRule="exact"/>
      <w:ind w:left="50"/>
    </w:pPr>
    <w:rPr>
      <w:rFonts w:ascii="Century Gothic" w:hAnsi="Century Gothic" w:eastAsia="Century Gothic" w:cs="Century Gothic"/>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footer" Target="footer5.xm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2024-05-06T07:11:55Z</dcterms:created>
  <dcterms:modified xsi:type="dcterms:W3CDTF">2024-05-06T07:11:55Z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2024-05-06T00:00:00Z</vt:filetime>
  </property>
  <property fmtid="{D5CDD505-2E9C-101B-9397-08002B2CF9AE}" pid="3" name="Creator">
    <vt:lpwstr>Adobe Acrobat Pro DC 20.6.20034</vt:lpwstr>
  </property>
  <property fmtid="{D5CDD505-2E9C-101B-9397-08002B2CF9AE}" pid="4" name="LastSaved">
    <vt:filetime>2024-05-06T00:00:00Z</vt:filetime>
  </property>
</Properties>
</file>