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after="1"/>
        <w:rPr>
          <w:rFonts w:ascii="Times New Roman"/>
          <w:sz w:val="14"/>
        </w:rPr>
      </w:pPr>
    </w:p>
    <w:tbl>
      <w:tblPr>
        <w:tblW w:w="0" w:type="auto"/>
        <w:jc w:val="left"/>
        <w:tblInd w:w="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14"/>
        <w:gridCol w:w="940"/>
      </w:tblGrid>
      <w:tr>
        <w:trPr>
          <w:trHeight w:val="1209" w:hRule="atLeast"/>
        </w:trPr>
        <w:tc>
          <w:tcPr>
            <w:tcW w:w="4914" w:type="dxa"/>
          </w:tcPr>
          <w:p>
            <w:pPr>
              <w:pStyle w:val="TableParagraph"/>
              <w:spacing w:line="301" w:lineRule="exact"/>
              <w:ind w:left="1490"/>
              <w:rPr>
                <w:b/>
                <w:sz w:val="30"/>
              </w:rPr>
            </w:pPr>
            <w:bookmarkStart w:name="Law and Procedure 387" w:id="1"/>
            <w:bookmarkEnd w:id="1"/>
            <w:r>
              <w:rPr/>
            </w:r>
            <w:r>
              <w:rPr>
                <w:b/>
                <w:sz w:val="30"/>
              </w:rPr>
              <w:t>CHAPTER VIII</w:t>
            </w:r>
          </w:p>
          <w:p>
            <w:pPr>
              <w:pStyle w:val="TableParagraph"/>
              <w:spacing w:line="240" w:lineRule="auto" w:before="2"/>
              <w:rPr>
                <w:rFonts w:ascii="Times New Roman"/>
                <w:sz w:val="31"/>
              </w:rPr>
            </w:pPr>
          </w:p>
          <w:p>
            <w:pPr>
              <w:pStyle w:val="TableParagraph"/>
              <w:spacing w:line="240" w:lineRule="auto" w:before="1"/>
              <w:ind w:left="1574"/>
              <w:rPr>
                <w:b/>
                <w:sz w:val="30"/>
              </w:rPr>
            </w:pPr>
            <w:r>
              <w:rPr>
                <w:b/>
                <w:sz w:val="30"/>
              </w:rPr>
              <w:t>THE UMPIRE</w:t>
            </w:r>
          </w:p>
        </w:tc>
        <w:tc>
          <w:tcPr>
            <w:tcW w:w="940" w:type="dxa"/>
          </w:tcPr>
          <w:p>
            <w:pPr>
              <w:pStyle w:val="TableParagraph"/>
              <w:spacing w:line="240" w:lineRule="auto"/>
              <w:rPr>
                <w:rFonts w:ascii="Times New Roman"/>
                <w:sz w:val="22"/>
              </w:rPr>
            </w:pPr>
          </w:p>
        </w:tc>
      </w:tr>
      <w:tr>
        <w:trPr>
          <w:trHeight w:val="649" w:hRule="atLeast"/>
        </w:trPr>
        <w:tc>
          <w:tcPr>
            <w:tcW w:w="4914" w:type="dxa"/>
          </w:tcPr>
          <w:p>
            <w:pPr>
              <w:pStyle w:val="TableParagraph"/>
              <w:spacing w:line="240" w:lineRule="auto"/>
              <w:rPr>
                <w:rFonts w:ascii="Times New Roman"/>
                <w:sz w:val="20"/>
              </w:rPr>
            </w:pPr>
          </w:p>
          <w:p>
            <w:pPr>
              <w:pStyle w:val="TableParagraph"/>
              <w:spacing w:line="240" w:lineRule="auto" w:before="152"/>
              <w:ind w:left="50"/>
              <w:rPr>
                <w:sz w:val="20"/>
              </w:rPr>
            </w:pPr>
            <w:r>
              <w:rPr>
                <w:sz w:val="20"/>
              </w:rPr>
              <w:t>A] The Umpire’s Qualifications, Duties</w:t>
            </w:r>
          </w:p>
        </w:tc>
        <w:tc>
          <w:tcPr>
            <w:tcW w:w="940" w:type="dxa"/>
          </w:tcPr>
          <w:p>
            <w:pPr>
              <w:pStyle w:val="TableParagraph"/>
              <w:spacing w:line="240" w:lineRule="auto" w:before="137"/>
              <w:ind w:right="47"/>
              <w:jc w:val="right"/>
              <w:rPr>
                <w:sz w:val="20"/>
              </w:rPr>
            </w:pPr>
            <w:r>
              <w:rPr>
                <w:w w:val="95"/>
                <w:sz w:val="20"/>
              </w:rPr>
              <w:t>Pages</w:t>
            </w:r>
          </w:p>
        </w:tc>
      </w:tr>
      <w:tr>
        <w:trPr>
          <w:trHeight w:val="244" w:hRule="atLeast"/>
        </w:trPr>
        <w:tc>
          <w:tcPr>
            <w:tcW w:w="4914" w:type="dxa"/>
          </w:tcPr>
          <w:p>
            <w:pPr>
              <w:pStyle w:val="TableParagraph"/>
              <w:ind w:left="491"/>
              <w:rPr>
                <w:sz w:val="20"/>
              </w:rPr>
            </w:pPr>
            <w:r>
              <w:rPr>
                <w:sz w:val="20"/>
              </w:rPr>
              <w:t>and Scope of Authority</w:t>
            </w:r>
          </w:p>
        </w:tc>
        <w:tc>
          <w:tcPr>
            <w:tcW w:w="940" w:type="dxa"/>
          </w:tcPr>
          <w:p>
            <w:pPr>
              <w:pStyle w:val="TableParagraph"/>
              <w:ind w:right="155"/>
              <w:jc w:val="right"/>
              <w:rPr>
                <w:sz w:val="20"/>
              </w:rPr>
            </w:pPr>
            <w:r>
              <w:rPr>
                <w:w w:val="95"/>
                <w:sz w:val="20"/>
              </w:rPr>
              <w:t>426</w:t>
            </w:r>
          </w:p>
        </w:tc>
      </w:tr>
      <w:tr>
        <w:trPr>
          <w:trHeight w:val="244" w:hRule="atLeast"/>
        </w:trPr>
        <w:tc>
          <w:tcPr>
            <w:tcW w:w="4914" w:type="dxa"/>
          </w:tcPr>
          <w:p>
            <w:pPr>
              <w:pStyle w:val="TableParagraph"/>
              <w:ind w:left="491"/>
              <w:rPr>
                <w:sz w:val="20"/>
              </w:rPr>
            </w:pPr>
            <w:r>
              <w:rPr>
                <w:sz w:val="20"/>
              </w:rPr>
              <w:t>1.</w:t>
            </w:r>
            <w:r>
              <w:rPr>
                <w:spacing w:val="52"/>
                <w:sz w:val="20"/>
              </w:rPr>
              <w:t> </w:t>
            </w:r>
            <w:r>
              <w:rPr>
                <w:sz w:val="20"/>
              </w:rPr>
              <w:t>Qualifications</w:t>
            </w:r>
          </w:p>
        </w:tc>
        <w:tc>
          <w:tcPr>
            <w:tcW w:w="940" w:type="dxa"/>
          </w:tcPr>
          <w:p>
            <w:pPr>
              <w:pStyle w:val="TableParagraph"/>
              <w:ind w:right="155"/>
              <w:jc w:val="right"/>
              <w:rPr>
                <w:sz w:val="20"/>
              </w:rPr>
            </w:pPr>
            <w:r>
              <w:rPr>
                <w:w w:val="95"/>
                <w:sz w:val="20"/>
              </w:rPr>
              <w:t>426</w:t>
            </w:r>
          </w:p>
        </w:tc>
      </w:tr>
      <w:tr>
        <w:trPr>
          <w:trHeight w:val="244" w:hRule="atLeast"/>
        </w:trPr>
        <w:tc>
          <w:tcPr>
            <w:tcW w:w="4914" w:type="dxa"/>
          </w:tcPr>
          <w:p>
            <w:pPr>
              <w:pStyle w:val="TableParagraph"/>
              <w:ind w:left="491"/>
              <w:rPr>
                <w:sz w:val="20"/>
              </w:rPr>
            </w:pPr>
            <w:r>
              <w:rPr>
                <w:sz w:val="20"/>
              </w:rPr>
              <w:t>2. The Umpire’s Duties and Responsibilities</w:t>
            </w:r>
          </w:p>
        </w:tc>
        <w:tc>
          <w:tcPr>
            <w:tcW w:w="940" w:type="dxa"/>
          </w:tcPr>
          <w:p>
            <w:pPr>
              <w:pStyle w:val="TableParagraph"/>
              <w:ind w:right="155"/>
              <w:jc w:val="right"/>
              <w:rPr>
                <w:sz w:val="20"/>
              </w:rPr>
            </w:pPr>
            <w:r>
              <w:rPr>
                <w:w w:val="95"/>
                <w:sz w:val="20"/>
              </w:rPr>
              <w:t>434</w:t>
            </w:r>
          </w:p>
        </w:tc>
      </w:tr>
      <w:tr>
        <w:trPr>
          <w:trHeight w:val="244" w:hRule="atLeast"/>
        </w:trPr>
        <w:tc>
          <w:tcPr>
            <w:tcW w:w="4914" w:type="dxa"/>
          </w:tcPr>
          <w:p>
            <w:pPr>
              <w:pStyle w:val="TableParagraph"/>
              <w:ind w:left="491"/>
              <w:rPr>
                <w:sz w:val="20"/>
              </w:rPr>
            </w:pPr>
            <w:r>
              <w:rPr>
                <w:sz w:val="20"/>
              </w:rPr>
              <w:t>3. The Umpire’s Scope of Authority</w:t>
            </w:r>
          </w:p>
        </w:tc>
        <w:tc>
          <w:tcPr>
            <w:tcW w:w="940" w:type="dxa"/>
          </w:tcPr>
          <w:p>
            <w:pPr>
              <w:pStyle w:val="TableParagraph"/>
              <w:ind w:right="158"/>
              <w:jc w:val="right"/>
              <w:rPr>
                <w:sz w:val="20"/>
              </w:rPr>
            </w:pPr>
            <w:r>
              <w:rPr>
                <w:w w:val="95"/>
                <w:sz w:val="20"/>
              </w:rPr>
              <w:t>443</w:t>
            </w:r>
          </w:p>
        </w:tc>
      </w:tr>
      <w:tr>
        <w:trPr>
          <w:trHeight w:val="244" w:hRule="atLeast"/>
        </w:trPr>
        <w:tc>
          <w:tcPr>
            <w:tcW w:w="4914" w:type="dxa"/>
          </w:tcPr>
          <w:p>
            <w:pPr>
              <w:pStyle w:val="TableParagraph"/>
              <w:ind w:left="50"/>
              <w:rPr>
                <w:sz w:val="20"/>
              </w:rPr>
            </w:pPr>
            <w:r>
              <w:rPr>
                <w:sz w:val="20"/>
              </w:rPr>
              <w:t>B] Fees</w:t>
            </w:r>
          </w:p>
        </w:tc>
        <w:tc>
          <w:tcPr>
            <w:tcW w:w="940" w:type="dxa"/>
          </w:tcPr>
          <w:p>
            <w:pPr>
              <w:pStyle w:val="TableParagraph"/>
              <w:ind w:right="153"/>
              <w:jc w:val="right"/>
              <w:rPr>
                <w:sz w:val="20"/>
              </w:rPr>
            </w:pPr>
            <w:r>
              <w:rPr>
                <w:w w:val="95"/>
                <w:sz w:val="20"/>
              </w:rPr>
              <w:t>449</w:t>
            </w:r>
          </w:p>
        </w:tc>
      </w:tr>
      <w:tr>
        <w:trPr>
          <w:trHeight w:val="244" w:hRule="atLeast"/>
        </w:trPr>
        <w:tc>
          <w:tcPr>
            <w:tcW w:w="4914" w:type="dxa"/>
          </w:tcPr>
          <w:p>
            <w:pPr>
              <w:pStyle w:val="TableParagraph"/>
              <w:ind w:left="50"/>
              <w:rPr>
                <w:sz w:val="20"/>
              </w:rPr>
            </w:pPr>
            <w:r>
              <w:rPr>
                <w:sz w:val="20"/>
              </w:rPr>
              <w:t>C] Written Agreement with the Umpire</w:t>
            </w:r>
          </w:p>
        </w:tc>
        <w:tc>
          <w:tcPr>
            <w:tcW w:w="940" w:type="dxa"/>
          </w:tcPr>
          <w:p>
            <w:pPr>
              <w:pStyle w:val="TableParagraph"/>
              <w:ind w:right="157"/>
              <w:jc w:val="right"/>
              <w:rPr>
                <w:sz w:val="20"/>
              </w:rPr>
            </w:pPr>
            <w:r>
              <w:rPr>
                <w:w w:val="95"/>
                <w:sz w:val="20"/>
              </w:rPr>
              <w:t>452</w:t>
            </w:r>
          </w:p>
        </w:tc>
      </w:tr>
      <w:tr>
        <w:trPr>
          <w:trHeight w:val="244" w:hRule="atLeast"/>
        </w:trPr>
        <w:tc>
          <w:tcPr>
            <w:tcW w:w="4914" w:type="dxa"/>
          </w:tcPr>
          <w:p>
            <w:pPr>
              <w:pStyle w:val="TableParagraph"/>
              <w:ind w:left="50"/>
              <w:rPr>
                <w:sz w:val="20"/>
              </w:rPr>
            </w:pPr>
            <w:r>
              <w:rPr>
                <w:sz w:val="20"/>
              </w:rPr>
              <w:t>D] Court Appointment of the Umpire</w:t>
            </w:r>
          </w:p>
        </w:tc>
        <w:tc>
          <w:tcPr>
            <w:tcW w:w="940" w:type="dxa"/>
          </w:tcPr>
          <w:p>
            <w:pPr>
              <w:pStyle w:val="TableParagraph"/>
              <w:ind w:right="155"/>
              <w:jc w:val="right"/>
              <w:rPr>
                <w:sz w:val="20"/>
              </w:rPr>
            </w:pPr>
            <w:r>
              <w:rPr>
                <w:w w:val="95"/>
                <w:sz w:val="20"/>
              </w:rPr>
              <w:t>454</w:t>
            </w:r>
          </w:p>
        </w:tc>
      </w:tr>
      <w:tr>
        <w:trPr>
          <w:trHeight w:val="414" w:hRule="atLeast"/>
        </w:trPr>
        <w:tc>
          <w:tcPr>
            <w:tcW w:w="4914" w:type="dxa"/>
          </w:tcPr>
          <w:p>
            <w:pPr>
              <w:pStyle w:val="TableParagraph"/>
              <w:ind w:left="50"/>
              <w:rPr>
                <w:sz w:val="20"/>
              </w:rPr>
            </w:pPr>
            <w:r>
              <w:rPr>
                <w:sz w:val="20"/>
              </w:rPr>
              <w:t>E] When to Appoint the Umpire</w:t>
            </w:r>
          </w:p>
        </w:tc>
        <w:tc>
          <w:tcPr>
            <w:tcW w:w="940" w:type="dxa"/>
          </w:tcPr>
          <w:p>
            <w:pPr>
              <w:pStyle w:val="TableParagraph"/>
              <w:ind w:right="156"/>
              <w:jc w:val="right"/>
              <w:rPr>
                <w:sz w:val="20"/>
              </w:rPr>
            </w:pPr>
            <w:r>
              <w:rPr>
                <w:w w:val="95"/>
                <w:sz w:val="20"/>
              </w:rPr>
              <w:t>460</w:t>
            </w:r>
          </w:p>
        </w:tc>
      </w:tr>
      <w:tr>
        <w:trPr>
          <w:trHeight w:val="482" w:hRule="atLeast"/>
        </w:trPr>
        <w:tc>
          <w:tcPr>
            <w:tcW w:w="4914" w:type="dxa"/>
          </w:tcPr>
          <w:p>
            <w:pPr>
              <w:pStyle w:val="TableParagraph"/>
              <w:tabs>
                <w:tab w:pos="769" w:val="left" w:leader="none"/>
              </w:tabs>
              <w:spacing w:line="240" w:lineRule="auto" w:before="134"/>
              <w:ind w:left="50"/>
              <w:rPr>
                <w:sz w:val="26"/>
              </w:rPr>
            </w:pPr>
            <w:r>
              <w:rPr>
                <w:spacing w:val="2"/>
                <w:sz w:val="26"/>
              </w:rPr>
              <w:t>A]</w:t>
              <w:tab/>
            </w:r>
            <w:r>
              <w:rPr>
                <w:sz w:val="26"/>
              </w:rPr>
              <w:t>THE UMPIRE'S</w:t>
            </w:r>
            <w:r>
              <w:rPr>
                <w:spacing w:val="11"/>
                <w:sz w:val="26"/>
              </w:rPr>
              <w:t> </w:t>
            </w:r>
            <w:r>
              <w:rPr>
                <w:sz w:val="26"/>
              </w:rPr>
              <w:t>QUALIFICATIONS,</w:t>
            </w:r>
          </w:p>
        </w:tc>
        <w:tc>
          <w:tcPr>
            <w:tcW w:w="940" w:type="dxa"/>
          </w:tcPr>
          <w:p>
            <w:pPr>
              <w:pStyle w:val="TableParagraph"/>
              <w:spacing w:line="240" w:lineRule="auto" w:before="134"/>
              <w:ind w:right="47"/>
              <w:jc w:val="right"/>
              <w:rPr>
                <w:sz w:val="26"/>
              </w:rPr>
            </w:pPr>
            <w:r>
              <w:rPr>
                <w:sz w:val="26"/>
              </w:rPr>
              <w:t>DUTIES</w:t>
            </w:r>
          </w:p>
        </w:tc>
      </w:tr>
      <w:tr>
        <w:trPr>
          <w:trHeight w:val="290" w:hRule="atLeast"/>
        </w:trPr>
        <w:tc>
          <w:tcPr>
            <w:tcW w:w="4914" w:type="dxa"/>
          </w:tcPr>
          <w:p>
            <w:pPr>
              <w:pStyle w:val="TableParagraph"/>
              <w:spacing w:line="270" w:lineRule="exact"/>
              <w:ind w:left="770"/>
              <w:rPr>
                <w:sz w:val="26"/>
              </w:rPr>
            </w:pPr>
            <w:r>
              <w:rPr>
                <w:sz w:val="26"/>
              </w:rPr>
              <w:t>AND SCOPE OF AUTHORITY</w:t>
            </w:r>
          </w:p>
        </w:tc>
        <w:tc>
          <w:tcPr>
            <w:tcW w:w="940" w:type="dxa"/>
          </w:tcPr>
          <w:p>
            <w:pPr>
              <w:pStyle w:val="TableParagraph"/>
              <w:spacing w:line="240" w:lineRule="auto"/>
              <w:rPr>
                <w:rFonts w:ascii="Times New Roman"/>
                <w:sz w:val="20"/>
              </w:rPr>
            </w:pPr>
          </w:p>
        </w:tc>
      </w:tr>
    </w:tbl>
    <w:p>
      <w:pPr>
        <w:pStyle w:val="BodyText"/>
        <w:spacing w:before="8"/>
        <w:rPr>
          <w:rFonts w:ascii="Times New Roman"/>
          <w:sz w:val="24"/>
        </w:rPr>
      </w:pPr>
    </w:p>
    <w:p>
      <w:pPr>
        <w:pStyle w:val="ListParagraph"/>
        <w:numPr>
          <w:ilvl w:val="0"/>
          <w:numId w:val="1"/>
        </w:numPr>
        <w:tabs>
          <w:tab w:pos="1878" w:val="left" w:leader="none"/>
        </w:tabs>
        <w:spacing w:line="240" w:lineRule="auto" w:before="41" w:after="0"/>
        <w:ind w:left="1877" w:right="0" w:hanging="358"/>
        <w:jc w:val="left"/>
        <w:rPr>
          <w:rFonts w:ascii="Century Gothic"/>
          <w:sz w:val="26"/>
        </w:rPr>
      </w:pPr>
      <w:r>
        <w:rPr>
          <w:rFonts w:ascii="Century Gothic"/>
          <w:sz w:val="26"/>
        </w:rPr>
        <w:t>Qualifications</w:t>
      </w:r>
    </w:p>
    <w:p>
      <w:pPr>
        <w:pStyle w:val="BodyText"/>
        <w:spacing w:before="6"/>
      </w:pPr>
    </w:p>
    <w:p>
      <w:pPr>
        <w:pStyle w:val="BodyText"/>
        <w:spacing w:line="242" w:lineRule="auto"/>
        <w:ind w:left="1520" w:right="1523" w:firstLine="720"/>
        <w:jc w:val="both"/>
      </w:pPr>
      <w:r>
        <w:rPr/>
        <w:t>The Standard Fire Policy’s appraisal clause states in relevant part:</w:t>
      </w:r>
    </w:p>
    <w:p>
      <w:pPr>
        <w:pStyle w:val="BodyText"/>
        <w:spacing w:before="2"/>
      </w:pPr>
    </w:p>
    <w:p>
      <w:pPr>
        <w:pStyle w:val="BodyText"/>
        <w:spacing w:line="242" w:lineRule="auto"/>
        <w:ind w:left="2240" w:right="2240"/>
        <w:jc w:val="both"/>
      </w:pPr>
      <w:r>
        <w:rPr/>
        <w:t>“The appraisers shall first select a competent and disinterested umpire;”</w:t>
      </w:r>
    </w:p>
    <w:p>
      <w:pPr>
        <w:pStyle w:val="BodyText"/>
        <w:spacing w:before="1"/>
      </w:pPr>
    </w:p>
    <w:p>
      <w:pPr>
        <w:pStyle w:val="BodyText"/>
        <w:spacing w:line="242" w:lineRule="auto" w:before="1"/>
        <w:ind w:left="1520" w:right="1518" w:firstLine="720"/>
        <w:jc w:val="both"/>
      </w:pPr>
      <w:r>
        <w:rPr/>
        <w:t>Thus, appraisers must appoint an</w:t>
      </w:r>
      <w:r>
        <w:rPr>
          <w:spacing w:val="-34"/>
        </w:rPr>
        <w:t> </w:t>
      </w:r>
      <w:r>
        <w:rPr/>
        <w:t>umpire who is competent and</w:t>
      </w:r>
      <w:r>
        <w:rPr>
          <w:spacing w:val="-8"/>
        </w:rPr>
        <w:t> </w:t>
      </w:r>
      <w:r>
        <w:rPr/>
        <w:t>disinterested.</w:t>
      </w:r>
    </w:p>
    <w:p>
      <w:pPr>
        <w:pStyle w:val="BodyText"/>
        <w:spacing w:before="1"/>
      </w:pPr>
    </w:p>
    <w:p>
      <w:pPr>
        <w:pStyle w:val="BodyText"/>
        <w:spacing w:line="242" w:lineRule="auto" w:before="1"/>
        <w:ind w:left="1520" w:right="1518" w:firstLine="720"/>
        <w:jc w:val="both"/>
      </w:pPr>
      <w:r>
        <w:rPr/>
        <w:t>Other qualifications have been stated and</w:t>
      </w:r>
      <w:r>
        <w:rPr>
          <w:spacing w:val="-22"/>
        </w:rPr>
        <w:t> </w:t>
      </w:r>
      <w:r>
        <w:rPr/>
        <w:t>reviewed</w:t>
      </w:r>
      <w:r>
        <w:rPr>
          <w:spacing w:val="-25"/>
        </w:rPr>
        <w:t> </w:t>
      </w:r>
      <w:r>
        <w:rPr/>
        <w:t>in</w:t>
      </w:r>
      <w:r>
        <w:rPr>
          <w:spacing w:val="-24"/>
        </w:rPr>
        <w:t> </w:t>
      </w:r>
      <w:r>
        <w:rPr/>
        <w:t>assessing</w:t>
      </w:r>
      <w:r>
        <w:rPr>
          <w:spacing w:val="-25"/>
        </w:rPr>
        <w:t> </w:t>
      </w:r>
      <w:r>
        <w:rPr/>
        <w:t>the</w:t>
      </w:r>
      <w:r>
        <w:rPr>
          <w:spacing w:val="-25"/>
        </w:rPr>
        <w:t> </w:t>
      </w:r>
      <w:r>
        <w:rPr/>
        <w:t>appropriateness of a particular selection. For example, </w:t>
      </w:r>
      <w:r>
        <w:rPr>
          <w:spacing w:val="-6"/>
        </w:rPr>
        <w:t>in </w:t>
      </w:r>
      <w:r>
        <w:rPr/>
        <w:t>selecting an umpire, the appraisers should</w:t>
      </w:r>
      <w:r>
        <w:rPr>
          <w:spacing w:val="-37"/>
        </w:rPr>
        <w:t> </w:t>
      </w:r>
      <w:r>
        <w:rPr>
          <w:spacing w:val="-4"/>
        </w:rPr>
        <w:t>not</w:t>
      </w:r>
    </w:p>
    <w:p>
      <w:pPr>
        <w:spacing w:after="0" w:line="242" w:lineRule="auto"/>
        <w:jc w:val="both"/>
        <w:sectPr>
          <w:footerReference w:type="default" r:id="rId5"/>
          <w:type w:val="continuous"/>
          <w:pgSz w:w="12240" w:h="15840"/>
          <w:pgMar w:footer="2273" w:top="1500" w:bottom="2460" w:left="1720" w:right="1720"/>
          <w:pgNumType w:start="426"/>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20"/>
        <w:jc w:val="both"/>
      </w:pPr>
      <w:bookmarkStart w:name="Law and Procedure 388" w:id="2"/>
      <w:bookmarkEnd w:id="2"/>
      <w:r>
        <w:rPr/>
      </w:r>
      <w:r>
        <w:rPr/>
        <w:t>hire an individual who lives outside a reasonable distance from the loss location, regardless of whether said umpire is disinterested or not, as long as there are competent parties that can be found nearby.</w:t>
      </w:r>
      <w:r>
        <w:rPr>
          <w:vertAlign w:val="superscript"/>
        </w:rPr>
        <w:t>809</w:t>
      </w:r>
    </w:p>
    <w:p>
      <w:pPr>
        <w:pStyle w:val="BodyText"/>
        <w:spacing w:before="1"/>
      </w:pPr>
    </w:p>
    <w:p>
      <w:pPr>
        <w:pStyle w:val="BodyText"/>
        <w:spacing w:line="242" w:lineRule="auto"/>
        <w:ind w:left="1520" w:right="1519" w:firstLine="720"/>
        <w:jc w:val="both"/>
      </w:pPr>
      <w:r>
        <w:rPr/>
        <w:t>The umpire appointed under </w:t>
      </w:r>
      <w:r>
        <w:rPr>
          <w:spacing w:val="-5"/>
        </w:rPr>
        <w:t>the </w:t>
      </w:r>
      <w:r>
        <w:rPr/>
        <w:t>appraisal provision of a policy is required to possess</w:t>
      </w:r>
      <w:r>
        <w:rPr>
          <w:spacing w:val="-32"/>
        </w:rPr>
        <w:t> </w:t>
      </w:r>
      <w:r>
        <w:rPr/>
        <w:t>judicial</w:t>
      </w:r>
      <w:r>
        <w:rPr>
          <w:spacing w:val="-30"/>
        </w:rPr>
        <w:t> </w:t>
      </w:r>
      <w:r>
        <w:rPr/>
        <w:t>qualifications</w:t>
      </w:r>
      <w:r>
        <w:rPr>
          <w:spacing w:val="-30"/>
        </w:rPr>
        <w:t> </w:t>
      </w:r>
      <w:r>
        <w:rPr/>
        <w:t>of</w:t>
      </w:r>
      <w:r>
        <w:rPr>
          <w:spacing w:val="-31"/>
        </w:rPr>
        <w:t> </w:t>
      </w:r>
      <w:r>
        <w:rPr/>
        <w:t>fairness</w:t>
      </w:r>
      <w:r>
        <w:rPr>
          <w:spacing w:val="-31"/>
        </w:rPr>
        <w:t> </w:t>
      </w:r>
      <w:r>
        <w:rPr/>
        <w:t>to</w:t>
      </w:r>
      <w:r>
        <w:rPr>
          <w:spacing w:val="-31"/>
        </w:rPr>
        <w:t> </w:t>
      </w:r>
      <w:r>
        <w:rPr/>
        <w:t>both parties,</w:t>
      </w:r>
      <w:r>
        <w:rPr>
          <w:spacing w:val="-12"/>
        </w:rPr>
        <w:t> </w:t>
      </w:r>
      <w:r>
        <w:rPr/>
        <w:t>so</w:t>
      </w:r>
      <w:r>
        <w:rPr>
          <w:spacing w:val="-9"/>
        </w:rPr>
        <w:t> </w:t>
      </w:r>
      <w:r>
        <w:rPr/>
        <w:t>that</w:t>
      </w:r>
      <w:r>
        <w:rPr>
          <w:spacing w:val="-10"/>
        </w:rPr>
        <w:t> </w:t>
      </w:r>
      <w:r>
        <w:rPr/>
        <w:t>he</w:t>
      </w:r>
      <w:r>
        <w:rPr>
          <w:spacing w:val="-10"/>
        </w:rPr>
        <w:t> </w:t>
      </w:r>
      <w:r>
        <w:rPr/>
        <w:t>or</w:t>
      </w:r>
      <w:r>
        <w:rPr>
          <w:spacing w:val="-11"/>
        </w:rPr>
        <w:t> </w:t>
      </w:r>
      <w:r>
        <w:rPr/>
        <w:t>she</w:t>
      </w:r>
      <w:r>
        <w:rPr>
          <w:spacing w:val="-11"/>
        </w:rPr>
        <w:t> </w:t>
      </w:r>
      <w:r>
        <w:rPr/>
        <w:t>may</w:t>
      </w:r>
      <w:r>
        <w:rPr>
          <w:spacing w:val="-13"/>
        </w:rPr>
        <w:t> </w:t>
      </w:r>
      <w:r>
        <w:rPr/>
        <w:t>render</w:t>
      </w:r>
      <w:r>
        <w:rPr>
          <w:spacing w:val="-12"/>
        </w:rPr>
        <w:t> </w:t>
      </w:r>
      <w:r>
        <w:rPr/>
        <w:t>a</w:t>
      </w:r>
      <w:r>
        <w:rPr>
          <w:spacing w:val="-8"/>
        </w:rPr>
        <w:t> </w:t>
      </w:r>
      <w:r>
        <w:rPr/>
        <w:t>faithful, honest and disinterested opinion.</w:t>
      </w:r>
      <w:r>
        <w:rPr>
          <w:vertAlign w:val="superscript"/>
        </w:rPr>
        <w:t>810</w:t>
      </w:r>
      <w:r>
        <w:rPr>
          <w:vertAlign w:val="baseline"/>
        </w:rPr>
        <w:t> </w:t>
      </w:r>
      <w:r>
        <w:rPr>
          <w:spacing w:val="-8"/>
          <w:vertAlign w:val="baseline"/>
        </w:rPr>
        <w:t>Stated </w:t>
      </w:r>
      <w:r>
        <w:rPr>
          <w:vertAlign w:val="baseline"/>
        </w:rPr>
        <w:t>another way, it has been </w:t>
      </w:r>
      <w:r>
        <w:rPr>
          <w:spacing w:val="2"/>
          <w:vertAlign w:val="baseline"/>
        </w:rPr>
        <w:t>said </w:t>
      </w:r>
      <w:r>
        <w:rPr>
          <w:vertAlign w:val="baseline"/>
        </w:rPr>
        <w:t>that the umpire must be competent and</w:t>
      </w:r>
      <w:r>
        <w:rPr>
          <w:spacing w:val="-7"/>
          <w:vertAlign w:val="baseline"/>
        </w:rPr>
        <w:t> </w:t>
      </w:r>
      <w:r>
        <w:rPr>
          <w:vertAlign w:val="baseline"/>
        </w:rPr>
        <w:t>impartial.</w:t>
      </w:r>
      <w:r>
        <w:rPr>
          <w:vertAlign w:val="superscript"/>
        </w:rPr>
        <w:t>811</w:t>
      </w:r>
    </w:p>
    <w:p>
      <w:pPr>
        <w:pStyle w:val="BodyText"/>
      </w:pPr>
    </w:p>
    <w:p>
      <w:pPr>
        <w:pStyle w:val="BodyText"/>
        <w:spacing w:line="242" w:lineRule="auto"/>
        <w:ind w:left="1520" w:right="1519" w:firstLine="720"/>
        <w:jc w:val="both"/>
      </w:pPr>
      <w:r>
        <w:rPr/>
        <w:t>Many courts have likened an umpire in an insurance appraisal to an arbitrator in an arbitration. Umpires have the obligation to be unbiased and further, to disclose any</w:t>
      </w:r>
      <w:r>
        <w:rPr>
          <w:spacing w:val="-43"/>
        </w:rPr>
        <w:t> </w:t>
      </w:r>
      <w:r>
        <w:rPr/>
        <w:t>dealings that might create an impression of possible bias. Left intact, such an impression would undermine the appearance of propriety </w:t>
      </w:r>
      <w:r>
        <w:rPr>
          <w:spacing w:val="-3"/>
        </w:rPr>
        <w:t>and </w:t>
      </w:r>
      <w:r>
        <w:rPr>
          <w:spacing w:val="17"/>
        </w:rPr>
        <w:t>confidence </w:t>
      </w:r>
      <w:r>
        <w:rPr>
          <w:spacing w:val="11"/>
        </w:rPr>
        <w:t>in </w:t>
      </w:r>
      <w:r>
        <w:rPr>
          <w:spacing w:val="12"/>
        </w:rPr>
        <w:t>the </w:t>
      </w:r>
      <w:r>
        <w:rPr>
          <w:spacing w:val="18"/>
        </w:rPr>
        <w:t>fairness </w:t>
      </w:r>
      <w:r>
        <w:rPr>
          <w:spacing w:val="9"/>
        </w:rPr>
        <w:t>of</w:t>
      </w:r>
      <w:r>
        <w:rPr>
          <w:spacing w:val="10"/>
        </w:rPr>
        <w:t> </w:t>
      </w:r>
      <w:r>
        <w:rPr>
          <w:spacing w:val="11"/>
        </w:rPr>
        <w:t>the</w:t>
      </w:r>
    </w:p>
    <w:p>
      <w:pPr>
        <w:pStyle w:val="BodyText"/>
        <w:rPr>
          <w:sz w:val="20"/>
        </w:rPr>
      </w:pPr>
    </w:p>
    <w:p>
      <w:pPr>
        <w:pStyle w:val="BodyText"/>
        <w:rPr>
          <w:sz w:val="20"/>
        </w:rPr>
      </w:pPr>
    </w:p>
    <w:p>
      <w:pPr>
        <w:pStyle w:val="BodyText"/>
        <w:rPr>
          <w:sz w:val="20"/>
        </w:rPr>
      </w:pPr>
    </w:p>
    <w:p>
      <w:pPr>
        <w:pStyle w:val="BodyText"/>
        <w:spacing w:before="1"/>
        <w:rPr>
          <w:sz w:val="13"/>
        </w:rPr>
      </w:pPr>
      <w:r>
        <w:rPr/>
        <w:pict>
          <v:shape style="position:absolute;margin-left:162pt;margin-top:10.421431pt;width:143.9pt;height:.1pt;mso-position-horizontal-relative:page;mso-position-vertical-relative:paragraph;z-index:-251658240;mso-wrap-distance-left:0;mso-wrap-distance-right:0" coordorigin="3240,208" coordsize="2878,0" path="m3240,208l6118,208e" filled="false" stroked="true" strokeweight=".84pt" strokecolor="#000000">
            <v:path arrowok="t"/>
            <v:stroke dashstyle="solid"/>
            <w10:wrap type="topAndBottom"/>
          </v:shape>
        </w:pict>
      </w:r>
    </w:p>
    <w:p>
      <w:pPr>
        <w:pStyle w:val="ListParagraph"/>
        <w:numPr>
          <w:ilvl w:val="0"/>
          <w:numId w:val="2"/>
        </w:numPr>
        <w:tabs>
          <w:tab w:pos="1411" w:val="left" w:leader="none"/>
        </w:tabs>
        <w:spacing w:line="240" w:lineRule="auto" w:before="140" w:after="0"/>
        <w:ind w:left="1410" w:right="0" w:hanging="251"/>
        <w:jc w:val="left"/>
        <w:rPr>
          <w:sz w:val="18"/>
        </w:rPr>
      </w:pPr>
      <w:r>
        <w:rPr>
          <w:sz w:val="18"/>
          <w:u w:val="single"/>
        </w:rPr>
        <w:t>Fowbele v. Phoenix Ins. Co.</w:t>
      </w:r>
      <w:r>
        <w:rPr>
          <w:sz w:val="18"/>
        </w:rPr>
        <w:t>, 106 Mo. App. 527, 81 S.W. 485</w:t>
      </w:r>
      <w:r>
        <w:rPr>
          <w:spacing w:val="5"/>
          <w:sz w:val="18"/>
        </w:rPr>
        <w:t> </w:t>
      </w:r>
      <w:r>
        <w:rPr>
          <w:sz w:val="18"/>
        </w:rPr>
        <w:t>(1904).</w:t>
      </w:r>
    </w:p>
    <w:p>
      <w:pPr>
        <w:pStyle w:val="ListParagraph"/>
        <w:numPr>
          <w:ilvl w:val="0"/>
          <w:numId w:val="2"/>
        </w:numPr>
        <w:tabs>
          <w:tab w:pos="1414" w:val="left" w:leader="none"/>
        </w:tabs>
        <w:spacing w:line="244" w:lineRule="auto" w:before="4" w:after="0"/>
        <w:ind w:left="1160" w:right="1389" w:firstLine="0"/>
        <w:jc w:val="left"/>
        <w:rPr>
          <w:sz w:val="18"/>
        </w:rPr>
      </w:pPr>
      <w:r>
        <w:rPr>
          <w:sz w:val="18"/>
          <w:u w:val="single"/>
        </w:rPr>
        <w:t>Mizrahi v. National Ben Franklin Fire Ins. Co.</w:t>
      </w:r>
      <w:r>
        <w:rPr>
          <w:sz w:val="18"/>
        </w:rPr>
        <w:t>, 37 N.Y.S.2d 698 (City Ct. 1942) (quoting </w:t>
      </w:r>
      <w:r>
        <w:rPr>
          <w:sz w:val="18"/>
          <w:u w:val="single"/>
        </w:rPr>
        <w:t>American Eagle Fire Ins. Co. v. New Jersey Ins. Co.</w:t>
      </w:r>
      <w:r>
        <w:rPr>
          <w:sz w:val="18"/>
        </w:rPr>
        <w:t>, 240 N.Y. 398, 148 N.E. 562 (1925)).</w:t>
      </w:r>
    </w:p>
    <w:p>
      <w:pPr>
        <w:pStyle w:val="ListParagraph"/>
        <w:numPr>
          <w:ilvl w:val="0"/>
          <w:numId w:val="2"/>
        </w:numPr>
        <w:tabs>
          <w:tab w:pos="1452" w:val="left" w:leader="none"/>
        </w:tabs>
        <w:spacing w:line="249" w:lineRule="auto" w:before="0" w:after="0"/>
        <w:ind w:left="1160" w:right="1161" w:firstLine="0"/>
        <w:jc w:val="both"/>
        <w:rPr>
          <w:sz w:val="18"/>
        </w:rPr>
      </w:pPr>
      <w:r>
        <w:rPr>
          <w:sz w:val="18"/>
          <w:u w:val="single"/>
        </w:rPr>
        <w:t>Middlesex Mut. Ins. Co. v. Levine</w:t>
      </w:r>
      <w:r>
        <w:rPr>
          <w:sz w:val="18"/>
        </w:rPr>
        <w:t>, 675 F.2d 1197 (11</w:t>
      </w:r>
      <w:r>
        <w:rPr>
          <w:position w:val="7"/>
          <w:sz w:val="10"/>
        </w:rPr>
        <w:t>th </w:t>
      </w:r>
      <w:r>
        <w:rPr>
          <w:sz w:val="18"/>
        </w:rPr>
        <w:t>Cir. 1982); </w:t>
      </w:r>
      <w:r>
        <w:rPr>
          <w:sz w:val="18"/>
          <w:u w:val="single"/>
        </w:rPr>
        <w:t>Merrill Lynch, Pierce,</w:t>
      </w:r>
      <w:r>
        <w:rPr>
          <w:spacing w:val="-18"/>
          <w:sz w:val="18"/>
          <w:u w:val="single"/>
        </w:rPr>
        <w:t> </w:t>
      </w:r>
      <w:r>
        <w:rPr>
          <w:sz w:val="18"/>
          <w:u w:val="single"/>
        </w:rPr>
        <w:t>Fenner</w:t>
      </w:r>
      <w:r>
        <w:rPr>
          <w:spacing w:val="-15"/>
          <w:sz w:val="18"/>
          <w:u w:val="single"/>
        </w:rPr>
        <w:t> </w:t>
      </w:r>
      <w:r>
        <w:rPr>
          <w:sz w:val="18"/>
          <w:u w:val="single"/>
        </w:rPr>
        <w:t>&amp;</w:t>
      </w:r>
      <w:r>
        <w:rPr>
          <w:spacing w:val="-15"/>
          <w:sz w:val="18"/>
          <w:u w:val="single"/>
        </w:rPr>
        <w:t> </w:t>
      </w:r>
      <w:r>
        <w:rPr>
          <w:sz w:val="18"/>
          <w:u w:val="single"/>
        </w:rPr>
        <w:t>Smith,</w:t>
      </w:r>
      <w:r>
        <w:rPr>
          <w:spacing w:val="-14"/>
          <w:sz w:val="18"/>
          <w:u w:val="single"/>
        </w:rPr>
        <w:t> </w:t>
      </w:r>
      <w:r>
        <w:rPr>
          <w:sz w:val="18"/>
          <w:u w:val="single"/>
        </w:rPr>
        <w:t>Inc.</w:t>
      </w:r>
      <w:r>
        <w:rPr>
          <w:spacing w:val="-14"/>
          <w:sz w:val="18"/>
          <w:u w:val="single"/>
        </w:rPr>
        <w:t> </w:t>
      </w:r>
      <w:r>
        <w:rPr>
          <w:sz w:val="18"/>
          <w:u w:val="single"/>
        </w:rPr>
        <w:t>v.</w:t>
      </w:r>
      <w:r>
        <w:rPr>
          <w:spacing w:val="-14"/>
          <w:sz w:val="18"/>
          <w:u w:val="single"/>
        </w:rPr>
        <w:t> </w:t>
      </w:r>
      <w:r>
        <w:rPr>
          <w:sz w:val="18"/>
          <w:u w:val="single"/>
        </w:rPr>
        <w:t>Lambros</w:t>
      </w:r>
      <w:r>
        <w:rPr>
          <w:sz w:val="18"/>
        </w:rPr>
        <w:t>,</w:t>
      </w:r>
      <w:r>
        <w:rPr>
          <w:spacing w:val="-14"/>
          <w:sz w:val="18"/>
        </w:rPr>
        <w:t> </w:t>
      </w:r>
      <w:r>
        <w:rPr>
          <w:sz w:val="18"/>
        </w:rPr>
        <w:t>1</w:t>
      </w:r>
      <w:r>
        <w:rPr>
          <w:spacing w:val="-13"/>
          <w:sz w:val="18"/>
        </w:rPr>
        <w:t> </w:t>
      </w:r>
      <w:r>
        <w:rPr>
          <w:sz w:val="18"/>
        </w:rPr>
        <w:t>F.Supp.2d</w:t>
      </w:r>
      <w:r>
        <w:rPr>
          <w:spacing w:val="-14"/>
          <w:sz w:val="18"/>
        </w:rPr>
        <w:t> </w:t>
      </w:r>
      <w:r>
        <w:rPr>
          <w:sz w:val="18"/>
        </w:rPr>
        <w:t>1337</w:t>
      </w:r>
      <w:r>
        <w:rPr>
          <w:spacing w:val="-13"/>
          <w:sz w:val="18"/>
        </w:rPr>
        <w:t> </w:t>
      </w:r>
      <w:r>
        <w:rPr>
          <w:sz w:val="18"/>
        </w:rPr>
        <w:t>(M.D.</w:t>
      </w:r>
      <w:r>
        <w:rPr>
          <w:spacing w:val="-13"/>
          <w:sz w:val="18"/>
        </w:rPr>
        <w:t> </w:t>
      </w:r>
      <w:r>
        <w:rPr>
          <w:sz w:val="18"/>
        </w:rPr>
        <w:t>Fla.</w:t>
      </w:r>
      <w:r>
        <w:rPr>
          <w:spacing w:val="-15"/>
          <w:sz w:val="18"/>
        </w:rPr>
        <w:t> </w:t>
      </w:r>
      <w:r>
        <w:rPr>
          <w:sz w:val="18"/>
        </w:rPr>
        <w:t>1998);</w:t>
      </w:r>
      <w:r>
        <w:rPr>
          <w:spacing w:val="-14"/>
          <w:sz w:val="18"/>
        </w:rPr>
        <w:t> </w:t>
      </w:r>
      <w:r>
        <w:rPr>
          <w:sz w:val="18"/>
          <w:u w:val="single"/>
        </w:rPr>
        <w:t>Schwartzman v.</w:t>
      </w:r>
      <w:r>
        <w:rPr>
          <w:spacing w:val="-6"/>
          <w:sz w:val="18"/>
          <w:u w:val="single"/>
        </w:rPr>
        <w:t> </w:t>
      </w:r>
      <w:r>
        <w:rPr>
          <w:sz w:val="18"/>
          <w:u w:val="single"/>
        </w:rPr>
        <w:t>London</w:t>
      </w:r>
      <w:r>
        <w:rPr>
          <w:spacing w:val="-6"/>
          <w:sz w:val="18"/>
          <w:u w:val="single"/>
        </w:rPr>
        <w:t> </w:t>
      </w:r>
      <w:r>
        <w:rPr>
          <w:sz w:val="18"/>
          <w:u w:val="single"/>
        </w:rPr>
        <w:t>&amp;</w:t>
      </w:r>
      <w:r>
        <w:rPr>
          <w:spacing w:val="-8"/>
          <w:sz w:val="18"/>
          <w:u w:val="single"/>
        </w:rPr>
        <w:t> </w:t>
      </w:r>
      <w:r>
        <w:rPr>
          <w:sz w:val="18"/>
          <w:u w:val="single"/>
        </w:rPr>
        <w:t>Lancashire</w:t>
      </w:r>
      <w:r>
        <w:rPr>
          <w:spacing w:val="-6"/>
          <w:sz w:val="18"/>
          <w:u w:val="single"/>
        </w:rPr>
        <w:t> </w:t>
      </w:r>
      <w:r>
        <w:rPr>
          <w:sz w:val="18"/>
          <w:u w:val="single"/>
        </w:rPr>
        <w:t>Fire</w:t>
      </w:r>
      <w:r>
        <w:rPr>
          <w:spacing w:val="-7"/>
          <w:sz w:val="18"/>
          <w:u w:val="single"/>
        </w:rPr>
        <w:t> </w:t>
      </w:r>
      <w:r>
        <w:rPr>
          <w:sz w:val="18"/>
          <w:u w:val="single"/>
        </w:rPr>
        <w:t>Ins.</w:t>
      </w:r>
      <w:r>
        <w:rPr>
          <w:spacing w:val="-7"/>
          <w:sz w:val="18"/>
          <w:u w:val="single"/>
        </w:rPr>
        <w:t> </w:t>
      </w:r>
      <w:r>
        <w:rPr>
          <w:sz w:val="18"/>
          <w:u w:val="single"/>
        </w:rPr>
        <w:t>Co.,</w:t>
      </w:r>
      <w:r>
        <w:rPr>
          <w:spacing w:val="-6"/>
          <w:sz w:val="18"/>
          <w:u w:val="single"/>
        </w:rPr>
        <w:t> </w:t>
      </w:r>
      <w:r>
        <w:rPr>
          <w:sz w:val="18"/>
          <w:u w:val="single"/>
        </w:rPr>
        <w:t>Ltd</w:t>
      </w:r>
      <w:r>
        <w:rPr>
          <w:spacing w:val="-3"/>
          <w:sz w:val="18"/>
          <w:u w:val="single"/>
        </w:rPr>
        <w:t> </w:t>
      </w:r>
      <w:r>
        <w:rPr>
          <w:sz w:val="18"/>
          <w:u w:val="single"/>
        </w:rPr>
        <w:t>of</w:t>
      </w:r>
      <w:r>
        <w:rPr>
          <w:spacing w:val="-9"/>
          <w:sz w:val="18"/>
          <w:u w:val="single"/>
        </w:rPr>
        <w:t> </w:t>
      </w:r>
      <w:r>
        <w:rPr>
          <w:sz w:val="18"/>
          <w:u w:val="single"/>
        </w:rPr>
        <w:t>Liverpool,</w:t>
      </w:r>
      <w:r>
        <w:rPr>
          <w:spacing w:val="-6"/>
          <w:sz w:val="18"/>
          <w:u w:val="single"/>
        </w:rPr>
        <w:t> </w:t>
      </w:r>
      <w:r>
        <w:rPr>
          <w:sz w:val="18"/>
          <w:u w:val="single"/>
        </w:rPr>
        <w:t>England</w:t>
      </w:r>
      <w:r>
        <w:rPr>
          <w:sz w:val="18"/>
        </w:rPr>
        <w:t>,</w:t>
      </w:r>
      <w:r>
        <w:rPr>
          <w:spacing w:val="-7"/>
          <w:sz w:val="18"/>
        </w:rPr>
        <w:t> </w:t>
      </w:r>
      <w:r>
        <w:rPr>
          <w:sz w:val="18"/>
        </w:rPr>
        <w:t>318</w:t>
      </w:r>
      <w:r>
        <w:rPr>
          <w:spacing w:val="-6"/>
          <w:sz w:val="18"/>
        </w:rPr>
        <w:t> </w:t>
      </w:r>
      <w:r>
        <w:rPr>
          <w:sz w:val="18"/>
        </w:rPr>
        <w:t>Mo.</w:t>
      </w:r>
      <w:r>
        <w:rPr>
          <w:spacing w:val="-6"/>
          <w:sz w:val="18"/>
        </w:rPr>
        <w:t> </w:t>
      </w:r>
      <w:r>
        <w:rPr>
          <w:sz w:val="18"/>
        </w:rPr>
        <w:t>1089,</w:t>
      </w:r>
      <w:r>
        <w:rPr>
          <w:spacing w:val="-5"/>
          <w:sz w:val="18"/>
        </w:rPr>
        <w:t> </w:t>
      </w:r>
      <w:r>
        <w:rPr>
          <w:sz w:val="18"/>
        </w:rPr>
        <w:t>2</w:t>
      </w:r>
      <w:r>
        <w:rPr>
          <w:spacing w:val="-6"/>
          <w:sz w:val="18"/>
        </w:rPr>
        <w:t> </w:t>
      </w:r>
      <w:r>
        <w:rPr>
          <w:sz w:val="18"/>
        </w:rPr>
        <w:t>S.W.2d 593 (1927); </w:t>
      </w:r>
      <w:r>
        <w:rPr>
          <w:sz w:val="18"/>
          <w:u w:val="single"/>
        </w:rPr>
        <w:t>Figi v. New Hampshire Ins. Co.</w:t>
      </w:r>
      <w:r>
        <w:rPr>
          <w:sz w:val="18"/>
        </w:rPr>
        <w:t>, 108 Cal. App.3d 772, 166 Cal. Rptr.774 (4</w:t>
      </w:r>
      <w:r>
        <w:rPr>
          <w:position w:val="7"/>
          <w:sz w:val="10"/>
        </w:rPr>
        <w:t>th</w:t>
      </w:r>
      <w:r>
        <w:rPr>
          <w:sz w:val="10"/>
        </w:rPr>
        <w:t> </w:t>
      </w:r>
      <w:r>
        <w:rPr>
          <w:sz w:val="18"/>
        </w:rPr>
        <w:t>Dist. 1980); 6 Appleman, </w:t>
      </w:r>
      <w:r>
        <w:rPr>
          <w:i/>
          <w:sz w:val="18"/>
        </w:rPr>
        <w:t>Insurance Law &amp; Practice </w:t>
      </w:r>
      <w:r>
        <w:rPr>
          <w:sz w:val="18"/>
        </w:rPr>
        <w:t>§3928</w:t>
      </w:r>
      <w:r>
        <w:rPr>
          <w:spacing w:val="-4"/>
          <w:sz w:val="18"/>
        </w:rPr>
        <w:t> </w:t>
      </w:r>
      <w:r>
        <w:rPr>
          <w:sz w:val="18"/>
        </w:rPr>
        <w:t>(1972).</w:t>
      </w:r>
    </w:p>
    <w:p>
      <w:pPr>
        <w:spacing w:after="0" w:line="249"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89" w:id="3"/>
      <w:bookmarkEnd w:id="3"/>
      <w:r>
        <w:rPr/>
      </w:r>
      <w:r>
        <w:rPr/>
        <w:t>proceedings.</w:t>
      </w:r>
      <w:r>
        <w:rPr>
          <w:vertAlign w:val="superscript"/>
        </w:rPr>
        <w:t>812</w:t>
      </w:r>
    </w:p>
    <w:p>
      <w:pPr>
        <w:pStyle w:val="BodyText"/>
        <w:spacing w:before="6"/>
      </w:pPr>
    </w:p>
    <w:p>
      <w:pPr>
        <w:pStyle w:val="BodyText"/>
        <w:spacing w:line="242" w:lineRule="auto"/>
        <w:ind w:left="1520" w:right="1230" w:firstLine="720"/>
      </w:pPr>
      <w:r>
        <w:rPr/>
        <w:t>Logic</w:t>
      </w:r>
      <w:r>
        <w:rPr>
          <w:spacing w:val="-24"/>
        </w:rPr>
        <w:t> </w:t>
      </w:r>
      <w:r>
        <w:rPr/>
        <w:t>dictates</w:t>
      </w:r>
      <w:r>
        <w:rPr>
          <w:spacing w:val="-22"/>
        </w:rPr>
        <w:t> </w:t>
      </w:r>
      <w:r>
        <w:rPr/>
        <w:t>a</w:t>
      </w:r>
      <w:r>
        <w:rPr>
          <w:spacing w:val="-22"/>
        </w:rPr>
        <w:t> </w:t>
      </w:r>
      <w:r>
        <w:rPr/>
        <w:t>more</w:t>
      </w:r>
      <w:r>
        <w:rPr>
          <w:spacing w:val="-24"/>
        </w:rPr>
        <w:t> </w:t>
      </w:r>
      <w:r>
        <w:rPr/>
        <w:t>exacting</w:t>
      </w:r>
      <w:r>
        <w:rPr>
          <w:spacing w:val="-22"/>
        </w:rPr>
        <w:t> </w:t>
      </w:r>
      <w:r>
        <w:rPr>
          <w:spacing w:val="-3"/>
        </w:rPr>
        <w:t>standard </w:t>
      </w:r>
      <w:r>
        <w:rPr/>
        <w:t>for umpires then for</w:t>
      </w:r>
      <w:r>
        <w:rPr>
          <w:spacing w:val="-5"/>
        </w:rPr>
        <w:t> </w:t>
      </w:r>
      <w:r>
        <w:rPr/>
        <w:t>appraisers.</w:t>
      </w:r>
      <w:r>
        <w:rPr>
          <w:vertAlign w:val="superscript"/>
        </w:rPr>
        <w:t>813</w:t>
      </w:r>
    </w:p>
    <w:p>
      <w:pPr>
        <w:pStyle w:val="BodyText"/>
        <w:spacing w:before="11"/>
        <w:rPr>
          <w:sz w:val="19"/>
        </w:rPr>
      </w:pPr>
    </w:p>
    <w:p>
      <w:pPr>
        <w:pStyle w:val="BodyText"/>
        <w:spacing w:line="242" w:lineRule="auto" w:before="77"/>
        <w:ind w:left="1520" w:right="1515" w:firstLine="720"/>
        <w:jc w:val="both"/>
      </w:pPr>
      <w:r>
        <w:rPr>
          <w:spacing w:val="3"/>
        </w:rPr>
        <w:t>In </w:t>
      </w:r>
      <w:r>
        <w:rPr>
          <w:u w:val="single"/>
        </w:rPr>
        <w:t>Weinger v. State Farm</w:t>
      </w:r>
      <w:r>
        <w:rPr/>
        <w:t>,</w:t>
      </w:r>
      <w:r>
        <w:rPr>
          <w:vertAlign w:val="superscript"/>
        </w:rPr>
        <w:t>814</w:t>
      </w:r>
      <w:r>
        <w:rPr>
          <w:vertAlign w:val="baseline"/>
        </w:rPr>
        <w:t> the </w:t>
      </w:r>
      <w:r>
        <w:rPr>
          <w:spacing w:val="-6"/>
          <w:vertAlign w:val="baseline"/>
        </w:rPr>
        <w:t>umpire </w:t>
      </w:r>
      <w:r>
        <w:rPr>
          <w:vertAlign w:val="baseline"/>
        </w:rPr>
        <w:t>had worked regularly on behalf of the insurer and</w:t>
      </w:r>
      <w:r>
        <w:rPr>
          <w:spacing w:val="-22"/>
          <w:vertAlign w:val="baseline"/>
        </w:rPr>
        <w:t> </w:t>
      </w:r>
      <w:r>
        <w:rPr>
          <w:vertAlign w:val="baseline"/>
        </w:rPr>
        <w:t>had</w:t>
      </w:r>
      <w:r>
        <w:rPr>
          <w:spacing w:val="-22"/>
          <w:vertAlign w:val="baseline"/>
        </w:rPr>
        <w:t> </w:t>
      </w:r>
      <w:r>
        <w:rPr>
          <w:vertAlign w:val="baseline"/>
        </w:rPr>
        <w:t>been</w:t>
      </w:r>
      <w:r>
        <w:rPr>
          <w:spacing w:val="-25"/>
          <w:vertAlign w:val="baseline"/>
        </w:rPr>
        <w:t> </w:t>
      </w:r>
      <w:r>
        <w:rPr>
          <w:vertAlign w:val="baseline"/>
        </w:rPr>
        <w:t>retained</w:t>
      </w:r>
      <w:r>
        <w:rPr>
          <w:spacing w:val="-23"/>
          <w:vertAlign w:val="baseline"/>
        </w:rPr>
        <w:t> </w:t>
      </w:r>
      <w:r>
        <w:rPr>
          <w:vertAlign w:val="baseline"/>
        </w:rPr>
        <w:t>by</w:t>
      </w:r>
      <w:r>
        <w:rPr>
          <w:spacing w:val="-24"/>
          <w:vertAlign w:val="baseline"/>
        </w:rPr>
        <w:t> </w:t>
      </w:r>
      <w:r>
        <w:rPr>
          <w:vertAlign w:val="baseline"/>
        </w:rPr>
        <w:t>State</w:t>
      </w:r>
      <w:r>
        <w:rPr>
          <w:spacing w:val="-23"/>
          <w:vertAlign w:val="baseline"/>
        </w:rPr>
        <w:t> </w:t>
      </w:r>
      <w:r>
        <w:rPr>
          <w:vertAlign w:val="baseline"/>
        </w:rPr>
        <w:t>Farm</w:t>
      </w:r>
      <w:r>
        <w:rPr>
          <w:spacing w:val="-25"/>
          <w:vertAlign w:val="baseline"/>
        </w:rPr>
        <w:t> </w:t>
      </w:r>
      <w:r>
        <w:rPr>
          <w:vertAlign w:val="baseline"/>
        </w:rPr>
        <w:t>on</w:t>
      </w:r>
      <w:r>
        <w:rPr>
          <w:spacing w:val="-23"/>
          <w:vertAlign w:val="baseline"/>
        </w:rPr>
        <w:t> </w:t>
      </w:r>
      <w:r>
        <w:rPr>
          <w:vertAlign w:val="baseline"/>
        </w:rPr>
        <w:t>other matters during the course of the prior year. </w:t>
      </w:r>
      <w:r>
        <w:rPr>
          <w:spacing w:val="2"/>
          <w:vertAlign w:val="baseline"/>
        </w:rPr>
        <w:t>As </w:t>
      </w:r>
      <w:r>
        <w:rPr>
          <w:vertAlign w:val="baseline"/>
        </w:rPr>
        <w:t>the appearance of impartiality is </w:t>
      </w:r>
      <w:r>
        <w:rPr>
          <w:spacing w:val="-2"/>
          <w:vertAlign w:val="baseline"/>
        </w:rPr>
        <w:t>paramount, </w:t>
      </w:r>
      <w:r>
        <w:rPr>
          <w:vertAlign w:val="baseline"/>
        </w:rPr>
        <w:t>the failure to disclose a potential source of conflict</w:t>
      </w:r>
      <w:r>
        <w:rPr>
          <w:spacing w:val="-18"/>
          <w:vertAlign w:val="baseline"/>
        </w:rPr>
        <w:t> </w:t>
      </w:r>
      <w:r>
        <w:rPr>
          <w:vertAlign w:val="baseline"/>
        </w:rPr>
        <w:t>alone</w:t>
      </w:r>
      <w:r>
        <w:rPr>
          <w:spacing w:val="-15"/>
          <w:vertAlign w:val="baseline"/>
        </w:rPr>
        <w:t> </w:t>
      </w:r>
      <w:r>
        <w:rPr>
          <w:vertAlign w:val="baseline"/>
        </w:rPr>
        <w:t>has</w:t>
      </w:r>
      <w:r>
        <w:rPr>
          <w:spacing w:val="-18"/>
          <w:vertAlign w:val="baseline"/>
        </w:rPr>
        <w:t> </w:t>
      </w:r>
      <w:r>
        <w:rPr>
          <w:vertAlign w:val="baseline"/>
        </w:rPr>
        <w:t>been</w:t>
      </w:r>
      <w:r>
        <w:rPr>
          <w:spacing w:val="-18"/>
          <w:vertAlign w:val="baseline"/>
        </w:rPr>
        <w:t> </w:t>
      </w:r>
      <w:r>
        <w:rPr>
          <w:vertAlign w:val="baseline"/>
        </w:rPr>
        <w:t>held</w:t>
      </w:r>
      <w:r>
        <w:rPr>
          <w:spacing w:val="-18"/>
          <w:vertAlign w:val="baseline"/>
        </w:rPr>
        <w:t> </w:t>
      </w:r>
      <w:r>
        <w:rPr>
          <w:vertAlign w:val="baseline"/>
        </w:rPr>
        <w:t>to</w:t>
      </w:r>
      <w:r>
        <w:rPr>
          <w:spacing w:val="-19"/>
          <w:vertAlign w:val="baseline"/>
        </w:rPr>
        <w:t> </w:t>
      </w:r>
      <w:r>
        <w:rPr>
          <w:vertAlign w:val="baseline"/>
        </w:rPr>
        <w:t>require</w:t>
      </w:r>
      <w:r>
        <w:rPr>
          <w:spacing w:val="-16"/>
          <w:vertAlign w:val="baseline"/>
        </w:rPr>
        <w:t> </w:t>
      </w:r>
      <w:r>
        <w:rPr>
          <w:vertAlign w:val="baseline"/>
        </w:rPr>
        <w:t>a</w:t>
      </w:r>
      <w:r>
        <w:rPr>
          <w:spacing w:val="-18"/>
          <w:vertAlign w:val="baseline"/>
        </w:rPr>
        <w:t> </w:t>
      </w:r>
      <w:r>
        <w:rPr>
          <w:vertAlign w:val="baseline"/>
        </w:rPr>
        <w:t>court to vacate an appraisal</w:t>
      </w:r>
      <w:r>
        <w:rPr>
          <w:spacing w:val="-6"/>
          <w:vertAlign w:val="baseline"/>
        </w:rPr>
        <w:t> </w:t>
      </w:r>
      <w:r>
        <w:rPr>
          <w:vertAlign w:val="baseline"/>
        </w:rPr>
        <w:t>award.</w:t>
      </w:r>
      <w:r>
        <w:rPr>
          <w:vertAlign w:val="superscript"/>
        </w:rPr>
        <w:t>815</w:t>
      </w:r>
    </w:p>
    <w:p>
      <w:pPr>
        <w:pStyle w:val="BodyText"/>
        <w:spacing w:before="12"/>
        <w:rPr>
          <w:sz w:val="25"/>
        </w:rPr>
      </w:pPr>
    </w:p>
    <w:p>
      <w:pPr>
        <w:pStyle w:val="BodyText"/>
        <w:spacing w:line="242" w:lineRule="auto"/>
        <w:ind w:left="1520" w:right="1520" w:firstLine="720"/>
        <w:jc w:val="both"/>
      </w:pPr>
      <w:r>
        <w:rPr/>
        <w:t>It may be unnecessary to show actual bias once it is demonstrated that there is a failure to disclose information that reasonably should have been disclosed.</w:t>
      </w:r>
    </w:p>
    <w:p>
      <w:pPr>
        <w:pStyle w:val="BodyText"/>
        <w:spacing w:before="1"/>
      </w:pPr>
    </w:p>
    <w:p>
      <w:pPr>
        <w:pStyle w:val="BodyText"/>
        <w:spacing w:line="242" w:lineRule="auto"/>
        <w:ind w:left="1520" w:right="1520" w:firstLine="720"/>
        <w:jc w:val="both"/>
      </w:pPr>
      <w:r>
        <w:rPr>
          <w:spacing w:val="3"/>
        </w:rPr>
        <w:t>In </w:t>
      </w:r>
      <w:r>
        <w:rPr/>
        <w:t>discussing just such a situation, the California Court of Appeals stated this is so </w:t>
      </w:r>
      <w:r>
        <w:rPr>
          <w:spacing w:val="-3"/>
        </w:rPr>
        <w:t>because,</w:t>
      </w:r>
      <w:r>
        <w:rPr>
          <w:spacing w:val="-34"/>
        </w:rPr>
        <w:t> </w:t>
      </w:r>
      <w:r>
        <w:rPr/>
        <w:t>“[T]he</w:t>
      </w:r>
      <w:r>
        <w:rPr>
          <w:spacing w:val="-32"/>
        </w:rPr>
        <w:t> </w:t>
      </w:r>
      <w:r>
        <w:rPr/>
        <w:t>failure</w:t>
      </w:r>
      <w:r>
        <w:rPr>
          <w:spacing w:val="-32"/>
        </w:rPr>
        <w:t> </w:t>
      </w:r>
      <w:r>
        <w:rPr/>
        <w:t>to</w:t>
      </w:r>
      <w:r>
        <w:rPr>
          <w:spacing w:val="-32"/>
        </w:rPr>
        <w:t> </w:t>
      </w:r>
      <w:r>
        <w:rPr/>
        <w:t>disclose</w:t>
      </w:r>
      <w:r>
        <w:rPr>
          <w:spacing w:val="-32"/>
        </w:rPr>
        <w:t> </w:t>
      </w:r>
      <w:r>
        <w:rPr/>
        <w:t>such</w:t>
      </w:r>
      <w:r>
        <w:rPr>
          <w:spacing w:val="-35"/>
        </w:rPr>
        <w:t> </w:t>
      </w:r>
      <w:r>
        <w:rPr>
          <w:spacing w:val="-4"/>
        </w:rPr>
        <w:t>matters,</w:t>
      </w:r>
    </w:p>
    <w:p>
      <w:pPr>
        <w:pStyle w:val="BodyText"/>
        <w:rPr>
          <w:sz w:val="20"/>
        </w:rPr>
      </w:pPr>
    </w:p>
    <w:p>
      <w:pPr>
        <w:pStyle w:val="BodyText"/>
        <w:spacing w:before="7"/>
        <w:rPr>
          <w:sz w:val="10"/>
        </w:rPr>
      </w:pPr>
      <w:r>
        <w:rPr/>
        <w:pict>
          <v:shape style="position:absolute;margin-left:162pt;margin-top:8.880708pt;width:143.9pt;height:.1pt;mso-position-horizontal-relative:page;mso-position-vertical-relative:paragraph;z-index:-251657216;mso-wrap-distance-left:0;mso-wrap-distance-right:0" coordorigin="3240,178" coordsize="2878,0" path="m3240,178l6118,178e" filled="false" stroked="true" strokeweight=".84pt" strokecolor="#000000">
            <v:path arrowok="t"/>
            <v:stroke dashstyle="solid"/>
            <w10:wrap type="topAndBottom"/>
          </v:shape>
        </w:pict>
      </w:r>
    </w:p>
    <w:p>
      <w:pPr>
        <w:pStyle w:val="ListParagraph"/>
        <w:numPr>
          <w:ilvl w:val="0"/>
          <w:numId w:val="2"/>
        </w:numPr>
        <w:tabs>
          <w:tab w:pos="1482" w:val="left" w:leader="none"/>
        </w:tabs>
        <w:spacing w:line="244" w:lineRule="auto" w:before="140" w:after="0"/>
        <w:ind w:left="1160" w:right="1159" w:firstLine="0"/>
        <w:jc w:val="both"/>
        <w:rPr>
          <w:sz w:val="18"/>
        </w:rPr>
      </w:pPr>
      <w:r>
        <w:rPr>
          <w:sz w:val="18"/>
          <w:u w:val="single"/>
        </w:rPr>
        <w:t>Weinger v. State Farm Fire &amp; Cas Co</w:t>
      </w:r>
      <w:r>
        <w:rPr>
          <w:sz w:val="18"/>
        </w:rPr>
        <w:t>., 620 So.2d 1298 (Fla.4</w:t>
      </w:r>
      <w:r>
        <w:rPr>
          <w:position w:val="7"/>
          <w:sz w:val="10"/>
        </w:rPr>
        <w:t>th </w:t>
      </w:r>
      <w:r>
        <w:rPr>
          <w:sz w:val="18"/>
        </w:rPr>
        <w:t>DCA 1993);</w:t>
      </w:r>
      <w:r>
        <w:rPr>
          <w:sz w:val="18"/>
          <w:u w:val="single"/>
        </w:rPr>
        <w:t> Commonwealth Castings Corp. v. Continental Cas. Co.</w:t>
      </w:r>
      <w:r>
        <w:rPr>
          <w:sz w:val="18"/>
        </w:rPr>
        <w:t>, 393 U.S. 145, 89 S.Ct. 337, 21 L.Ed.2d</w:t>
      </w:r>
      <w:r>
        <w:rPr>
          <w:spacing w:val="-13"/>
          <w:sz w:val="18"/>
        </w:rPr>
        <w:t> </w:t>
      </w:r>
      <w:r>
        <w:rPr>
          <w:sz w:val="18"/>
        </w:rPr>
        <w:t>301</w:t>
      </w:r>
      <w:r>
        <w:rPr>
          <w:spacing w:val="-12"/>
          <w:sz w:val="18"/>
        </w:rPr>
        <w:t> </w:t>
      </w:r>
      <w:r>
        <w:rPr>
          <w:sz w:val="18"/>
        </w:rPr>
        <w:t>(1968);</w:t>
      </w:r>
      <w:r>
        <w:rPr>
          <w:spacing w:val="-14"/>
          <w:sz w:val="18"/>
        </w:rPr>
        <w:t> </w:t>
      </w:r>
      <w:r>
        <w:rPr>
          <w:sz w:val="18"/>
          <w:u w:val="single"/>
        </w:rPr>
        <w:t>International</w:t>
      </w:r>
      <w:r>
        <w:rPr>
          <w:spacing w:val="-14"/>
          <w:sz w:val="18"/>
          <w:u w:val="single"/>
        </w:rPr>
        <w:t> </w:t>
      </w:r>
      <w:r>
        <w:rPr>
          <w:sz w:val="18"/>
          <w:u w:val="single"/>
        </w:rPr>
        <w:t>Ins.</w:t>
      </w:r>
      <w:r>
        <w:rPr>
          <w:spacing w:val="-17"/>
          <w:sz w:val="18"/>
          <w:u w:val="single"/>
        </w:rPr>
        <w:t> </w:t>
      </w:r>
      <w:r>
        <w:rPr>
          <w:sz w:val="18"/>
          <w:u w:val="single"/>
        </w:rPr>
        <w:t>Co.</w:t>
      </w:r>
      <w:r>
        <w:rPr>
          <w:spacing w:val="-15"/>
          <w:sz w:val="18"/>
          <w:u w:val="single"/>
        </w:rPr>
        <w:t> </w:t>
      </w:r>
      <w:r>
        <w:rPr>
          <w:sz w:val="18"/>
          <w:u w:val="single"/>
        </w:rPr>
        <w:t>v.</w:t>
      </w:r>
      <w:r>
        <w:rPr>
          <w:spacing w:val="-14"/>
          <w:sz w:val="18"/>
          <w:u w:val="single"/>
        </w:rPr>
        <w:t> </w:t>
      </w:r>
      <w:r>
        <w:rPr>
          <w:sz w:val="18"/>
          <w:u w:val="single"/>
        </w:rPr>
        <w:t>Schrager</w:t>
      </w:r>
      <w:r>
        <w:rPr>
          <w:sz w:val="18"/>
        </w:rPr>
        <w:t>,</w:t>
      </w:r>
      <w:r>
        <w:rPr>
          <w:spacing w:val="-13"/>
          <w:sz w:val="18"/>
        </w:rPr>
        <w:t> </w:t>
      </w:r>
      <w:r>
        <w:rPr>
          <w:sz w:val="18"/>
        </w:rPr>
        <w:t>593</w:t>
      </w:r>
      <w:r>
        <w:rPr>
          <w:spacing w:val="-12"/>
          <w:sz w:val="18"/>
        </w:rPr>
        <w:t> </w:t>
      </w:r>
      <w:r>
        <w:rPr>
          <w:sz w:val="18"/>
        </w:rPr>
        <w:t>So.2d</w:t>
      </w:r>
      <w:r>
        <w:rPr>
          <w:spacing w:val="-14"/>
          <w:sz w:val="18"/>
        </w:rPr>
        <w:t> </w:t>
      </w:r>
      <w:r>
        <w:rPr>
          <w:sz w:val="18"/>
        </w:rPr>
        <w:t>1196</w:t>
      </w:r>
      <w:r>
        <w:rPr>
          <w:spacing w:val="-13"/>
          <w:sz w:val="18"/>
        </w:rPr>
        <w:t> </w:t>
      </w:r>
      <w:r>
        <w:rPr>
          <w:sz w:val="18"/>
        </w:rPr>
        <w:t>(Fla.</w:t>
      </w:r>
      <w:r>
        <w:rPr>
          <w:spacing w:val="-13"/>
          <w:sz w:val="18"/>
        </w:rPr>
        <w:t> </w:t>
      </w:r>
      <w:r>
        <w:rPr>
          <w:sz w:val="18"/>
        </w:rPr>
        <w:t>4</w:t>
      </w:r>
      <w:r>
        <w:rPr>
          <w:position w:val="7"/>
          <w:sz w:val="10"/>
        </w:rPr>
        <w:t>th</w:t>
      </w:r>
      <w:r>
        <w:rPr>
          <w:spacing w:val="10"/>
          <w:position w:val="7"/>
          <w:sz w:val="10"/>
        </w:rPr>
        <w:t> </w:t>
      </w:r>
      <w:r>
        <w:rPr>
          <w:sz w:val="18"/>
        </w:rPr>
        <w:t>DCA1992);</w:t>
      </w:r>
      <w:r>
        <w:rPr>
          <w:sz w:val="18"/>
          <w:u w:val="single"/>
        </w:rPr>
        <w:t> Middlesex</w:t>
      </w:r>
      <w:r>
        <w:rPr>
          <w:spacing w:val="-7"/>
          <w:sz w:val="18"/>
          <w:u w:val="single"/>
        </w:rPr>
        <w:t> </w:t>
      </w:r>
      <w:r>
        <w:rPr>
          <w:sz w:val="18"/>
          <w:u w:val="single"/>
        </w:rPr>
        <w:t>Mut.</w:t>
      </w:r>
      <w:r>
        <w:rPr>
          <w:spacing w:val="-5"/>
          <w:sz w:val="18"/>
          <w:u w:val="single"/>
        </w:rPr>
        <w:t> </w:t>
      </w:r>
      <w:r>
        <w:rPr>
          <w:sz w:val="18"/>
          <w:u w:val="single"/>
        </w:rPr>
        <w:t>v</w:t>
      </w:r>
      <w:r>
        <w:rPr>
          <w:spacing w:val="-7"/>
          <w:sz w:val="18"/>
          <w:u w:val="single"/>
        </w:rPr>
        <w:t> </w:t>
      </w:r>
      <w:r>
        <w:rPr>
          <w:sz w:val="18"/>
          <w:u w:val="single"/>
        </w:rPr>
        <w:t>Levine</w:t>
      </w:r>
      <w:r>
        <w:rPr>
          <w:sz w:val="18"/>
        </w:rPr>
        <w:t>,</w:t>
      </w:r>
      <w:r>
        <w:rPr>
          <w:spacing w:val="-5"/>
          <w:sz w:val="18"/>
        </w:rPr>
        <w:t> </w:t>
      </w:r>
      <w:r>
        <w:rPr>
          <w:sz w:val="18"/>
        </w:rPr>
        <w:t>675</w:t>
      </w:r>
      <w:r>
        <w:rPr>
          <w:spacing w:val="-5"/>
          <w:sz w:val="18"/>
        </w:rPr>
        <w:t> </w:t>
      </w:r>
      <w:r>
        <w:rPr>
          <w:sz w:val="18"/>
        </w:rPr>
        <w:t>F.2d</w:t>
      </w:r>
      <w:r>
        <w:rPr>
          <w:spacing w:val="-6"/>
          <w:sz w:val="18"/>
        </w:rPr>
        <w:t> </w:t>
      </w:r>
      <w:r>
        <w:rPr>
          <w:sz w:val="18"/>
        </w:rPr>
        <w:t>1997;</w:t>
      </w:r>
      <w:r>
        <w:rPr>
          <w:spacing w:val="-7"/>
          <w:sz w:val="18"/>
        </w:rPr>
        <w:t> </w:t>
      </w:r>
      <w:r>
        <w:rPr>
          <w:sz w:val="18"/>
        </w:rPr>
        <w:t>National</w:t>
      </w:r>
      <w:r>
        <w:rPr>
          <w:spacing w:val="-7"/>
          <w:sz w:val="18"/>
        </w:rPr>
        <w:t> </w:t>
      </w:r>
      <w:r>
        <w:rPr>
          <w:sz w:val="18"/>
        </w:rPr>
        <w:t>Arbitrators;</w:t>
      </w:r>
      <w:r>
        <w:rPr>
          <w:spacing w:val="-7"/>
          <w:sz w:val="18"/>
        </w:rPr>
        <w:t> </w:t>
      </w:r>
      <w:r>
        <w:rPr>
          <w:sz w:val="18"/>
        </w:rPr>
        <w:t>Disclosure</w:t>
      </w:r>
      <w:r>
        <w:rPr>
          <w:spacing w:val="-7"/>
          <w:sz w:val="18"/>
        </w:rPr>
        <w:t> </w:t>
      </w:r>
      <w:r>
        <w:rPr>
          <w:sz w:val="18"/>
        </w:rPr>
        <w:t>of</w:t>
      </w:r>
      <w:r>
        <w:rPr>
          <w:spacing w:val="-9"/>
          <w:sz w:val="18"/>
        </w:rPr>
        <w:t> </w:t>
      </w:r>
      <w:r>
        <w:rPr>
          <w:sz w:val="18"/>
        </w:rPr>
        <w:t>Information; Disqualification; Waiver, Cal. Civ. Proc. §1281.9 (2003) (California Code of Civil Procedure §1281.9 requires a neutral appraiser to disclose the details of his relationships with the parties and appraisers for a period of five years within 10 days of his proposed nomination).</w:t>
      </w:r>
    </w:p>
    <w:p>
      <w:pPr>
        <w:pStyle w:val="ListParagraph"/>
        <w:numPr>
          <w:ilvl w:val="0"/>
          <w:numId w:val="2"/>
        </w:numPr>
        <w:tabs>
          <w:tab w:pos="1490" w:val="left" w:leader="none"/>
        </w:tabs>
        <w:spacing w:line="208" w:lineRule="exact" w:before="0" w:after="0"/>
        <w:ind w:left="1490" w:right="0" w:hanging="330"/>
        <w:jc w:val="left"/>
        <w:rPr>
          <w:sz w:val="18"/>
        </w:rPr>
      </w:pPr>
      <w:r>
        <w:rPr>
          <w:sz w:val="18"/>
          <w:u w:val="single"/>
        </w:rPr>
        <w:t>Auto-Owners Ins. Co. v. Allied Adjustors &amp; Appraisers</w:t>
      </w:r>
      <w:r>
        <w:rPr>
          <w:sz w:val="18"/>
        </w:rPr>
        <w:t>, 238 Mich. App. 394,</w:t>
      </w:r>
      <w:r>
        <w:rPr>
          <w:spacing w:val="21"/>
          <w:sz w:val="18"/>
        </w:rPr>
        <w:t> </w:t>
      </w:r>
      <w:r>
        <w:rPr>
          <w:sz w:val="18"/>
        </w:rPr>
        <w:t>605</w:t>
      </w:r>
    </w:p>
    <w:p>
      <w:pPr>
        <w:spacing w:line="207" w:lineRule="exact" w:before="4"/>
        <w:ind w:left="1160" w:right="0" w:firstLine="0"/>
        <w:jc w:val="both"/>
        <w:rPr>
          <w:rFonts w:ascii="Times New Roman" w:hAnsi="Times New Roman"/>
          <w:sz w:val="18"/>
        </w:rPr>
      </w:pPr>
      <w:r>
        <w:rPr>
          <w:rFonts w:ascii="Times New Roman" w:hAnsi="Times New Roman"/>
          <w:sz w:val="18"/>
        </w:rPr>
        <w:t>N.W.2d 685 (Mich Ct. App. 1999), citing MCL § 500.2833(l)(m).</w:t>
      </w:r>
    </w:p>
    <w:p>
      <w:pPr>
        <w:spacing w:line="247" w:lineRule="exact" w:before="0"/>
        <w:ind w:left="1160" w:right="0" w:firstLine="0"/>
        <w:jc w:val="left"/>
        <w:rPr>
          <w:rFonts w:ascii="Times New Roman"/>
          <w:sz w:val="18"/>
        </w:rPr>
      </w:pPr>
      <w:r>
        <w:rPr>
          <w:rFonts w:ascii="Times New Roman"/>
          <w:position w:val="10"/>
          <w:sz w:val="14"/>
        </w:rPr>
        <w:t>814 </w:t>
      </w:r>
      <w:r>
        <w:rPr>
          <w:rFonts w:ascii="Times New Roman"/>
          <w:sz w:val="18"/>
        </w:rPr>
        <w:t>620 So.2d 1298 (Fla. Dist. Ct. App. 4</w:t>
      </w:r>
      <w:r>
        <w:rPr>
          <w:rFonts w:ascii="Times New Roman"/>
          <w:position w:val="7"/>
          <w:sz w:val="10"/>
        </w:rPr>
        <w:t>th </w:t>
      </w:r>
      <w:r>
        <w:rPr>
          <w:rFonts w:ascii="Times New Roman"/>
          <w:sz w:val="18"/>
        </w:rPr>
        <w:t>Dist. 1993).</w:t>
      </w:r>
    </w:p>
    <w:p>
      <w:pPr>
        <w:spacing w:line="248" w:lineRule="exact" w:before="0"/>
        <w:ind w:left="1160" w:right="0" w:firstLine="0"/>
        <w:jc w:val="left"/>
        <w:rPr>
          <w:rFonts w:ascii="Times New Roman"/>
          <w:sz w:val="18"/>
        </w:rPr>
      </w:pPr>
      <w:r>
        <w:rPr>
          <w:rFonts w:ascii="Times New Roman"/>
          <w:position w:val="10"/>
          <w:sz w:val="14"/>
        </w:rPr>
        <w:t>815</w:t>
      </w:r>
      <w:r>
        <w:rPr>
          <w:rFonts w:ascii="Times New Roman"/>
          <w:sz w:val="14"/>
        </w:rPr>
        <w:t> </w:t>
      </w:r>
      <w:r>
        <w:rPr>
          <w:rFonts w:ascii="Times New Roman"/>
          <w:sz w:val="18"/>
          <w:u w:val="single"/>
        </w:rPr>
        <w:t>Michael v. Aetna Ins. Co.</w:t>
      </w:r>
      <w:r>
        <w:rPr>
          <w:rFonts w:ascii="Times New Roman"/>
          <w:sz w:val="18"/>
        </w:rPr>
        <w:t>, 88 Cal. App.4 925, 106 Cal. Rptr.2 240 (Cal. App. 2 Dist.</w:t>
      </w:r>
    </w:p>
    <w:p>
      <w:pPr>
        <w:spacing w:before="5"/>
        <w:ind w:left="1160" w:right="0" w:firstLine="0"/>
        <w:jc w:val="left"/>
        <w:rPr>
          <w:rFonts w:ascii="Times New Roman"/>
          <w:sz w:val="18"/>
        </w:rPr>
      </w:pPr>
      <w:r>
        <w:rPr>
          <w:rFonts w:ascii="Times New Roman"/>
          <w:sz w:val="18"/>
        </w:rPr>
        <w:t>2001).</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90" w:id="4"/>
      <w:bookmarkEnd w:id="4"/>
      <w:r>
        <w:rPr/>
      </w:r>
      <w:r>
        <w:rPr/>
        <w:t>even if no actual bias </w:t>
      </w:r>
      <w:r>
        <w:rPr>
          <w:spacing w:val="2"/>
        </w:rPr>
        <w:t>is </w:t>
      </w:r>
      <w:r>
        <w:rPr/>
        <w:t>present, represents a </w:t>
      </w:r>
      <w:r>
        <w:rPr>
          <w:spacing w:val="5"/>
        </w:rPr>
        <w:t>kind </w:t>
      </w:r>
      <w:r>
        <w:rPr>
          <w:spacing w:val="3"/>
        </w:rPr>
        <w:t>of </w:t>
      </w:r>
      <w:r>
        <w:rPr>
          <w:spacing w:val="6"/>
        </w:rPr>
        <w:t>‘corruption’ </w:t>
      </w:r>
      <w:r>
        <w:rPr>
          <w:spacing w:val="5"/>
        </w:rPr>
        <w:t>by </w:t>
      </w:r>
      <w:r>
        <w:rPr>
          <w:spacing w:val="6"/>
        </w:rPr>
        <w:t>creating </w:t>
      </w:r>
      <w:r>
        <w:rPr>
          <w:spacing w:val="4"/>
        </w:rPr>
        <w:t>the </w:t>
      </w:r>
      <w:r>
        <w:rPr/>
        <w:t>appearance that the appraiser or arbitrator is concealing</w:t>
      </w:r>
      <w:r>
        <w:rPr>
          <w:spacing w:val="-18"/>
        </w:rPr>
        <w:t> </w:t>
      </w:r>
      <w:r>
        <w:rPr/>
        <w:t>something</w:t>
      </w:r>
      <w:r>
        <w:rPr>
          <w:spacing w:val="-17"/>
        </w:rPr>
        <w:t> </w:t>
      </w:r>
      <w:r>
        <w:rPr/>
        <w:t>important</w:t>
      </w:r>
      <w:r>
        <w:rPr>
          <w:spacing w:val="-21"/>
        </w:rPr>
        <w:t> </w:t>
      </w:r>
      <w:r>
        <w:rPr/>
        <w:t>and</w:t>
      </w:r>
      <w:r>
        <w:rPr>
          <w:spacing w:val="-17"/>
        </w:rPr>
        <w:t> </w:t>
      </w:r>
      <w:r>
        <w:rPr>
          <w:spacing w:val="-3"/>
        </w:rPr>
        <w:t>relevant </w:t>
      </w:r>
      <w:r>
        <w:rPr/>
        <w:t>to his or her impartial participation in the appraisal or arbitration</w:t>
      </w:r>
      <w:r>
        <w:rPr>
          <w:spacing w:val="-2"/>
        </w:rPr>
        <w:t> </w:t>
      </w:r>
      <w:r>
        <w:rPr/>
        <w:t>procedure.”</w:t>
      </w:r>
      <w:r>
        <w:rPr>
          <w:vertAlign w:val="superscript"/>
        </w:rPr>
        <w:t>816</w:t>
      </w:r>
    </w:p>
    <w:p>
      <w:pPr>
        <w:pStyle w:val="BodyText"/>
      </w:pPr>
    </w:p>
    <w:p>
      <w:pPr>
        <w:pStyle w:val="BodyText"/>
        <w:spacing w:line="242" w:lineRule="auto"/>
        <w:ind w:left="1520" w:right="1517" w:firstLine="720"/>
        <w:jc w:val="both"/>
      </w:pPr>
      <w:r>
        <w:rPr/>
        <w:t>A California umpire was not found to</w:t>
      </w:r>
      <w:r>
        <w:rPr>
          <w:spacing w:val="-21"/>
        </w:rPr>
        <w:t> </w:t>
      </w:r>
      <w:r>
        <w:rPr/>
        <w:t>be </w:t>
      </w:r>
      <w:r>
        <w:rPr>
          <w:spacing w:val="5"/>
        </w:rPr>
        <w:t>“corrupt” </w:t>
      </w:r>
      <w:r>
        <w:rPr>
          <w:spacing w:val="4"/>
        </w:rPr>
        <w:t>however </w:t>
      </w:r>
      <w:r>
        <w:rPr>
          <w:spacing w:val="6"/>
        </w:rPr>
        <w:t>after </w:t>
      </w:r>
      <w:r>
        <w:rPr>
          <w:spacing w:val="8"/>
        </w:rPr>
        <w:t>submitting </w:t>
      </w:r>
      <w:r>
        <w:rPr/>
        <w:t>a declaration</w:t>
      </w:r>
      <w:r>
        <w:rPr>
          <w:spacing w:val="-29"/>
        </w:rPr>
        <w:t> </w:t>
      </w:r>
      <w:r>
        <w:rPr/>
        <w:t>in</w:t>
      </w:r>
      <w:r>
        <w:rPr>
          <w:spacing w:val="-29"/>
        </w:rPr>
        <w:t> </w:t>
      </w:r>
      <w:r>
        <w:rPr/>
        <w:t>support</w:t>
      </w:r>
      <w:r>
        <w:rPr>
          <w:spacing w:val="-31"/>
        </w:rPr>
        <w:t> </w:t>
      </w:r>
      <w:r>
        <w:rPr/>
        <w:t>of</w:t>
      </w:r>
      <w:r>
        <w:rPr>
          <w:spacing w:val="-28"/>
        </w:rPr>
        <w:t> </w:t>
      </w:r>
      <w:r>
        <w:rPr/>
        <w:t>one</w:t>
      </w:r>
      <w:r>
        <w:rPr>
          <w:spacing w:val="-30"/>
        </w:rPr>
        <w:t> </w:t>
      </w:r>
      <w:r>
        <w:rPr/>
        <w:t>party’s</w:t>
      </w:r>
      <w:r>
        <w:rPr>
          <w:spacing w:val="-29"/>
        </w:rPr>
        <w:t> </w:t>
      </w:r>
      <w:r>
        <w:rPr/>
        <w:t>petition</w:t>
      </w:r>
      <w:r>
        <w:rPr>
          <w:spacing w:val="-28"/>
        </w:rPr>
        <w:t> </w:t>
      </w:r>
      <w:r>
        <w:rPr/>
        <w:t>to confirm an appraisal award, which neither made</w:t>
      </w:r>
      <w:r>
        <w:rPr>
          <w:spacing w:val="-10"/>
        </w:rPr>
        <w:t> </w:t>
      </w:r>
      <w:r>
        <w:rPr/>
        <w:t>him</w:t>
      </w:r>
      <w:r>
        <w:rPr>
          <w:spacing w:val="-10"/>
        </w:rPr>
        <w:t> </w:t>
      </w:r>
      <w:r>
        <w:rPr/>
        <w:t>an</w:t>
      </w:r>
      <w:r>
        <w:rPr>
          <w:spacing w:val="-11"/>
        </w:rPr>
        <w:t> </w:t>
      </w:r>
      <w:r>
        <w:rPr/>
        <w:t>advocate</w:t>
      </w:r>
      <w:r>
        <w:rPr>
          <w:spacing w:val="-13"/>
        </w:rPr>
        <w:t> </w:t>
      </w:r>
      <w:r>
        <w:rPr/>
        <w:t>for</w:t>
      </w:r>
      <w:r>
        <w:rPr>
          <w:spacing w:val="-12"/>
        </w:rPr>
        <w:t> </w:t>
      </w:r>
      <w:r>
        <w:rPr/>
        <w:t>that</w:t>
      </w:r>
      <w:r>
        <w:rPr>
          <w:spacing w:val="-12"/>
        </w:rPr>
        <w:t> </w:t>
      </w:r>
      <w:r>
        <w:rPr/>
        <w:t>party</w:t>
      </w:r>
      <w:r>
        <w:rPr>
          <w:spacing w:val="-14"/>
        </w:rPr>
        <w:t> </w:t>
      </w:r>
      <w:r>
        <w:rPr/>
        <w:t>nor</w:t>
      </w:r>
      <w:r>
        <w:rPr>
          <w:spacing w:val="-12"/>
        </w:rPr>
        <w:t> </w:t>
      </w:r>
      <w:r>
        <w:rPr>
          <w:spacing w:val="-4"/>
        </w:rPr>
        <w:t>cast </w:t>
      </w:r>
      <w:r>
        <w:rPr/>
        <w:t>any</w:t>
      </w:r>
      <w:r>
        <w:rPr>
          <w:spacing w:val="-27"/>
        </w:rPr>
        <w:t> </w:t>
      </w:r>
      <w:r>
        <w:rPr/>
        <w:t>doubt</w:t>
      </w:r>
      <w:r>
        <w:rPr>
          <w:spacing w:val="-24"/>
        </w:rPr>
        <w:t> </w:t>
      </w:r>
      <w:r>
        <w:rPr/>
        <w:t>on</w:t>
      </w:r>
      <w:r>
        <w:rPr>
          <w:spacing w:val="-24"/>
        </w:rPr>
        <w:t> </w:t>
      </w:r>
      <w:r>
        <w:rPr/>
        <w:t>the</w:t>
      </w:r>
      <w:r>
        <w:rPr>
          <w:spacing w:val="-26"/>
        </w:rPr>
        <w:t> </w:t>
      </w:r>
      <w:r>
        <w:rPr/>
        <w:t>impartiality</w:t>
      </w:r>
      <w:r>
        <w:rPr>
          <w:spacing w:val="-27"/>
        </w:rPr>
        <w:t> </w:t>
      </w:r>
      <w:r>
        <w:rPr/>
        <w:t>of</w:t>
      </w:r>
      <w:r>
        <w:rPr>
          <w:spacing w:val="-24"/>
        </w:rPr>
        <w:t> </w:t>
      </w:r>
      <w:r>
        <w:rPr/>
        <w:t>the</w:t>
      </w:r>
      <w:r>
        <w:rPr>
          <w:spacing w:val="-24"/>
        </w:rPr>
        <w:t> </w:t>
      </w:r>
      <w:r>
        <w:rPr/>
        <w:t>award.</w:t>
      </w:r>
      <w:r>
        <w:rPr>
          <w:spacing w:val="-25"/>
        </w:rPr>
        <w:t> </w:t>
      </w:r>
      <w:r>
        <w:rPr/>
        <w:t>The insurer’s reliance on a rule of evidence precluding an </w:t>
      </w:r>
      <w:r>
        <w:rPr>
          <w:spacing w:val="2"/>
        </w:rPr>
        <w:t>arbitrator </w:t>
      </w:r>
      <w:r>
        <w:rPr>
          <w:spacing w:val="3"/>
        </w:rPr>
        <w:t>from </w:t>
      </w:r>
      <w:r>
        <w:rPr>
          <w:spacing w:val="2"/>
        </w:rPr>
        <w:t>“be[ing] </w:t>
      </w:r>
      <w:r>
        <w:rPr/>
        <w:t>competent to testify, </w:t>
      </w:r>
      <w:r>
        <w:rPr>
          <w:spacing w:val="2"/>
        </w:rPr>
        <w:t>in </w:t>
      </w:r>
      <w:r>
        <w:rPr/>
        <w:t>any subsequent civil proceeding, as to any statement, </w:t>
      </w:r>
      <w:r>
        <w:rPr>
          <w:spacing w:val="-3"/>
        </w:rPr>
        <w:t>conduct, </w:t>
      </w:r>
      <w:r>
        <w:rPr/>
        <w:t>decision, or ruling, occurring at or in conjunction therewith” the arbitration, did</w:t>
      </w:r>
      <w:r>
        <w:rPr>
          <w:spacing w:val="-30"/>
        </w:rPr>
        <w:t> </w:t>
      </w:r>
      <w:r>
        <w:rPr/>
        <w:t>not indicate that submission of an inadmissible declaration by the umpire was evidence of corruption.</w:t>
      </w:r>
      <w:r>
        <w:rPr>
          <w:vertAlign w:val="superscript"/>
        </w:rPr>
        <w:t>817</w:t>
      </w:r>
    </w:p>
    <w:p>
      <w:pPr>
        <w:pStyle w:val="BodyText"/>
        <w:spacing w:before="10"/>
        <w:rPr>
          <w:sz w:val="25"/>
        </w:rPr>
      </w:pPr>
    </w:p>
    <w:p>
      <w:pPr>
        <w:pStyle w:val="BodyText"/>
        <w:spacing w:line="242" w:lineRule="auto"/>
        <w:ind w:left="1520" w:right="1518" w:firstLine="720"/>
        <w:jc w:val="both"/>
      </w:pPr>
      <w:r>
        <w:rPr>
          <w:spacing w:val="3"/>
        </w:rPr>
        <w:t>In </w:t>
      </w:r>
      <w:r>
        <w:rPr/>
        <w:t>the states that impose their statutory arbitration</w:t>
      </w:r>
      <w:r>
        <w:rPr>
          <w:spacing w:val="-21"/>
        </w:rPr>
        <w:t> </w:t>
      </w:r>
      <w:r>
        <w:rPr/>
        <w:t>machinery</w:t>
      </w:r>
      <w:r>
        <w:rPr>
          <w:spacing w:val="-24"/>
        </w:rPr>
        <w:t> </w:t>
      </w:r>
      <w:r>
        <w:rPr/>
        <w:t>on</w:t>
      </w:r>
      <w:r>
        <w:rPr>
          <w:spacing w:val="-19"/>
        </w:rPr>
        <w:t> </w:t>
      </w:r>
      <w:r>
        <w:rPr/>
        <w:t>insurance</w:t>
      </w:r>
      <w:r>
        <w:rPr>
          <w:spacing w:val="-18"/>
        </w:rPr>
        <w:t> </w:t>
      </w:r>
      <w:r>
        <w:rPr/>
        <w:t>appraisals, the umpire or neutral may well have duties of disclosure</w:t>
      </w:r>
      <w:r>
        <w:rPr>
          <w:spacing w:val="-39"/>
        </w:rPr>
        <w:t> </w:t>
      </w:r>
      <w:r>
        <w:rPr/>
        <w:t>with</w:t>
      </w:r>
      <w:r>
        <w:rPr>
          <w:spacing w:val="-38"/>
        </w:rPr>
        <w:t> </w:t>
      </w:r>
      <w:r>
        <w:rPr/>
        <w:t>respect</w:t>
      </w:r>
      <w:r>
        <w:rPr>
          <w:spacing w:val="-40"/>
        </w:rPr>
        <w:t> </w:t>
      </w:r>
      <w:r>
        <w:rPr/>
        <w:t>to</w:t>
      </w:r>
      <w:r>
        <w:rPr>
          <w:spacing w:val="-37"/>
        </w:rPr>
        <w:t> </w:t>
      </w:r>
      <w:r>
        <w:rPr/>
        <w:t>prior</w:t>
      </w:r>
      <w:r>
        <w:rPr>
          <w:spacing w:val="-41"/>
        </w:rPr>
        <w:t> </w:t>
      </w:r>
      <w:r>
        <w:rPr/>
        <w:t>relationships</w:t>
      </w:r>
      <w:r>
        <w:rPr>
          <w:spacing w:val="-39"/>
        </w:rPr>
        <w:t> </w:t>
      </w:r>
      <w:r>
        <w:rPr>
          <w:spacing w:val="-3"/>
        </w:rPr>
        <w:t>with</w:t>
      </w:r>
    </w:p>
    <w:p>
      <w:pPr>
        <w:pStyle w:val="BodyText"/>
        <w:spacing w:before="4"/>
        <w:rPr>
          <w:sz w:val="27"/>
        </w:rPr>
      </w:pPr>
      <w:r>
        <w:rPr/>
        <w:pict>
          <v:shape style="position:absolute;margin-left:162pt;margin-top:19.185396pt;width:143.9pt;height:.1pt;mso-position-horizontal-relative:page;mso-position-vertical-relative:paragraph;z-index:-251656192;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18"/>
        </w:rPr>
      </w:pPr>
      <w:r>
        <w:rPr>
          <w:rFonts w:ascii="Times New Roman"/>
          <w:position w:val="10"/>
          <w:sz w:val="14"/>
        </w:rPr>
        <w:t>816 </w:t>
      </w:r>
      <w:r>
        <w:rPr>
          <w:rFonts w:ascii="Times New Roman"/>
          <w:sz w:val="18"/>
          <w:u w:val="single"/>
        </w:rPr>
        <w:t>Id</w:t>
      </w:r>
      <w:r>
        <w:rPr>
          <w:rFonts w:ascii="Times New Roman"/>
          <w:sz w:val="18"/>
        </w:rPr>
        <w:t>. at 248.</w:t>
      </w:r>
    </w:p>
    <w:p>
      <w:pPr>
        <w:pStyle w:val="ListParagraph"/>
        <w:numPr>
          <w:ilvl w:val="0"/>
          <w:numId w:val="3"/>
        </w:numPr>
        <w:tabs>
          <w:tab w:pos="1490" w:val="left" w:leader="none"/>
        </w:tabs>
        <w:spacing w:line="264" w:lineRule="auto" w:before="57" w:after="0"/>
        <w:ind w:left="1160" w:right="1168" w:firstLine="0"/>
        <w:jc w:val="left"/>
        <w:rPr>
          <w:rFonts w:ascii="Century Gothic"/>
          <w:sz w:val="26"/>
        </w:rPr>
      </w:pPr>
      <w:r>
        <w:rPr>
          <w:sz w:val="18"/>
          <w:u w:val="single"/>
        </w:rPr>
        <w:t>Fidelity Nat. Ins. Co. v. Yolanda Owens</w:t>
      </w:r>
      <w:r>
        <w:rPr>
          <w:sz w:val="18"/>
        </w:rPr>
        <w:t>, Alameda County Superior Court No. RG11589323)(6/18/15)</w:t>
      </w:r>
      <w:r>
        <w:rPr>
          <w:rFonts w:ascii="Century Gothic"/>
          <w:sz w:val="26"/>
        </w:rPr>
        <w:t>.</w:t>
      </w:r>
    </w:p>
    <w:p>
      <w:pPr>
        <w:spacing w:after="0" w:line="264" w:lineRule="auto"/>
        <w:jc w:val="left"/>
        <w:rPr>
          <w:rFonts w:ascii="Century Gothic"/>
          <w:sz w:val="26"/>
        </w:rPr>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5"/>
        <w:jc w:val="both"/>
      </w:pPr>
      <w:bookmarkStart w:name="Law and Procedure 391" w:id="5"/>
      <w:bookmarkEnd w:id="5"/>
      <w:r>
        <w:rPr/>
      </w:r>
      <w:r>
        <w:rPr/>
        <w:t>the</w:t>
      </w:r>
      <w:r>
        <w:rPr>
          <w:spacing w:val="-32"/>
        </w:rPr>
        <w:t> </w:t>
      </w:r>
      <w:r>
        <w:rPr/>
        <w:t>parties.</w:t>
      </w:r>
      <w:r>
        <w:rPr>
          <w:spacing w:val="10"/>
        </w:rPr>
        <w:t> </w:t>
      </w:r>
      <w:r>
        <w:rPr/>
        <w:t>For</w:t>
      </w:r>
      <w:r>
        <w:rPr>
          <w:spacing w:val="-29"/>
        </w:rPr>
        <w:t> </w:t>
      </w:r>
      <w:r>
        <w:rPr/>
        <w:t>example,</w:t>
      </w:r>
      <w:r>
        <w:rPr>
          <w:spacing w:val="-31"/>
        </w:rPr>
        <w:t> </w:t>
      </w:r>
      <w:r>
        <w:rPr/>
        <w:t>pursuant</w:t>
      </w:r>
      <w:r>
        <w:rPr>
          <w:spacing w:val="-28"/>
        </w:rPr>
        <w:t> </w:t>
      </w:r>
      <w:r>
        <w:rPr/>
        <w:t>to</w:t>
      </w:r>
      <w:r>
        <w:rPr>
          <w:spacing w:val="-32"/>
        </w:rPr>
        <w:t> </w:t>
      </w:r>
      <w:r>
        <w:rPr/>
        <w:t>California Code of Civil Procedures §1281.9, within 10 days of the proposed nomination of the neutral, he or she must disclose information such as the names of the parties to all prior or pending</w:t>
      </w:r>
      <w:r>
        <w:rPr>
          <w:spacing w:val="-31"/>
        </w:rPr>
        <w:t> </w:t>
      </w:r>
      <w:r>
        <w:rPr/>
        <w:t>cases</w:t>
      </w:r>
      <w:r>
        <w:rPr>
          <w:spacing w:val="-31"/>
        </w:rPr>
        <w:t> </w:t>
      </w:r>
      <w:r>
        <w:rPr/>
        <w:t>where</w:t>
      </w:r>
      <w:r>
        <w:rPr>
          <w:spacing w:val="-31"/>
        </w:rPr>
        <w:t> </w:t>
      </w:r>
      <w:r>
        <w:rPr/>
        <w:t>the</w:t>
      </w:r>
      <w:r>
        <w:rPr>
          <w:spacing w:val="-31"/>
        </w:rPr>
        <w:t> </w:t>
      </w:r>
      <w:r>
        <w:rPr/>
        <w:t>neutral</w:t>
      </w:r>
      <w:r>
        <w:rPr>
          <w:spacing w:val="-32"/>
        </w:rPr>
        <w:t> </w:t>
      </w:r>
      <w:r>
        <w:rPr/>
        <w:t>was</w:t>
      </w:r>
      <w:r>
        <w:rPr>
          <w:spacing w:val="-33"/>
        </w:rPr>
        <w:t> </w:t>
      </w:r>
      <w:r>
        <w:rPr/>
        <w:t>acting</w:t>
      </w:r>
      <w:r>
        <w:rPr>
          <w:spacing w:val="-32"/>
        </w:rPr>
        <w:t> </w:t>
      </w:r>
      <w:r>
        <w:rPr/>
        <w:t>as a party appraiser or neutral, as well as other personal relationships that the neutral may have had with either party. While this may appear burdensome, it tends to discourage inappropriate</w:t>
      </w:r>
      <w:r>
        <w:rPr>
          <w:spacing w:val="-2"/>
        </w:rPr>
        <w:t> </w:t>
      </w:r>
      <w:r>
        <w:rPr/>
        <w:t>appointments.</w:t>
      </w:r>
    </w:p>
    <w:p>
      <w:pPr>
        <w:pStyle w:val="BodyText"/>
        <w:spacing w:before="11"/>
        <w:rPr>
          <w:sz w:val="25"/>
        </w:rPr>
      </w:pPr>
    </w:p>
    <w:p>
      <w:pPr>
        <w:pStyle w:val="BodyText"/>
        <w:spacing w:line="242" w:lineRule="auto"/>
        <w:ind w:left="1520" w:right="1519" w:firstLine="720"/>
        <w:jc w:val="both"/>
      </w:pPr>
      <w:r>
        <w:rPr>
          <w:spacing w:val="2"/>
        </w:rPr>
        <w:t>An </w:t>
      </w:r>
      <w:r>
        <w:rPr/>
        <w:t>individual who had been</w:t>
      </w:r>
      <w:r>
        <w:rPr>
          <w:spacing w:val="-27"/>
        </w:rPr>
        <w:t> </w:t>
      </w:r>
      <w:r>
        <w:rPr/>
        <w:t>nominated to be an appraiser by another insurance company</w:t>
      </w:r>
      <w:r>
        <w:rPr>
          <w:spacing w:val="-20"/>
        </w:rPr>
        <w:t> </w:t>
      </w:r>
      <w:r>
        <w:rPr/>
        <w:t>liable</w:t>
      </w:r>
      <w:r>
        <w:rPr>
          <w:spacing w:val="-16"/>
        </w:rPr>
        <w:t> </w:t>
      </w:r>
      <w:r>
        <w:rPr/>
        <w:t>for</w:t>
      </w:r>
      <w:r>
        <w:rPr>
          <w:spacing w:val="-20"/>
        </w:rPr>
        <w:t> </w:t>
      </w:r>
      <w:r>
        <w:rPr/>
        <w:t>the</w:t>
      </w:r>
      <w:r>
        <w:rPr>
          <w:spacing w:val="-18"/>
        </w:rPr>
        <w:t> </w:t>
      </w:r>
      <w:r>
        <w:rPr/>
        <w:t>same</w:t>
      </w:r>
      <w:r>
        <w:rPr>
          <w:spacing w:val="-20"/>
        </w:rPr>
        <w:t> </w:t>
      </w:r>
      <w:r>
        <w:rPr/>
        <w:t>loss</w:t>
      </w:r>
      <w:r>
        <w:rPr>
          <w:spacing w:val="-16"/>
        </w:rPr>
        <w:t> </w:t>
      </w:r>
      <w:r>
        <w:rPr/>
        <w:t>is</w:t>
      </w:r>
      <w:r>
        <w:rPr>
          <w:spacing w:val="-18"/>
        </w:rPr>
        <w:t> </w:t>
      </w:r>
      <w:r>
        <w:rPr/>
        <w:t>not</w:t>
      </w:r>
      <w:r>
        <w:rPr>
          <w:spacing w:val="-20"/>
        </w:rPr>
        <w:t> </w:t>
      </w:r>
      <w:r>
        <w:rPr/>
        <w:t>suitable to act as an umpire as to the same</w:t>
      </w:r>
      <w:r>
        <w:rPr>
          <w:spacing w:val="-18"/>
        </w:rPr>
        <w:t> </w:t>
      </w:r>
      <w:r>
        <w:rPr/>
        <w:t>event.</w:t>
      </w:r>
      <w:r>
        <w:rPr>
          <w:vertAlign w:val="superscript"/>
        </w:rPr>
        <w:t>818</w:t>
      </w:r>
    </w:p>
    <w:p>
      <w:pPr>
        <w:pStyle w:val="BodyText"/>
        <w:spacing w:before="1"/>
      </w:pPr>
    </w:p>
    <w:p>
      <w:pPr>
        <w:pStyle w:val="BodyText"/>
        <w:spacing w:line="242" w:lineRule="auto" w:before="1"/>
        <w:ind w:left="1520" w:right="1519" w:firstLine="720"/>
        <w:jc w:val="both"/>
      </w:pPr>
      <w:r>
        <w:rPr>
          <w:spacing w:val="2"/>
        </w:rPr>
        <w:t>An </w:t>
      </w:r>
      <w:r>
        <w:rPr/>
        <w:t>accountant who had worked for </w:t>
      </w:r>
      <w:r>
        <w:rPr>
          <w:spacing w:val="-6"/>
        </w:rPr>
        <w:t>the </w:t>
      </w:r>
      <w:r>
        <w:rPr/>
        <w:t>insurer</w:t>
      </w:r>
      <w:r>
        <w:rPr>
          <w:spacing w:val="-33"/>
        </w:rPr>
        <w:t> </w:t>
      </w:r>
      <w:r>
        <w:rPr/>
        <w:t>and</w:t>
      </w:r>
      <w:r>
        <w:rPr>
          <w:spacing w:val="-30"/>
        </w:rPr>
        <w:t> </w:t>
      </w:r>
      <w:r>
        <w:rPr/>
        <w:t>derived</w:t>
      </w:r>
      <w:r>
        <w:rPr>
          <w:spacing w:val="-31"/>
        </w:rPr>
        <w:t> </w:t>
      </w:r>
      <w:r>
        <w:rPr/>
        <w:t>income</w:t>
      </w:r>
      <w:r>
        <w:rPr>
          <w:spacing w:val="-30"/>
        </w:rPr>
        <w:t> </w:t>
      </w:r>
      <w:r>
        <w:rPr/>
        <w:t>ranging</w:t>
      </w:r>
      <w:r>
        <w:rPr>
          <w:spacing w:val="-30"/>
        </w:rPr>
        <w:t> </w:t>
      </w:r>
      <w:r>
        <w:rPr/>
        <w:t>from</w:t>
      </w:r>
      <w:r>
        <w:rPr>
          <w:spacing w:val="-31"/>
        </w:rPr>
        <w:t> </w:t>
      </w:r>
      <w:r>
        <w:rPr>
          <w:spacing w:val="-3"/>
        </w:rPr>
        <w:t>$8000 </w:t>
      </w:r>
      <w:r>
        <w:rPr/>
        <w:t>to</w:t>
      </w:r>
      <w:r>
        <w:rPr>
          <w:spacing w:val="-29"/>
        </w:rPr>
        <w:t> </w:t>
      </w:r>
      <w:r>
        <w:rPr/>
        <w:t>$61,000</w:t>
      </w:r>
      <w:r>
        <w:rPr>
          <w:spacing w:val="-27"/>
        </w:rPr>
        <w:t> </w:t>
      </w:r>
      <w:r>
        <w:rPr/>
        <w:t>annually</w:t>
      </w:r>
      <w:r>
        <w:rPr>
          <w:spacing w:val="-29"/>
        </w:rPr>
        <w:t> </w:t>
      </w:r>
      <w:r>
        <w:rPr/>
        <w:t>over</w:t>
      </w:r>
      <w:r>
        <w:rPr>
          <w:spacing w:val="-33"/>
        </w:rPr>
        <w:t> </w:t>
      </w:r>
      <w:r>
        <w:rPr/>
        <w:t>a</w:t>
      </w:r>
      <w:r>
        <w:rPr>
          <w:spacing w:val="-29"/>
        </w:rPr>
        <w:t> </w:t>
      </w:r>
      <w:r>
        <w:rPr/>
        <w:t>number</w:t>
      </w:r>
      <w:r>
        <w:rPr>
          <w:spacing w:val="-29"/>
        </w:rPr>
        <w:t> </w:t>
      </w:r>
      <w:r>
        <w:rPr/>
        <w:t>of</w:t>
      </w:r>
      <w:r>
        <w:rPr>
          <w:spacing w:val="-28"/>
        </w:rPr>
        <w:t> </w:t>
      </w:r>
      <w:r>
        <w:rPr/>
        <w:t>years</w:t>
      </w:r>
      <w:r>
        <w:rPr>
          <w:spacing w:val="-28"/>
        </w:rPr>
        <w:t> </w:t>
      </w:r>
      <w:r>
        <w:rPr/>
        <w:t>was deemed not to be impartial and though </w:t>
      </w:r>
      <w:r>
        <w:rPr>
          <w:spacing w:val="-6"/>
        </w:rPr>
        <w:t>he </w:t>
      </w:r>
      <w:r>
        <w:rPr/>
        <w:t>was </w:t>
      </w:r>
      <w:r>
        <w:rPr>
          <w:spacing w:val="3"/>
        </w:rPr>
        <w:t>court </w:t>
      </w:r>
      <w:r>
        <w:rPr>
          <w:spacing w:val="5"/>
        </w:rPr>
        <w:t>appointed, </w:t>
      </w:r>
      <w:r>
        <w:rPr>
          <w:spacing w:val="4"/>
        </w:rPr>
        <w:t>the award </w:t>
      </w:r>
      <w:r>
        <w:rPr>
          <w:spacing w:val="2"/>
        </w:rPr>
        <w:t>he </w:t>
      </w:r>
      <w:r>
        <w:rPr/>
        <w:t>participated in was</w:t>
      </w:r>
      <w:r>
        <w:rPr>
          <w:spacing w:val="-4"/>
        </w:rPr>
        <w:t> </w:t>
      </w:r>
      <w:r>
        <w:rPr/>
        <w:t>vacated.</w:t>
      </w:r>
      <w:r>
        <w:rPr>
          <w:vertAlign w:val="superscript"/>
        </w:rPr>
        <w:t>819</w:t>
      </w:r>
    </w:p>
    <w:p>
      <w:pPr>
        <w:pStyle w:val="BodyText"/>
      </w:pPr>
    </w:p>
    <w:p>
      <w:pPr>
        <w:pStyle w:val="BodyText"/>
        <w:spacing w:line="242" w:lineRule="auto"/>
        <w:ind w:left="1520" w:right="1518" w:firstLine="720"/>
        <w:jc w:val="both"/>
      </w:pPr>
      <w:r>
        <w:rPr/>
        <w:t>Solicitation by the umpire to do the actual</w:t>
      </w:r>
      <w:r>
        <w:rPr>
          <w:spacing w:val="-10"/>
        </w:rPr>
        <w:t> </w:t>
      </w:r>
      <w:r>
        <w:rPr/>
        <w:t>repair</w:t>
      </w:r>
      <w:r>
        <w:rPr>
          <w:spacing w:val="-12"/>
        </w:rPr>
        <w:t> </w:t>
      </w:r>
      <w:r>
        <w:rPr/>
        <w:t>work</w:t>
      </w:r>
      <w:r>
        <w:rPr>
          <w:spacing w:val="-12"/>
        </w:rPr>
        <w:t> </w:t>
      </w:r>
      <w:r>
        <w:rPr/>
        <w:t>during</w:t>
      </w:r>
      <w:r>
        <w:rPr>
          <w:spacing w:val="-10"/>
        </w:rPr>
        <w:t> </w:t>
      </w:r>
      <w:r>
        <w:rPr/>
        <w:t>appraisal</w:t>
      </w:r>
      <w:r>
        <w:rPr>
          <w:spacing w:val="-10"/>
        </w:rPr>
        <w:t> </w:t>
      </w:r>
      <w:r>
        <w:rPr/>
        <w:t>is</w:t>
      </w:r>
      <w:r>
        <w:rPr>
          <w:spacing w:val="-11"/>
        </w:rPr>
        <w:t> </w:t>
      </w:r>
      <w:r>
        <w:rPr/>
        <w:t>sufficient to destroy the umpire’s impartiality and any subsequent award should be</w:t>
      </w:r>
      <w:r>
        <w:rPr>
          <w:spacing w:val="-7"/>
        </w:rPr>
        <w:t> </w:t>
      </w:r>
      <w:r>
        <w:rPr/>
        <w:t>vacated.</w:t>
      </w:r>
    </w:p>
    <w:p>
      <w:pPr>
        <w:pStyle w:val="BodyText"/>
        <w:rPr>
          <w:sz w:val="20"/>
        </w:rPr>
      </w:pPr>
    </w:p>
    <w:p>
      <w:pPr>
        <w:pStyle w:val="BodyText"/>
        <w:spacing w:before="5"/>
        <w:rPr>
          <w:sz w:val="25"/>
        </w:rPr>
      </w:pPr>
      <w:r>
        <w:rPr/>
        <w:pict>
          <v:shape style="position:absolute;margin-left:162pt;margin-top:17.98357pt;width:143.9pt;height:.1pt;mso-position-horizontal-relative:page;mso-position-vertical-relative:paragraph;z-index:-251655168;mso-wrap-distance-left:0;mso-wrap-distance-right:0" coordorigin="3240,360" coordsize="2878,0" path="m3240,360l6118,36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1435" w:val="left" w:leader="none"/>
        </w:tabs>
        <w:spacing w:line="248" w:lineRule="exact" w:before="71" w:after="0"/>
        <w:ind w:left="1434" w:right="0" w:hanging="275"/>
        <w:jc w:val="left"/>
        <w:rPr>
          <w:sz w:val="18"/>
        </w:rPr>
      </w:pPr>
      <w:r>
        <w:rPr>
          <w:sz w:val="18"/>
          <w:u w:val="single"/>
        </w:rPr>
        <w:t>Braddy v. New York Bowery Fire Ins. Co.</w:t>
      </w:r>
      <w:r>
        <w:rPr>
          <w:sz w:val="18"/>
        </w:rPr>
        <w:t>, 115 N.C. 354, 20 S.E. 477</w:t>
      </w:r>
      <w:r>
        <w:rPr>
          <w:spacing w:val="-9"/>
          <w:sz w:val="18"/>
        </w:rPr>
        <w:t> </w:t>
      </w:r>
      <w:r>
        <w:rPr>
          <w:sz w:val="18"/>
        </w:rPr>
        <w:t>(1894).</w:t>
      </w:r>
    </w:p>
    <w:p>
      <w:pPr>
        <w:pStyle w:val="ListParagraph"/>
        <w:numPr>
          <w:ilvl w:val="0"/>
          <w:numId w:val="3"/>
        </w:numPr>
        <w:tabs>
          <w:tab w:pos="1430" w:val="left" w:leader="none"/>
        </w:tabs>
        <w:spacing w:line="248" w:lineRule="exact" w:before="0" w:after="0"/>
        <w:ind w:left="1430" w:right="0" w:hanging="270"/>
        <w:jc w:val="left"/>
        <w:rPr>
          <w:sz w:val="18"/>
        </w:rPr>
      </w:pPr>
      <w:r>
        <w:rPr>
          <w:sz w:val="18"/>
          <w:u w:val="single"/>
        </w:rPr>
        <w:t>Weinger</w:t>
      </w:r>
      <w:r>
        <w:rPr>
          <w:spacing w:val="9"/>
          <w:sz w:val="18"/>
          <w:u w:val="single"/>
        </w:rPr>
        <w:t> </w:t>
      </w:r>
      <w:r>
        <w:rPr>
          <w:sz w:val="18"/>
          <w:u w:val="single"/>
        </w:rPr>
        <w:t>v.</w:t>
      </w:r>
      <w:r>
        <w:rPr>
          <w:spacing w:val="10"/>
          <w:sz w:val="18"/>
          <w:u w:val="single"/>
        </w:rPr>
        <w:t> </w:t>
      </w:r>
      <w:r>
        <w:rPr>
          <w:sz w:val="18"/>
          <w:u w:val="single"/>
        </w:rPr>
        <w:t>State</w:t>
      </w:r>
      <w:r>
        <w:rPr>
          <w:spacing w:val="10"/>
          <w:sz w:val="18"/>
          <w:u w:val="single"/>
        </w:rPr>
        <w:t> </w:t>
      </w:r>
      <w:r>
        <w:rPr>
          <w:sz w:val="18"/>
          <w:u w:val="single"/>
        </w:rPr>
        <w:t>Farm</w:t>
      </w:r>
      <w:r>
        <w:rPr>
          <w:spacing w:val="7"/>
          <w:sz w:val="18"/>
          <w:u w:val="single"/>
        </w:rPr>
        <w:t> </w:t>
      </w:r>
      <w:r>
        <w:rPr>
          <w:sz w:val="18"/>
          <w:u w:val="single"/>
        </w:rPr>
        <w:t>Fire</w:t>
      </w:r>
      <w:r>
        <w:rPr>
          <w:spacing w:val="10"/>
          <w:sz w:val="18"/>
          <w:u w:val="single"/>
        </w:rPr>
        <w:t> </w:t>
      </w:r>
      <w:r>
        <w:rPr>
          <w:sz w:val="18"/>
          <w:u w:val="single"/>
        </w:rPr>
        <w:t>&amp;</w:t>
      </w:r>
      <w:r>
        <w:rPr>
          <w:spacing w:val="9"/>
          <w:sz w:val="18"/>
          <w:u w:val="single"/>
        </w:rPr>
        <w:t> </w:t>
      </w:r>
      <w:r>
        <w:rPr>
          <w:sz w:val="18"/>
          <w:u w:val="single"/>
        </w:rPr>
        <w:t>Cas</w:t>
      </w:r>
      <w:r>
        <w:rPr>
          <w:spacing w:val="9"/>
          <w:sz w:val="18"/>
          <w:u w:val="single"/>
        </w:rPr>
        <w:t> </w:t>
      </w:r>
      <w:r>
        <w:rPr>
          <w:sz w:val="18"/>
          <w:u w:val="single"/>
        </w:rPr>
        <w:t>Co.</w:t>
      </w:r>
      <w:r>
        <w:rPr>
          <w:sz w:val="18"/>
        </w:rPr>
        <w:t>,</w:t>
      </w:r>
      <w:r>
        <w:rPr>
          <w:spacing w:val="12"/>
          <w:sz w:val="18"/>
        </w:rPr>
        <w:t> </w:t>
      </w:r>
      <w:r>
        <w:rPr>
          <w:sz w:val="18"/>
        </w:rPr>
        <w:t>620</w:t>
      </w:r>
      <w:r>
        <w:rPr>
          <w:spacing w:val="11"/>
          <w:sz w:val="18"/>
        </w:rPr>
        <w:t> </w:t>
      </w:r>
      <w:r>
        <w:rPr>
          <w:sz w:val="18"/>
        </w:rPr>
        <w:t>So.2d</w:t>
      </w:r>
      <w:r>
        <w:rPr>
          <w:spacing w:val="11"/>
          <w:sz w:val="18"/>
        </w:rPr>
        <w:t> </w:t>
      </w:r>
      <w:r>
        <w:rPr>
          <w:sz w:val="18"/>
        </w:rPr>
        <w:t>1298</w:t>
      </w:r>
      <w:r>
        <w:rPr>
          <w:spacing w:val="11"/>
          <w:sz w:val="18"/>
        </w:rPr>
        <w:t> </w:t>
      </w:r>
      <w:r>
        <w:rPr>
          <w:sz w:val="18"/>
        </w:rPr>
        <w:t>(Fla.</w:t>
      </w:r>
      <w:r>
        <w:rPr>
          <w:spacing w:val="11"/>
          <w:sz w:val="18"/>
        </w:rPr>
        <w:t> </w:t>
      </w:r>
      <w:r>
        <w:rPr>
          <w:sz w:val="18"/>
        </w:rPr>
        <w:t>Dist.</w:t>
      </w:r>
      <w:r>
        <w:rPr>
          <w:spacing w:val="10"/>
          <w:sz w:val="18"/>
        </w:rPr>
        <w:t> </w:t>
      </w:r>
      <w:r>
        <w:rPr>
          <w:sz w:val="18"/>
        </w:rPr>
        <w:t>Ct.</w:t>
      </w:r>
      <w:r>
        <w:rPr>
          <w:spacing w:val="11"/>
          <w:sz w:val="18"/>
        </w:rPr>
        <w:t> </w:t>
      </w:r>
      <w:r>
        <w:rPr>
          <w:sz w:val="18"/>
        </w:rPr>
        <w:t>App.</w:t>
      </w:r>
      <w:r>
        <w:rPr>
          <w:spacing w:val="10"/>
          <w:sz w:val="18"/>
        </w:rPr>
        <w:t> </w:t>
      </w:r>
      <w:r>
        <w:rPr>
          <w:sz w:val="18"/>
        </w:rPr>
        <w:t>4</w:t>
      </w:r>
      <w:r>
        <w:rPr>
          <w:position w:val="7"/>
          <w:sz w:val="10"/>
        </w:rPr>
        <w:t>th</w:t>
      </w:r>
      <w:r>
        <w:rPr>
          <w:spacing w:val="9"/>
          <w:position w:val="7"/>
          <w:sz w:val="10"/>
        </w:rPr>
        <w:t> </w:t>
      </w:r>
      <w:r>
        <w:rPr>
          <w:sz w:val="18"/>
        </w:rPr>
        <w:t>Dist.</w:t>
      </w:r>
    </w:p>
    <w:p>
      <w:pPr>
        <w:spacing w:before="4"/>
        <w:ind w:left="1160" w:right="0" w:firstLine="0"/>
        <w:jc w:val="left"/>
        <w:rPr>
          <w:rFonts w:ascii="Times New Roman"/>
          <w:sz w:val="18"/>
        </w:rPr>
      </w:pPr>
      <w:r>
        <w:rPr>
          <w:rFonts w:ascii="Times New Roman"/>
          <w:sz w:val="18"/>
        </w:rPr>
        <w:t>1993).</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392" w:id="6"/>
      <w:bookmarkEnd w:id="6"/>
      <w:r>
        <w:rPr/>
      </w:r>
      <w:r>
        <w:rPr/>
        <w:t>A North Carolina court examined whether a “pre-existing relationship”</w:t>
      </w:r>
      <w:r>
        <w:rPr>
          <w:spacing w:val="-22"/>
        </w:rPr>
        <w:t> </w:t>
      </w:r>
      <w:r>
        <w:rPr/>
        <w:t>between an umpire and an insurer’s appraiser would create an impermissible conflict of interest. There, the insurer asserted an appraiser’s affirmative duty to disclose prior dealings with another</w:t>
      </w:r>
      <w:r>
        <w:rPr>
          <w:spacing w:val="-32"/>
        </w:rPr>
        <w:t> </w:t>
      </w:r>
      <w:r>
        <w:rPr/>
        <w:t>party’s</w:t>
      </w:r>
      <w:r>
        <w:rPr>
          <w:spacing w:val="-30"/>
        </w:rPr>
        <w:t> </w:t>
      </w:r>
      <w:r>
        <w:rPr/>
        <w:t>appraiser.</w:t>
      </w:r>
      <w:r>
        <w:rPr>
          <w:spacing w:val="-33"/>
        </w:rPr>
        <w:t> </w:t>
      </w:r>
      <w:r>
        <w:rPr/>
        <w:t>Contacts</w:t>
      </w:r>
      <w:r>
        <w:rPr>
          <w:spacing w:val="-31"/>
        </w:rPr>
        <w:t> </w:t>
      </w:r>
      <w:r>
        <w:rPr/>
        <w:t>called</w:t>
      </w:r>
      <w:r>
        <w:rPr>
          <w:spacing w:val="-27"/>
        </w:rPr>
        <w:t> </w:t>
      </w:r>
      <w:r>
        <w:rPr/>
        <w:t>into question included representation of opposing parties in another insurance matter (deemed “hardly the type of ‘pre-existing relationship’ that would lead to the inference of a conflict of interest”), as well as the appraiser’s request that the umpire in this case create plans and elevations based on photographs in an unrelated</w:t>
      </w:r>
      <w:r>
        <w:rPr>
          <w:spacing w:val="-28"/>
        </w:rPr>
        <w:t> </w:t>
      </w:r>
      <w:r>
        <w:rPr/>
        <w:t>claim</w:t>
      </w:r>
      <w:r>
        <w:rPr>
          <w:spacing w:val="-27"/>
        </w:rPr>
        <w:t> </w:t>
      </w:r>
      <w:r>
        <w:rPr/>
        <w:t>which</w:t>
      </w:r>
      <w:r>
        <w:rPr>
          <w:spacing w:val="-29"/>
        </w:rPr>
        <w:t> </w:t>
      </w:r>
      <w:r>
        <w:rPr/>
        <w:t>arose</w:t>
      </w:r>
      <w:r>
        <w:rPr>
          <w:spacing w:val="-29"/>
        </w:rPr>
        <w:t> </w:t>
      </w:r>
      <w:r>
        <w:rPr/>
        <w:t>several</w:t>
      </w:r>
      <w:r>
        <w:rPr>
          <w:spacing w:val="-27"/>
        </w:rPr>
        <w:t> </w:t>
      </w:r>
      <w:r>
        <w:rPr/>
        <w:t>years</w:t>
      </w:r>
      <w:r>
        <w:rPr>
          <w:spacing w:val="-30"/>
        </w:rPr>
        <w:t> </w:t>
      </w:r>
      <w:r>
        <w:rPr/>
        <w:t>prior and for which no information as to his compensation was presented. The </w:t>
      </w:r>
      <w:r>
        <w:rPr>
          <w:spacing w:val="-3"/>
        </w:rPr>
        <w:t>court </w:t>
      </w:r>
      <w:r>
        <w:rPr/>
        <w:t>observed no evidence that the umpire’s neutrality was</w:t>
      </w:r>
      <w:r>
        <w:rPr>
          <w:spacing w:val="-5"/>
        </w:rPr>
        <w:t> </w:t>
      </w:r>
      <w:r>
        <w:rPr/>
        <w:t>affected.</w:t>
      </w:r>
      <w:r>
        <w:rPr>
          <w:vertAlign w:val="superscript"/>
        </w:rPr>
        <w:t>820</w:t>
      </w:r>
    </w:p>
    <w:p>
      <w:pPr>
        <w:pStyle w:val="BodyText"/>
        <w:spacing w:before="7"/>
        <w:rPr>
          <w:sz w:val="25"/>
        </w:rPr>
      </w:pPr>
    </w:p>
    <w:p>
      <w:pPr>
        <w:pStyle w:val="BodyText"/>
        <w:spacing w:line="242" w:lineRule="auto" w:before="1"/>
        <w:ind w:left="1520" w:right="1517" w:firstLine="720"/>
        <w:jc w:val="both"/>
      </w:pPr>
      <w:r>
        <w:rPr/>
        <w:t>Florida has observed an absence of authority where an umpire engaged in continuous delay in rendering an appraisal award. In that matter, the insured’s appraiser had terminated the umpire for such behavior, an issue which ultimately led the court to evaluate whether this constituted a material breach of policy conditions and compliance with necessary pre-suit conditions.</w:t>
      </w:r>
      <w:r>
        <w:rPr>
          <w:vertAlign w:val="superscript"/>
        </w:rPr>
        <w:t>821</w:t>
      </w:r>
    </w:p>
    <w:p>
      <w:pPr>
        <w:pStyle w:val="BodyText"/>
        <w:rPr>
          <w:sz w:val="20"/>
        </w:rPr>
      </w:pPr>
    </w:p>
    <w:p>
      <w:pPr>
        <w:pStyle w:val="BodyText"/>
        <w:spacing w:before="1"/>
        <w:rPr>
          <w:sz w:val="13"/>
        </w:rPr>
      </w:pPr>
      <w:r>
        <w:rPr/>
        <w:pict>
          <v:shape style="position:absolute;margin-left:162pt;margin-top:10.428555pt;width:143.9pt;height:.1pt;mso-position-horizontal-relative:page;mso-position-vertical-relative:paragraph;z-index:-251654144;mso-wrap-distance-left:0;mso-wrap-distance-right:0" coordorigin="3240,209" coordsize="2878,0" path="m3240,209l6118,209e" filled="false" stroked="true" strokeweight=".84pt" strokecolor="#000000">
            <v:path arrowok="t"/>
            <v:stroke dashstyle="solid"/>
            <w10:wrap type="topAndBottom"/>
          </v:shape>
        </w:pict>
      </w:r>
    </w:p>
    <w:p>
      <w:pPr>
        <w:pStyle w:val="ListParagraph"/>
        <w:numPr>
          <w:ilvl w:val="0"/>
          <w:numId w:val="3"/>
        </w:numPr>
        <w:tabs>
          <w:tab w:pos="1421" w:val="left" w:leader="none"/>
        </w:tabs>
        <w:spacing w:line="240" w:lineRule="auto" w:before="140" w:after="0"/>
        <w:ind w:left="1421" w:right="0" w:hanging="261"/>
        <w:jc w:val="left"/>
        <w:rPr>
          <w:sz w:val="18"/>
        </w:rPr>
      </w:pPr>
      <w:r>
        <w:rPr>
          <w:sz w:val="18"/>
          <w:u w:val="single"/>
        </w:rPr>
        <w:t>Glendale LLC v. Amco Ins.Co.</w:t>
      </w:r>
      <w:r>
        <w:rPr>
          <w:sz w:val="18"/>
        </w:rPr>
        <w:t>, 2012 WL 2917920 (W.D.N.C.,</w:t>
      </w:r>
      <w:r>
        <w:rPr>
          <w:spacing w:val="-2"/>
          <w:sz w:val="18"/>
        </w:rPr>
        <w:t> </w:t>
      </w:r>
      <w:r>
        <w:rPr>
          <w:sz w:val="18"/>
        </w:rPr>
        <w:t>2012).</w:t>
      </w:r>
    </w:p>
    <w:p>
      <w:pPr>
        <w:pStyle w:val="ListParagraph"/>
        <w:numPr>
          <w:ilvl w:val="0"/>
          <w:numId w:val="3"/>
        </w:numPr>
        <w:tabs>
          <w:tab w:pos="1442" w:val="left" w:leader="none"/>
        </w:tabs>
        <w:spacing w:line="240" w:lineRule="auto" w:before="43" w:after="0"/>
        <w:ind w:left="1442" w:right="0" w:hanging="282"/>
        <w:jc w:val="left"/>
        <w:rPr>
          <w:sz w:val="18"/>
        </w:rPr>
      </w:pPr>
      <w:r>
        <w:rPr>
          <w:sz w:val="18"/>
          <w:u w:val="single"/>
        </w:rPr>
        <w:t>Jyurovat</w:t>
      </w:r>
      <w:r>
        <w:rPr>
          <w:spacing w:val="-5"/>
          <w:sz w:val="18"/>
          <w:u w:val="single"/>
        </w:rPr>
        <w:t> </w:t>
      </w:r>
      <w:r>
        <w:rPr>
          <w:sz w:val="18"/>
          <w:u w:val="single"/>
        </w:rPr>
        <w:t>v.</w:t>
      </w:r>
      <w:r>
        <w:rPr>
          <w:spacing w:val="-4"/>
          <w:sz w:val="18"/>
          <w:u w:val="single"/>
        </w:rPr>
        <w:t> </w:t>
      </w:r>
      <w:r>
        <w:rPr>
          <w:sz w:val="18"/>
          <w:u w:val="single"/>
        </w:rPr>
        <w:t>Universal</w:t>
      </w:r>
      <w:r>
        <w:rPr>
          <w:spacing w:val="-5"/>
          <w:sz w:val="18"/>
          <w:u w:val="single"/>
        </w:rPr>
        <w:t> </w:t>
      </w:r>
      <w:r>
        <w:rPr>
          <w:sz w:val="18"/>
          <w:u w:val="single"/>
        </w:rPr>
        <w:t>Prop.</w:t>
      </w:r>
      <w:r>
        <w:rPr>
          <w:spacing w:val="-4"/>
          <w:sz w:val="18"/>
          <w:u w:val="single"/>
        </w:rPr>
        <w:t> </w:t>
      </w:r>
      <w:r>
        <w:rPr>
          <w:sz w:val="18"/>
          <w:u w:val="single"/>
        </w:rPr>
        <w:t>&amp;</w:t>
      </w:r>
      <w:r>
        <w:rPr>
          <w:spacing w:val="-6"/>
          <w:sz w:val="18"/>
          <w:u w:val="single"/>
        </w:rPr>
        <w:t> </w:t>
      </w:r>
      <w:r>
        <w:rPr>
          <w:sz w:val="18"/>
          <w:u w:val="single"/>
        </w:rPr>
        <w:t>Cas.</w:t>
      </w:r>
      <w:r>
        <w:rPr>
          <w:spacing w:val="-5"/>
          <w:sz w:val="18"/>
          <w:u w:val="single"/>
        </w:rPr>
        <w:t> </w:t>
      </w:r>
      <w:r>
        <w:rPr>
          <w:sz w:val="18"/>
          <w:u w:val="single"/>
        </w:rPr>
        <w:t>Ins.</w:t>
      </w:r>
      <w:r>
        <w:rPr>
          <w:spacing w:val="-2"/>
          <w:sz w:val="18"/>
          <w:u w:val="single"/>
        </w:rPr>
        <w:t> </w:t>
      </w:r>
      <w:r>
        <w:rPr>
          <w:sz w:val="18"/>
          <w:u w:val="single"/>
        </w:rPr>
        <w:t>Co.</w:t>
      </w:r>
      <w:r>
        <w:rPr>
          <w:sz w:val="18"/>
        </w:rPr>
        <w:t>,</w:t>
      </w:r>
      <w:r>
        <w:rPr>
          <w:spacing w:val="-1"/>
          <w:sz w:val="18"/>
        </w:rPr>
        <w:t> </w:t>
      </w:r>
      <w:r>
        <w:rPr>
          <w:sz w:val="18"/>
        </w:rPr>
        <w:t>84</w:t>
      </w:r>
      <w:r>
        <w:rPr>
          <w:spacing w:val="-1"/>
          <w:sz w:val="18"/>
        </w:rPr>
        <w:t> </w:t>
      </w:r>
      <w:r>
        <w:rPr>
          <w:sz w:val="18"/>
        </w:rPr>
        <w:t>So.3d</w:t>
      </w:r>
      <w:r>
        <w:rPr>
          <w:spacing w:val="-2"/>
          <w:sz w:val="18"/>
        </w:rPr>
        <w:t> </w:t>
      </w:r>
      <w:r>
        <w:rPr>
          <w:sz w:val="18"/>
        </w:rPr>
        <w:t>1238,</w:t>
      </w:r>
      <w:r>
        <w:rPr>
          <w:spacing w:val="-2"/>
          <w:sz w:val="18"/>
        </w:rPr>
        <w:t> </w:t>
      </w:r>
      <w:r>
        <w:rPr>
          <w:sz w:val="18"/>
        </w:rPr>
        <w:t>1239</w:t>
      </w:r>
      <w:r>
        <w:rPr>
          <w:spacing w:val="-1"/>
          <w:sz w:val="18"/>
        </w:rPr>
        <w:t> </w:t>
      </w:r>
      <w:r>
        <w:rPr>
          <w:sz w:val="18"/>
        </w:rPr>
        <w:t>(Fla.2d</w:t>
      </w:r>
      <w:r>
        <w:rPr>
          <w:spacing w:val="-2"/>
          <w:sz w:val="18"/>
        </w:rPr>
        <w:t> </w:t>
      </w:r>
      <w:r>
        <w:rPr>
          <w:sz w:val="18"/>
        </w:rPr>
        <w:t>DCA</w:t>
      </w:r>
      <w:r>
        <w:rPr>
          <w:spacing w:val="-5"/>
          <w:sz w:val="18"/>
        </w:rPr>
        <w:t> </w:t>
      </w:r>
      <w:r>
        <w:rPr>
          <w:sz w:val="18"/>
        </w:rPr>
        <w:t>2012).</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320" w:lineRule="atLeast" w:before="75"/>
        <w:ind w:left="1520" w:right="1515" w:firstLine="720"/>
        <w:jc w:val="both"/>
      </w:pPr>
      <w:bookmarkStart w:name="Law and Procedure 393" w:id="7"/>
      <w:bookmarkEnd w:id="7"/>
      <w:r>
        <w:rPr/>
      </w:r>
      <w:r>
        <w:rPr/>
        <w:t>The </w:t>
      </w:r>
      <w:r>
        <w:rPr>
          <w:u w:val="single"/>
        </w:rPr>
        <w:t>Michael</w:t>
      </w:r>
      <w:r>
        <w:rPr>
          <w:vertAlign w:val="superscript"/>
        </w:rPr>
        <w:t>822</w:t>
      </w:r>
      <w:r>
        <w:rPr>
          <w:vertAlign w:val="baseline"/>
        </w:rPr>
        <w:t> court stated that a substantial prior or continuing business relationship with a party or with a party’s representative, even if the business activity does not occur during a pending appraisal or arbitration, is enough to disqualify the umpire.</w:t>
      </w:r>
    </w:p>
    <w:p>
      <w:pPr>
        <w:spacing w:line="89" w:lineRule="exact" w:before="0"/>
        <w:ind w:left="1520" w:right="0" w:firstLine="0"/>
        <w:jc w:val="left"/>
        <w:rPr>
          <w:sz w:val="16"/>
        </w:rPr>
      </w:pPr>
      <w:r>
        <w:rPr>
          <w:sz w:val="16"/>
        </w:rPr>
        <w:t>823</w:t>
      </w:r>
    </w:p>
    <w:p>
      <w:pPr>
        <w:pStyle w:val="BodyText"/>
        <w:rPr>
          <w:sz w:val="16"/>
        </w:rPr>
      </w:pPr>
    </w:p>
    <w:p>
      <w:pPr>
        <w:pStyle w:val="BodyText"/>
        <w:spacing w:before="11"/>
        <w:rPr>
          <w:sz w:val="19"/>
        </w:rPr>
      </w:pPr>
    </w:p>
    <w:p>
      <w:pPr>
        <w:pStyle w:val="BodyText"/>
        <w:spacing w:line="242" w:lineRule="auto"/>
        <w:ind w:left="1520" w:right="1519" w:firstLine="720"/>
        <w:jc w:val="both"/>
      </w:pPr>
      <w:r>
        <w:rPr>
          <w:spacing w:val="-3"/>
        </w:rPr>
        <w:t>Where</w:t>
      </w:r>
      <w:r>
        <w:rPr>
          <w:spacing w:val="-29"/>
        </w:rPr>
        <w:t> </w:t>
      </w:r>
      <w:r>
        <w:rPr/>
        <w:t>the</w:t>
      </w:r>
      <w:r>
        <w:rPr>
          <w:spacing w:val="-28"/>
        </w:rPr>
        <w:t> </w:t>
      </w:r>
      <w:r>
        <w:rPr/>
        <w:t>umpire</w:t>
      </w:r>
      <w:r>
        <w:rPr>
          <w:spacing w:val="-29"/>
        </w:rPr>
        <w:t> </w:t>
      </w:r>
      <w:r>
        <w:rPr/>
        <w:t>is</w:t>
      </w:r>
      <w:r>
        <w:rPr>
          <w:spacing w:val="-28"/>
        </w:rPr>
        <w:t> </w:t>
      </w:r>
      <w:r>
        <w:rPr/>
        <w:t>acquainted</w:t>
      </w:r>
      <w:r>
        <w:rPr>
          <w:spacing w:val="-31"/>
        </w:rPr>
        <w:t> </w:t>
      </w:r>
      <w:r>
        <w:rPr/>
        <w:t>with</w:t>
      </w:r>
      <w:r>
        <w:rPr>
          <w:spacing w:val="-31"/>
        </w:rPr>
        <w:t> </w:t>
      </w:r>
      <w:r>
        <w:rPr/>
        <w:t>one of the appraisers, the umpire should disclose that fact to the other</w:t>
      </w:r>
      <w:r>
        <w:rPr>
          <w:spacing w:val="-9"/>
        </w:rPr>
        <w:t> </w:t>
      </w:r>
      <w:r>
        <w:rPr/>
        <w:t>party.</w:t>
      </w:r>
      <w:r>
        <w:rPr>
          <w:vertAlign w:val="superscript"/>
        </w:rPr>
        <w:t>824</w:t>
      </w:r>
    </w:p>
    <w:p>
      <w:pPr>
        <w:pStyle w:val="BodyText"/>
        <w:spacing w:before="1"/>
      </w:pPr>
    </w:p>
    <w:p>
      <w:pPr>
        <w:pStyle w:val="BodyText"/>
        <w:spacing w:line="242" w:lineRule="auto"/>
        <w:ind w:left="1520" w:right="1517" w:firstLine="720"/>
        <w:jc w:val="both"/>
      </w:pPr>
      <w:r>
        <w:rPr>
          <w:spacing w:val="3"/>
        </w:rPr>
        <w:t>In</w:t>
      </w:r>
      <w:r>
        <w:rPr>
          <w:spacing w:val="-28"/>
        </w:rPr>
        <w:t> </w:t>
      </w:r>
      <w:r>
        <w:rPr/>
        <w:t>Alberta,</w:t>
      </w:r>
      <w:r>
        <w:rPr>
          <w:spacing w:val="-29"/>
        </w:rPr>
        <w:t> </w:t>
      </w:r>
      <w:r>
        <w:rPr/>
        <w:t>Canada,</w:t>
      </w:r>
      <w:r>
        <w:rPr>
          <w:spacing w:val="-27"/>
        </w:rPr>
        <w:t> </w:t>
      </w:r>
      <w:r>
        <w:rPr/>
        <w:t>a</w:t>
      </w:r>
      <w:r>
        <w:rPr>
          <w:spacing w:val="-27"/>
        </w:rPr>
        <w:t> </w:t>
      </w:r>
      <w:r>
        <w:rPr/>
        <w:t>duty</w:t>
      </w:r>
      <w:r>
        <w:rPr>
          <w:spacing w:val="-27"/>
        </w:rPr>
        <w:t> </w:t>
      </w:r>
      <w:r>
        <w:rPr/>
        <w:t>of</w:t>
      </w:r>
      <w:r>
        <w:rPr>
          <w:spacing w:val="-25"/>
        </w:rPr>
        <w:t> </w:t>
      </w:r>
      <w:r>
        <w:rPr/>
        <w:t>impartiality has also been conferred upon an umpire </w:t>
      </w:r>
      <w:r>
        <w:rPr>
          <w:spacing w:val="-5"/>
        </w:rPr>
        <w:t>in </w:t>
      </w:r>
      <w:r>
        <w:rPr/>
        <w:t>one matter where repeated failure to</w:t>
      </w:r>
      <w:r>
        <w:rPr>
          <w:spacing w:val="-41"/>
        </w:rPr>
        <w:t> </w:t>
      </w:r>
      <w:r>
        <w:rPr/>
        <w:t>disclose a</w:t>
      </w:r>
      <w:r>
        <w:rPr>
          <w:spacing w:val="-20"/>
        </w:rPr>
        <w:t> </w:t>
      </w:r>
      <w:r>
        <w:rPr/>
        <w:t>prior</w:t>
      </w:r>
      <w:r>
        <w:rPr>
          <w:spacing w:val="-22"/>
        </w:rPr>
        <w:t> </w:t>
      </w:r>
      <w:r>
        <w:rPr/>
        <w:t>relationship</w:t>
      </w:r>
      <w:r>
        <w:rPr>
          <w:spacing w:val="-17"/>
        </w:rPr>
        <w:t> </w:t>
      </w:r>
      <w:r>
        <w:rPr/>
        <w:t>with</w:t>
      </w:r>
      <w:r>
        <w:rPr>
          <w:spacing w:val="-17"/>
        </w:rPr>
        <w:t> </w:t>
      </w:r>
      <w:r>
        <w:rPr/>
        <w:t>insureds</w:t>
      </w:r>
      <w:r>
        <w:rPr>
          <w:spacing w:val="-18"/>
        </w:rPr>
        <w:t> </w:t>
      </w:r>
      <w:r>
        <w:rPr/>
        <w:t>contributed</w:t>
      </w:r>
      <w:r>
        <w:rPr>
          <w:spacing w:val="-18"/>
        </w:rPr>
        <w:t> </w:t>
      </w:r>
      <w:r>
        <w:rPr/>
        <w:t>to an impermissible “apprehension of bias.” The court opined that the standard by which to measure impartiality involved the existence</w:t>
      </w:r>
      <w:r>
        <w:rPr>
          <w:spacing w:val="-23"/>
        </w:rPr>
        <w:t> </w:t>
      </w:r>
      <w:r>
        <w:rPr/>
        <w:t>of this reasonable apprehension, and thus the question: “would a reasonable person, well- informed</w:t>
      </w:r>
      <w:r>
        <w:rPr>
          <w:spacing w:val="-28"/>
        </w:rPr>
        <w:t> </w:t>
      </w:r>
      <w:r>
        <w:rPr/>
        <w:t>and</w:t>
      </w:r>
      <w:r>
        <w:rPr>
          <w:spacing w:val="-26"/>
        </w:rPr>
        <w:t> </w:t>
      </w:r>
      <w:r>
        <w:rPr/>
        <w:t>viewing</w:t>
      </w:r>
      <w:r>
        <w:rPr>
          <w:spacing w:val="-26"/>
        </w:rPr>
        <w:t> </w:t>
      </w:r>
      <w:r>
        <w:rPr/>
        <w:t>the</w:t>
      </w:r>
      <w:r>
        <w:rPr>
          <w:spacing w:val="-24"/>
        </w:rPr>
        <w:t> </w:t>
      </w:r>
      <w:r>
        <w:rPr/>
        <w:t>circumstances</w:t>
      </w:r>
      <w:r>
        <w:rPr>
          <w:spacing w:val="-24"/>
        </w:rPr>
        <w:t> </w:t>
      </w:r>
      <w:r>
        <w:rPr/>
        <w:t>in</w:t>
      </w:r>
      <w:r>
        <w:rPr>
          <w:spacing w:val="-25"/>
        </w:rPr>
        <w:t> </w:t>
      </w:r>
      <w:r>
        <w:rPr/>
        <w:t>this </w:t>
      </w:r>
      <w:r>
        <w:rPr>
          <w:spacing w:val="7"/>
        </w:rPr>
        <w:t>case, </w:t>
      </w:r>
      <w:r>
        <w:rPr>
          <w:spacing w:val="6"/>
        </w:rPr>
        <w:t>objectively have </w:t>
      </w:r>
      <w:r>
        <w:rPr/>
        <w:t>a </w:t>
      </w:r>
      <w:r>
        <w:rPr>
          <w:spacing w:val="8"/>
        </w:rPr>
        <w:t>reasonable </w:t>
      </w:r>
      <w:r>
        <w:rPr/>
        <w:t>apprehension</w:t>
      </w:r>
      <w:r>
        <w:rPr>
          <w:spacing w:val="-16"/>
        </w:rPr>
        <w:t> </w:t>
      </w:r>
      <w:r>
        <w:rPr/>
        <w:t>that</w:t>
      </w:r>
      <w:r>
        <w:rPr>
          <w:spacing w:val="-15"/>
        </w:rPr>
        <w:t> </w:t>
      </w:r>
      <w:r>
        <w:rPr/>
        <w:t>[the</w:t>
      </w:r>
      <w:r>
        <w:rPr>
          <w:spacing w:val="-15"/>
        </w:rPr>
        <w:t> </w:t>
      </w:r>
      <w:r>
        <w:rPr/>
        <w:t>umpire]</w:t>
      </w:r>
      <w:r>
        <w:rPr>
          <w:spacing w:val="-15"/>
        </w:rPr>
        <w:t> </w:t>
      </w:r>
      <w:r>
        <w:rPr/>
        <w:t>may</w:t>
      </w:r>
      <w:r>
        <w:rPr>
          <w:spacing w:val="-16"/>
        </w:rPr>
        <w:t> </w:t>
      </w:r>
      <w:r>
        <w:rPr/>
        <w:t>not</w:t>
      </w:r>
      <w:r>
        <w:rPr>
          <w:spacing w:val="-17"/>
        </w:rPr>
        <w:t> </w:t>
      </w:r>
      <w:r>
        <w:rPr/>
        <w:t>act</w:t>
      </w:r>
      <w:r>
        <w:rPr>
          <w:spacing w:val="-17"/>
        </w:rPr>
        <w:t> </w:t>
      </w:r>
      <w:r>
        <w:rPr/>
        <w:t>in an impartial manner?” </w:t>
      </w:r>
      <w:r>
        <w:rPr>
          <w:spacing w:val="3"/>
        </w:rPr>
        <w:t>In </w:t>
      </w:r>
      <w:r>
        <w:rPr/>
        <w:t>that case, although the umpire was questioned about his prior knowledge and business dealings with the parties, he replied that none existed - concealing</w:t>
      </w:r>
      <w:r>
        <w:rPr>
          <w:spacing w:val="-32"/>
        </w:rPr>
        <w:t> </w:t>
      </w:r>
      <w:r>
        <w:rPr/>
        <w:t>the</w:t>
      </w:r>
      <w:r>
        <w:rPr>
          <w:spacing w:val="-33"/>
        </w:rPr>
        <w:t> </w:t>
      </w:r>
      <w:r>
        <w:rPr/>
        <w:t>fact</w:t>
      </w:r>
      <w:r>
        <w:rPr>
          <w:spacing w:val="-34"/>
        </w:rPr>
        <w:t> </w:t>
      </w:r>
      <w:r>
        <w:rPr/>
        <w:t>that</w:t>
      </w:r>
      <w:r>
        <w:rPr>
          <w:spacing w:val="-34"/>
        </w:rPr>
        <w:t> </w:t>
      </w:r>
      <w:r>
        <w:rPr/>
        <w:t>he</w:t>
      </w:r>
      <w:r>
        <w:rPr>
          <w:spacing w:val="-33"/>
        </w:rPr>
        <w:t> </w:t>
      </w:r>
      <w:r>
        <w:rPr/>
        <w:t>had</w:t>
      </w:r>
      <w:r>
        <w:rPr>
          <w:spacing w:val="-32"/>
        </w:rPr>
        <w:t> </w:t>
      </w:r>
      <w:r>
        <w:rPr/>
        <w:t>been</w:t>
      </w:r>
      <w:r>
        <w:rPr>
          <w:spacing w:val="-33"/>
        </w:rPr>
        <w:t> </w:t>
      </w:r>
      <w:r>
        <w:rPr/>
        <w:t>involved</w:t>
      </w:r>
    </w:p>
    <w:p>
      <w:pPr>
        <w:pStyle w:val="BodyText"/>
        <w:spacing w:before="1"/>
        <w:rPr>
          <w:sz w:val="23"/>
        </w:rPr>
      </w:pPr>
      <w:r>
        <w:rPr/>
        <w:pict>
          <v:shape style="position:absolute;margin-left:162pt;margin-top:16.582727pt;width:143.9pt;height:.1pt;mso-position-horizontal-relative:page;mso-position-vertical-relative:paragraph;z-index:-251653120;mso-wrap-distance-left:0;mso-wrap-distance-right:0" coordorigin="3240,332" coordsize="2878,0" path="m3240,332l6118,33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1435" w:val="left" w:leader="none"/>
        </w:tabs>
        <w:spacing w:line="240" w:lineRule="auto" w:before="71" w:after="0"/>
        <w:ind w:left="1434" w:right="0" w:hanging="275"/>
        <w:jc w:val="left"/>
        <w:rPr>
          <w:sz w:val="18"/>
        </w:rPr>
      </w:pPr>
      <w:r>
        <w:rPr>
          <w:sz w:val="18"/>
          <w:u w:val="single"/>
        </w:rPr>
        <w:t>Michael</w:t>
      </w:r>
      <w:r>
        <w:rPr>
          <w:sz w:val="18"/>
        </w:rPr>
        <w:t>, 88 Cal. App.4th</w:t>
      </w:r>
      <w:r>
        <w:rPr>
          <w:spacing w:val="2"/>
          <w:sz w:val="18"/>
        </w:rPr>
        <w:t> </w:t>
      </w:r>
      <w:r>
        <w:rPr>
          <w:sz w:val="18"/>
        </w:rPr>
        <w:t>925.</w:t>
      </w:r>
    </w:p>
    <w:p>
      <w:pPr>
        <w:spacing w:line="259" w:lineRule="exact" w:before="14"/>
        <w:ind w:left="1160" w:right="0" w:firstLine="0"/>
        <w:jc w:val="left"/>
        <w:rPr>
          <w:rFonts w:ascii="Times New Roman"/>
          <w:sz w:val="24"/>
        </w:rPr>
      </w:pPr>
      <w:r>
        <w:rPr>
          <w:rFonts w:ascii="Times New Roman"/>
          <w:position w:val="10"/>
          <w:sz w:val="14"/>
        </w:rPr>
        <w:t>823 </w:t>
      </w:r>
      <w:r>
        <w:rPr>
          <w:rFonts w:ascii="Times New Roman"/>
          <w:sz w:val="18"/>
          <w:u w:val="single"/>
        </w:rPr>
        <w:t>Id.</w:t>
      </w:r>
      <w:r>
        <w:rPr>
          <w:rFonts w:ascii="Times New Roman"/>
          <w:sz w:val="18"/>
        </w:rPr>
        <w:t> at 249</w:t>
      </w:r>
      <w:r>
        <w:rPr>
          <w:rFonts w:ascii="Times New Roman"/>
          <w:sz w:val="24"/>
        </w:rPr>
        <w:t>.</w:t>
      </w:r>
    </w:p>
    <w:p>
      <w:pPr>
        <w:spacing w:line="236" w:lineRule="exact" w:before="0"/>
        <w:ind w:left="1160" w:right="0" w:firstLine="0"/>
        <w:jc w:val="left"/>
        <w:rPr>
          <w:rFonts w:ascii="Times New Roman" w:hAnsi="Times New Roman"/>
          <w:sz w:val="18"/>
        </w:rPr>
      </w:pPr>
      <w:r>
        <w:rPr>
          <w:rFonts w:ascii="Times New Roman" w:hAnsi="Times New Roman"/>
          <w:position w:val="9"/>
          <w:sz w:val="14"/>
        </w:rPr>
        <w:t>824 </w:t>
      </w:r>
      <w:r>
        <w:rPr>
          <w:rFonts w:ascii="Times New Roman" w:hAnsi="Times New Roman"/>
          <w:sz w:val="18"/>
        </w:rPr>
        <w:t>44 Am. Jur.2d. </w:t>
      </w:r>
      <w:r>
        <w:rPr>
          <w:rFonts w:ascii="Times New Roman" w:hAnsi="Times New Roman"/>
          <w:sz w:val="18"/>
          <w:u w:val="single"/>
        </w:rPr>
        <w:t>Insurance</w:t>
      </w:r>
      <w:r>
        <w:rPr>
          <w:rFonts w:ascii="Times New Roman" w:hAnsi="Times New Roman"/>
          <w:sz w:val="18"/>
        </w:rPr>
        <w:t> §1689.</w:t>
      </w:r>
    </w:p>
    <w:p>
      <w:pPr>
        <w:spacing w:after="0" w:line="236" w:lineRule="exact"/>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394" w:id="8"/>
      <w:bookmarkEnd w:id="8"/>
      <w:r>
        <w:rPr/>
      </w:r>
      <w:r>
        <w:rPr/>
        <w:t>in</w:t>
      </w:r>
      <w:r>
        <w:rPr>
          <w:spacing w:val="-17"/>
        </w:rPr>
        <w:t> </w:t>
      </w:r>
      <w:r>
        <w:rPr/>
        <w:t>several</w:t>
      </w:r>
      <w:r>
        <w:rPr>
          <w:spacing w:val="-16"/>
        </w:rPr>
        <w:t> </w:t>
      </w:r>
      <w:r>
        <w:rPr/>
        <w:t>real</w:t>
      </w:r>
      <w:r>
        <w:rPr>
          <w:spacing w:val="-16"/>
        </w:rPr>
        <w:t> </w:t>
      </w:r>
      <w:r>
        <w:rPr/>
        <w:t>estate</w:t>
      </w:r>
      <w:r>
        <w:rPr>
          <w:spacing w:val="-17"/>
        </w:rPr>
        <w:t> </w:t>
      </w:r>
      <w:r>
        <w:rPr/>
        <w:t>transactions</w:t>
      </w:r>
      <w:r>
        <w:rPr>
          <w:spacing w:val="-16"/>
        </w:rPr>
        <w:t> </w:t>
      </w:r>
      <w:r>
        <w:rPr/>
        <w:t>involving</w:t>
      </w:r>
      <w:r>
        <w:rPr>
          <w:spacing w:val="-18"/>
        </w:rPr>
        <w:t> </w:t>
      </w:r>
      <w:r>
        <w:rPr/>
        <w:t>the insured. Section 204 of the Insurance </w:t>
      </w:r>
      <w:r>
        <w:rPr>
          <w:spacing w:val="-3"/>
        </w:rPr>
        <w:t>Act </w:t>
      </w:r>
      <w:r>
        <w:rPr/>
        <w:t>provides</w:t>
      </w:r>
      <w:r>
        <w:rPr>
          <w:spacing w:val="-30"/>
        </w:rPr>
        <w:t> </w:t>
      </w:r>
      <w:r>
        <w:rPr/>
        <w:t>in</w:t>
      </w:r>
      <w:r>
        <w:rPr>
          <w:spacing w:val="-29"/>
        </w:rPr>
        <w:t> </w:t>
      </w:r>
      <w:r>
        <w:rPr/>
        <w:t>part</w:t>
      </w:r>
      <w:r>
        <w:rPr>
          <w:spacing w:val="-30"/>
        </w:rPr>
        <w:t> </w:t>
      </w:r>
      <w:r>
        <w:rPr/>
        <w:t>that</w:t>
      </w:r>
      <w:r>
        <w:rPr>
          <w:spacing w:val="-29"/>
        </w:rPr>
        <w:t> </w:t>
      </w:r>
      <w:r>
        <w:rPr/>
        <w:t>each</w:t>
      </w:r>
      <w:r>
        <w:rPr>
          <w:spacing w:val="-31"/>
        </w:rPr>
        <w:t> </w:t>
      </w:r>
      <w:r>
        <w:rPr/>
        <w:t>party</w:t>
      </w:r>
      <w:r>
        <w:rPr>
          <w:spacing w:val="-32"/>
        </w:rPr>
        <w:t> </w:t>
      </w:r>
      <w:r>
        <w:rPr/>
        <w:t>to</w:t>
      </w:r>
      <w:r>
        <w:rPr>
          <w:spacing w:val="-31"/>
        </w:rPr>
        <w:t> </w:t>
      </w:r>
      <w:r>
        <w:rPr/>
        <w:t>an</w:t>
      </w:r>
      <w:r>
        <w:rPr>
          <w:spacing w:val="-29"/>
        </w:rPr>
        <w:t> </w:t>
      </w:r>
      <w:r>
        <w:rPr/>
        <w:t>appraisal equally</w:t>
      </w:r>
      <w:r>
        <w:rPr>
          <w:spacing w:val="-15"/>
        </w:rPr>
        <w:t> </w:t>
      </w:r>
      <w:r>
        <w:rPr/>
        <w:t>bear</w:t>
      </w:r>
      <w:r>
        <w:rPr>
          <w:spacing w:val="-16"/>
        </w:rPr>
        <w:t> </w:t>
      </w:r>
      <w:r>
        <w:rPr/>
        <w:t>the</w:t>
      </w:r>
      <w:r>
        <w:rPr>
          <w:spacing w:val="-19"/>
        </w:rPr>
        <w:t> </w:t>
      </w:r>
      <w:r>
        <w:rPr/>
        <w:t>cost</w:t>
      </w:r>
      <w:r>
        <w:rPr>
          <w:spacing w:val="-18"/>
        </w:rPr>
        <w:t> </w:t>
      </w:r>
      <w:r>
        <w:rPr/>
        <w:t>of</w:t>
      </w:r>
      <w:r>
        <w:rPr>
          <w:spacing w:val="-18"/>
        </w:rPr>
        <w:t> </w:t>
      </w:r>
      <w:r>
        <w:rPr/>
        <w:t>appraisal</w:t>
      </w:r>
      <w:r>
        <w:rPr>
          <w:spacing w:val="-17"/>
        </w:rPr>
        <w:t> </w:t>
      </w:r>
      <w:r>
        <w:rPr/>
        <w:t>and</w:t>
      </w:r>
      <w:r>
        <w:rPr>
          <w:spacing w:val="-15"/>
        </w:rPr>
        <w:t> </w:t>
      </w:r>
      <w:r>
        <w:rPr/>
        <w:t>umpire, a </w:t>
      </w:r>
      <w:r>
        <w:rPr>
          <w:spacing w:val="21"/>
        </w:rPr>
        <w:t>requirement </w:t>
      </w:r>
      <w:r>
        <w:rPr>
          <w:spacing w:val="15"/>
        </w:rPr>
        <w:t>the </w:t>
      </w:r>
      <w:r>
        <w:rPr>
          <w:spacing w:val="20"/>
        </w:rPr>
        <w:t>court deemed </w:t>
      </w:r>
      <w:r>
        <w:rPr/>
        <w:t>“fundamental to impartiality;” moreover, the court found it inconceivable that it would not require an umpire </w:t>
      </w:r>
      <w:r>
        <w:rPr>
          <w:spacing w:val="2"/>
        </w:rPr>
        <w:t>it </w:t>
      </w:r>
      <w:r>
        <w:rPr/>
        <w:t>appointed in absence of an</w:t>
      </w:r>
      <w:r>
        <w:rPr>
          <w:spacing w:val="-16"/>
        </w:rPr>
        <w:t> </w:t>
      </w:r>
      <w:r>
        <w:rPr/>
        <w:t>agreement</w:t>
      </w:r>
      <w:r>
        <w:rPr>
          <w:spacing w:val="-18"/>
        </w:rPr>
        <w:t> </w:t>
      </w:r>
      <w:r>
        <w:rPr/>
        <w:t>by</w:t>
      </w:r>
      <w:r>
        <w:rPr>
          <w:spacing w:val="-15"/>
        </w:rPr>
        <w:t> </w:t>
      </w:r>
      <w:r>
        <w:rPr/>
        <w:t>the</w:t>
      </w:r>
      <w:r>
        <w:rPr>
          <w:spacing w:val="-15"/>
        </w:rPr>
        <w:t> </w:t>
      </w:r>
      <w:r>
        <w:rPr/>
        <w:t>parties</w:t>
      </w:r>
      <w:r>
        <w:rPr>
          <w:spacing w:val="-14"/>
        </w:rPr>
        <w:t> </w:t>
      </w:r>
      <w:r>
        <w:rPr/>
        <w:t>to</w:t>
      </w:r>
      <w:r>
        <w:rPr>
          <w:spacing w:val="-14"/>
        </w:rPr>
        <w:t> </w:t>
      </w:r>
      <w:r>
        <w:rPr/>
        <w:t>be</w:t>
      </w:r>
      <w:r>
        <w:rPr>
          <w:spacing w:val="-14"/>
        </w:rPr>
        <w:t> </w:t>
      </w:r>
      <w:r>
        <w:rPr>
          <w:spacing w:val="-4"/>
        </w:rPr>
        <w:t>impartial.</w:t>
      </w:r>
      <w:r>
        <w:rPr>
          <w:spacing w:val="-4"/>
          <w:vertAlign w:val="superscript"/>
        </w:rPr>
        <w:t>825</w:t>
      </w:r>
    </w:p>
    <w:p>
      <w:pPr>
        <w:pStyle w:val="BodyText"/>
        <w:spacing w:before="11"/>
        <w:rPr>
          <w:sz w:val="25"/>
        </w:rPr>
      </w:pPr>
    </w:p>
    <w:p>
      <w:pPr>
        <w:pStyle w:val="BodyText"/>
        <w:spacing w:line="242" w:lineRule="auto"/>
        <w:ind w:left="1520" w:right="1518" w:firstLine="720"/>
        <w:jc w:val="both"/>
      </w:pPr>
      <w:r>
        <w:rPr>
          <w:spacing w:val="2"/>
        </w:rPr>
        <w:t>An</w:t>
      </w:r>
      <w:r>
        <w:rPr>
          <w:spacing w:val="-11"/>
        </w:rPr>
        <w:t> </w:t>
      </w:r>
      <w:r>
        <w:rPr/>
        <w:t>Alabama</w:t>
      </w:r>
      <w:r>
        <w:rPr>
          <w:spacing w:val="-8"/>
        </w:rPr>
        <w:t> </w:t>
      </w:r>
      <w:r>
        <w:rPr/>
        <w:t>court</w:t>
      </w:r>
      <w:r>
        <w:rPr>
          <w:spacing w:val="-13"/>
        </w:rPr>
        <w:t> </w:t>
      </w:r>
      <w:r>
        <w:rPr/>
        <w:t>delineated</w:t>
      </w:r>
      <w:r>
        <w:rPr>
          <w:spacing w:val="-12"/>
        </w:rPr>
        <w:t> </w:t>
      </w:r>
      <w:r>
        <w:rPr/>
        <w:t>its</w:t>
      </w:r>
      <w:r>
        <w:rPr>
          <w:spacing w:val="-12"/>
        </w:rPr>
        <w:t> </w:t>
      </w:r>
      <w:r>
        <w:rPr/>
        <w:t>umpire selection</w:t>
      </w:r>
      <w:r>
        <w:rPr>
          <w:spacing w:val="-32"/>
        </w:rPr>
        <w:t> </w:t>
      </w:r>
      <w:r>
        <w:rPr/>
        <w:t>criteria</w:t>
      </w:r>
      <w:r>
        <w:rPr>
          <w:spacing w:val="-32"/>
        </w:rPr>
        <w:t> </w:t>
      </w:r>
      <w:r>
        <w:rPr/>
        <w:t>when</w:t>
      </w:r>
      <w:r>
        <w:rPr>
          <w:spacing w:val="-33"/>
        </w:rPr>
        <w:t> </w:t>
      </w:r>
      <w:r>
        <w:rPr/>
        <w:t>it</w:t>
      </w:r>
      <w:r>
        <w:rPr>
          <w:spacing w:val="-34"/>
        </w:rPr>
        <w:t> </w:t>
      </w:r>
      <w:r>
        <w:rPr/>
        <w:t>addressed</w:t>
      </w:r>
      <w:r>
        <w:rPr>
          <w:spacing w:val="-32"/>
        </w:rPr>
        <w:t> </w:t>
      </w:r>
      <w:r>
        <w:rPr/>
        <w:t>the</w:t>
      </w:r>
      <w:r>
        <w:rPr>
          <w:spacing w:val="-32"/>
        </w:rPr>
        <w:t> </w:t>
      </w:r>
      <w:r>
        <w:rPr/>
        <w:t>parties’ umpire proposals where the pertinent policy did</w:t>
      </w:r>
      <w:r>
        <w:rPr>
          <w:spacing w:val="-13"/>
        </w:rPr>
        <w:t> </w:t>
      </w:r>
      <w:r>
        <w:rPr/>
        <w:t>not</w:t>
      </w:r>
      <w:r>
        <w:rPr>
          <w:spacing w:val="-14"/>
        </w:rPr>
        <w:t> </w:t>
      </w:r>
      <w:r>
        <w:rPr/>
        <w:t>outline</w:t>
      </w:r>
      <w:r>
        <w:rPr>
          <w:spacing w:val="-11"/>
        </w:rPr>
        <w:t> </w:t>
      </w:r>
      <w:r>
        <w:rPr/>
        <w:t>any</w:t>
      </w:r>
      <w:r>
        <w:rPr>
          <w:spacing w:val="-11"/>
        </w:rPr>
        <w:t> </w:t>
      </w:r>
      <w:r>
        <w:rPr/>
        <w:t>criteria</w:t>
      </w:r>
      <w:r>
        <w:rPr>
          <w:spacing w:val="-11"/>
        </w:rPr>
        <w:t> </w:t>
      </w:r>
      <w:r>
        <w:rPr/>
        <w:t>defining</w:t>
      </w:r>
      <w:r>
        <w:rPr>
          <w:spacing w:val="-11"/>
        </w:rPr>
        <w:t> </w:t>
      </w:r>
      <w:r>
        <w:rPr/>
        <w:t>the</w:t>
      </w:r>
      <w:r>
        <w:rPr>
          <w:spacing w:val="-14"/>
        </w:rPr>
        <w:t> </w:t>
      </w:r>
      <w:r>
        <w:rPr/>
        <w:t>umpire selection process. The court was petitioned to appoint a neutral individual to fill this role. </w:t>
      </w:r>
      <w:r>
        <w:rPr>
          <w:spacing w:val="3"/>
        </w:rPr>
        <w:t>In </w:t>
      </w:r>
      <w:r>
        <w:rPr/>
        <w:t>undertaking this responsibility, the court relied upon general insurance principles in finding that “an umpire selected to arbitrate a </w:t>
      </w:r>
      <w:r>
        <w:rPr>
          <w:spacing w:val="-3"/>
        </w:rPr>
        <w:t>loss </w:t>
      </w:r>
      <w:r>
        <w:rPr/>
        <w:t>should be disinterested, unprejudiced, honest and competent,” and “impartial..and should not live an unreasonable distance from the scene of the</w:t>
      </w:r>
      <w:r>
        <w:rPr>
          <w:spacing w:val="-4"/>
        </w:rPr>
        <w:t> </w:t>
      </w:r>
      <w:r>
        <w:rPr/>
        <w:t>loss.”</w:t>
      </w:r>
      <w:r>
        <w:rPr>
          <w:vertAlign w:val="superscript"/>
        </w:rPr>
        <w:t>826</w:t>
      </w:r>
    </w:p>
    <w:p>
      <w:pPr>
        <w:pStyle w:val="BodyText"/>
        <w:spacing w:before="10"/>
        <w:rPr>
          <w:sz w:val="25"/>
        </w:rPr>
      </w:pPr>
    </w:p>
    <w:p>
      <w:pPr>
        <w:pStyle w:val="BodyText"/>
        <w:spacing w:line="242" w:lineRule="auto" w:before="1"/>
        <w:ind w:left="1520" w:right="1518" w:firstLine="720"/>
        <w:jc w:val="both"/>
      </w:pPr>
      <w:r>
        <w:rPr/>
        <w:t>One possible remedy if an </w:t>
      </w:r>
      <w:r>
        <w:rPr>
          <w:spacing w:val="-3"/>
        </w:rPr>
        <w:t>umpire </w:t>
      </w:r>
      <w:r>
        <w:rPr/>
        <w:t>appears to violate the prohibitions against</w:t>
      </w:r>
      <w:r>
        <w:rPr>
          <w:spacing w:val="-50"/>
        </w:rPr>
        <w:t> </w:t>
      </w:r>
      <w:r>
        <w:rPr/>
        <w:t>the umpire being interested is to move for a hearing to set the award aside on the basis</w:t>
      </w:r>
      <w:r>
        <w:rPr>
          <w:spacing w:val="-11"/>
        </w:rPr>
        <w:t> </w:t>
      </w:r>
      <w:r>
        <w:rPr/>
        <w:t>of</w:t>
      </w:r>
    </w:p>
    <w:p>
      <w:pPr>
        <w:pStyle w:val="BodyText"/>
        <w:spacing w:before="3"/>
        <w:rPr>
          <w:sz w:val="22"/>
        </w:rPr>
      </w:pPr>
      <w:r>
        <w:rPr/>
        <w:pict>
          <v:shape style="position:absolute;margin-left:162pt;margin-top:16.060078pt;width:143.9pt;height:.1pt;mso-position-horizontal-relative:page;mso-position-vertical-relative:paragraph;z-index:-251652096;mso-wrap-distance-left:0;mso-wrap-distance-right:0" coordorigin="3240,321" coordsize="2878,0" path="m3240,321l6118,321e" filled="false" stroked="true" strokeweight=".84pt" strokecolor="#000000">
            <v:path arrowok="t"/>
            <v:stroke dashstyle="solid"/>
            <w10:wrap type="topAndBottom"/>
          </v:shape>
        </w:pict>
      </w:r>
    </w:p>
    <w:p>
      <w:pPr>
        <w:pStyle w:val="BodyText"/>
        <w:spacing w:before="4"/>
        <w:rPr>
          <w:sz w:val="10"/>
        </w:rPr>
      </w:pPr>
    </w:p>
    <w:p>
      <w:pPr>
        <w:spacing w:before="80"/>
        <w:ind w:left="1160" w:right="0" w:firstLine="0"/>
        <w:jc w:val="left"/>
        <w:rPr>
          <w:rFonts w:ascii="Times New Roman"/>
          <w:sz w:val="18"/>
        </w:rPr>
      </w:pPr>
      <w:r>
        <w:rPr>
          <w:rFonts w:ascii="Times New Roman"/>
          <w:position w:val="9"/>
          <w:sz w:val="14"/>
        </w:rPr>
        <w:t>825 </w:t>
      </w:r>
      <w:r>
        <w:rPr>
          <w:rFonts w:ascii="Times New Roman"/>
          <w:sz w:val="18"/>
          <w:u w:val="single"/>
        </w:rPr>
        <w:t>McPeak v. Herald Ins. Co.</w:t>
      </w:r>
      <w:r>
        <w:rPr>
          <w:rFonts w:ascii="Times New Roman"/>
          <w:sz w:val="18"/>
        </w:rPr>
        <w:t>, (1991) 115 A.R.83, I.L.R. 1-2774,1991 CarswellAlta 400;</w:t>
      </w:r>
    </w:p>
    <w:p>
      <w:pPr>
        <w:spacing w:line="207" w:lineRule="exact" w:before="20"/>
        <w:ind w:left="1160" w:right="0" w:firstLine="0"/>
        <w:jc w:val="left"/>
        <w:rPr>
          <w:rFonts w:ascii="Times New Roman"/>
          <w:sz w:val="18"/>
        </w:rPr>
      </w:pPr>
      <w:r>
        <w:rPr>
          <w:rFonts w:ascii="Times New Roman"/>
          <w:i/>
          <w:sz w:val="18"/>
        </w:rPr>
        <w:t>Insurance Act</w:t>
      </w:r>
      <w:r>
        <w:rPr>
          <w:rFonts w:ascii="Times New Roman"/>
          <w:sz w:val="18"/>
        </w:rPr>
        <w:t>, R.S.A. 1980, c. I-5, s. 204 s. 235, statutory condition 11.</w:t>
      </w:r>
    </w:p>
    <w:p>
      <w:pPr>
        <w:pStyle w:val="ListParagraph"/>
        <w:numPr>
          <w:ilvl w:val="0"/>
          <w:numId w:val="4"/>
        </w:numPr>
        <w:tabs>
          <w:tab w:pos="1457" w:val="left" w:leader="none"/>
        </w:tabs>
        <w:spacing w:line="261" w:lineRule="auto" w:before="0" w:after="0"/>
        <w:ind w:left="1160" w:right="1162" w:firstLine="0"/>
        <w:jc w:val="left"/>
        <w:rPr>
          <w:sz w:val="14"/>
        </w:rPr>
      </w:pPr>
      <w:r>
        <w:rPr>
          <w:sz w:val="18"/>
          <w:u w:val="single"/>
        </w:rPr>
        <w:t>Pennsylvania Lumbermens Mut. Ins. Co. v. Buettner Bros. Lumber Co.</w:t>
      </w:r>
      <w:r>
        <w:rPr>
          <w:sz w:val="18"/>
        </w:rPr>
        <w:t>, 2012 WL 1748028 (N.D. Ala.</w:t>
      </w:r>
      <w:r>
        <w:rPr>
          <w:spacing w:val="1"/>
          <w:sz w:val="18"/>
        </w:rPr>
        <w:t> </w:t>
      </w:r>
      <w:r>
        <w:rPr>
          <w:sz w:val="18"/>
        </w:rPr>
        <w:t>2012).</w:t>
      </w:r>
    </w:p>
    <w:p>
      <w:pPr>
        <w:spacing w:after="0" w:line="261" w:lineRule="auto"/>
        <w:jc w:val="left"/>
        <w:rPr>
          <w:sz w:val="1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95" w:id="9"/>
      <w:bookmarkEnd w:id="9"/>
      <w:r>
        <w:rPr/>
      </w:r>
      <w:r>
        <w:rPr/>
        <w:t>fraud.</w:t>
      </w:r>
      <w:r>
        <w:rPr>
          <w:vertAlign w:val="superscript"/>
        </w:rPr>
        <w:t>827</w:t>
      </w:r>
    </w:p>
    <w:p>
      <w:pPr>
        <w:pStyle w:val="BodyText"/>
        <w:spacing w:before="6"/>
      </w:pPr>
    </w:p>
    <w:p>
      <w:pPr>
        <w:pStyle w:val="BodyText"/>
        <w:spacing w:line="242" w:lineRule="auto"/>
        <w:ind w:left="1520" w:right="1519" w:firstLine="720"/>
        <w:jc w:val="both"/>
      </w:pPr>
      <w:r>
        <w:rPr/>
        <w:t>In</w:t>
      </w:r>
      <w:r>
        <w:rPr>
          <w:spacing w:val="-33"/>
        </w:rPr>
        <w:t> </w:t>
      </w:r>
      <w:r>
        <w:rPr>
          <w:spacing w:val="-3"/>
        </w:rPr>
        <w:t>small</w:t>
      </w:r>
      <w:r>
        <w:rPr>
          <w:spacing w:val="-33"/>
        </w:rPr>
        <w:t> </w:t>
      </w:r>
      <w:r>
        <w:rPr/>
        <w:t>communities,</w:t>
      </w:r>
      <w:r>
        <w:rPr>
          <w:spacing w:val="-33"/>
        </w:rPr>
        <w:t> </w:t>
      </w:r>
      <w:r>
        <w:rPr/>
        <w:t>it</w:t>
      </w:r>
      <w:r>
        <w:rPr>
          <w:spacing w:val="-34"/>
        </w:rPr>
        <w:t> </w:t>
      </w:r>
      <w:r>
        <w:rPr/>
        <w:t>may</w:t>
      </w:r>
      <w:r>
        <w:rPr>
          <w:spacing w:val="-33"/>
        </w:rPr>
        <w:t> </w:t>
      </w:r>
      <w:r>
        <w:rPr/>
        <w:t>be</w:t>
      </w:r>
      <w:r>
        <w:rPr>
          <w:spacing w:val="-31"/>
        </w:rPr>
        <w:t> </w:t>
      </w:r>
      <w:r>
        <w:rPr>
          <w:spacing w:val="-3"/>
        </w:rPr>
        <w:t>necessary </w:t>
      </w:r>
      <w:r>
        <w:rPr/>
        <w:t>for the parties to go outside the local community to </w:t>
      </w:r>
      <w:r>
        <w:rPr>
          <w:spacing w:val="2"/>
        </w:rPr>
        <w:t>find </w:t>
      </w:r>
      <w:r>
        <w:rPr/>
        <w:t>a qualified, impartial and unbiased umpire. However, generally it is preferable for an appraiser to nominate an umpire who lives in the vicinity where the loss </w:t>
      </w:r>
      <w:r>
        <w:rPr>
          <w:spacing w:val="6"/>
        </w:rPr>
        <w:t>occurred.</w:t>
      </w:r>
      <w:r>
        <w:rPr>
          <w:spacing w:val="83"/>
        </w:rPr>
        <w:t> </w:t>
      </w:r>
      <w:r>
        <w:rPr>
          <w:spacing w:val="5"/>
        </w:rPr>
        <w:t>Without </w:t>
      </w:r>
      <w:r>
        <w:rPr>
          <w:spacing w:val="7"/>
        </w:rPr>
        <w:t>good cause, </w:t>
      </w:r>
      <w:r>
        <w:rPr>
          <w:spacing w:val="6"/>
        </w:rPr>
        <w:t>it </w:t>
      </w:r>
      <w:r>
        <w:rPr>
          <w:spacing w:val="5"/>
        </w:rPr>
        <w:t>is </w:t>
      </w:r>
      <w:r>
        <w:rPr/>
        <w:t>inappropriate to refuse to agree to anyone residing</w:t>
      </w:r>
      <w:r>
        <w:rPr>
          <w:spacing w:val="-17"/>
        </w:rPr>
        <w:t> </w:t>
      </w:r>
      <w:r>
        <w:rPr/>
        <w:t>in</w:t>
      </w:r>
      <w:r>
        <w:rPr>
          <w:spacing w:val="-18"/>
        </w:rPr>
        <w:t> </w:t>
      </w:r>
      <w:r>
        <w:rPr/>
        <w:t>the</w:t>
      </w:r>
      <w:r>
        <w:rPr>
          <w:spacing w:val="-20"/>
        </w:rPr>
        <w:t> </w:t>
      </w:r>
      <w:r>
        <w:rPr/>
        <w:t>locality,</w:t>
      </w:r>
      <w:r>
        <w:rPr>
          <w:spacing w:val="-22"/>
        </w:rPr>
        <w:t> </w:t>
      </w:r>
      <w:r>
        <w:rPr/>
        <w:t>who</w:t>
      </w:r>
      <w:r>
        <w:rPr>
          <w:spacing w:val="-16"/>
        </w:rPr>
        <w:t> </w:t>
      </w:r>
      <w:r>
        <w:rPr/>
        <w:t>might</w:t>
      </w:r>
      <w:r>
        <w:rPr>
          <w:spacing w:val="-18"/>
        </w:rPr>
        <w:t> </w:t>
      </w:r>
      <w:r>
        <w:rPr/>
        <w:t>otherwise</w:t>
      </w:r>
      <w:r>
        <w:rPr>
          <w:spacing w:val="-18"/>
        </w:rPr>
        <w:t> </w:t>
      </w:r>
      <w:r>
        <w:rPr/>
        <w:t>be qualified.</w:t>
      </w:r>
      <w:r>
        <w:rPr>
          <w:vertAlign w:val="superscript"/>
        </w:rPr>
        <w:t>828</w:t>
      </w:r>
    </w:p>
    <w:p>
      <w:pPr>
        <w:pStyle w:val="BodyText"/>
        <w:spacing w:before="11"/>
        <w:rPr>
          <w:sz w:val="25"/>
        </w:rPr>
      </w:pPr>
    </w:p>
    <w:p>
      <w:pPr>
        <w:pStyle w:val="BodyText"/>
        <w:spacing w:line="242" w:lineRule="auto"/>
        <w:ind w:left="1520" w:right="1518" w:firstLine="720"/>
        <w:jc w:val="both"/>
      </w:pPr>
      <w:r>
        <w:rPr/>
        <w:t>The State of Colorado Division of Insurance has issued a Bulletin defining the standards for impartiality of Umpires.</w:t>
      </w:r>
      <w:r>
        <w:rPr>
          <w:vertAlign w:val="superscript"/>
        </w:rPr>
        <w:t>829</w:t>
      </w:r>
    </w:p>
    <w:p>
      <w:pPr>
        <w:pStyle w:val="BodyText"/>
        <w:rPr>
          <w:sz w:val="25"/>
        </w:rPr>
      </w:pPr>
    </w:p>
    <w:p>
      <w:pPr>
        <w:pStyle w:val="ListParagraph"/>
        <w:numPr>
          <w:ilvl w:val="0"/>
          <w:numId w:val="1"/>
        </w:numPr>
        <w:tabs>
          <w:tab w:pos="1878" w:val="left" w:leader="none"/>
        </w:tabs>
        <w:spacing w:line="640" w:lineRule="atLeast" w:before="0" w:after="0"/>
        <w:ind w:left="2240" w:right="1518" w:hanging="720"/>
        <w:jc w:val="both"/>
        <w:rPr>
          <w:rFonts w:ascii="Century Gothic" w:hAnsi="Century Gothic"/>
          <w:sz w:val="26"/>
        </w:rPr>
      </w:pPr>
      <w:r>
        <w:rPr>
          <w:rFonts w:ascii="Century Gothic" w:hAnsi="Century Gothic"/>
          <w:sz w:val="26"/>
        </w:rPr>
        <w:t>The Umpire’s Duties and Responsibilities The appraisal process may proceed</w:t>
      </w:r>
      <w:r>
        <w:rPr>
          <w:rFonts w:ascii="Century Gothic" w:hAnsi="Century Gothic"/>
          <w:spacing w:val="1"/>
          <w:sz w:val="26"/>
        </w:rPr>
        <w:t> </w:t>
      </w:r>
      <w:r>
        <w:rPr>
          <w:rFonts w:ascii="Century Gothic" w:hAnsi="Century Gothic"/>
          <w:spacing w:val="-5"/>
          <w:sz w:val="26"/>
        </w:rPr>
        <w:t>in</w:t>
      </w:r>
    </w:p>
    <w:p>
      <w:pPr>
        <w:pStyle w:val="BodyText"/>
        <w:spacing w:line="242" w:lineRule="auto" w:before="6"/>
        <w:ind w:left="1520" w:right="1519"/>
        <w:jc w:val="both"/>
      </w:pPr>
      <w:r>
        <w:rPr/>
        <w:t>the manner thought best by the umpire or upon</w:t>
      </w:r>
      <w:r>
        <w:rPr>
          <w:spacing w:val="-30"/>
        </w:rPr>
        <w:t> </w:t>
      </w:r>
      <w:r>
        <w:rPr/>
        <w:t>stipulation</w:t>
      </w:r>
      <w:r>
        <w:rPr>
          <w:spacing w:val="-31"/>
        </w:rPr>
        <w:t> </w:t>
      </w:r>
      <w:r>
        <w:rPr/>
        <w:t>of</w:t>
      </w:r>
      <w:r>
        <w:rPr>
          <w:spacing w:val="-31"/>
        </w:rPr>
        <w:t> </w:t>
      </w:r>
      <w:r>
        <w:rPr/>
        <w:t>the</w:t>
      </w:r>
      <w:r>
        <w:rPr>
          <w:spacing w:val="-31"/>
        </w:rPr>
        <w:t> </w:t>
      </w:r>
      <w:r>
        <w:rPr/>
        <w:t>parties.</w:t>
      </w:r>
      <w:r>
        <w:rPr>
          <w:spacing w:val="-36"/>
        </w:rPr>
        <w:t> </w:t>
      </w:r>
      <w:r>
        <w:rPr/>
        <w:t>However,</w:t>
      </w:r>
      <w:r>
        <w:rPr>
          <w:spacing w:val="-34"/>
        </w:rPr>
        <w:t> </w:t>
      </w:r>
      <w:r>
        <w:rPr/>
        <w:t>where the</w:t>
      </w:r>
      <w:r>
        <w:rPr>
          <w:spacing w:val="37"/>
        </w:rPr>
        <w:t> </w:t>
      </w:r>
      <w:r>
        <w:rPr/>
        <w:t>policy</w:t>
      </w:r>
      <w:r>
        <w:rPr>
          <w:spacing w:val="36"/>
        </w:rPr>
        <w:t> </w:t>
      </w:r>
      <w:r>
        <w:rPr/>
        <w:t>specifically</w:t>
      </w:r>
      <w:r>
        <w:rPr>
          <w:spacing w:val="37"/>
        </w:rPr>
        <w:t> </w:t>
      </w:r>
      <w:r>
        <w:rPr/>
        <w:t>provides</w:t>
      </w:r>
      <w:r>
        <w:rPr>
          <w:spacing w:val="38"/>
        </w:rPr>
        <w:t> </w:t>
      </w:r>
      <w:r>
        <w:rPr/>
        <w:t>for</w:t>
      </w:r>
      <w:r>
        <w:rPr>
          <w:spacing w:val="38"/>
        </w:rPr>
        <w:t> </w:t>
      </w:r>
      <w:r>
        <w:rPr/>
        <w:t>a</w:t>
      </w:r>
      <w:r>
        <w:rPr>
          <w:spacing w:val="39"/>
        </w:rPr>
        <w:t> </w:t>
      </w:r>
      <w:r>
        <w:rPr/>
        <w:t>definite</w:t>
      </w:r>
    </w:p>
    <w:p>
      <w:pPr>
        <w:pStyle w:val="BodyText"/>
        <w:rPr>
          <w:sz w:val="20"/>
        </w:rPr>
      </w:pPr>
    </w:p>
    <w:p>
      <w:pPr>
        <w:pStyle w:val="BodyText"/>
        <w:spacing w:before="5"/>
        <w:rPr>
          <w:sz w:val="16"/>
        </w:rPr>
      </w:pPr>
      <w:r>
        <w:rPr/>
        <w:pict>
          <v:shape style="position:absolute;margin-left:162pt;margin-top:12.479805pt;width:143.9pt;height:.1pt;mso-position-horizontal-relative:page;mso-position-vertical-relative:paragraph;z-index:-251651072;mso-wrap-distance-left:0;mso-wrap-distance-right:0" coordorigin="3240,250" coordsize="2878,0" path="m3240,250l6118,25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4"/>
        </w:numPr>
        <w:tabs>
          <w:tab w:pos="1456" w:val="left" w:leader="none"/>
        </w:tabs>
        <w:spacing w:line="244" w:lineRule="auto" w:before="71" w:after="0"/>
        <w:ind w:left="1160" w:right="1324" w:firstLine="0"/>
        <w:jc w:val="left"/>
        <w:rPr>
          <w:sz w:val="14"/>
        </w:rPr>
      </w:pPr>
      <w:r>
        <w:rPr>
          <w:sz w:val="18"/>
          <w:u w:val="single"/>
        </w:rPr>
        <w:t>In re 176 &amp; 178 East Main Street, Amsterdam, New York</w:t>
      </w:r>
      <w:r>
        <w:rPr>
          <w:sz w:val="24"/>
        </w:rPr>
        <w:t>, </w:t>
      </w:r>
      <w:r>
        <w:rPr>
          <w:sz w:val="18"/>
        </w:rPr>
        <w:t>263 N.Y. 197, 188 N.E. 647 (1934); </w:t>
      </w:r>
      <w:r>
        <w:rPr>
          <w:sz w:val="18"/>
          <w:u w:val="single"/>
        </w:rPr>
        <w:t>Bradshaw v. Agricultural Ins. Co.</w:t>
      </w:r>
      <w:r>
        <w:rPr>
          <w:sz w:val="18"/>
        </w:rPr>
        <w:t>, 137 N.Y. 137, 32 N.E. 1055</w:t>
      </w:r>
      <w:r>
        <w:rPr>
          <w:spacing w:val="10"/>
          <w:sz w:val="18"/>
        </w:rPr>
        <w:t> </w:t>
      </w:r>
      <w:r>
        <w:rPr>
          <w:sz w:val="18"/>
        </w:rPr>
        <w:t>(1893).</w:t>
      </w:r>
    </w:p>
    <w:p>
      <w:pPr>
        <w:pStyle w:val="ListParagraph"/>
        <w:numPr>
          <w:ilvl w:val="0"/>
          <w:numId w:val="4"/>
        </w:numPr>
        <w:tabs>
          <w:tab w:pos="1428" w:val="left" w:leader="none"/>
        </w:tabs>
        <w:spacing w:line="265" w:lineRule="exact" w:before="0" w:after="0"/>
        <w:ind w:left="1427" w:right="0" w:hanging="268"/>
        <w:jc w:val="left"/>
        <w:rPr>
          <w:sz w:val="14"/>
        </w:rPr>
      </w:pPr>
      <w:r>
        <w:rPr>
          <w:sz w:val="18"/>
          <w:u w:val="single"/>
        </w:rPr>
        <w:t>Hartford</w:t>
      </w:r>
      <w:r>
        <w:rPr>
          <w:spacing w:val="-9"/>
          <w:sz w:val="18"/>
          <w:u w:val="single"/>
        </w:rPr>
        <w:t> </w:t>
      </w:r>
      <w:r>
        <w:rPr>
          <w:sz w:val="18"/>
          <w:u w:val="single"/>
        </w:rPr>
        <w:t>Fire</w:t>
      </w:r>
      <w:r>
        <w:rPr>
          <w:spacing w:val="-9"/>
          <w:sz w:val="18"/>
          <w:u w:val="single"/>
        </w:rPr>
        <w:t> </w:t>
      </w:r>
      <w:r>
        <w:rPr>
          <w:sz w:val="18"/>
          <w:u w:val="single"/>
        </w:rPr>
        <w:t>Ins.</w:t>
      </w:r>
      <w:r>
        <w:rPr>
          <w:spacing w:val="-9"/>
          <w:sz w:val="18"/>
          <w:u w:val="single"/>
        </w:rPr>
        <w:t> </w:t>
      </w:r>
      <w:r>
        <w:rPr>
          <w:sz w:val="18"/>
          <w:u w:val="single"/>
        </w:rPr>
        <w:t>Co.</w:t>
      </w:r>
      <w:r>
        <w:rPr>
          <w:spacing w:val="-9"/>
          <w:sz w:val="18"/>
          <w:u w:val="single"/>
        </w:rPr>
        <w:t> </w:t>
      </w:r>
      <w:r>
        <w:rPr>
          <w:sz w:val="18"/>
          <w:u w:val="single"/>
        </w:rPr>
        <w:t>v.</w:t>
      </w:r>
      <w:r>
        <w:rPr>
          <w:spacing w:val="-9"/>
          <w:sz w:val="18"/>
          <w:u w:val="single"/>
        </w:rPr>
        <w:t> </w:t>
      </w:r>
      <w:r>
        <w:rPr>
          <w:sz w:val="18"/>
          <w:u w:val="single"/>
        </w:rPr>
        <w:t>Asher</w:t>
      </w:r>
      <w:r>
        <w:rPr>
          <w:sz w:val="18"/>
        </w:rPr>
        <w:t>,</w:t>
      </w:r>
      <w:r>
        <w:rPr>
          <w:spacing w:val="-11"/>
          <w:sz w:val="18"/>
        </w:rPr>
        <w:t> </w:t>
      </w:r>
      <w:r>
        <w:rPr>
          <w:sz w:val="18"/>
        </w:rPr>
        <w:t>30</w:t>
      </w:r>
      <w:r>
        <w:rPr>
          <w:spacing w:val="-8"/>
          <w:sz w:val="18"/>
        </w:rPr>
        <w:t> </w:t>
      </w:r>
      <w:r>
        <w:rPr>
          <w:sz w:val="18"/>
        </w:rPr>
        <w:t>Ky.</w:t>
      </w:r>
      <w:r>
        <w:rPr>
          <w:spacing w:val="-9"/>
          <w:sz w:val="18"/>
        </w:rPr>
        <w:t> </w:t>
      </w:r>
      <w:r>
        <w:rPr>
          <w:sz w:val="18"/>
        </w:rPr>
        <w:t>L.</w:t>
      </w:r>
      <w:r>
        <w:rPr>
          <w:spacing w:val="-9"/>
          <w:sz w:val="18"/>
        </w:rPr>
        <w:t> </w:t>
      </w:r>
      <w:r>
        <w:rPr>
          <w:sz w:val="18"/>
        </w:rPr>
        <w:t>Rptr.</w:t>
      </w:r>
      <w:r>
        <w:rPr>
          <w:spacing w:val="-8"/>
          <w:sz w:val="18"/>
        </w:rPr>
        <w:t> </w:t>
      </w:r>
      <w:r>
        <w:rPr>
          <w:sz w:val="18"/>
        </w:rPr>
        <w:t>1053,</w:t>
      </w:r>
      <w:r>
        <w:rPr>
          <w:spacing w:val="-10"/>
          <w:sz w:val="18"/>
        </w:rPr>
        <w:t> </w:t>
      </w:r>
      <w:r>
        <w:rPr>
          <w:sz w:val="18"/>
        </w:rPr>
        <w:t>100</w:t>
      </w:r>
      <w:r>
        <w:rPr>
          <w:spacing w:val="-8"/>
          <w:sz w:val="18"/>
        </w:rPr>
        <w:t> </w:t>
      </w:r>
      <w:r>
        <w:rPr>
          <w:sz w:val="18"/>
        </w:rPr>
        <w:t>S.W.</w:t>
      </w:r>
      <w:r>
        <w:rPr>
          <w:spacing w:val="-9"/>
          <w:sz w:val="18"/>
        </w:rPr>
        <w:t> </w:t>
      </w:r>
      <w:r>
        <w:rPr>
          <w:sz w:val="18"/>
        </w:rPr>
        <w:t>233</w:t>
      </w:r>
      <w:r>
        <w:rPr>
          <w:spacing w:val="-8"/>
          <w:sz w:val="18"/>
        </w:rPr>
        <w:t> </w:t>
      </w:r>
      <w:r>
        <w:rPr>
          <w:sz w:val="18"/>
        </w:rPr>
        <w:t>(1907);</w:t>
      </w:r>
      <w:r>
        <w:rPr>
          <w:spacing w:val="-9"/>
          <w:sz w:val="18"/>
        </w:rPr>
        <w:t> </w:t>
      </w:r>
      <w:r>
        <w:rPr>
          <w:sz w:val="18"/>
          <w:u w:val="single"/>
        </w:rPr>
        <w:t>Niagra</w:t>
      </w:r>
      <w:r>
        <w:rPr>
          <w:spacing w:val="-10"/>
          <w:sz w:val="18"/>
          <w:u w:val="single"/>
        </w:rPr>
        <w:t> </w:t>
      </w:r>
      <w:r>
        <w:rPr>
          <w:sz w:val="18"/>
          <w:u w:val="single"/>
        </w:rPr>
        <w:t>Fire</w:t>
      </w:r>
    </w:p>
    <w:p>
      <w:pPr>
        <w:spacing w:before="19"/>
        <w:ind w:left="0" w:right="6" w:firstLine="0"/>
        <w:jc w:val="center"/>
        <w:rPr>
          <w:rFonts w:ascii="Times New Roman" w:hAnsi="Times New Roman"/>
          <w:sz w:val="18"/>
        </w:rPr>
      </w:pPr>
      <w:r>
        <w:rPr>
          <w:rFonts w:ascii="Times New Roman" w:hAnsi="Times New Roman"/>
          <w:sz w:val="18"/>
          <w:u w:val="single"/>
        </w:rPr>
        <w:t>Ins. Co. v. Bishop</w:t>
      </w:r>
      <w:r>
        <w:rPr>
          <w:rFonts w:ascii="Times New Roman" w:hAnsi="Times New Roman"/>
          <w:sz w:val="18"/>
        </w:rPr>
        <w:t>, 49 Ill. App. 388 (2d Dist. 1893), </w:t>
      </w:r>
      <w:r>
        <w:rPr>
          <w:rFonts w:ascii="Times New Roman" w:hAnsi="Times New Roman"/>
          <w:i/>
          <w:sz w:val="18"/>
        </w:rPr>
        <w:t>aff’d, </w:t>
      </w:r>
      <w:r>
        <w:rPr>
          <w:rFonts w:ascii="Times New Roman" w:hAnsi="Times New Roman"/>
          <w:sz w:val="18"/>
        </w:rPr>
        <w:t>154 Ill. 9, 39 N.E. 1102</w:t>
      </w:r>
      <w:r>
        <w:rPr>
          <w:rFonts w:ascii="Times New Roman" w:hAnsi="Times New Roman"/>
          <w:spacing w:val="-23"/>
          <w:sz w:val="18"/>
        </w:rPr>
        <w:t> </w:t>
      </w:r>
      <w:r>
        <w:rPr>
          <w:rFonts w:ascii="Times New Roman" w:hAnsi="Times New Roman"/>
          <w:sz w:val="18"/>
        </w:rPr>
        <w:t>(1894);</w:t>
      </w:r>
    </w:p>
    <w:p>
      <w:pPr>
        <w:spacing w:before="4"/>
        <w:ind w:left="0" w:right="5" w:firstLine="0"/>
        <w:jc w:val="center"/>
        <w:rPr>
          <w:rFonts w:ascii="Times New Roman"/>
          <w:sz w:val="18"/>
        </w:rPr>
      </w:pPr>
      <w:r>
        <w:rPr>
          <w:rFonts w:ascii="Times New Roman"/>
          <w:sz w:val="18"/>
          <w:u w:val="single"/>
        </w:rPr>
        <w:t>Hickerson</w:t>
      </w:r>
      <w:r>
        <w:rPr>
          <w:rFonts w:ascii="Times New Roman"/>
          <w:spacing w:val="12"/>
          <w:sz w:val="18"/>
          <w:u w:val="single"/>
        </w:rPr>
        <w:t> </w:t>
      </w:r>
      <w:r>
        <w:rPr>
          <w:rFonts w:ascii="Times New Roman"/>
          <w:sz w:val="18"/>
          <w:u w:val="single"/>
        </w:rPr>
        <w:t>v.</w:t>
      </w:r>
      <w:r>
        <w:rPr>
          <w:rFonts w:ascii="Times New Roman"/>
          <w:spacing w:val="12"/>
          <w:sz w:val="18"/>
          <w:u w:val="single"/>
        </w:rPr>
        <w:t> </w:t>
      </w:r>
      <w:r>
        <w:rPr>
          <w:rFonts w:ascii="Times New Roman"/>
          <w:sz w:val="18"/>
          <w:u w:val="single"/>
        </w:rPr>
        <w:t>German-American</w:t>
      </w:r>
      <w:r>
        <w:rPr>
          <w:rFonts w:ascii="Times New Roman"/>
          <w:spacing w:val="16"/>
          <w:sz w:val="18"/>
          <w:u w:val="single"/>
        </w:rPr>
        <w:t> </w:t>
      </w:r>
      <w:r>
        <w:rPr>
          <w:rFonts w:ascii="Times New Roman"/>
          <w:sz w:val="18"/>
          <w:u w:val="single"/>
        </w:rPr>
        <w:t>Ins.</w:t>
      </w:r>
      <w:r>
        <w:rPr>
          <w:rFonts w:ascii="Times New Roman"/>
          <w:spacing w:val="12"/>
          <w:sz w:val="18"/>
          <w:u w:val="single"/>
        </w:rPr>
        <w:t> </w:t>
      </w:r>
      <w:r>
        <w:rPr>
          <w:rFonts w:ascii="Times New Roman"/>
          <w:sz w:val="18"/>
          <w:u w:val="single"/>
        </w:rPr>
        <w:t>Co.</w:t>
      </w:r>
      <w:r>
        <w:rPr>
          <w:rFonts w:ascii="Times New Roman"/>
          <w:sz w:val="18"/>
        </w:rPr>
        <w:t>,</w:t>
      </w:r>
      <w:r>
        <w:rPr>
          <w:rFonts w:ascii="Times New Roman"/>
          <w:spacing w:val="13"/>
          <w:sz w:val="18"/>
        </w:rPr>
        <w:t> </w:t>
      </w:r>
      <w:r>
        <w:rPr>
          <w:rFonts w:ascii="Times New Roman"/>
          <w:sz w:val="18"/>
        </w:rPr>
        <w:t>96</w:t>
      </w:r>
      <w:r>
        <w:rPr>
          <w:rFonts w:ascii="Times New Roman"/>
          <w:spacing w:val="14"/>
          <w:sz w:val="18"/>
        </w:rPr>
        <w:t> </w:t>
      </w:r>
      <w:r>
        <w:rPr>
          <w:rFonts w:ascii="Times New Roman"/>
          <w:sz w:val="18"/>
        </w:rPr>
        <w:t>Tenn.</w:t>
      </w:r>
      <w:r>
        <w:rPr>
          <w:rFonts w:ascii="Times New Roman"/>
          <w:spacing w:val="13"/>
          <w:sz w:val="18"/>
        </w:rPr>
        <w:t> </w:t>
      </w:r>
      <w:r>
        <w:rPr>
          <w:rFonts w:ascii="Times New Roman"/>
          <w:sz w:val="18"/>
        </w:rPr>
        <w:t>193,</w:t>
      </w:r>
      <w:r>
        <w:rPr>
          <w:rFonts w:ascii="Times New Roman"/>
          <w:spacing w:val="13"/>
          <w:sz w:val="18"/>
        </w:rPr>
        <w:t> </w:t>
      </w:r>
      <w:r>
        <w:rPr>
          <w:rFonts w:ascii="Times New Roman"/>
          <w:sz w:val="18"/>
        </w:rPr>
        <w:t>33</w:t>
      </w:r>
      <w:r>
        <w:rPr>
          <w:rFonts w:ascii="Times New Roman"/>
          <w:spacing w:val="12"/>
          <w:sz w:val="18"/>
        </w:rPr>
        <w:t> </w:t>
      </w:r>
      <w:r>
        <w:rPr>
          <w:rFonts w:ascii="Times New Roman"/>
          <w:sz w:val="18"/>
        </w:rPr>
        <w:t>S.W.</w:t>
      </w:r>
      <w:r>
        <w:rPr>
          <w:rFonts w:ascii="Times New Roman"/>
          <w:spacing w:val="13"/>
          <w:sz w:val="18"/>
        </w:rPr>
        <w:t> </w:t>
      </w:r>
      <w:r>
        <w:rPr>
          <w:rFonts w:ascii="Times New Roman"/>
          <w:sz w:val="18"/>
        </w:rPr>
        <w:t>1041</w:t>
      </w:r>
      <w:r>
        <w:rPr>
          <w:rFonts w:ascii="Times New Roman"/>
          <w:spacing w:val="14"/>
          <w:sz w:val="18"/>
        </w:rPr>
        <w:t> </w:t>
      </w:r>
      <w:r>
        <w:rPr>
          <w:rFonts w:ascii="Times New Roman"/>
          <w:sz w:val="18"/>
        </w:rPr>
        <w:t>(1896);</w:t>
      </w:r>
      <w:r>
        <w:rPr>
          <w:rFonts w:ascii="Times New Roman"/>
          <w:spacing w:val="13"/>
          <w:sz w:val="18"/>
        </w:rPr>
        <w:t> </w:t>
      </w:r>
      <w:r>
        <w:rPr>
          <w:rFonts w:ascii="Times New Roman"/>
          <w:sz w:val="18"/>
          <w:u w:val="single"/>
        </w:rPr>
        <w:t>Brock</w:t>
      </w:r>
      <w:r>
        <w:rPr>
          <w:rFonts w:ascii="Times New Roman"/>
          <w:spacing w:val="10"/>
          <w:sz w:val="18"/>
          <w:u w:val="single"/>
        </w:rPr>
        <w:t> </w:t>
      </w:r>
      <w:r>
        <w:rPr>
          <w:rFonts w:ascii="Times New Roman"/>
          <w:sz w:val="18"/>
          <w:u w:val="single"/>
        </w:rPr>
        <w:t>v.</w:t>
      </w:r>
    </w:p>
    <w:p>
      <w:pPr>
        <w:spacing w:before="4"/>
        <w:ind w:left="0" w:right="5" w:firstLine="0"/>
        <w:jc w:val="center"/>
        <w:rPr>
          <w:rFonts w:ascii="Times New Roman"/>
          <w:sz w:val="18"/>
        </w:rPr>
      </w:pPr>
      <w:r>
        <w:rPr>
          <w:rFonts w:ascii="Times New Roman"/>
          <w:sz w:val="18"/>
          <w:u w:val="single"/>
        </w:rPr>
        <w:t>Dwelling-House</w:t>
      </w:r>
      <w:r>
        <w:rPr>
          <w:rFonts w:ascii="Times New Roman"/>
          <w:spacing w:val="-13"/>
          <w:sz w:val="18"/>
          <w:u w:val="single"/>
        </w:rPr>
        <w:t> </w:t>
      </w:r>
      <w:r>
        <w:rPr>
          <w:rFonts w:ascii="Times New Roman"/>
          <w:sz w:val="18"/>
          <w:u w:val="single"/>
        </w:rPr>
        <w:t>Ins.</w:t>
      </w:r>
      <w:r>
        <w:rPr>
          <w:rFonts w:ascii="Times New Roman"/>
          <w:spacing w:val="-12"/>
          <w:sz w:val="18"/>
          <w:u w:val="single"/>
        </w:rPr>
        <w:t> </w:t>
      </w:r>
      <w:r>
        <w:rPr>
          <w:rFonts w:ascii="Times New Roman"/>
          <w:sz w:val="18"/>
          <w:u w:val="single"/>
        </w:rPr>
        <w:t>Co.</w:t>
      </w:r>
      <w:r>
        <w:rPr>
          <w:rFonts w:ascii="Times New Roman"/>
          <w:sz w:val="18"/>
        </w:rPr>
        <w:t>,</w:t>
      </w:r>
      <w:r>
        <w:rPr>
          <w:rFonts w:ascii="Times New Roman"/>
          <w:spacing w:val="-11"/>
          <w:sz w:val="18"/>
        </w:rPr>
        <w:t> </w:t>
      </w:r>
      <w:r>
        <w:rPr>
          <w:rFonts w:ascii="Times New Roman"/>
          <w:sz w:val="18"/>
        </w:rPr>
        <w:t>102</w:t>
      </w:r>
      <w:r>
        <w:rPr>
          <w:rFonts w:ascii="Times New Roman"/>
          <w:spacing w:val="-10"/>
          <w:sz w:val="18"/>
        </w:rPr>
        <w:t> </w:t>
      </w:r>
      <w:r>
        <w:rPr>
          <w:rFonts w:ascii="Times New Roman"/>
          <w:sz w:val="18"/>
        </w:rPr>
        <w:t>Mich.</w:t>
      </w:r>
      <w:r>
        <w:rPr>
          <w:rFonts w:ascii="Times New Roman"/>
          <w:spacing w:val="-9"/>
          <w:sz w:val="18"/>
        </w:rPr>
        <w:t> </w:t>
      </w:r>
      <w:r>
        <w:rPr>
          <w:rFonts w:ascii="Times New Roman"/>
          <w:sz w:val="18"/>
        </w:rPr>
        <w:t>583,</w:t>
      </w:r>
      <w:r>
        <w:rPr>
          <w:rFonts w:ascii="Times New Roman"/>
          <w:spacing w:val="-9"/>
          <w:sz w:val="18"/>
        </w:rPr>
        <w:t> </w:t>
      </w:r>
      <w:r>
        <w:rPr>
          <w:rFonts w:ascii="Times New Roman"/>
          <w:sz w:val="18"/>
        </w:rPr>
        <w:t>61</w:t>
      </w:r>
      <w:r>
        <w:rPr>
          <w:rFonts w:ascii="Times New Roman"/>
          <w:spacing w:val="-8"/>
          <w:sz w:val="18"/>
        </w:rPr>
        <w:t> </w:t>
      </w:r>
      <w:r>
        <w:rPr>
          <w:rFonts w:ascii="Times New Roman"/>
          <w:sz w:val="18"/>
        </w:rPr>
        <w:t>N.W.</w:t>
      </w:r>
      <w:r>
        <w:rPr>
          <w:rFonts w:ascii="Times New Roman"/>
          <w:spacing w:val="-8"/>
          <w:sz w:val="18"/>
        </w:rPr>
        <w:t> </w:t>
      </w:r>
      <w:r>
        <w:rPr>
          <w:rFonts w:ascii="Times New Roman"/>
          <w:sz w:val="18"/>
        </w:rPr>
        <w:t>67</w:t>
      </w:r>
      <w:r>
        <w:rPr>
          <w:rFonts w:ascii="Times New Roman"/>
          <w:spacing w:val="-8"/>
          <w:sz w:val="18"/>
        </w:rPr>
        <w:t> </w:t>
      </w:r>
      <w:r>
        <w:rPr>
          <w:rFonts w:ascii="Times New Roman"/>
          <w:sz w:val="18"/>
        </w:rPr>
        <w:t>(1894);</w:t>
      </w:r>
      <w:r>
        <w:rPr>
          <w:rFonts w:ascii="Times New Roman"/>
          <w:spacing w:val="-9"/>
          <w:sz w:val="18"/>
        </w:rPr>
        <w:t> </w:t>
      </w:r>
      <w:r>
        <w:rPr>
          <w:rFonts w:ascii="Times New Roman"/>
          <w:sz w:val="18"/>
          <w:u w:val="single"/>
        </w:rPr>
        <w:t>Young</w:t>
      </w:r>
      <w:r>
        <w:rPr>
          <w:rFonts w:ascii="Times New Roman"/>
          <w:spacing w:val="-13"/>
          <w:sz w:val="18"/>
          <w:u w:val="single"/>
        </w:rPr>
        <w:t> </w:t>
      </w:r>
      <w:r>
        <w:rPr>
          <w:rFonts w:ascii="Times New Roman"/>
          <w:sz w:val="18"/>
          <w:u w:val="single"/>
        </w:rPr>
        <w:t>v.</w:t>
      </w:r>
      <w:r>
        <w:rPr>
          <w:rFonts w:ascii="Times New Roman"/>
          <w:spacing w:val="-10"/>
          <w:sz w:val="18"/>
          <w:u w:val="single"/>
        </w:rPr>
        <w:t> </w:t>
      </w:r>
      <w:r>
        <w:rPr>
          <w:rFonts w:ascii="Times New Roman"/>
          <w:sz w:val="18"/>
          <w:u w:val="single"/>
        </w:rPr>
        <w:t>Aetna</w:t>
      </w:r>
      <w:r>
        <w:rPr>
          <w:rFonts w:ascii="Times New Roman"/>
          <w:spacing w:val="-13"/>
          <w:sz w:val="18"/>
          <w:u w:val="single"/>
        </w:rPr>
        <w:t> </w:t>
      </w:r>
      <w:r>
        <w:rPr>
          <w:rFonts w:ascii="Times New Roman"/>
          <w:sz w:val="18"/>
          <w:u w:val="single"/>
        </w:rPr>
        <w:t>Ins.</w:t>
      </w:r>
      <w:r>
        <w:rPr>
          <w:rFonts w:ascii="Times New Roman"/>
          <w:spacing w:val="-12"/>
          <w:sz w:val="18"/>
          <w:u w:val="single"/>
        </w:rPr>
        <w:t> </w:t>
      </w:r>
      <w:r>
        <w:rPr>
          <w:rFonts w:ascii="Times New Roman"/>
          <w:sz w:val="18"/>
          <w:u w:val="single"/>
        </w:rPr>
        <w:t>Co.</w:t>
      </w:r>
      <w:r>
        <w:rPr>
          <w:rFonts w:ascii="Times New Roman"/>
          <w:sz w:val="18"/>
        </w:rPr>
        <w:t>,</w:t>
      </w:r>
      <w:r>
        <w:rPr>
          <w:rFonts w:ascii="Times New Roman"/>
          <w:spacing w:val="-10"/>
          <w:sz w:val="18"/>
        </w:rPr>
        <w:t> </w:t>
      </w:r>
      <w:r>
        <w:rPr>
          <w:rFonts w:ascii="Times New Roman"/>
          <w:sz w:val="18"/>
        </w:rPr>
        <w:t>101</w:t>
      </w:r>
    </w:p>
    <w:p>
      <w:pPr>
        <w:spacing w:line="207" w:lineRule="exact" w:before="4"/>
        <w:ind w:left="0" w:right="4489" w:firstLine="0"/>
        <w:jc w:val="center"/>
        <w:rPr>
          <w:rFonts w:ascii="Times New Roman"/>
          <w:sz w:val="18"/>
        </w:rPr>
      </w:pPr>
      <w:r>
        <w:rPr>
          <w:rFonts w:ascii="Times New Roman"/>
          <w:sz w:val="18"/>
        </w:rPr>
        <w:t>Me. 294, 64 A. 584 (1906).</w:t>
      </w:r>
    </w:p>
    <w:p>
      <w:pPr>
        <w:pStyle w:val="ListParagraph"/>
        <w:numPr>
          <w:ilvl w:val="0"/>
          <w:numId w:val="4"/>
        </w:numPr>
        <w:tabs>
          <w:tab w:pos="1438" w:val="left" w:leader="none"/>
        </w:tabs>
        <w:spacing w:line="269" w:lineRule="exact" w:before="0" w:after="0"/>
        <w:ind w:left="1437" w:right="0" w:hanging="278"/>
        <w:jc w:val="left"/>
        <w:rPr>
          <w:sz w:val="14"/>
        </w:rPr>
      </w:pPr>
      <w:r>
        <w:rPr>
          <w:sz w:val="18"/>
        </w:rPr>
        <w:t>Colorado Department of Regulatory Agencies, Division of Insurance, Bulletin No.</w:t>
      </w:r>
      <w:r>
        <w:rPr>
          <w:spacing w:val="13"/>
          <w:sz w:val="18"/>
        </w:rPr>
        <w:t> </w:t>
      </w:r>
      <w:r>
        <w:rPr>
          <w:sz w:val="18"/>
        </w:rPr>
        <w:t>B-</w:t>
      </w:r>
    </w:p>
    <w:p>
      <w:pPr>
        <w:spacing w:before="19"/>
        <w:ind w:left="1160" w:right="0" w:firstLine="0"/>
        <w:jc w:val="left"/>
        <w:rPr>
          <w:rFonts w:ascii="Times New Roman" w:hAnsi="Times New Roman"/>
          <w:sz w:val="18"/>
        </w:rPr>
      </w:pPr>
      <w:r>
        <w:rPr>
          <w:rFonts w:ascii="Times New Roman" w:hAnsi="Times New Roman"/>
          <w:sz w:val="18"/>
        </w:rPr>
        <w:t>5.26 “Insurer Requirements Related to Disputed Claims Subject to Appraisal.”</w:t>
      </w:r>
    </w:p>
    <w:p>
      <w:pPr>
        <w:spacing w:after="0"/>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96" w:id="10"/>
      <w:bookmarkEnd w:id="10"/>
      <w:r>
        <w:rPr/>
      </w:r>
      <w:r>
        <w:rPr/>
        <w:t>methodology, the parties must abide by it. Failure to follow the procedure set out by the policy or statute provides grounds for setting aside the award.</w:t>
      </w:r>
      <w:r>
        <w:rPr>
          <w:vertAlign w:val="superscript"/>
        </w:rPr>
        <w:t>830</w:t>
      </w:r>
    </w:p>
    <w:p>
      <w:pPr>
        <w:pStyle w:val="BodyText"/>
        <w:spacing w:before="1"/>
      </w:pPr>
    </w:p>
    <w:p>
      <w:pPr>
        <w:pStyle w:val="BodyText"/>
        <w:spacing w:line="242" w:lineRule="auto"/>
        <w:ind w:left="1520" w:right="1516" w:firstLine="720"/>
        <w:jc w:val="both"/>
      </w:pPr>
      <w:r>
        <w:rPr/>
        <w:t>For example, an award will be set aside where the record contains no evidence the appraisers first failed to agree on what they could</w:t>
      </w:r>
      <w:r>
        <w:rPr>
          <w:spacing w:val="-38"/>
        </w:rPr>
        <w:t> </w:t>
      </w:r>
      <w:r>
        <w:rPr/>
        <w:t>and</w:t>
      </w:r>
      <w:r>
        <w:rPr>
          <w:spacing w:val="-36"/>
        </w:rPr>
        <w:t> </w:t>
      </w:r>
      <w:r>
        <w:rPr/>
        <w:t>submitted</w:t>
      </w:r>
      <w:r>
        <w:rPr>
          <w:spacing w:val="-37"/>
        </w:rPr>
        <w:t> </w:t>
      </w:r>
      <w:r>
        <w:rPr/>
        <w:t>only</w:t>
      </w:r>
      <w:r>
        <w:rPr>
          <w:spacing w:val="-38"/>
        </w:rPr>
        <w:t> </w:t>
      </w:r>
      <w:r>
        <w:rPr/>
        <w:t>disagreements</w:t>
      </w:r>
      <w:r>
        <w:rPr>
          <w:spacing w:val="-39"/>
        </w:rPr>
        <w:t> </w:t>
      </w:r>
      <w:r>
        <w:rPr/>
        <w:t>to</w:t>
      </w:r>
      <w:r>
        <w:rPr>
          <w:spacing w:val="-39"/>
        </w:rPr>
        <w:t> </w:t>
      </w:r>
      <w:r>
        <w:rPr>
          <w:spacing w:val="-3"/>
        </w:rPr>
        <w:t>the </w:t>
      </w:r>
      <w:r>
        <w:rPr/>
        <w:t>umpire as required by the</w:t>
      </w:r>
      <w:r>
        <w:rPr>
          <w:spacing w:val="-8"/>
        </w:rPr>
        <w:t> </w:t>
      </w:r>
      <w:r>
        <w:rPr/>
        <w:t>policy.</w:t>
      </w:r>
      <w:r>
        <w:rPr>
          <w:vertAlign w:val="superscript"/>
        </w:rPr>
        <w:t>831</w:t>
      </w:r>
    </w:p>
    <w:p>
      <w:pPr>
        <w:pStyle w:val="BodyText"/>
        <w:spacing w:before="1"/>
      </w:pPr>
    </w:p>
    <w:p>
      <w:pPr>
        <w:pStyle w:val="BodyText"/>
        <w:spacing w:line="242" w:lineRule="auto"/>
        <w:ind w:left="1520" w:right="1519" w:firstLine="720"/>
        <w:jc w:val="both"/>
      </w:pPr>
      <w:r>
        <w:rPr>
          <w:spacing w:val="3"/>
        </w:rPr>
        <w:t>In </w:t>
      </w:r>
      <w:r>
        <w:rPr/>
        <w:t>some jurisdictions, the </w:t>
      </w:r>
      <w:r>
        <w:rPr>
          <w:spacing w:val="-4"/>
        </w:rPr>
        <w:t>award </w:t>
      </w:r>
      <w:r>
        <w:rPr/>
        <w:t>generated may be vacated as invalid if </w:t>
      </w:r>
      <w:r>
        <w:rPr>
          <w:spacing w:val="-5"/>
        </w:rPr>
        <w:t>the </w:t>
      </w:r>
      <w:r>
        <w:rPr/>
        <w:t>umpire does not set forth the methodology used at arriving at a value of the insured's</w:t>
      </w:r>
      <w:r>
        <w:rPr>
          <w:spacing w:val="-41"/>
        </w:rPr>
        <w:t> </w:t>
      </w:r>
      <w:r>
        <w:rPr/>
        <w:t>loss. Therefore, in this jurisdiction the umpire should generally reflect in detail the value of the goods destroyed rather than in</w:t>
      </w:r>
      <w:r>
        <w:rPr>
          <w:spacing w:val="-10"/>
        </w:rPr>
        <w:t> </w:t>
      </w:r>
      <w:r>
        <w:rPr/>
        <w:t>gross.</w:t>
      </w:r>
      <w:r>
        <w:rPr>
          <w:vertAlign w:val="superscript"/>
        </w:rPr>
        <w:t>832</w:t>
      </w:r>
    </w:p>
    <w:p>
      <w:pPr>
        <w:pStyle w:val="BodyText"/>
      </w:pPr>
    </w:p>
    <w:p>
      <w:pPr>
        <w:pStyle w:val="BodyText"/>
        <w:spacing w:line="242" w:lineRule="auto"/>
        <w:ind w:left="1520" w:right="1515" w:firstLine="720"/>
        <w:jc w:val="both"/>
      </w:pPr>
      <w:r>
        <w:rPr/>
        <w:t>Note that in those jurisdictions that equate arbitration and appraisal, it has been held that the technical formalities of an arbitration must be observed, with the invalidation of an appraisal award being the result of the failure to follow statutory procedure. For example, in Connecticut, it</w:t>
      </w:r>
    </w:p>
    <w:p>
      <w:pPr>
        <w:pStyle w:val="BodyText"/>
        <w:rPr>
          <w:sz w:val="20"/>
        </w:rPr>
      </w:pPr>
    </w:p>
    <w:p>
      <w:pPr>
        <w:pStyle w:val="BodyText"/>
        <w:spacing w:before="2"/>
        <w:rPr>
          <w:sz w:val="20"/>
        </w:rPr>
      </w:pPr>
      <w:r>
        <w:rPr/>
        <w:pict>
          <v:shape style="position:absolute;margin-left:162pt;margin-top:14.809361pt;width:143.9pt;height:.1pt;mso-position-horizontal-relative:page;mso-position-vertical-relative:paragraph;z-index:-251650048;mso-wrap-distance-left:0;mso-wrap-distance-right:0" coordorigin="3240,296" coordsize="2878,0" path="m3240,296l6118,296e" filled="false" stroked="true" strokeweight=".84pt" strokecolor="#000000">
            <v:path arrowok="t"/>
            <v:stroke dashstyle="solid"/>
            <w10:wrap type="topAndBottom"/>
          </v:shape>
        </w:pict>
      </w:r>
    </w:p>
    <w:p>
      <w:pPr>
        <w:pStyle w:val="BodyText"/>
        <w:spacing w:before="3"/>
        <w:rPr>
          <w:sz w:val="10"/>
        </w:rPr>
      </w:pPr>
    </w:p>
    <w:p>
      <w:pPr>
        <w:pStyle w:val="ListParagraph"/>
        <w:numPr>
          <w:ilvl w:val="0"/>
          <w:numId w:val="4"/>
        </w:numPr>
        <w:tabs>
          <w:tab w:pos="1446" w:val="left" w:leader="none"/>
        </w:tabs>
        <w:spacing w:line="247" w:lineRule="auto" w:before="77" w:after="0"/>
        <w:ind w:left="1160" w:right="1500" w:firstLine="0"/>
        <w:jc w:val="both"/>
        <w:rPr>
          <w:sz w:val="16"/>
        </w:rPr>
      </w:pPr>
      <w:r>
        <w:rPr>
          <w:sz w:val="18"/>
          <w:u w:val="single"/>
        </w:rPr>
        <w:t>St. Paul Fire &amp; Marine Ins. Co. v. The Tire Clearing House</w:t>
      </w:r>
      <w:r>
        <w:rPr>
          <w:sz w:val="18"/>
        </w:rPr>
        <w:t>, 58 F.2d 610 (8</w:t>
      </w:r>
      <w:r>
        <w:rPr>
          <w:position w:val="7"/>
          <w:sz w:val="10"/>
        </w:rPr>
        <w:t>th </w:t>
      </w:r>
      <w:r>
        <w:rPr>
          <w:sz w:val="18"/>
        </w:rPr>
        <w:t>Cir. 1932); </w:t>
      </w:r>
      <w:r>
        <w:rPr>
          <w:sz w:val="18"/>
          <w:u w:val="single"/>
        </w:rPr>
        <w:t>Aetna Ins. Co. v. Murray</w:t>
      </w:r>
      <w:r>
        <w:rPr>
          <w:sz w:val="18"/>
        </w:rPr>
        <w:t>, 66 F.2d. 289 (10</w:t>
      </w:r>
      <w:r>
        <w:rPr>
          <w:position w:val="7"/>
          <w:sz w:val="10"/>
        </w:rPr>
        <w:t>th </w:t>
      </w:r>
      <w:r>
        <w:rPr>
          <w:sz w:val="18"/>
        </w:rPr>
        <w:t>Cir.</w:t>
      </w:r>
      <w:r>
        <w:rPr>
          <w:spacing w:val="4"/>
          <w:sz w:val="18"/>
        </w:rPr>
        <w:t> </w:t>
      </w:r>
      <w:r>
        <w:rPr>
          <w:sz w:val="18"/>
        </w:rPr>
        <w:t>1933).</w:t>
      </w:r>
    </w:p>
    <w:p>
      <w:pPr>
        <w:pStyle w:val="ListParagraph"/>
        <w:numPr>
          <w:ilvl w:val="0"/>
          <w:numId w:val="4"/>
        </w:numPr>
        <w:tabs>
          <w:tab w:pos="1418" w:val="left" w:leader="none"/>
        </w:tabs>
        <w:spacing w:line="254" w:lineRule="auto" w:before="0" w:after="0"/>
        <w:ind w:left="1160" w:right="1166" w:firstLine="0"/>
        <w:jc w:val="both"/>
        <w:rPr>
          <w:sz w:val="14"/>
        </w:rPr>
      </w:pPr>
      <w:r>
        <w:rPr>
          <w:sz w:val="18"/>
          <w:u w:val="single"/>
        </w:rPr>
        <w:t>Richardson</w:t>
      </w:r>
      <w:r>
        <w:rPr>
          <w:spacing w:val="-16"/>
          <w:sz w:val="18"/>
          <w:u w:val="single"/>
        </w:rPr>
        <w:t> </w:t>
      </w:r>
      <w:r>
        <w:rPr>
          <w:sz w:val="18"/>
          <w:u w:val="single"/>
        </w:rPr>
        <w:t>v.</w:t>
      </w:r>
      <w:r>
        <w:rPr>
          <w:spacing w:val="-15"/>
          <w:sz w:val="18"/>
          <w:u w:val="single"/>
        </w:rPr>
        <w:t> </w:t>
      </w:r>
      <w:r>
        <w:rPr>
          <w:sz w:val="18"/>
          <w:u w:val="single"/>
        </w:rPr>
        <w:t>Allstate</w:t>
      </w:r>
      <w:r>
        <w:rPr>
          <w:spacing w:val="-16"/>
          <w:sz w:val="18"/>
          <w:u w:val="single"/>
        </w:rPr>
        <w:t> </w:t>
      </w:r>
      <w:r>
        <w:rPr>
          <w:sz w:val="18"/>
          <w:u w:val="single"/>
        </w:rPr>
        <w:t>Texas</w:t>
      </w:r>
      <w:r>
        <w:rPr>
          <w:spacing w:val="-16"/>
          <w:sz w:val="18"/>
          <w:u w:val="single"/>
        </w:rPr>
        <w:t> </w:t>
      </w:r>
      <w:r>
        <w:rPr>
          <w:sz w:val="18"/>
          <w:u w:val="single"/>
        </w:rPr>
        <w:t>Lloyds</w:t>
      </w:r>
      <w:r>
        <w:rPr>
          <w:sz w:val="18"/>
        </w:rPr>
        <w:t>,</w:t>
      </w:r>
      <w:r>
        <w:rPr>
          <w:spacing w:val="-15"/>
          <w:sz w:val="18"/>
        </w:rPr>
        <w:t> </w:t>
      </w:r>
      <w:r>
        <w:rPr>
          <w:sz w:val="18"/>
        </w:rPr>
        <w:t>2007</w:t>
      </w:r>
      <w:r>
        <w:rPr>
          <w:spacing w:val="-14"/>
          <w:sz w:val="18"/>
        </w:rPr>
        <w:t> </w:t>
      </w:r>
      <w:r>
        <w:rPr>
          <w:sz w:val="18"/>
        </w:rPr>
        <w:t>WL</w:t>
      </w:r>
      <w:r>
        <w:rPr>
          <w:spacing w:val="-17"/>
          <w:sz w:val="18"/>
        </w:rPr>
        <w:t> </w:t>
      </w:r>
      <w:r>
        <w:rPr>
          <w:sz w:val="18"/>
        </w:rPr>
        <w:t>1996387</w:t>
      </w:r>
      <w:r>
        <w:rPr>
          <w:spacing w:val="-14"/>
          <w:sz w:val="18"/>
        </w:rPr>
        <w:t> </w:t>
      </w:r>
      <w:r>
        <w:rPr>
          <w:sz w:val="18"/>
        </w:rPr>
        <w:t>(Tex.</w:t>
      </w:r>
      <w:r>
        <w:rPr>
          <w:spacing w:val="-15"/>
          <w:sz w:val="18"/>
        </w:rPr>
        <w:t> </w:t>
      </w:r>
      <w:r>
        <w:rPr>
          <w:sz w:val="18"/>
        </w:rPr>
        <w:t>App.-Dallas</w:t>
      </w:r>
      <w:r>
        <w:rPr>
          <w:spacing w:val="-19"/>
          <w:sz w:val="18"/>
        </w:rPr>
        <w:t> </w:t>
      </w:r>
      <w:r>
        <w:rPr>
          <w:sz w:val="18"/>
        </w:rPr>
        <w:t>2007);</w:t>
      </w:r>
      <w:r>
        <w:rPr>
          <w:spacing w:val="-17"/>
          <w:sz w:val="18"/>
        </w:rPr>
        <w:t> </w:t>
      </w:r>
      <w:r>
        <w:rPr>
          <w:sz w:val="18"/>
          <w:u w:val="single"/>
        </w:rPr>
        <w:t>Fisch v.</w:t>
      </w:r>
      <w:r>
        <w:rPr>
          <w:spacing w:val="-3"/>
          <w:sz w:val="18"/>
          <w:u w:val="single"/>
        </w:rPr>
        <w:t> </w:t>
      </w:r>
      <w:r>
        <w:rPr>
          <w:sz w:val="18"/>
          <w:u w:val="single"/>
        </w:rPr>
        <w:t>Transcon</w:t>
      </w:r>
      <w:r>
        <w:rPr>
          <w:spacing w:val="-3"/>
          <w:sz w:val="18"/>
          <w:u w:val="single"/>
        </w:rPr>
        <w:t> </w:t>
      </w:r>
      <w:r>
        <w:rPr>
          <w:sz w:val="18"/>
          <w:u w:val="single"/>
        </w:rPr>
        <w:t>Ins.</w:t>
      </w:r>
      <w:r>
        <w:rPr>
          <w:spacing w:val="-2"/>
          <w:sz w:val="18"/>
          <w:u w:val="single"/>
        </w:rPr>
        <w:t> </w:t>
      </w:r>
      <w:r>
        <w:rPr>
          <w:sz w:val="18"/>
          <w:u w:val="single"/>
        </w:rPr>
        <w:t>Co.</w:t>
      </w:r>
      <w:r>
        <w:rPr>
          <w:sz w:val="18"/>
        </w:rPr>
        <w:t>,</w:t>
      </w:r>
      <w:r>
        <w:rPr>
          <w:spacing w:val="-2"/>
          <w:sz w:val="18"/>
        </w:rPr>
        <w:t> </w:t>
      </w:r>
      <w:r>
        <w:rPr>
          <w:sz w:val="18"/>
        </w:rPr>
        <w:t>356</w:t>
      </w:r>
      <w:r>
        <w:rPr>
          <w:spacing w:val="-3"/>
          <w:sz w:val="18"/>
        </w:rPr>
        <w:t> </w:t>
      </w:r>
      <w:r>
        <w:rPr>
          <w:sz w:val="18"/>
        </w:rPr>
        <w:t>S.W.2d</w:t>
      </w:r>
      <w:r>
        <w:rPr>
          <w:spacing w:val="-1"/>
          <w:sz w:val="18"/>
        </w:rPr>
        <w:t> </w:t>
      </w:r>
      <w:r>
        <w:rPr>
          <w:sz w:val="18"/>
        </w:rPr>
        <w:t>186,</w:t>
      </w:r>
      <w:r>
        <w:rPr>
          <w:spacing w:val="-5"/>
          <w:sz w:val="18"/>
        </w:rPr>
        <w:t> </w:t>
      </w:r>
      <w:r>
        <w:rPr>
          <w:sz w:val="18"/>
        </w:rPr>
        <w:t>189-190</w:t>
      </w:r>
      <w:r>
        <w:rPr>
          <w:spacing w:val="-4"/>
          <w:sz w:val="18"/>
        </w:rPr>
        <w:t> </w:t>
      </w:r>
      <w:r>
        <w:rPr>
          <w:sz w:val="18"/>
        </w:rPr>
        <w:t>(Tex.</w:t>
      </w:r>
      <w:r>
        <w:rPr>
          <w:spacing w:val="-3"/>
          <w:sz w:val="18"/>
        </w:rPr>
        <w:t> </w:t>
      </w:r>
      <w:r>
        <w:rPr>
          <w:sz w:val="18"/>
        </w:rPr>
        <w:t>Civ.</w:t>
      </w:r>
      <w:r>
        <w:rPr>
          <w:spacing w:val="-3"/>
          <w:sz w:val="18"/>
        </w:rPr>
        <w:t> </w:t>
      </w:r>
      <w:r>
        <w:rPr>
          <w:sz w:val="18"/>
        </w:rPr>
        <w:t>App.-Houston,</w:t>
      </w:r>
      <w:r>
        <w:rPr>
          <w:spacing w:val="-3"/>
          <w:sz w:val="18"/>
        </w:rPr>
        <w:t> </w:t>
      </w:r>
      <w:r>
        <w:rPr>
          <w:sz w:val="18"/>
        </w:rPr>
        <w:t>1962,</w:t>
      </w:r>
      <w:r>
        <w:rPr>
          <w:spacing w:val="-2"/>
          <w:sz w:val="18"/>
        </w:rPr>
        <w:t> </w:t>
      </w:r>
      <w:r>
        <w:rPr>
          <w:sz w:val="18"/>
        </w:rPr>
        <w:t>writ</w:t>
      </w:r>
      <w:r>
        <w:rPr>
          <w:spacing w:val="-3"/>
          <w:sz w:val="18"/>
        </w:rPr>
        <w:t> </w:t>
      </w:r>
      <w:r>
        <w:rPr>
          <w:sz w:val="18"/>
        </w:rPr>
        <w:t>ref’d n.r.e.).</w:t>
      </w:r>
    </w:p>
    <w:p>
      <w:pPr>
        <w:pStyle w:val="ListParagraph"/>
        <w:numPr>
          <w:ilvl w:val="0"/>
          <w:numId w:val="4"/>
        </w:numPr>
        <w:tabs>
          <w:tab w:pos="1411" w:val="left" w:leader="none"/>
        </w:tabs>
        <w:spacing w:line="256" w:lineRule="exact" w:before="0" w:after="0"/>
        <w:ind w:left="1410" w:right="0" w:hanging="251"/>
        <w:jc w:val="both"/>
        <w:rPr>
          <w:sz w:val="14"/>
        </w:rPr>
      </w:pPr>
      <w:r>
        <w:rPr>
          <w:sz w:val="18"/>
          <w:u w:val="single"/>
        </w:rPr>
        <w:t>Coffin v. German Fire Ins.Co.</w:t>
      </w:r>
      <w:r>
        <w:rPr>
          <w:sz w:val="18"/>
        </w:rPr>
        <w:t>, 142 Mo. App. 295, 126 S.W.253</w:t>
      </w:r>
      <w:r>
        <w:rPr>
          <w:spacing w:val="20"/>
          <w:sz w:val="18"/>
        </w:rPr>
        <w:t> </w:t>
      </w:r>
      <w:r>
        <w:rPr>
          <w:sz w:val="18"/>
        </w:rPr>
        <w:t>(1910).</w:t>
      </w:r>
    </w:p>
    <w:p>
      <w:pPr>
        <w:spacing w:after="0" w:line="256" w:lineRule="exact"/>
        <w:jc w:val="both"/>
        <w:rPr>
          <w:sz w:val="1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397" w:id="11"/>
      <w:bookmarkEnd w:id="11"/>
      <w:r>
        <w:rPr/>
      </w:r>
      <w:r>
        <w:rPr/>
        <w:t>has been held that the failure of the umpire and the appraisers to be sworn is sufficient to invalidate an award.</w:t>
      </w:r>
      <w:r>
        <w:rPr>
          <w:vertAlign w:val="superscript"/>
        </w:rPr>
        <w:t>833</w:t>
      </w:r>
      <w:r>
        <w:rPr>
          <w:vertAlign w:val="baseline"/>
        </w:rPr>
        <w:t> The California Code</w:t>
      </w:r>
      <w:r>
        <w:rPr>
          <w:spacing w:val="-51"/>
          <w:vertAlign w:val="baseline"/>
        </w:rPr>
        <w:t> </w:t>
      </w:r>
      <w:r>
        <w:rPr>
          <w:spacing w:val="-19"/>
          <w:vertAlign w:val="baseline"/>
        </w:rPr>
        <w:t>of </w:t>
      </w:r>
      <w:r>
        <w:rPr>
          <w:vertAlign w:val="baseline"/>
        </w:rPr>
        <w:t>Civil Procedure requires the umpire to</w:t>
      </w:r>
      <w:r>
        <w:rPr>
          <w:spacing w:val="-46"/>
          <w:vertAlign w:val="baseline"/>
        </w:rPr>
        <w:t> </w:t>
      </w:r>
      <w:r>
        <w:rPr>
          <w:vertAlign w:val="baseline"/>
        </w:rPr>
        <w:t>disclose his prior affiliations and relationships with the parties for a period of five years prior to his nomination.</w:t>
      </w:r>
      <w:r>
        <w:rPr>
          <w:vertAlign w:val="superscript"/>
        </w:rPr>
        <w:t>834</w:t>
      </w:r>
    </w:p>
    <w:p>
      <w:pPr>
        <w:pStyle w:val="BodyText"/>
      </w:pPr>
    </w:p>
    <w:p>
      <w:pPr>
        <w:pStyle w:val="BodyText"/>
        <w:spacing w:line="242" w:lineRule="auto"/>
        <w:ind w:left="1520" w:right="1518" w:firstLine="720"/>
        <w:jc w:val="both"/>
      </w:pPr>
      <w:r>
        <w:rPr/>
        <w:t>By equating arbitration and appraisal, these jurisdictions fail to give life to the true intent of the policy, as well as the legislative intent behind the Standard Fire Policy. This </w:t>
      </w:r>
      <w:r>
        <w:rPr>
          <w:spacing w:val="-5"/>
        </w:rPr>
        <w:t>is </w:t>
      </w:r>
      <w:r>
        <w:rPr/>
        <w:t>accomplished by giving the appraisal clause an overly technical and formal reading when what</w:t>
      </w:r>
      <w:r>
        <w:rPr>
          <w:spacing w:val="-23"/>
        </w:rPr>
        <w:t> </w:t>
      </w:r>
      <w:r>
        <w:rPr/>
        <w:t>was</w:t>
      </w:r>
      <w:r>
        <w:rPr>
          <w:spacing w:val="-20"/>
        </w:rPr>
        <w:t> </w:t>
      </w:r>
      <w:r>
        <w:rPr/>
        <w:t>intended</w:t>
      </w:r>
      <w:r>
        <w:rPr>
          <w:spacing w:val="-22"/>
        </w:rPr>
        <w:t> </w:t>
      </w:r>
      <w:r>
        <w:rPr/>
        <w:t>was</w:t>
      </w:r>
      <w:r>
        <w:rPr>
          <w:spacing w:val="-19"/>
        </w:rPr>
        <w:t> </w:t>
      </w:r>
      <w:r>
        <w:rPr/>
        <w:t>a</w:t>
      </w:r>
      <w:r>
        <w:rPr>
          <w:spacing w:val="-19"/>
        </w:rPr>
        <w:t> </w:t>
      </w:r>
      <w:r>
        <w:rPr/>
        <w:t>relatively</w:t>
      </w:r>
      <w:r>
        <w:rPr>
          <w:spacing w:val="-21"/>
        </w:rPr>
        <w:t> </w:t>
      </w:r>
      <w:r>
        <w:rPr/>
        <w:t>simple</w:t>
      </w:r>
      <w:r>
        <w:rPr>
          <w:spacing w:val="-21"/>
        </w:rPr>
        <w:t> </w:t>
      </w:r>
      <w:r>
        <w:rPr/>
        <w:t>and user-friendly process for determination of loss and value. A review of the </w:t>
      </w:r>
      <w:r>
        <w:rPr>
          <w:u w:val="single"/>
        </w:rPr>
        <w:t>Vandrilla</w:t>
      </w:r>
      <w:r>
        <w:rPr/>
        <w:t> court’s decision portrays the intellectual struggle in trying to accommodate the contractual process of appraisal with the strict statutory requirements of formal</w:t>
      </w:r>
      <w:r>
        <w:rPr>
          <w:spacing w:val="-5"/>
        </w:rPr>
        <w:t> </w:t>
      </w:r>
      <w:r>
        <w:rPr/>
        <w:t>arbitration.</w:t>
      </w:r>
      <w:r>
        <w:rPr>
          <w:vertAlign w:val="superscript"/>
        </w:rPr>
        <w:t>835</w:t>
      </w:r>
    </w:p>
    <w:p>
      <w:pPr>
        <w:pStyle w:val="BodyText"/>
        <w:spacing w:before="8"/>
        <w:rPr>
          <w:sz w:val="24"/>
        </w:rPr>
      </w:pPr>
    </w:p>
    <w:p>
      <w:pPr>
        <w:pStyle w:val="BodyText"/>
        <w:spacing w:line="242" w:lineRule="auto"/>
        <w:ind w:left="1520" w:right="1518" w:firstLine="720"/>
        <w:jc w:val="both"/>
      </w:pPr>
      <w:r>
        <w:rPr>
          <w:spacing w:val="3"/>
        </w:rPr>
        <w:t>It</w:t>
      </w:r>
      <w:r>
        <w:rPr>
          <w:spacing w:val="-27"/>
        </w:rPr>
        <w:t> </w:t>
      </w:r>
      <w:r>
        <w:rPr/>
        <w:t>is</w:t>
      </w:r>
      <w:r>
        <w:rPr>
          <w:spacing w:val="-24"/>
        </w:rPr>
        <w:t> </w:t>
      </w:r>
      <w:r>
        <w:rPr/>
        <w:t>generally</w:t>
      </w:r>
      <w:r>
        <w:rPr>
          <w:spacing w:val="-24"/>
        </w:rPr>
        <w:t> </w:t>
      </w:r>
      <w:r>
        <w:rPr/>
        <w:t>held</w:t>
      </w:r>
      <w:r>
        <w:rPr>
          <w:spacing w:val="-23"/>
        </w:rPr>
        <w:t> </w:t>
      </w:r>
      <w:r>
        <w:rPr/>
        <w:t>that</w:t>
      </w:r>
      <w:r>
        <w:rPr>
          <w:spacing w:val="-26"/>
        </w:rPr>
        <w:t> </w:t>
      </w:r>
      <w:r>
        <w:rPr/>
        <w:t>in</w:t>
      </w:r>
      <w:r>
        <w:rPr>
          <w:spacing w:val="-24"/>
        </w:rPr>
        <w:t> </w:t>
      </w:r>
      <w:r>
        <w:rPr/>
        <w:t>determining</w:t>
      </w:r>
      <w:r>
        <w:rPr>
          <w:spacing w:val="-24"/>
        </w:rPr>
        <w:t> </w:t>
      </w:r>
      <w:r>
        <w:rPr/>
        <w:t>the loss under a Standard Fire Policy the</w:t>
      </w:r>
      <w:r>
        <w:rPr>
          <w:spacing w:val="-12"/>
        </w:rPr>
        <w:t> </w:t>
      </w:r>
      <w:r>
        <w:rPr/>
        <w:t>appraisal team may proceed in such a manner as </w:t>
      </w:r>
      <w:r>
        <w:rPr>
          <w:spacing w:val="-5"/>
        </w:rPr>
        <w:t>they </w:t>
      </w:r>
      <w:r>
        <w:rPr/>
        <w:t>think proper and are not bound by the strict rules of judicial investigation.</w:t>
      </w:r>
      <w:r>
        <w:rPr>
          <w:vertAlign w:val="superscript"/>
        </w:rPr>
        <w:t>836</w:t>
      </w:r>
      <w:r>
        <w:rPr>
          <w:vertAlign w:val="baseline"/>
        </w:rPr>
        <w:t> </w:t>
      </w:r>
      <w:r>
        <w:rPr>
          <w:spacing w:val="2"/>
          <w:vertAlign w:val="baseline"/>
        </w:rPr>
        <w:t>An </w:t>
      </w:r>
      <w:r>
        <w:rPr>
          <w:spacing w:val="-4"/>
          <w:vertAlign w:val="baseline"/>
        </w:rPr>
        <w:t>appraisal </w:t>
      </w:r>
      <w:r>
        <w:rPr>
          <w:vertAlign w:val="baseline"/>
        </w:rPr>
        <w:t>proceeding</w:t>
      </w:r>
      <w:r>
        <w:rPr>
          <w:spacing w:val="-28"/>
          <w:vertAlign w:val="baseline"/>
        </w:rPr>
        <w:t> </w:t>
      </w:r>
      <w:r>
        <w:rPr>
          <w:vertAlign w:val="baseline"/>
        </w:rPr>
        <w:t>is</w:t>
      </w:r>
      <w:r>
        <w:rPr>
          <w:spacing w:val="-26"/>
          <w:vertAlign w:val="baseline"/>
        </w:rPr>
        <w:t> </w:t>
      </w:r>
      <w:r>
        <w:rPr>
          <w:vertAlign w:val="baseline"/>
        </w:rPr>
        <w:t>not</w:t>
      </w:r>
      <w:r>
        <w:rPr>
          <w:spacing w:val="-26"/>
          <w:vertAlign w:val="baseline"/>
        </w:rPr>
        <w:t> </w:t>
      </w:r>
      <w:r>
        <w:rPr>
          <w:vertAlign w:val="baseline"/>
        </w:rPr>
        <w:t>an</w:t>
      </w:r>
      <w:r>
        <w:rPr>
          <w:spacing w:val="-26"/>
          <w:vertAlign w:val="baseline"/>
        </w:rPr>
        <w:t> </w:t>
      </w:r>
      <w:r>
        <w:rPr>
          <w:vertAlign w:val="baseline"/>
        </w:rPr>
        <w:t>ordinary</w:t>
      </w:r>
      <w:r>
        <w:rPr>
          <w:spacing w:val="-30"/>
          <w:vertAlign w:val="baseline"/>
        </w:rPr>
        <w:t> </w:t>
      </w:r>
      <w:r>
        <w:rPr>
          <w:vertAlign w:val="baseline"/>
        </w:rPr>
        <w:t>arbitration.</w:t>
      </w:r>
      <w:r>
        <w:rPr>
          <w:spacing w:val="14"/>
          <w:vertAlign w:val="baseline"/>
        </w:rPr>
        <w:t> </w:t>
      </w:r>
      <w:r>
        <w:rPr>
          <w:spacing w:val="3"/>
          <w:vertAlign w:val="baseline"/>
        </w:rPr>
        <w:t>It</w:t>
      </w:r>
      <w:r>
        <w:rPr>
          <w:spacing w:val="-31"/>
          <w:vertAlign w:val="baseline"/>
        </w:rPr>
        <w:t> </w:t>
      </w:r>
      <w:r>
        <w:rPr>
          <w:vertAlign w:val="baseline"/>
        </w:rPr>
        <w:t>has</w:t>
      </w:r>
    </w:p>
    <w:p>
      <w:pPr>
        <w:pStyle w:val="BodyText"/>
        <w:spacing w:before="6"/>
        <w:rPr>
          <w:sz w:val="17"/>
        </w:rPr>
      </w:pPr>
      <w:r>
        <w:rPr/>
        <w:pict>
          <v:shape style="position:absolute;margin-left:162pt;margin-top:13.160078pt;width:143.9pt;height:.1pt;mso-position-horizontal-relative:page;mso-position-vertical-relative:paragraph;z-index:-251649024;mso-wrap-distance-left:0;mso-wrap-distance-right:0" coordorigin="3240,263" coordsize="2878,0" path="m3240,263l6118,26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4"/>
        </w:numPr>
        <w:tabs>
          <w:tab w:pos="1421" w:val="left" w:leader="none"/>
        </w:tabs>
        <w:spacing w:line="254" w:lineRule="exact" w:before="71" w:after="0"/>
        <w:ind w:left="1421" w:right="0" w:hanging="261"/>
        <w:jc w:val="left"/>
        <w:rPr>
          <w:sz w:val="14"/>
        </w:rPr>
      </w:pPr>
      <w:r>
        <w:rPr>
          <w:sz w:val="18"/>
          <w:u w:val="single"/>
        </w:rPr>
        <w:t>Vandrilla v. Middlesex Mut. Assur. Co</w:t>
      </w:r>
      <w:r>
        <w:rPr>
          <w:sz w:val="18"/>
        </w:rPr>
        <w:t>., 1994 WL 668756 (Conn. Super. Ct.</w:t>
      </w:r>
      <w:r>
        <w:rPr>
          <w:spacing w:val="3"/>
          <w:sz w:val="18"/>
        </w:rPr>
        <w:t> </w:t>
      </w:r>
      <w:r>
        <w:rPr>
          <w:sz w:val="18"/>
        </w:rPr>
        <w:t>1994)</w:t>
      </w:r>
      <w:r>
        <w:rPr>
          <w:sz w:val="24"/>
        </w:rPr>
        <w:t>.</w:t>
      </w:r>
    </w:p>
    <w:p>
      <w:pPr>
        <w:spacing w:line="241" w:lineRule="exact" w:before="0"/>
        <w:ind w:left="1160" w:right="0" w:firstLine="0"/>
        <w:jc w:val="left"/>
        <w:rPr>
          <w:rFonts w:ascii="Times New Roman" w:hAnsi="Times New Roman"/>
          <w:sz w:val="18"/>
        </w:rPr>
      </w:pPr>
      <w:r>
        <w:rPr>
          <w:rFonts w:ascii="Times New Roman" w:hAnsi="Times New Roman"/>
          <w:position w:val="10"/>
          <w:sz w:val="14"/>
        </w:rPr>
        <w:t>834 </w:t>
      </w:r>
      <w:r>
        <w:rPr>
          <w:rFonts w:ascii="Times New Roman" w:hAnsi="Times New Roman"/>
          <w:sz w:val="18"/>
        </w:rPr>
        <w:t>Cal. Civ. Proc. §1281.9.</w:t>
      </w:r>
    </w:p>
    <w:p>
      <w:pPr>
        <w:pStyle w:val="ListParagraph"/>
        <w:numPr>
          <w:ilvl w:val="0"/>
          <w:numId w:val="5"/>
        </w:numPr>
        <w:tabs>
          <w:tab w:pos="1418" w:val="left" w:leader="none"/>
        </w:tabs>
        <w:spacing w:line="240" w:lineRule="auto" w:before="1" w:after="0"/>
        <w:ind w:left="1418" w:right="0" w:hanging="258"/>
        <w:jc w:val="left"/>
        <w:rPr>
          <w:sz w:val="18"/>
        </w:rPr>
      </w:pPr>
      <w:r>
        <w:rPr>
          <w:sz w:val="18"/>
          <w:u w:val="single"/>
        </w:rPr>
        <w:t>Vandrilla</w:t>
      </w:r>
      <w:r>
        <w:rPr>
          <w:sz w:val="18"/>
        </w:rPr>
        <w:t>,</w:t>
      </w:r>
      <w:r>
        <w:rPr>
          <w:spacing w:val="-16"/>
          <w:sz w:val="18"/>
        </w:rPr>
        <w:t> </w:t>
      </w:r>
      <w:r>
        <w:rPr>
          <w:i/>
          <w:sz w:val="18"/>
        </w:rPr>
        <w:t>supra</w:t>
      </w:r>
      <w:r>
        <w:rPr>
          <w:sz w:val="18"/>
        </w:rPr>
        <w:t>;</w:t>
      </w:r>
      <w:r>
        <w:rPr>
          <w:spacing w:val="-15"/>
          <w:sz w:val="18"/>
        </w:rPr>
        <w:t> </w:t>
      </w:r>
      <w:r>
        <w:rPr>
          <w:sz w:val="18"/>
          <w:u w:val="single"/>
        </w:rPr>
        <w:t>Hartford</w:t>
      </w:r>
      <w:r>
        <w:rPr>
          <w:spacing w:val="-13"/>
          <w:sz w:val="18"/>
          <w:u w:val="single"/>
        </w:rPr>
        <w:t> </w:t>
      </w:r>
      <w:r>
        <w:rPr>
          <w:sz w:val="18"/>
          <w:u w:val="single"/>
        </w:rPr>
        <w:t>Lloyds</w:t>
      </w:r>
      <w:r>
        <w:rPr>
          <w:spacing w:val="-16"/>
          <w:sz w:val="18"/>
          <w:u w:val="single"/>
        </w:rPr>
        <w:t> </w:t>
      </w:r>
      <w:r>
        <w:rPr>
          <w:sz w:val="18"/>
          <w:u w:val="single"/>
        </w:rPr>
        <w:t>Ins.</w:t>
      </w:r>
      <w:r>
        <w:rPr>
          <w:spacing w:val="-14"/>
          <w:sz w:val="18"/>
          <w:u w:val="single"/>
        </w:rPr>
        <w:t> </w:t>
      </w:r>
      <w:r>
        <w:rPr>
          <w:sz w:val="18"/>
          <w:u w:val="single"/>
        </w:rPr>
        <w:t>Co.</w:t>
      </w:r>
      <w:r>
        <w:rPr>
          <w:spacing w:val="-14"/>
          <w:sz w:val="18"/>
          <w:u w:val="single"/>
        </w:rPr>
        <w:t> </w:t>
      </w:r>
      <w:r>
        <w:rPr>
          <w:sz w:val="18"/>
          <w:u w:val="single"/>
        </w:rPr>
        <w:t>v.</w:t>
      </w:r>
      <w:r>
        <w:rPr>
          <w:spacing w:val="-14"/>
          <w:sz w:val="18"/>
          <w:u w:val="single"/>
        </w:rPr>
        <w:t> </w:t>
      </w:r>
      <w:r>
        <w:rPr>
          <w:sz w:val="18"/>
          <w:u w:val="single"/>
        </w:rPr>
        <w:t>Teachworth</w:t>
      </w:r>
      <w:r>
        <w:rPr>
          <w:sz w:val="18"/>
        </w:rPr>
        <w:t>,</w:t>
      </w:r>
      <w:r>
        <w:rPr>
          <w:spacing w:val="-13"/>
          <w:sz w:val="18"/>
        </w:rPr>
        <w:t> </w:t>
      </w:r>
      <w:r>
        <w:rPr>
          <w:sz w:val="18"/>
        </w:rPr>
        <w:t>898</w:t>
      </w:r>
      <w:r>
        <w:rPr>
          <w:spacing w:val="-13"/>
          <w:sz w:val="18"/>
        </w:rPr>
        <w:t> </w:t>
      </w:r>
      <w:r>
        <w:rPr>
          <w:sz w:val="18"/>
        </w:rPr>
        <w:t>F.2d</w:t>
      </w:r>
      <w:r>
        <w:rPr>
          <w:spacing w:val="-13"/>
          <w:sz w:val="18"/>
        </w:rPr>
        <w:t> </w:t>
      </w:r>
      <w:r>
        <w:rPr>
          <w:sz w:val="18"/>
        </w:rPr>
        <w:t>1058</w:t>
      </w:r>
      <w:r>
        <w:rPr>
          <w:spacing w:val="-14"/>
          <w:sz w:val="18"/>
        </w:rPr>
        <w:t> </w:t>
      </w:r>
      <w:r>
        <w:rPr>
          <w:sz w:val="18"/>
        </w:rPr>
        <w:t>(5</w:t>
      </w:r>
      <w:r>
        <w:rPr>
          <w:position w:val="7"/>
          <w:sz w:val="10"/>
        </w:rPr>
        <w:t>th</w:t>
      </w:r>
      <w:r>
        <w:rPr>
          <w:spacing w:val="8"/>
          <w:position w:val="7"/>
          <w:sz w:val="10"/>
        </w:rPr>
        <w:t> </w:t>
      </w:r>
      <w:r>
        <w:rPr>
          <w:sz w:val="18"/>
        </w:rPr>
        <w:t>Cir.</w:t>
      </w:r>
      <w:r>
        <w:rPr>
          <w:spacing w:val="-13"/>
          <w:sz w:val="18"/>
        </w:rPr>
        <w:t> </w:t>
      </w:r>
      <w:r>
        <w:rPr>
          <w:sz w:val="18"/>
        </w:rPr>
        <w:t>1990).</w:t>
      </w:r>
    </w:p>
    <w:p>
      <w:pPr>
        <w:pStyle w:val="ListParagraph"/>
        <w:numPr>
          <w:ilvl w:val="0"/>
          <w:numId w:val="5"/>
        </w:numPr>
        <w:tabs>
          <w:tab w:pos="1435" w:val="left" w:leader="none"/>
        </w:tabs>
        <w:spacing w:line="240" w:lineRule="auto" w:before="12" w:after="0"/>
        <w:ind w:left="1434" w:right="0" w:hanging="275"/>
        <w:jc w:val="left"/>
        <w:rPr>
          <w:sz w:val="18"/>
        </w:rPr>
      </w:pPr>
      <w:r>
        <w:rPr>
          <w:sz w:val="18"/>
          <w:u w:val="single"/>
        </w:rPr>
        <w:t>American Steel Co. v. German American Fire Ins. Co.</w:t>
      </w:r>
      <w:r>
        <w:rPr>
          <w:sz w:val="18"/>
        </w:rPr>
        <w:t>, 187 F.730 (3d Cir. 1911).</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398" w:id="12"/>
      <w:bookmarkEnd w:id="12"/>
      <w:r>
        <w:rPr/>
      </w:r>
      <w:r>
        <w:rPr/>
        <w:t>been </w:t>
      </w:r>
      <w:r>
        <w:rPr>
          <w:spacing w:val="2"/>
        </w:rPr>
        <w:t>said </w:t>
      </w:r>
      <w:r>
        <w:rPr/>
        <w:t>an </w:t>
      </w:r>
      <w:r>
        <w:rPr>
          <w:spacing w:val="2"/>
        </w:rPr>
        <w:t>appraisal is </w:t>
      </w:r>
      <w:r>
        <w:rPr/>
        <w:t>strictly an ascertainment, in a particular manner, of the amount of the loss, made by </w:t>
      </w:r>
      <w:r>
        <w:rPr>
          <w:spacing w:val="-3"/>
        </w:rPr>
        <w:t>two </w:t>
      </w:r>
      <w:r>
        <w:rPr/>
        <w:t>or</w:t>
      </w:r>
      <w:r>
        <w:rPr>
          <w:spacing w:val="55"/>
        </w:rPr>
        <w:t> </w:t>
      </w:r>
      <w:r>
        <w:rPr/>
        <w:t>three parties as the case may be in which they act on</w:t>
      </w:r>
      <w:r>
        <w:rPr>
          <w:spacing w:val="-29"/>
        </w:rPr>
        <w:t> </w:t>
      </w:r>
      <w:r>
        <w:rPr/>
        <w:t>their</w:t>
      </w:r>
      <w:r>
        <w:rPr>
          <w:spacing w:val="-32"/>
        </w:rPr>
        <w:t> </w:t>
      </w:r>
      <w:r>
        <w:rPr/>
        <w:t>own</w:t>
      </w:r>
      <w:r>
        <w:rPr>
          <w:spacing w:val="-29"/>
        </w:rPr>
        <w:t> </w:t>
      </w:r>
      <w:r>
        <w:rPr/>
        <w:t>judgment</w:t>
      </w:r>
      <w:r>
        <w:rPr>
          <w:spacing w:val="-35"/>
        </w:rPr>
        <w:t> </w:t>
      </w:r>
      <w:r>
        <w:rPr/>
        <w:t>with</w:t>
      </w:r>
      <w:r>
        <w:rPr>
          <w:spacing w:val="-29"/>
        </w:rPr>
        <w:t> </w:t>
      </w:r>
      <w:r>
        <w:rPr/>
        <w:t>such</w:t>
      </w:r>
      <w:r>
        <w:rPr>
          <w:spacing w:val="-28"/>
        </w:rPr>
        <w:t> </w:t>
      </w:r>
      <w:r>
        <w:rPr/>
        <w:t>information</w:t>
      </w:r>
      <w:r>
        <w:rPr>
          <w:spacing w:val="-29"/>
        </w:rPr>
        <w:t> </w:t>
      </w:r>
      <w:r>
        <w:rPr/>
        <w:t>as they may obtain in an informal way and in which the appraiser chosen by each party is supposed and expected in a restricted sense to represent the party appointing him and within reasonable limits to see to it that no legitimate</w:t>
      </w:r>
      <w:r>
        <w:rPr>
          <w:spacing w:val="-34"/>
        </w:rPr>
        <w:t> </w:t>
      </w:r>
      <w:r>
        <w:rPr/>
        <w:t>consideration</w:t>
      </w:r>
      <w:r>
        <w:rPr>
          <w:spacing w:val="-30"/>
        </w:rPr>
        <w:t> </w:t>
      </w:r>
      <w:r>
        <w:rPr/>
        <w:t>favorable</w:t>
      </w:r>
      <w:r>
        <w:rPr>
          <w:spacing w:val="-30"/>
        </w:rPr>
        <w:t> </w:t>
      </w:r>
      <w:r>
        <w:rPr/>
        <w:t>to</w:t>
      </w:r>
      <w:r>
        <w:rPr>
          <w:spacing w:val="-33"/>
        </w:rPr>
        <w:t> </w:t>
      </w:r>
      <w:r>
        <w:rPr/>
        <w:t>the</w:t>
      </w:r>
      <w:r>
        <w:rPr>
          <w:spacing w:val="-32"/>
        </w:rPr>
        <w:t> </w:t>
      </w:r>
      <w:r>
        <w:rPr/>
        <w:t>party so appointing him is overlooked by the other appraiser.</w:t>
      </w:r>
      <w:r>
        <w:rPr>
          <w:vertAlign w:val="superscript"/>
        </w:rPr>
        <w:t>837</w:t>
      </w:r>
      <w:r>
        <w:rPr>
          <w:vertAlign w:val="baseline"/>
        </w:rPr>
        <w:t> The umpire should not only </w:t>
      </w:r>
      <w:r>
        <w:rPr>
          <w:spacing w:val="-19"/>
          <w:vertAlign w:val="baseline"/>
        </w:rPr>
        <w:t>be </w:t>
      </w:r>
      <w:r>
        <w:rPr>
          <w:vertAlign w:val="baseline"/>
        </w:rPr>
        <w:t>competent, but fair and unprejudiced as between the parties to the</w:t>
      </w:r>
      <w:r>
        <w:rPr>
          <w:spacing w:val="-11"/>
          <w:vertAlign w:val="baseline"/>
        </w:rPr>
        <w:t> </w:t>
      </w:r>
      <w:r>
        <w:rPr>
          <w:vertAlign w:val="baseline"/>
        </w:rPr>
        <w:t>award.</w:t>
      </w:r>
    </w:p>
    <w:p>
      <w:pPr>
        <w:pStyle w:val="BodyText"/>
        <w:spacing w:before="9"/>
        <w:rPr>
          <w:sz w:val="25"/>
        </w:rPr>
      </w:pPr>
    </w:p>
    <w:p>
      <w:pPr>
        <w:pStyle w:val="BodyText"/>
        <w:spacing w:line="242" w:lineRule="auto"/>
        <w:ind w:left="1520" w:right="1521" w:firstLine="720"/>
        <w:jc w:val="both"/>
      </w:pPr>
      <w:r>
        <w:rPr>
          <w:spacing w:val="3"/>
        </w:rPr>
        <w:t>It</w:t>
      </w:r>
      <w:r>
        <w:rPr>
          <w:spacing w:val="-20"/>
        </w:rPr>
        <w:t> </w:t>
      </w:r>
      <w:r>
        <w:rPr/>
        <w:t>was</w:t>
      </w:r>
      <w:r>
        <w:rPr>
          <w:spacing w:val="-17"/>
        </w:rPr>
        <w:t> </w:t>
      </w:r>
      <w:r>
        <w:rPr/>
        <w:t>the</w:t>
      </w:r>
      <w:r>
        <w:rPr>
          <w:spacing w:val="-19"/>
        </w:rPr>
        <w:t> </w:t>
      </w:r>
      <w:r>
        <w:rPr/>
        <w:t>duty</w:t>
      </w:r>
      <w:r>
        <w:rPr>
          <w:spacing w:val="-20"/>
        </w:rPr>
        <w:t> </w:t>
      </w:r>
      <w:r>
        <w:rPr/>
        <w:t>of</w:t>
      </w:r>
      <w:r>
        <w:rPr>
          <w:spacing w:val="-17"/>
        </w:rPr>
        <w:t> </w:t>
      </w:r>
      <w:r>
        <w:rPr/>
        <w:t>each</w:t>
      </w:r>
      <w:r>
        <w:rPr>
          <w:spacing w:val="-16"/>
        </w:rPr>
        <w:t> </w:t>
      </w:r>
      <w:r>
        <w:rPr/>
        <w:t>party’s</w:t>
      </w:r>
      <w:r>
        <w:rPr>
          <w:spacing w:val="40"/>
        </w:rPr>
        <w:t> </w:t>
      </w:r>
      <w:r>
        <w:rPr/>
        <w:t>appraiser to</w:t>
      </w:r>
      <w:r>
        <w:rPr>
          <w:spacing w:val="-22"/>
        </w:rPr>
        <w:t> </w:t>
      </w:r>
      <w:r>
        <w:rPr/>
        <w:t>consult</w:t>
      </w:r>
      <w:r>
        <w:rPr>
          <w:spacing w:val="-21"/>
        </w:rPr>
        <w:t> </w:t>
      </w:r>
      <w:r>
        <w:rPr/>
        <w:t>together</w:t>
      </w:r>
      <w:r>
        <w:rPr>
          <w:spacing w:val="-25"/>
        </w:rPr>
        <w:t> </w:t>
      </w:r>
      <w:r>
        <w:rPr/>
        <w:t>and</w:t>
      </w:r>
      <w:r>
        <w:rPr>
          <w:spacing w:val="-23"/>
        </w:rPr>
        <w:t> </w:t>
      </w:r>
      <w:r>
        <w:rPr/>
        <w:t>if</w:t>
      </w:r>
      <w:r>
        <w:rPr>
          <w:spacing w:val="-24"/>
        </w:rPr>
        <w:t> </w:t>
      </w:r>
      <w:r>
        <w:rPr/>
        <w:t>they</w:t>
      </w:r>
      <w:r>
        <w:rPr>
          <w:spacing w:val="-26"/>
        </w:rPr>
        <w:t> </w:t>
      </w:r>
      <w:r>
        <w:rPr/>
        <w:t>do</w:t>
      </w:r>
      <w:r>
        <w:rPr>
          <w:spacing w:val="-23"/>
        </w:rPr>
        <w:t> </w:t>
      </w:r>
      <w:r>
        <w:rPr/>
        <w:t>not</w:t>
      </w:r>
      <w:r>
        <w:rPr>
          <w:spacing w:val="-22"/>
        </w:rPr>
        <w:t> </w:t>
      </w:r>
      <w:r>
        <w:rPr/>
        <w:t>agree,</w:t>
      </w:r>
      <w:r>
        <w:rPr>
          <w:spacing w:val="-24"/>
        </w:rPr>
        <w:t> </w:t>
      </w:r>
      <w:r>
        <w:rPr>
          <w:spacing w:val="-8"/>
        </w:rPr>
        <w:t>to </w:t>
      </w:r>
      <w:r>
        <w:rPr/>
        <w:t>call on the umpire, whose function it is to deliberate</w:t>
      </w:r>
      <w:r>
        <w:rPr>
          <w:spacing w:val="-27"/>
        </w:rPr>
        <w:t> </w:t>
      </w:r>
      <w:r>
        <w:rPr/>
        <w:t>with</w:t>
      </w:r>
      <w:r>
        <w:rPr>
          <w:spacing w:val="-26"/>
        </w:rPr>
        <w:t> </w:t>
      </w:r>
      <w:r>
        <w:rPr/>
        <w:t>them.</w:t>
      </w:r>
      <w:r>
        <w:rPr>
          <w:spacing w:val="16"/>
        </w:rPr>
        <w:t> </w:t>
      </w:r>
      <w:r>
        <w:rPr>
          <w:spacing w:val="3"/>
        </w:rPr>
        <w:t>It</w:t>
      </w:r>
      <w:r>
        <w:rPr>
          <w:spacing w:val="-28"/>
        </w:rPr>
        <w:t> </w:t>
      </w:r>
      <w:r>
        <w:rPr/>
        <w:t>is</w:t>
      </w:r>
      <w:r>
        <w:rPr>
          <w:spacing w:val="-26"/>
        </w:rPr>
        <w:t> </w:t>
      </w:r>
      <w:r>
        <w:rPr/>
        <w:t>improper</w:t>
      </w:r>
      <w:r>
        <w:rPr>
          <w:spacing w:val="18"/>
        </w:rPr>
        <w:t> </w:t>
      </w:r>
      <w:r>
        <w:rPr/>
        <w:t>to</w:t>
      </w:r>
      <w:r>
        <w:rPr>
          <w:spacing w:val="-26"/>
        </w:rPr>
        <w:t> </w:t>
      </w:r>
      <w:r>
        <w:rPr/>
        <w:t>consider evidence or information not submitted to the others.</w:t>
      </w:r>
      <w:r>
        <w:rPr>
          <w:vertAlign w:val="superscript"/>
        </w:rPr>
        <w:t>838</w:t>
      </w:r>
    </w:p>
    <w:p>
      <w:pPr>
        <w:pStyle w:val="BodyText"/>
        <w:spacing w:before="1"/>
      </w:pPr>
    </w:p>
    <w:p>
      <w:pPr>
        <w:pStyle w:val="BodyText"/>
        <w:spacing w:line="242" w:lineRule="auto"/>
        <w:ind w:left="1520" w:right="1518" w:firstLine="720"/>
        <w:jc w:val="both"/>
      </w:pPr>
      <w:r>
        <w:rPr/>
        <w:t>Except in a few states like Connecticut and</w:t>
      </w:r>
      <w:r>
        <w:rPr>
          <w:spacing w:val="-41"/>
        </w:rPr>
        <w:t> </w:t>
      </w:r>
      <w:r>
        <w:rPr/>
        <w:t>Massachusetts,</w:t>
      </w:r>
      <w:r>
        <w:rPr>
          <w:spacing w:val="-5"/>
        </w:rPr>
        <w:t> </w:t>
      </w:r>
      <w:r>
        <w:rPr/>
        <w:t>formal</w:t>
      </w:r>
      <w:r>
        <w:rPr>
          <w:spacing w:val="-38"/>
        </w:rPr>
        <w:t> </w:t>
      </w:r>
      <w:r>
        <w:rPr/>
        <w:t>hearings,</w:t>
      </w:r>
      <w:r>
        <w:rPr>
          <w:spacing w:val="-38"/>
        </w:rPr>
        <w:t> </w:t>
      </w:r>
      <w:r>
        <w:rPr/>
        <w:t>witnesses, cross</w:t>
      </w:r>
      <w:r>
        <w:rPr>
          <w:spacing w:val="-10"/>
        </w:rPr>
        <w:t> </w:t>
      </w:r>
      <w:r>
        <w:rPr/>
        <w:t>examination,</w:t>
      </w:r>
      <w:r>
        <w:rPr>
          <w:spacing w:val="-12"/>
        </w:rPr>
        <w:t> </w:t>
      </w:r>
      <w:r>
        <w:rPr/>
        <w:t>etc.</w:t>
      </w:r>
      <w:r>
        <w:rPr>
          <w:spacing w:val="-13"/>
        </w:rPr>
        <w:t> </w:t>
      </w:r>
      <w:r>
        <w:rPr/>
        <w:t>are</w:t>
      </w:r>
      <w:r>
        <w:rPr>
          <w:spacing w:val="-13"/>
        </w:rPr>
        <w:t> </w:t>
      </w:r>
      <w:r>
        <w:rPr/>
        <w:t>not</w:t>
      </w:r>
      <w:r>
        <w:rPr>
          <w:spacing w:val="-12"/>
        </w:rPr>
        <w:t> </w:t>
      </w:r>
      <w:r>
        <w:rPr/>
        <w:t>the</w:t>
      </w:r>
      <w:r>
        <w:rPr>
          <w:spacing w:val="-12"/>
        </w:rPr>
        <w:t> </w:t>
      </w:r>
      <w:r>
        <w:rPr/>
        <w:t>required</w:t>
      </w:r>
      <w:r>
        <w:rPr>
          <w:spacing w:val="-11"/>
        </w:rPr>
        <w:t> </w:t>
      </w:r>
      <w:r>
        <w:rPr/>
        <w:t>or usual</w:t>
      </w:r>
      <w:r>
        <w:rPr>
          <w:spacing w:val="-23"/>
        </w:rPr>
        <w:t> </w:t>
      </w:r>
      <w:r>
        <w:rPr/>
        <w:t>practice</w:t>
      </w:r>
      <w:r>
        <w:rPr>
          <w:spacing w:val="-25"/>
        </w:rPr>
        <w:t> </w:t>
      </w:r>
      <w:r>
        <w:rPr/>
        <w:t>in</w:t>
      </w:r>
      <w:r>
        <w:rPr>
          <w:spacing w:val="-25"/>
        </w:rPr>
        <w:t> </w:t>
      </w:r>
      <w:r>
        <w:rPr/>
        <w:t>appraisals.</w:t>
      </w:r>
      <w:r>
        <w:rPr>
          <w:spacing w:val="19"/>
        </w:rPr>
        <w:t> </w:t>
      </w:r>
      <w:r>
        <w:rPr/>
        <w:t>Appraisers</w:t>
      </w:r>
      <w:r>
        <w:rPr>
          <w:spacing w:val="-28"/>
        </w:rPr>
        <w:t> </w:t>
      </w:r>
      <w:r>
        <w:rPr/>
        <w:t>are</w:t>
      </w:r>
      <w:r>
        <w:rPr>
          <w:spacing w:val="-26"/>
        </w:rPr>
        <w:t> </w:t>
      </w:r>
      <w:r>
        <w:rPr/>
        <w:t>not bound to the strict judicial investigation of an arbitration,</w:t>
      </w:r>
      <w:r>
        <w:rPr>
          <w:spacing w:val="45"/>
        </w:rPr>
        <w:t> </w:t>
      </w:r>
      <w:r>
        <w:rPr/>
        <w:t>except</w:t>
      </w:r>
      <w:r>
        <w:rPr>
          <w:spacing w:val="44"/>
        </w:rPr>
        <w:t> </w:t>
      </w:r>
      <w:r>
        <w:rPr/>
        <w:t>in</w:t>
      </w:r>
      <w:r>
        <w:rPr>
          <w:spacing w:val="46"/>
        </w:rPr>
        <w:t> </w:t>
      </w:r>
      <w:r>
        <w:rPr/>
        <w:t>those</w:t>
      </w:r>
      <w:r>
        <w:rPr>
          <w:spacing w:val="45"/>
        </w:rPr>
        <w:t> </w:t>
      </w:r>
      <w:r>
        <w:rPr/>
        <w:t>states</w:t>
      </w:r>
      <w:r>
        <w:rPr>
          <w:spacing w:val="45"/>
        </w:rPr>
        <w:t> </w:t>
      </w:r>
      <w:r>
        <w:rPr/>
        <w:t>that</w:t>
      </w:r>
      <w:r>
        <w:rPr>
          <w:spacing w:val="43"/>
        </w:rPr>
        <w:t> </w:t>
      </w:r>
      <w:r>
        <w:rPr/>
        <w:t>have</w:t>
      </w:r>
    </w:p>
    <w:p>
      <w:pPr>
        <w:pStyle w:val="BodyText"/>
        <w:rPr>
          <w:sz w:val="20"/>
        </w:rPr>
      </w:pPr>
    </w:p>
    <w:p>
      <w:pPr>
        <w:pStyle w:val="BodyText"/>
        <w:spacing w:before="5"/>
        <w:rPr>
          <w:sz w:val="10"/>
        </w:rPr>
      </w:pPr>
      <w:r>
        <w:rPr/>
        <w:pict>
          <v:shape style="position:absolute;margin-left:162pt;margin-top:8.807944pt;width:143.9pt;height:.1pt;mso-position-horizontal-relative:page;mso-position-vertical-relative:paragraph;z-index:-251648000;mso-wrap-distance-left:0;mso-wrap-distance-right:0" coordorigin="3240,176" coordsize="2878,0" path="m3240,176l6118,17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1411" w:val="left" w:leader="none"/>
        </w:tabs>
        <w:spacing w:line="240" w:lineRule="auto" w:before="71" w:after="0"/>
        <w:ind w:left="1410" w:right="0" w:hanging="251"/>
        <w:jc w:val="left"/>
        <w:rPr>
          <w:sz w:val="18"/>
        </w:rPr>
      </w:pPr>
      <w:r>
        <w:rPr>
          <w:sz w:val="18"/>
          <w:u w:val="single"/>
        </w:rPr>
        <w:t>American Central Ins. Co. v. Landau</w:t>
      </w:r>
      <w:r>
        <w:rPr>
          <w:sz w:val="18"/>
        </w:rPr>
        <w:t>, 62 N.J. Eq. 73, 49 A.738 (Ch.</w:t>
      </w:r>
      <w:r>
        <w:rPr>
          <w:spacing w:val="-28"/>
          <w:sz w:val="18"/>
        </w:rPr>
        <w:t> </w:t>
      </w:r>
      <w:r>
        <w:rPr>
          <w:sz w:val="18"/>
        </w:rPr>
        <w:t>1907).</w:t>
      </w:r>
    </w:p>
    <w:p>
      <w:pPr>
        <w:pStyle w:val="ListParagraph"/>
        <w:numPr>
          <w:ilvl w:val="0"/>
          <w:numId w:val="5"/>
        </w:numPr>
        <w:tabs>
          <w:tab w:pos="1421" w:val="left" w:leader="none"/>
        </w:tabs>
        <w:spacing w:line="240" w:lineRule="auto" w:before="18" w:after="0"/>
        <w:ind w:left="1421" w:right="0" w:hanging="261"/>
        <w:jc w:val="left"/>
        <w:rPr>
          <w:sz w:val="24"/>
        </w:rPr>
      </w:pPr>
      <w:r>
        <w:rPr>
          <w:position w:val="-9"/>
          <w:sz w:val="18"/>
          <w:u w:val="single"/>
        </w:rPr>
        <w:t>Id</w:t>
      </w:r>
      <w:r>
        <w:rPr>
          <w:position w:val="-9"/>
          <w:sz w:val="24"/>
        </w:rPr>
        <w:t>.</w:t>
      </w:r>
    </w:p>
    <w:p>
      <w:pPr>
        <w:spacing w:after="0" w:line="240" w:lineRule="auto"/>
        <w:jc w:val="left"/>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399" w:id="13"/>
      <w:bookmarkEnd w:id="13"/>
      <w:r>
        <w:rPr/>
      </w:r>
      <w:r>
        <w:rPr/>
        <w:t>mandated otherwise by statute.</w:t>
      </w:r>
      <w:r>
        <w:rPr>
          <w:vertAlign w:val="superscript"/>
        </w:rPr>
        <w:t>839</w:t>
      </w:r>
    </w:p>
    <w:p>
      <w:pPr>
        <w:pStyle w:val="BodyText"/>
        <w:spacing w:before="6"/>
      </w:pPr>
    </w:p>
    <w:p>
      <w:pPr>
        <w:pStyle w:val="BodyText"/>
        <w:spacing w:line="242" w:lineRule="auto"/>
        <w:ind w:left="1520" w:right="1518" w:firstLine="720"/>
        <w:jc w:val="both"/>
      </w:pPr>
      <w:r>
        <w:rPr/>
        <w:t>In the more formalistic state of Connecticut for example, an undisclosed ex- parte conversation between a representative of the carrier and the umpire prior to the appraisal was deemed sufficient to constitute actual misconduct and the award was set aside pursuant to §52-418(a)(3) of the Connecticut General Statutes.</w:t>
      </w:r>
      <w:r>
        <w:rPr>
          <w:vertAlign w:val="superscript"/>
        </w:rPr>
        <w:t>840</w:t>
      </w:r>
    </w:p>
    <w:p>
      <w:pPr>
        <w:pStyle w:val="BodyText"/>
        <w:spacing w:before="12"/>
        <w:rPr>
          <w:sz w:val="25"/>
        </w:rPr>
      </w:pPr>
    </w:p>
    <w:p>
      <w:pPr>
        <w:pStyle w:val="BodyText"/>
        <w:spacing w:line="242" w:lineRule="auto"/>
        <w:ind w:left="1520" w:right="1518" w:firstLine="720"/>
        <w:jc w:val="both"/>
      </w:pPr>
      <w:r>
        <w:rPr/>
        <w:t>While</w:t>
      </w:r>
      <w:r>
        <w:rPr>
          <w:spacing w:val="-23"/>
        </w:rPr>
        <w:t> </w:t>
      </w:r>
      <w:r>
        <w:rPr/>
        <w:t>the</w:t>
      </w:r>
      <w:r>
        <w:rPr>
          <w:spacing w:val="-24"/>
        </w:rPr>
        <w:t> </w:t>
      </w:r>
      <w:r>
        <w:rPr/>
        <w:t>umpire</w:t>
      </w:r>
      <w:r>
        <w:rPr>
          <w:spacing w:val="-24"/>
        </w:rPr>
        <w:t> </w:t>
      </w:r>
      <w:r>
        <w:rPr/>
        <w:t>should</w:t>
      </w:r>
      <w:r>
        <w:rPr>
          <w:spacing w:val="-23"/>
        </w:rPr>
        <w:t> </w:t>
      </w:r>
      <w:r>
        <w:rPr/>
        <w:t>receive</w:t>
      </w:r>
      <w:r>
        <w:rPr>
          <w:spacing w:val="-27"/>
        </w:rPr>
        <w:t> </w:t>
      </w:r>
      <w:r>
        <w:rPr/>
        <w:t>all</w:t>
      </w:r>
      <w:r>
        <w:rPr>
          <w:spacing w:val="-23"/>
        </w:rPr>
        <w:t> </w:t>
      </w:r>
      <w:r>
        <w:rPr/>
        <w:t>of</w:t>
      </w:r>
      <w:r>
        <w:rPr>
          <w:spacing w:val="-23"/>
        </w:rPr>
        <w:t> </w:t>
      </w:r>
      <w:r>
        <w:rPr/>
        <w:t>the submissions, materials and evidence that </w:t>
      </w:r>
      <w:r>
        <w:rPr>
          <w:spacing w:val="-5"/>
        </w:rPr>
        <w:t>the </w:t>
      </w:r>
      <w:r>
        <w:rPr/>
        <w:t>appraisers had the opportunity to review, the parties</w:t>
      </w:r>
      <w:r>
        <w:rPr>
          <w:spacing w:val="-16"/>
        </w:rPr>
        <w:t> </w:t>
      </w:r>
      <w:r>
        <w:rPr/>
        <w:t>should</w:t>
      </w:r>
      <w:r>
        <w:rPr>
          <w:spacing w:val="-11"/>
        </w:rPr>
        <w:t> </w:t>
      </w:r>
      <w:r>
        <w:rPr/>
        <w:t>remain</w:t>
      </w:r>
      <w:r>
        <w:rPr>
          <w:spacing w:val="-13"/>
        </w:rPr>
        <w:t> </w:t>
      </w:r>
      <w:r>
        <w:rPr/>
        <w:t>focused</w:t>
      </w:r>
      <w:r>
        <w:rPr>
          <w:spacing w:val="-11"/>
        </w:rPr>
        <w:t> </w:t>
      </w:r>
      <w:r>
        <w:rPr/>
        <w:t>on</w:t>
      </w:r>
      <w:r>
        <w:rPr>
          <w:spacing w:val="-12"/>
        </w:rPr>
        <w:t> </w:t>
      </w:r>
      <w:r>
        <w:rPr/>
        <w:t>the</w:t>
      </w:r>
      <w:r>
        <w:rPr>
          <w:spacing w:val="-13"/>
        </w:rPr>
        <w:t> </w:t>
      </w:r>
      <w:r>
        <w:rPr/>
        <w:t>fact</w:t>
      </w:r>
      <w:r>
        <w:rPr>
          <w:spacing w:val="-16"/>
        </w:rPr>
        <w:t> </w:t>
      </w:r>
      <w:r>
        <w:rPr/>
        <w:t>that it</w:t>
      </w:r>
      <w:r>
        <w:rPr>
          <w:spacing w:val="-38"/>
        </w:rPr>
        <w:t> </w:t>
      </w:r>
      <w:r>
        <w:rPr/>
        <w:t>is</w:t>
      </w:r>
      <w:r>
        <w:rPr>
          <w:spacing w:val="-34"/>
        </w:rPr>
        <w:t> </w:t>
      </w:r>
      <w:r>
        <w:rPr/>
        <w:t>only</w:t>
      </w:r>
      <w:r>
        <w:rPr>
          <w:spacing w:val="-36"/>
        </w:rPr>
        <w:t> </w:t>
      </w:r>
      <w:r>
        <w:rPr/>
        <w:t>the</w:t>
      </w:r>
      <w:r>
        <w:rPr>
          <w:spacing w:val="-35"/>
        </w:rPr>
        <w:t> </w:t>
      </w:r>
      <w:r>
        <w:rPr/>
        <w:t>differences</w:t>
      </w:r>
      <w:r>
        <w:rPr>
          <w:spacing w:val="-34"/>
        </w:rPr>
        <w:t> </w:t>
      </w:r>
      <w:r>
        <w:rPr/>
        <w:t>between</w:t>
      </w:r>
      <w:r>
        <w:rPr>
          <w:spacing w:val="-35"/>
        </w:rPr>
        <w:t> </w:t>
      </w:r>
      <w:r>
        <w:rPr/>
        <w:t>the</w:t>
      </w:r>
      <w:r>
        <w:rPr>
          <w:spacing w:val="-35"/>
        </w:rPr>
        <w:t> </w:t>
      </w:r>
      <w:r>
        <w:rPr/>
        <w:t>appraisers that the umpire should rule on under</w:t>
      </w:r>
      <w:r>
        <w:rPr>
          <w:spacing w:val="59"/>
        </w:rPr>
        <w:t> </w:t>
      </w:r>
      <w:r>
        <w:rPr/>
        <w:t>most policies in most jurisdictions. </w:t>
      </w:r>
      <w:r>
        <w:rPr>
          <w:spacing w:val="2"/>
        </w:rPr>
        <w:t>In </w:t>
      </w:r>
      <w:r>
        <w:rPr/>
        <w:t>those situations where such language is contained within the policy,</w:t>
      </w:r>
      <w:r>
        <w:rPr>
          <w:spacing w:val="-19"/>
        </w:rPr>
        <w:t> </w:t>
      </w:r>
      <w:r>
        <w:rPr/>
        <w:t>it</w:t>
      </w:r>
      <w:r>
        <w:rPr>
          <w:spacing w:val="-17"/>
        </w:rPr>
        <w:t> </w:t>
      </w:r>
      <w:r>
        <w:rPr/>
        <w:t>represents</w:t>
      </w:r>
      <w:r>
        <w:rPr>
          <w:spacing w:val="-14"/>
        </w:rPr>
        <w:t> </w:t>
      </w:r>
      <w:r>
        <w:rPr/>
        <w:t>a</w:t>
      </w:r>
      <w:r>
        <w:rPr>
          <w:spacing w:val="-14"/>
        </w:rPr>
        <w:t> </w:t>
      </w:r>
      <w:r>
        <w:rPr/>
        <w:t>material</w:t>
      </w:r>
      <w:r>
        <w:rPr>
          <w:spacing w:val="-15"/>
        </w:rPr>
        <w:t> </w:t>
      </w:r>
      <w:r>
        <w:rPr/>
        <w:t>limitation</w:t>
      </w:r>
      <w:r>
        <w:rPr>
          <w:spacing w:val="-16"/>
        </w:rPr>
        <w:t> </w:t>
      </w:r>
      <w:r>
        <w:rPr/>
        <w:t>on</w:t>
      </w:r>
      <w:r>
        <w:rPr>
          <w:spacing w:val="-16"/>
        </w:rPr>
        <w:t> </w:t>
      </w:r>
      <w:r>
        <w:rPr/>
        <w:t>the umpire’s</w:t>
      </w:r>
      <w:r>
        <w:rPr>
          <w:spacing w:val="-28"/>
        </w:rPr>
        <w:t> </w:t>
      </w:r>
      <w:r>
        <w:rPr/>
        <w:t>authority.</w:t>
      </w:r>
      <w:r>
        <w:rPr>
          <w:spacing w:val="14"/>
        </w:rPr>
        <w:t> </w:t>
      </w:r>
      <w:r>
        <w:rPr/>
        <w:t>The</w:t>
      </w:r>
      <w:r>
        <w:rPr>
          <w:spacing w:val="-28"/>
        </w:rPr>
        <w:t> </w:t>
      </w:r>
      <w:r>
        <w:rPr/>
        <w:t>umpire</w:t>
      </w:r>
      <w:r>
        <w:rPr>
          <w:spacing w:val="-29"/>
        </w:rPr>
        <w:t> </w:t>
      </w:r>
      <w:r>
        <w:rPr/>
        <w:t>has</w:t>
      </w:r>
      <w:r>
        <w:rPr>
          <w:spacing w:val="-29"/>
        </w:rPr>
        <w:t> </w:t>
      </w:r>
      <w:r>
        <w:rPr/>
        <w:t>no</w:t>
      </w:r>
      <w:r>
        <w:rPr>
          <w:spacing w:val="-30"/>
        </w:rPr>
        <w:t> </w:t>
      </w:r>
      <w:r>
        <w:rPr/>
        <w:t>authority to</w:t>
      </w:r>
      <w:r>
        <w:rPr>
          <w:spacing w:val="-25"/>
        </w:rPr>
        <w:t> </w:t>
      </w:r>
      <w:r>
        <w:rPr/>
        <w:t>opine</w:t>
      </w:r>
      <w:r>
        <w:rPr>
          <w:spacing w:val="-24"/>
        </w:rPr>
        <w:t> </w:t>
      </w:r>
      <w:r>
        <w:rPr/>
        <w:t>in</w:t>
      </w:r>
      <w:r>
        <w:rPr>
          <w:spacing w:val="-23"/>
        </w:rPr>
        <w:t> </w:t>
      </w:r>
      <w:r>
        <w:rPr/>
        <w:t>those</w:t>
      </w:r>
      <w:r>
        <w:rPr>
          <w:spacing w:val="-23"/>
        </w:rPr>
        <w:t> </w:t>
      </w:r>
      <w:r>
        <w:rPr/>
        <w:t>areas</w:t>
      </w:r>
      <w:r>
        <w:rPr>
          <w:spacing w:val="-23"/>
        </w:rPr>
        <w:t> </w:t>
      </w:r>
      <w:r>
        <w:rPr/>
        <w:t>of</w:t>
      </w:r>
      <w:r>
        <w:rPr>
          <w:spacing w:val="-22"/>
        </w:rPr>
        <w:t> </w:t>
      </w:r>
      <w:r>
        <w:rPr/>
        <w:t>agreement</w:t>
      </w:r>
      <w:r>
        <w:rPr>
          <w:spacing w:val="-30"/>
        </w:rPr>
        <w:t> </w:t>
      </w:r>
      <w:r>
        <w:rPr/>
        <w:t>between the</w:t>
      </w:r>
      <w:r>
        <w:rPr>
          <w:spacing w:val="-2"/>
        </w:rPr>
        <w:t> </w:t>
      </w:r>
      <w:r>
        <w:rPr/>
        <w:t>appraisers.</w:t>
      </w:r>
    </w:p>
    <w:p>
      <w:pPr>
        <w:pStyle w:val="BodyText"/>
        <w:spacing w:before="10"/>
        <w:rPr>
          <w:sz w:val="25"/>
        </w:rPr>
      </w:pPr>
    </w:p>
    <w:p>
      <w:pPr>
        <w:pStyle w:val="BodyText"/>
        <w:spacing w:line="242" w:lineRule="auto" w:before="1"/>
        <w:ind w:left="1520" w:right="1519" w:firstLine="720"/>
        <w:jc w:val="both"/>
      </w:pPr>
      <w:r>
        <w:rPr>
          <w:spacing w:val="3"/>
        </w:rPr>
        <w:t>In </w:t>
      </w:r>
      <w:r>
        <w:rPr/>
        <w:t>an Ohio claim, although the umpire’s methods may have deviated from the procedures</w:t>
      </w:r>
      <w:r>
        <w:rPr>
          <w:spacing w:val="-31"/>
        </w:rPr>
        <w:t> </w:t>
      </w:r>
      <w:r>
        <w:rPr/>
        <w:t>the</w:t>
      </w:r>
      <w:r>
        <w:rPr>
          <w:spacing w:val="-31"/>
        </w:rPr>
        <w:t> </w:t>
      </w:r>
      <w:r>
        <w:rPr/>
        <w:t>insurer</w:t>
      </w:r>
      <w:r>
        <w:rPr>
          <w:spacing w:val="-34"/>
        </w:rPr>
        <w:t> </w:t>
      </w:r>
      <w:r>
        <w:rPr/>
        <w:t>was</w:t>
      </w:r>
      <w:r>
        <w:rPr>
          <w:spacing w:val="-32"/>
        </w:rPr>
        <w:t> </w:t>
      </w:r>
      <w:r>
        <w:rPr/>
        <w:t>accustomed</w:t>
      </w:r>
      <w:r>
        <w:rPr>
          <w:spacing w:val="-33"/>
        </w:rPr>
        <w:t> </w:t>
      </w:r>
      <w:r>
        <w:rPr/>
        <w:t>to,</w:t>
      </w:r>
      <w:r>
        <w:rPr>
          <w:spacing w:val="-35"/>
        </w:rPr>
        <w:t> </w:t>
      </w:r>
      <w:r>
        <w:rPr>
          <w:spacing w:val="-5"/>
        </w:rPr>
        <w:t>the </w:t>
      </w:r>
      <w:r>
        <w:rPr/>
        <w:t>umpire</w:t>
      </w:r>
      <w:r>
        <w:rPr>
          <w:spacing w:val="26"/>
        </w:rPr>
        <w:t> </w:t>
      </w:r>
      <w:r>
        <w:rPr/>
        <w:t>was</w:t>
      </w:r>
      <w:r>
        <w:rPr>
          <w:spacing w:val="30"/>
        </w:rPr>
        <w:t> </w:t>
      </w:r>
      <w:r>
        <w:rPr/>
        <w:t>well</w:t>
      </w:r>
      <w:r>
        <w:rPr>
          <w:spacing w:val="31"/>
        </w:rPr>
        <w:t> </w:t>
      </w:r>
      <w:r>
        <w:rPr/>
        <w:t>qualified,</w:t>
      </w:r>
      <w:r>
        <w:rPr>
          <w:spacing w:val="27"/>
        </w:rPr>
        <w:t> </w:t>
      </w:r>
      <w:r>
        <w:rPr/>
        <w:t>the</w:t>
      </w:r>
      <w:r>
        <w:rPr>
          <w:spacing w:val="29"/>
        </w:rPr>
        <w:t> </w:t>
      </w:r>
      <w:r>
        <w:rPr/>
        <w:t>umpire’s</w:t>
      </w:r>
    </w:p>
    <w:p>
      <w:pPr>
        <w:pStyle w:val="BodyText"/>
        <w:spacing w:before="1"/>
        <w:rPr>
          <w:sz w:val="28"/>
        </w:rPr>
      </w:pPr>
      <w:r>
        <w:rPr/>
        <w:pict>
          <v:shape style="position:absolute;margin-left:162pt;margin-top:19.653711pt;width:143.9pt;height:.1pt;mso-position-horizontal-relative:page;mso-position-vertical-relative:paragraph;z-index:-251646976;mso-wrap-distance-left:0;mso-wrap-distance-right:0" coordorigin="3240,393" coordsize="2878,0" path="m3240,393l6118,393e" filled="false" stroked="true" strokeweight=".84pt" strokecolor="#000000">
            <v:path arrowok="t"/>
            <v:stroke dashstyle="solid"/>
            <w10:wrap type="topAndBottom"/>
          </v:shape>
        </w:pict>
      </w:r>
    </w:p>
    <w:p>
      <w:pPr>
        <w:pStyle w:val="ListParagraph"/>
        <w:numPr>
          <w:ilvl w:val="0"/>
          <w:numId w:val="5"/>
        </w:numPr>
        <w:tabs>
          <w:tab w:pos="1421" w:val="left" w:leader="none"/>
        </w:tabs>
        <w:spacing w:line="244" w:lineRule="auto" w:before="140" w:after="0"/>
        <w:ind w:left="1160" w:right="1165" w:firstLine="0"/>
        <w:jc w:val="left"/>
        <w:rPr>
          <w:sz w:val="18"/>
        </w:rPr>
      </w:pPr>
      <w:r>
        <w:rPr>
          <w:sz w:val="18"/>
        </w:rPr>
        <w:t>For</w:t>
      </w:r>
      <w:r>
        <w:rPr>
          <w:spacing w:val="-2"/>
          <w:sz w:val="18"/>
        </w:rPr>
        <w:t> </w:t>
      </w:r>
      <w:r>
        <w:rPr>
          <w:sz w:val="18"/>
        </w:rPr>
        <w:t>example,</w:t>
      </w:r>
      <w:r>
        <w:rPr>
          <w:spacing w:val="-2"/>
          <w:sz w:val="18"/>
        </w:rPr>
        <w:t> </w:t>
      </w:r>
      <w:r>
        <w:rPr>
          <w:sz w:val="18"/>
        </w:rPr>
        <w:t>Massachusetts</w:t>
      </w:r>
      <w:r>
        <w:rPr>
          <w:spacing w:val="-2"/>
          <w:sz w:val="18"/>
        </w:rPr>
        <w:t> </w:t>
      </w:r>
      <w:r>
        <w:rPr>
          <w:sz w:val="18"/>
        </w:rPr>
        <w:t>has</w:t>
      </w:r>
      <w:r>
        <w:rPr>
          <w:spacing w:val="-4"/>
          <w:sz w:val="18"/>
        </w:rPr>
        <w:t> </w:t>
      </w:r>
      <w:r>
        <w:rPr>
          <w:sz w:val="18"/>
        </w:rPr>
        <w:t>adopted</w:t>
      </w:r>
      <w:r>
        <w:rPr>
          <w:spacing w:val="-3"/>
          <w:sz w:val="18"/>
        </w:rPr>
        <w:t> </w:t>
      </w:r>
      <w:r>
        <w:rPr>
          <w:sz w:val="18"/>
        </w:rPr>
        <w:t>a</w:t>
      </w:r>
      <w:r>
        <w:rPr>
          <w:spacing w:val="-4"/>
          <w:sz w:val="18"/>
        </w:rPr>
        <w:t> </w:t>
      </w:r>
      <w:r>
        <w:rPr>
          <w:sz w:val="18"/>
        </w:rPr>
        <w:t>more</w:t>
      </w:r>
      <w:r>
        <w:rPr>
          <w:spacing w:val="-5"/>
          <w:sz w:val="18"/>
        </w:rPr>
        <w:t> </w:t>
      </w:r>
      <w:r>
        <w:rPr>
          <w:sz w:val="18"/>
        </w:rPr>
        <w:t>formalistic</w:t>
      </w:r>
      <w:r>
        <w:rPr>
          <w:spacing w:val="-5"/>
          <w:sz w:val="18"/>
        </w:rPr>
        <w:t> </w:t>
      </w:r>
      <w:r>
        <w:rPr>
          <w:sz w:val="18"/>
        </w:rPr>
        <w:t>procedure</w:t>
      </w:r>
      <w:r>
        <w:rPr>
          <w:spacing w:val="-4"/>
          <w:sz w:val="18"/>
        </w:rPr>
        <w:t> </w:t>
      </w:r>
      <w:r>
        <w:rPr>
          <w:sz w:val="18"/>
        </w:rPr>
        <w:t>for</w:t>
      </w:r>
      <w:r>
        <w:rPr>
          <w:spacing w:val="-4"/>
          <w:sz w:val="18"/>
        </w:rPr>
        <w:t> </w:t>
      </w:r>
      <w:r>
        <w:rPr>
          <w:sz w:val="18"/>
        </w:rPr>
        <w:t>carrying</w:t>
      </w:r>
      <w:r>
        <w:rPr>
          <w:spacing w:val="-4"/>
          <w:sz w:val="18"/>
        </w:rPr>
        <w:t> </w:t>
      </w:r>
      <w:r>
        <w:rPr>
          <w:sz w:val="18"/>
        </w:rPr>
        <w:t>out the</w:t>
      </w:r>
      <w:r>
        <w:rPr>
          <w:spacing w:val="-18"/>
          <w:sz w:val="18"/>
        </w:rPr>
        <w:t> </w:t>
      </w:r>
      <w:r>
        <w:rPr>
          <w:sz w:val="18"/>
        </w:rPr>
        <w:t>appraisal</w:t>
      </w:r>
      <w:r>
        <w:rPr>
          <w:spacing w:val="-16"/>
          <w:sz w:val="18"/>
        </w:rPr>
        <w:t> </w:t>
      </w:r>
      <w:r>
        <w:rPr>
          <w:sz w:val="18"/>
        </w:rPr>
        <w:t>called</w:t>
      </w:r>
      <w:r>
        <w:rPr>
          <w:spacing w:val="-16"/>
          <w:sz w:val="18"/>
        </w:rPr>
        <w:t> </w:t>
      </w:r>
      <w:r>
        <w:rPr>
          <w:sz w:val="18"/>
        </w:rPr>
        <w:t>a</w:t>
      </w:r>
      <w:r>
        <w:rPr>
          <w:spacing w:val="-16"/>
          <w:sz w:val="18"/>
        </w:rPr>
        <w:t> </w:t>
      </w:r>
      <w:r>
        <w:rPr>
          <w:sz w:val="18"/>
        </w:rPr>
        <w:t>Reference</w:t>
      </w:r>
      <w:r>
        <w:rPr>
          <w:spacing w:val="-17"/>
          <w:sz w:val="18"/>
        </w:rPr>
        <w:t> </w:t>
      </w:r>
      <w:r>
        <w:rPr>
          <w:sz w:val="18"/>
        </w:rPr>
        <w:t>Proceeding.</w:t>
      </w:r>
      <w:r>
        <w:rPr>
          <w:spacing w:val="-17"/>
          <w:sz w:val="18"/>
        </w:rPr>
        <w:t> </w:t>
      </w:r>
      <w:r>
        <w:rPr>
          <w:sz w:val="18"/>
        </w:rPr>
        <w:t>Referees;</w:t>
      </w:r>
      <w:r>
        <w:rPr>
          <w:spacing w:val="-17"/>
          <w:sz w:val="18"/>
        </w:rPr>
        <w:t> </w:t>
      </w:r>
      <w:r>
        <w:rPr>
          <w:sz w:val="18"/>
        </w:rPr>
        <w:t>Selections,</w:t>
      </w:r>
      <w:r>
        <w:rPr>
          <w:spacing w:val="-15"/>
          <w:sz w:val="18"/>
        </w:rPr>
        <w:t> </w:t>
      </w:r>
      <w:r>
        <w:rPr>
          <w:sz w:val="18"/>
        </w:rPr>
        <w:t>Mass.</w:t>
      </w:r>
      <w:r>
        <w:rPr>
          <w:spacing w:val="-18"/>
          <w:sz w:val="18"/>
        </w:rPr>
        <w:t> </w:t>
      </w:r>
      <w:r>
        <w:rPr>
          <w:sz w:val="18"/>
        </w:rPr>
        <w:t>Gen.</w:t>
      </w:r>
      <w:r>
        <w:rPr>
          <w:spacing w:val="-15"/>
          <w:sz w:val="18"/>
        </w:rPr>
        <w:t> </w:t>
      </w:r>
      <w:r>
        <w:rPr>
          <w:sz w:val="18"/>
        </w:rPr>
        <w:t>Laws</w:t>
      </w:r>
      <w:r>
        <w:rPr>
          <w:spacing w:val="-17"/>
          <w:sz w:val="18"/>
        </w:rPr>
        <w:t> </w:t>
      </w:r>
      <w:r>
        <w:rPr>
          <w:sz w:val="18"/>
        </w:rPr>
        <w:t>Ch.</w:t>
      </w:r>
      <w:r>
        <w:rPr>
          <w:spacing w:val="-15"/>
          <w:sz w:val="18"/>
        </w:rPr>
        <w:t> </w:t>
      </w:r>
      <w:r>
        <w:rPr>
          <w:sz w:val="18"/>
        </w:rPr>
        <w:t>175</w:t>
      </w:r>
    </w:p>
    <w:p>
      <w:pPr>
        <w:spacing w:line="207" w:lineRule="exact" w:before="0"/>
        <w:ind w:left="1160" w:right="0" w:firstLine="0"/>
        <w:jc w:val="left"/>
        <w:rPr>
          <w:rFonts w:ascii="Times New Roman" w:hAnsi="Times New Roman"/>
          <w:sz w:val="18"/>
        </w:rPr>
      </w:pPr>
      <w:r>
        <w:rPr>
          <w:rFonts w:ascii="Times New Roman" w:hAnsi="Times New Roman"/>
          <w:sz w:val="18"/>
        </w:rPr>
        <w:t>§100</w:t>
      </w:r>
      <w:r>
        <w:rPr>
          <w:rFonts w:ascii="Times New Roman" w:hAnsi="Times New Roman"/>
          <w:spacing w:val="7"/>
          <w:sz w:val="18"/>
        </w:rPr>
        <w:t> </w:t>
      </w:r>
      <w:r>
        <w:rPr>
          <w:rFonts w:ascii="Times New Roman" w:hAnsi="Times New Roman"/>
          <w:sz w:val="18"/>
        </w:rPr>
        <w:t>(1977).</w:t>
      </w:r>
    </w:p>
    <w:p>
      <w:pPr>
        <w:pStyle w:val="ListParagraph"/>
        <w:numPr>
          <w:ilvl w:val="0"/>
          <w:numId w:val="5"/>
        </w:numPr>
        <w:tabs>
          <w:tab w:pos="1435" w:val="left" w:leader="none"/>
        </w:tabs>
        <w:spacing w:line="269" w:lineRule="exact" w:before="0" w:after="0"/>
        <w:ind w:left="1434" w:right="0" w:hanging="275"/>
        <w:jc w:val="left"/>
        <w:rPr>
          <w:sz w:val="18"/>
        </w:rPr>
      </w:pPr>
      <w:r>
        <w:rPr>
          <w:sz w:val="18"/>
          <w:u w:val="single"/>
        </w:rPr>
        <w:t>Gordon v. Amica Mut. Ins. Co.</w:t>
      </w:r>
      <w:r>
        <w:rPr>
          <w:sz w:val="18"/>
        </w:rPr>
        <w:t>, 2004 WL 2943244 (Conn. Super</w:t>
      </w:r>
      <w:r>
        <w:rPr>
          <w:spacing w:val="3"/>
          <w:sz w:val="18"/>
        </w:rPr>
        <w:t> </w:t>
      </w:r>
      <w:r>
        <w:rPr>
          <w:sz w:val="18"/>
        </w:rPr>
        <w:t>2004).</w:t>
      </w:r>
    </w:p>
    <w:p>
      <w:pPr>
        <w:spacing w:after="0" w:line="269"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00" w:id="14"/>
      <w:bookmarkEnd w:id="14"/>
      <w:r>
        <w:rPr/>
      </w:r>
      <w:r>
        <w:rPr/>
        <w:t>methods were within industry standards and the umpire’s placement of his dog in the insured’s fenced yard while the property was inspected did not demonstrate an improper personal relationship.</w:t>
      </w:r>
      <w:r>
        <w:rPr>
          <w:vertAlign w:val="superscript"/>
        </w:rPr>
        <w:t>841</w:t>
      </w:r>
      <w:r>
        <w:rPr>
          <w:vertAlign w:val="baseline"/>
        </w:rPr>
        <w:t> </w:t>
      </w:r>
      <w:r>
        <w:rPr>
          <w:spacing w:val="3"/>
          <w:vertAlign w:val="baseline"/>
        </w:rPr>
        <w:t>In </w:t>
      </w:r>
      <w:r>
        <w:rPr>
          <w:vertAlign w:val="baseline"/>
        </w:rPr>
        <w:t>attempting to </w:t>
      </w:r>
      <w:r>
        <w:rPr>
          <w:spacing w:val="-13"/>
          <w:vertAlign w:val="baseline"/>
        </w:rPr>
        <w:t>set </w:t>
      </w:r>
      <w:r>
        <w:rPr>
          <w:vertAlign w:val="baseline"/>
        </w:rPr>
        <w:t>aside an appraisal award, it was held that</w:t>
      </w:r>
      <w:r>
        <w:rPr>
          <w:spacing w:val="-34"/>
          <w:vertAlign w:val="baseline"/>
        </w:rPr>
        <w:t> </w:t>
      </w:r>
      <w:r>
        <w:rPr>
          <w:vertAlign w:val="baseline"/>
        </w:rPr>
        <w:t>the insurer</w:t>
      </w:r>
      <w:r>
        <w:rPr>
          <w:spacing w:val="-35"/>
          <w:vertAlign w:val="baseline"/>
        </w:rPr>
        <w:t> </w:t>
      </w:r>
      <w:r>
        <w:rPr>
          <w:vertAlign w:val="baseline"/>
        </w:rPr>
        <w:t>failed</w:t>
      </w:r>
      <w:r>
        <w:rPr>
          <w:spacing w:val="-32"/>
          <w:vertAlign w:val="baseline"/>
        </w:rPr>
        <w:t> </w:t>
      </w:r>
      <w:r>
        <w:rPr>
          <w:vertAlign w:val="baseline"/>
        </w:rPr>
        <w:t>to</w:t>
      </w:r>
      <w:r>
        <w:rPr>
          <w:spacing w:val="-33"/>
          <w:vertAlign w:val="baseline"/>
        </w:rPr>
        <w:t> </w:t>
      </w:r>
      <w:r>
        <w:rPr>
          <w:vertAlign w:val="baseline"/>
        </w:rPr>
        <w:t>demonstrate</w:t>
      </w:r>
      <w:r>
        <w:rPr>
          <w:spacing w:val="-33"/>
          <w:vertAlign w:val="baseline"/>
        </w:rPr>
        <w:t> </w:t>
      </w:r>
      <w:r>
        <w:rPr>
          <w:vertAlign w:val="baseline"/>
        </w:rPr>
        <w:t>“evident</w:t>
      </w:r>
      <w:r>
        <w:rPr>
          <w:spacing w:val="-34"/>
          <w:vertAlign w:val="baseline"/>
        </w:rPr>
        <w:t> </w:t>
      </w:r>
      <w:r>
        <w:rPr>
          <w:vertAlign w:val="baseline"/>
        </w:rPr>
        <w:t>partiality or corruption” as required to set aside an award.</w:t>
      </w:r>
    </w:p>
    <w:p>
      <w:pPr>
        <w:pStyle w:val="BodyText"/>
        <w:spacing w:before="11"/>
        <w:rPr>
          <w:sz w:val="25"/>
        </w:rPr>
      </w:pPr>
    </w:p>
    <w:p>
      <w:pPr>
        <w:pStyle w:val="BodyText"/>
        <w:spacing w:line="242" w:lineRule="auto"/>
        <w:ind w:left="1520" w:right="1519" w:firstLine="720"/>
        <w:jc w:val="both"/>
      </w:pPr>
      <w:r>
        <w:rPr>
          <w:spacing w:val="3"/>
        </w:rPr>
        <w:t>It </w:t>
      </w:r>
      <w:r>
        <w:rPr/>
        <w:t>has been said that the appraisal process is an </w:t>
      </w:r>
      <w:r>
        <w:rPr>
          <w:i/>
        </w:rPr>
        <w:t>ex parte </w:t>
      </w:r>
      <w:r>
        <w:rPr/>
        <w:t>investigation during which</w:t>
      </w:r>
      <w:r>
        <w:rPr>
          <w:spacing w:val="-34"/>
        </w:rPr>
        <w:t> </w:t>
      </w:r>
      <w:r>
        <w:rPr/>
        <w:t>the</w:t>
      </w:r>
      <w:r>
        <w:rPr>
          <w:spacing w:val="-34"/>
        </w:rPr>
        <w:t> </w:t>
      </w:r>
      <w:r>
        <w:rPr/>
        <w:t>appraiser</w:t>
      </w:r>
      <w:r>
        <w:rPr>
          <w:spacing w:val="-36"/>
        </w:rPr>
        <w:t> </w:t>
      </w:r>
      <w:r>
        <w:rPr/>
        <w:t>will</w:t>
      </w:r>
      <w:r>
        <w:rPr>
          <w:spacing w:val="-32"/>
        </w:rPr>
        <w:t> </w:t>
      </w:r>
      <w:r>
        <w:rPr/>
        <w:t>come</w:t>
      </w:r>
      <w:r>
        <w:rPr>
          <w:spacing w:val="-35"/>
        </w:rPr>
        <w:t> </w:t>
      </w:r>
      <w:r>
        <w:rPr/>
        <w:t>into</w:t>
      </w:r>
      <w:r>
        <w:rPr>
          <w:spacing w:val="-36"/>
        </w:rPr>
        <w:t> </w:t>
      </w:r>
      <w:r>
        <w:rPr/>
        <w:t>contact</w:t>
      </w:r>
      <w:r>
        <w:rPr>
          <w:spacing w:val="-36"/>
        </w:rPr>
        <w:t> </w:t>
      </w:r>
      <w:r>
        <w:rPr/>
        <w:t>with information</w:t>
      </w:r>
      <w:r>
        <w:rPr>
          <w:spacing w:val="-36"/>
        </w:rPr>
        <w:t> </w:t>
      </w:r>
      <w:r>
        <w:rPr/>
        <w:t>that</w:t>
      </w:r>
      <w:r>
        <w:rPr>
          <w:spacing w:val="-36"/>
        </w:rPr>
        <w:t> </w:t>
      </w:r>
      <w:r>
        <w:rPr/>
        <w:t>may</w:t>
      </w:r>
      <w:r>
        <w:rPr>
          <w:spacing w:val="-39"/>
        </w:rPr>
        <w:t> </w:t>
      </w:r>
      <w:r>
        <w:rPr/>
        <w:t>or</w:t>
      </w:r>
      <w:r>
        <w:rPr>
          <w:spacing w:val="-38"/>
        </w:rPr>
        <w:t> </w:t>
      </w:r>
      <w:r>
        <w:rPr>
          <w:spacing w:val="-2"/>
        </w:rPr>
        <w:t>may</w:t>
      </w:r>
      <w:r>
        <w:rPr>
          <w:spacing w:val="-41"/>
        </w:rPr>
        <w:t> </w:t>
      </w:r>
      <w:r>
        <w:rPr/>
        <w:t>not</w:t>
      </w:r>
      <w:r>
        <w:rPr>
          <w:spacing w:val="-39"/>
        </w:rPr>
        <w:t> </w:t>
      </w:r>
      <w:r>
        <w:rPr/>
        <w:t>simultaneously be</w:t>
      </w:r>
      <w:r>
        <w:rPr>
          <w:spacing w:val="-14"/>
        </w:rPr>
        <w:t> </w:t>
      </w:r>
      <w:r>
        <w:rPr/>
        <w:t>seen</w:t>
      </w:r>
      <w:r>
        <w:rPr>
          <w:spacing w:val="-15"/>
        </w:rPr>
        <w:t> </w:t>
      </w:r>
      <w:r>
        <w:rPr/>
        <w:t>by</w:t>
      </w:r>
      <w:r>
        <w:rPr>
          <w:spacing w:val="-15"/>
        </w:rPr>
        <w:t> </w:t>
      </w:r>
      <w:r>
        <w:rPr/>
        <w:t>the</w:t>
      </w:r>
      <w:r>
        <w:rPr>
          <w:spacing w:val="-15"/>
        </w:rPr>
        <w:t> </w:t>
      </w:r>
      <w:r>
        <w:rPr/>
        <w:t>other</w:t>
      </w:r>
      <w:r>
        <w:rPr>
          <w:spacing w:val="-16"/>
        </w:rPr>
        <w:t> </w:t>
      </w:r>
      <w:r>
        <w:rPr/>
        <w:t>appraisers</w:t>
      </w:r>
      <w:r>
        <w:rPr>
          <w:spacing w:val="-16"/>
        </w:rPr>
        <w:t> </w:t>
      </w:r>
      <w:r>
        <w:rPr/>
        <w:t>and</w:t>
      </w:r>
      <w:r>
        <w:rPr>
          <w:spacing w:val="-17"/>
        </w:rPr>
        <w:t> </w:t>
      </w:r>
      <w:r>
        <w:rPr/>
        <w:t>umpire.</w:t>
      </w:r>
      <w:r>
        <w:rPr>
          <w:spacing w:val="41"/>
        </w:rPr>
        <w:t> </w:t>
      </w:r>
      <w:r>
        <w:rPr>
          <w:spacing w:val="3"/>
        </w:rPr>
        <w:t>If </w:t>
      </w:r>
      <w:r>
        <w:rPr/>
        <w:t>the </w:t>
      </w:r>
      <w:r>
        <w:rPr>
          <w:spacing w:val="-3"/>
        </w:rPr>
        <w:t>two </w:t>
      </w:r>
      <w:r>
        <w:rPr/>
        <w:t>appraisers cannot agree on a value then</w:t>
      </w:r>
      <w:r>
        <w:rPr>
          <w:spacing w:val="-27"/>
        </w:rPr>
        <w:t> </w:t>
      </w:r>
      <w:r>
        <w:rPr/>
        <w:t>a</w:t>
      </w:r>
      <w:r>
        <w:rPr>
          <w:spacing w:val="-26"/>
        </w:rPr>
        <w:t> </w:t>
      </w:r>
      <w:r>
        <w:rPr/>
        <w:t>third</w:t>
      </w:r>
      <w:r>
        <w:rPr>
          <w:spacing w:val="-28"/>
        </w:rPr>
        <w:t> </w:t>
      </w:r>
      <w:r>
        <w:rPr/>
        <w:t>is</w:t>
      </w:r>
      <w:r>
        <w:rPr>
          <w:spacing w:val="-27"/>
        </w:rPr>
        <w:t> </w:t>
      </w:r>
      <w:r>
        <w:rPr/>
        <w:t>appointed</w:t>
      </w:r>
      <w:r>
        <w:rPr>
          <w:spacing w:val="-27"/>
        </w:rPr>
        <w:t> </w:t>
      </w:r>
      <w:r>
        <w:rPr/>
        <w:t>and</w:t>
      </w:r>
      <w:r>
        <w:rPr>
          <w:spacing w:val="-26"/>
        </w:rPr>
        <w:t> </w:t>
      </w:r>
      <w:r>
        <w:rPr/>
        <w:t>the</w:t>
      </w:r>
      <w:r>
        <w:rPr>
          <w:spacing w:val="-28"/>
        </w:rPr>
        <w:t> </w:t>
      </w:r>
      <w:r>
        <w:rPr/>
        <w:t>value</w:t>
      </w:r>
      <w:r>
        <w:rPr>
          <w:spacing w:val="-26"/>
        </w:rPr>
        <w:t> </w:t>
      </w:r>
      <w:r>
        <w:rPr/>
        <w:t>agreed upon by </w:t>
      </w:r>
      <w:r>
        <w:rPr>
          <w:spacing w:val="-3"/>
        </w:rPr>
        <w:t>two </w:t>
      </w:r>
      <w:r>
        <w:rPr/>
        <w:t>of the three is</w:t>
      </w:r>
      <w:r>
        <w:rPr>
          <w:spacing w:val="-11"/>
        </w:rPr>
        <w:t> </w:t>
      </w:r>
      <w:r>
        <w:rPr/>
        <w:t>determinative.</w:t>
      </w:r>
      <w:r>
        <w:rPr>
          <w:vertAlign w:val="superscript"/>
        </w:rPr>
        <w:t>842</w:t>
      </w:r>
    </w:p>
    <w:p>
      <w:pPr>
        <w:pStyle w:val="BodyText"/>
      </w:pPr>
    </w:p>
    <w:p>
      <w:pPr>
        <w:pStyle w:val="BodyText"/>
        <w:spacing w:line="242" w:lineRule="auto"/>
        <w:ind w:left="1520" w:right="1519" w:firstLine="720"/>
        <w:jc w:val="both"/>
      </w:pPr>
      <w:r>
        <w:rPr>
          <w:spacing w:val="3"/>
        </w:rPr>
        <w:t>It </w:t>
      </w:r>
      <w:r>
        <w:rPr/>
        <w:t>has been held that an umpire’s neutrality was not tainted by </w:t>
      </w:r>
      <w:r>
        <w:rPr>
          <w:i/>
        </w:rPr>
        <w:t>ex parte </w:t>
      </w:r>
      <w:r>
        <w:rPr/>
        <w:t>communications with counsel for the insured as, unlike in an arbitration procedure, appraisals</w:t>
      </w:r>
      <w:r>
        <w:rPr>
          <w:spacing w:val="-35"/>
        </w:rPr>
        <w:t> </w:t>
      </w:r>
      <w:r>
        <w:rPr>
          <w:spacing w:val="-2"/>
        </w:rPr>
        <w:t>are</w:t>
      </w:r>
      <w:r>
        <w:rPr>
          <w:spacing w:val="-35"/>
        </w:rPr>
        <w:t> </w:t>
      </w:r>
      <w:r>
        <w:rPr>
          <w:spacing w:val="-3"/>
        </w:rPr>
        <w:t>generally</w:t>
      </w:r>
      <w:r>
        <w:rPr>
          <w:spacing w:val="-37"/>
        </w:rPr>
        <w:t> </w:t>
      </w:r>
      <w:r>
        <w:rPr/>
        <w:t>less</w:t>
      </w:r>
      <w:r>
        <w:rPr>
          <w:spacing w:val="-31"/>
        </w:rPr>
        <w:t> </w:t>
      </w:r>
      <w:r>
        <w:rPr/>
        <w:t>formal.</w:t>
      </w:r>
      <w:r>
        <w:rPr>
          <w:spacing w:val="-35"/>
        </w:rPr>
        <w:t> </w:t>
      </w:r>
      <w:r>
        <w:rPr/>
        <w:t>Thus,</w:t>
      </w:r>
      <w:r>
        <w:rPr>
          <w:spacing w:val="-34"/>
        </w:rPr>
        <w:t> </w:t>
      </w:r>
      <w:r>
        <w:rPr/>
        <w:t>where the umpire independently attempted to resolve</w:t>
      </w:r>
      <w:r>
        <w:rPr>
          <w:spacing w:val="17"/>
        </w:rPr>
        <w:t> </w:t>
      </w:r>
      <w:r>
        <w:rPr/>
        <w:t>differences</w:t>
      </w:r>
      <w:r>
        <w:rPr>
          <w:spacing w:val="-24"/>
        </w:rPr>
        <w:t> </w:t>
      </w:r>
      <w:r>
        <w:rPr/>
        <w:t>in</w:t>
      </w:r>
      <w:r>
        <w:rPr>
          <w:spacing w:val="-26"/>
        </w:rPr>
        <w:t> </w:t>
      </w:r>
      <w:r>
        <w:rPr/>
        <w:t>the</w:t>
      </w:r>
      <w:r>
        <w:rPr>
          <w:spacing w:val="-27"/>
        </w:rPr>
        <w:t> </w:t>
      </w:r>
      <w:r>
        <w:rPr/>
        <w:t>appraisals</w:t>
      </w:r>
      <w:r>
        <w:rPr>
          <w:spacing w:val="-25"/>
        </w:rPr>
        <w:t> </w:t>
      </w:r>
      <w:r>
        <w:rPr/>
        <w:t>offered</w:t>
      </w:r>
      <w:r>
        <w:rPr>
          <w:spacing w:val="-26"/>
        </w:rPr>
        <w:t> </w:t>
      </w:r>
      <w:r>
        <w:rPr>
          <w:spacing w:val="-6"/>
        </w:rPr>
        <w:t>by </w:t>
      </w:r>
      <w:r>
        <w:rPr/>
        <w:t>both sides, the court found no impropriety in the umpire requesting the parties’ respective positions to aid him in resolving</w:t>
      </w:r>
      <w:r>
        <w:rPr>
          <w:spacing w:val="49"/>
        </w:rPr>
        <w:t> </w:t>
      </w:r>
      <w:r>
        <w:rPr/>
        <w:t>these</w:t>
      </w:r>
    </w:p>
    <w:p>
      <w:pPr>
        <w:pStyle w:val="BodyText"/>
        <w:rPr>
          <w:sz w:val="19"/>
        </w:rPr>
      </w:pPr>
      <w:r>
        <w:rPr/>
        <w:pict>
          <v:shape style="position:absolute;margin-left:162pt;margin-top:14.058686pt;width:143.9pt;height:.1pt;mso-position-horizontal-relative:page;mso-position-vertical-relative:paragraph;z-index:-251645952;mso-wrap-distance-left:0;mso-wrap-distance-right:0" coordorigin="3240,281" coordsize="2878,0" path="m3240,281l6118,28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1435" w:val="left" w:leader="none"/>
        </w:tabs>
        <w:spacing w:line="248" w:lineRule="exact" w:before="71" w:after="0"/>
        <w:ind w:left="1434" w:right="0" w:hanging="275"/>
        <w:jc w:val="left"/>
        <w:rPr>
          <w:sz w:val="18"/>
        </w:rPr>
      </w:pPr>
      <w:r>
        <w:rPr>
          <w:sz w:val="18"/>
          <w:u w:val="single"/>
        </w:rPr>
        <w:t>Cousino v. Stewart</w:t>
      </w:r>
      <w:r>
        <w:rPr>
          <w:sz w:val="18"/>
        </w:rPr>
        <w:t>, 2005 WL 3120245 (Ohio App. 6</w:t>
      </w:r>
      <w:r>
        <w:rPr>
          <w:position w:val="7"/>
          <w:sz w:val="10"/>
        </w:rPr>
        <w:t>th </w:t>
      </w:r>
      <w:r>
        <w:rPr>
          <w:sz w:val="18"/>
        </w:rPr>
        <w:t>Dist.</w:t>
      </w:r>
      <w:r>
        <w:rPr>
          <w:spacing w:val="-3"/>
          <w:sz w:val="18"/>
        </w:rPr>
        <w:t> </w:t>
      </w:r>
      <w:r>
        <w:rPr>
          <w:sz w:val="18"/>
        </w:rPr>
        <w:t>2005).</w:t>
      </w:r>
    </w:p>
    <w:p>
      <w:pPr>
        <w:pStyle w:val="ListParagraph"/>
        <w:numPr>
          <w:ilvl w:val="0"/>
          <w:numId w:val="5"/>
        </w:numPr>
        <w:tabs>
          <w:tab w:pos="1411" w:val="left" w:leader="none"/>
        </w:tabs>
        <w:spacing w:line="248" w:lineRule="exact" w:before="0" w:after="0"/>
        <w:ind w:left="1410" w:right="0" w:hanging="251"/>
        <w:jc w:val="left"/>
        <w:rPr>
          <w:sz w:val="18"/>
        </w:rPr>
      </w:pPr>
      <w:r>
        <w:rPr>
          <w:sz w:val="18"/>
        </w:rPr>
        <w:t>John R. Casolaro, </w:t>
      </w:r>
      <w:r>
        <w:rPr>
          <w:i/>
          <w:sz w:val="18"/>
        </w:rPr>
        <w:t>A Primer on Appraisal to Resolve Valuation Disputes-Part I</w:t>
      </w:r>
      <w:r>
        <w:rPr>
          <w:sz w:val="18"/>
        </w:rPr>
        <w:t>,</w:t>
      </w:r>
      <w:r>
        <w:rPr>
          <w:spacing w:val="8"/>
          <w:sz w:val="18"/>
        </w:rPr>
        <w:t> </w:t>
      </w:r>
      <w:r>
        <w:rPr>
          <w:sz w:val="18"/>
        </w:rPr>
        <w:t>65</w:t>
      </w:r>
    </w:p>
    <w:p>
      <w:pPr>
        <w:spacing w:before="4"/>
        <w:ind w:left="1160" w:right="0" w:firstLine="0"/>
        <w:jc w:val="left"/>
        <w:rPr>
          <w:rFonts w:ascii="Times New Roman"/>
          <w:sz w:val="18"/>
        </w:rPr>
      </w:pPr>
      <w:r>
        <w:rPr>
          <w:rFonts w:ascii="Times New Roman"/>
          <w:sz w:val="18"/>
        </w:rPr>
        <w:t>N.Y. St. B.J. 10 (1993).</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401" w:id="15"/>
      <w:bookmarkEnd w:id="15"/>
      <w:r>
        <w:rPr/>
      </w:r>
      <w:r>
        <w:rPr/>
        <w:t>differences.</w:t>
      </w:r>
      <w:r>
        <w:rPr>
          <w:vertAlign w:val="superscript"/>
        </w:rPr>
        <w:t>843</w:t>
      </w:r>
    </w:p>
    <w:p>
      <w:pPr>
        <w:pStyle w:val="BodyText"/>
        <w:spacing w:before="6"/>
      </w:pPr>
    </w:p>
    <w:p>
      <w:pPr>
        <w:pStyle w:val="BodyText"/>
        <w:spacing w:line="242" w:lineRule="auto"/>
        <w:ind w:left="1520" w:right="1517" w:firstLine="720"/>
        <w:jc w:val="both"/>
      </w:pPr>
      <w:r>
        <w:rPr>
          <w:spacing w:val="2"/>
        </w:rPr>
        <w:t>An</w:t>
      </w:r>
      <w:r>
        <w:rPr>
          <w:spacing w:val="-15"/>
        </w:rPr>
        <w:t> </w:t>
      </w:r>
      <w:r>
        <w:rPr/>
        <w:t>award</w:t>
      </w:r>
      <w:r>
        <w:rPr>
          <w:spacing w:val="-15"/>
        </w:rPr>
        <w:t> </w:t>
      </w:r>
      <w:r>
        <w:rPr/>
        <w:t>by</w:t>
      </w:r>
      <w:r>
        <w:rPr>
          <w:spacing w:val="-17"/>
        </w:rPr>
        <w:t> </w:t>
      </w:r>
      <w:r>
        <w:rPr/>
        <w:t>appraisers</w:t>
      </w:r>
      <w:r>
        <w:rPr>
          <w:spacing w:val="-14"/>
        </w:rPr>
        <w:t> </w:t>
      </w:r>
      <w:r>
        <w:rPr/>
        <w:t>will</w:t>
      </w:r>
      <w:r>
        <w:rPr>
          <w:spacing w:val="-14"/>
        </w:rPr>
        <w:t> </w:t>
      </w:r>
      <w:r>
        <w:rPr/>
        <w:t>be</w:t>
      </w:r>
      <w:r>
        <w:rPr>
          <w:spacing w:val="-15"/>
        </w:rPr>
        <w:t> </w:t>
      </w:r>
      <w:r>
        <w:rPr/>
        <w:t>sustained unless</w:t>
      </w:r>
      <w:r>
        <w:rPr>
          <w:spacing w:val="-13"/>
        </w:rPr>
        <w:t> </w:t>
      </w:r>
      <w:r>
        <w:rPr/>
        <w:t>it</w:t>
      </w:r>
      <w:r>
        <w:rPr>
          <w:spacing w:val="-16"/>
        </w:rPr>
        <w:t> </w:t>
      </w:r>
      <w:r>
        <w:rPr/>
        <w:t>clearly</w:t>
      </w:r>
      <w:r>
        <w:rPr>
          <w:spacing w:val="-16"/>
        </w:rPr>
        <w:t> </w:t>
      </w:r>
      <w:r>
        <w:rPr/>
        <w:t>appears</w:t>
      </w:r>
      <w:r>
        <w:rPr>
          <w:spacing w:val="-15"/>
        </w:rPr>
        <w:t> </w:t>
      </w:r>
      <w:r>
        <w:rPr/>
        <w:t>that</w:t>
      </w:r>
      <w:r>
        <w:rPr>
          <w:spacing w:val="-15"/>
        </w:rPr>
        <w:t> </w:t>
      </w:r>
      <w:r>
        <w:rPr/>
        <w:t>it</w:t>
      </w:r>
      <w:r>
        <w:rPr>
          <w:spacing w:val="-16"/>
        </w:rPr>
        <w:t> </w:t>
      </w:r>
      <w:r>
        <w:rPr/>
        <w:t>was</w:t>
      </w:r>
      <w:r>
        <w:rPr>
          <w:spacing w:val="-12"/>
        </w:rPr>
        <w:t> </w:t>
      </w:r>
      <w:r>
        <w:rPr/>
        <w:t>the</w:t>
      </w:r>
      <w:r>
        <w:rPr>
          <w:spacing w:val="-15"/>
        </w:rPr>
        <w:t> </w:t>
      </w:r>
      <w:r>
        <w:rPr/>
        <w:t>result</w:t>
      </w:r>
      <w:r>
        <w:rPr>
          <w:spacing w:val="-14"/>
        </w:rPr>
        <w:t> </w:t>
      </w:r>
      <w:r>
        <w:rPr/>
        <w:t>of fraud, mistake or accident or if, in fact, is was made</w:t>
      </w:r>
      <w:r>
        <w:rPr>
          <w:spacing w:val="-17"/>
        </w:rPr>
        <w:t> </w:t>
      </w:r>
      <w:r>
        <w:rPr/>
        <w:t>by</w:t>
      </w:r>
      <w:r>
        <w:rPr>
          <w:spacing w:val="-16"/>
        </w:rPr>
        <w:t> </w:t>
      </w:r>
      <w:r>
        <w:rPr/>
        <w:t>participants</w:t>
      </w:r>
      <w:r>
        <w:rPr>
          <w:spacing w:val="-17"/>
        </w:rPr>
        <w:t> </w:t>
      </w:r>
      <w:r>
        <w:rPr/>
        <w:t>who</w:t>
      </w:r>
      <w:r>
        <w:rPr>
          <w:spacing w:val="-15"/>
        </w:rPr>
        <w:t> </w:t>
      </w:r>
      <w:r>
        <w:rPr/>
        <w:t>were</w:t>
      </w:r>
      <w:r>
        <w:rPr>
          <w:spacing w:val="-16"/>
        </w:rPr>
        <w:t> </w:t>
      </w:r>
      <w:r>
        <w:rPr/>
        <w:t>incompetent, interested, partial or</w:t>
      </w:r>
      <w:r>
        <w:rPr>
          <w:spacing w:val="-5"/>
        </w:rPr>
        <w:t> </w:t>
      </w:r>
      <w:r>
        <w:rPr/>
        <w:t>negligent.</w:t>
      </w:r>
      <w:r>
        <w:rPr>
          <w:vertAlign w:val="superscript"/>
        </w:rPr>
        <w:t>844</w:t>
      </w:r>
    </w:p>
    <w:p>
      <w:pPr>
        <w:pStyle w:val="BodyText"/>
      </w:pPr>
    </w:p>
    <w:p>
      <w:pPr>
        <w:pStyle w:val="BodyText"/>
        <w:spacing w:line="242" w:lineRule="auto" w:before="1"/>
        <w:ind w:left="1520" w:right="1516" w:firstLine="720"/>
        <w:jc w:val="both"/>
      </w:pPr>
      <w:r>
        <w:rPr/>
        <w:t>The</w:t>
      </w:r>
      <w:r>
        <w:rPr>
          <w:spacing w:val="-15"/>
        </w:rPr>
        <w:t> </w:t>
      </w:r>
      <w:r>
        <w:rPr/>
        <w:t>language</w:t>
      </w:r>
      <w:r>
        <w:rPr>
          <w:spacing w:val="-8"/>
        </w:rPr>
        <w:t> </w:t>
      </w:r>
      <w:r>
        <w:rPr/>
        <w:t>of</w:t>
      </w:r>
      <w:r>
        <w:rPr>
          <w:spacing w:val="-14"/>
        </w:rPr>
        <w:t> </w:t>
      </w:r>
      <w:r>
        <w:rPr/>
        <w:t>the</w:t>
      </w:r>
      <w:r>
        <w:rPr>
          <w:spacing w:val="-15"/>
        </w:rPr>
        <w:t> </w:t>
      </w:r>
      <w:r>
        <w:rPr/>
        <w:t>Standard</w:t>
      </w:r>
      <w:r>
        <w:rPr>
          <w:spacing w:val="-15"/>
        </w:rPr>
        <w:t> </w:t>
      </w:r>
      <w:r>
        <w:rPr/>
        <w:t>Fire</w:t>
      </w:r>
      <w:r>
        <w:rPr>
          <w:spacing w:val="-15"/>
        </w:rPr>
        <w:t> </w:t>
      </w:r>
      <w:r>
        <w:rPr/>
        <w:t>Policy describes the relationship between the appraisers and umpire where it states that</w:t>
      </w:r>
      <w:r>
        <w:rPr>
          <w:spacing w:val="-25"/>
        </w:rPr>
        <w:t> </w:t>
      </w:r>
      <w:r>
        <w:rPr/>
        <w:t>the appraisers,</w:t>
      </w:r>
      <w:r>
        <w:rPr>
          <w:spacing w:val="-33"/>
        </w:rPr>
        <w:t> </w:t>
      </w:r>
      <w:r>
        <w:rPr/>
        <w:t>once</w:t>
      </w:r>
      <w:r>
        <w:rPr>
          <w:spacing w:val="-32"/>
        </w:rPr>
        <w:t> </w:t>
      </w:r>
      <w:r>
        <w:rPr/>
        <w:t>failing</w:t>
      </w:r>
      <w:r>
        <w:rPr>
          <w:spacing w:val="-31"/>
        </w:rPr>
        <w:t> </w:t>
      </w:r>
      <w:r>
        <w:rPr/>
        <w:t>to</w:t>
      </w:r>
      <w:r>
        <w:rPr>
          <w:spacing w:val="-31"/>
        </w:rPr>
        <w:t> </w:t>
      </w:r>
      <w:r>
        <w:rPr/>
        <w:t>agree,</w:t>
      </w:r>
      <w:r>
        <w:rPr>
          <w:spacing w:val="-34"/>
        </w:rPr>
        <w:t> </w:t>
      </w:r>
      <w:r>
        <w:rPr>
          <w:spacing w:val="-3"/>
        </w:rPr>
        <w:t>"[S]hall</w:t>
      </w:r>
      <w:r>
        <w:rPr>
          <w:spacing w:val="-33"/>
        </w:rPr>
        <w:t> </w:t>
      </w:r>
      <w:r>
        <w:rPr/>
        <w:t>submit their differences only to the umpire. An</w:t>
      </w:r>
      <w:r>
        <w:rPr>
          <w:spacing w:val="-34"/>
        </w:rPr>
        <w:t> </w:t>
      </w:r>
      <w:r>
        <w:rPr/>
        <w:t>award in writing...of any two...shall determine the amount of actual cash value and loss." </w:t>
      </w:r>
      <w:r>
        <w:rPr>
          <w:spacing w:val="3"/>
        </w:rPr>
        <w:t>It </w:t>
      </w:r>
      <w:r>
        <w:rPr/>
        <w:t>has been held that on the </w:t>
      </w:r>
      <w:r>
        <w:rPr>
          <w:spacing w:val="2"/>
        </w:rPr>
        <w:t>basis </w:t>
      </w:r>
      <w:r>
        <w:rPr/>
        <w:t>of this language, the umpire was not an arbitrator who was given sole authority to make a determination. He was to act only in concert and in conjunction with one or both of the other appraisers.</w:t>
      </w:r>
      <w:r>
        <w:rPr>
          <w:vertAlign w:val="superscript"/>
        </w:rPr>
        <w:t>845</w:t>
      </w:r>
    </w:p>
    <w:p>
      <w:pPr>
        <w:pStyle w:val="BodyText"/>
        <w:spacing w:before="10"/>
        <w:rPr>
          <w:sz w:val="25"/>
        </w:rPr>
      </w:pPr>
    </w:p>
    <w:p>
      <w:pPr>
        <w:pStyle w:val="BodyText"/>
        <w:spacing w:line="242" w:lineRule="auto"/>
        <w:ind w:left="1520" w:right="1521" w:firstLine="720"/>
        <w:jc w:val="both"/>
      </w:pPr>
      <w:r>
        <w:rPr>
          <w:spacing w:val="3"/>
        </w:rPr>
        <w:t>An </w:t>
      </w:r>
      <w:r>
        <w:rPr/>
        <w:t>umpire and one of </w:t>
      </w:r>
      <w:r>
        <w:rPr>
          <w:spacing w:val="-3"/>
        </w:rPr>
        <w:t>two </w:t>
      </w:r>
      <w:r>
        <w:rPr/>
        <w:t>appraisers </w:t>
      </w:r>
      <w:r>
        <w:rPr>
          <w:spacing w:val="3"/>
        </w:rPr>
        <w:t>may not </w:t>
      </w:r>
      <w:r>
        <w:rPr>
          <w:spacing w:val="2"/>
        </w:rPr>
        <w:t>arbitrarily </w:t>
      </w:r>
      <w:r>
        <w:rPr>
          <w:spacing w:val="3"/>
        </w:rPr>
        <w:t>disregard </w:t>
      </w:r>
      <w:r>
        <w:rPr>
          <w:spacing w:val="4"/>
        </w:rPr>
        <w:t>pertinent </w:t>
      </w:r>
      <w:r>
        <w:rPr/>
        <w:t>evidence presented by the other </w:t>
      </w:r>
      <w:r>
        <w:rPr>
          <w:spacing w:val="-4"/>
        </w:rPr>
        <w:t>appraiser.</w:t>
      </w:r>
      <w:r>
        <w:rPr>
          <w:spacing w:val="-4"/>
          <w:vertAlign w:val="superscript"/>
        </w:rPr>
        <w:t>846</w:t>
      </w:r>
    </w:p>
    <w:p>
      <w:pPr>
        <w:pStyle w:val="BodyText"/>
        <w:spacing w:before="11"/>
        <w:rPr>
          <w:sz w:val="14"/>
        </w:rPr>
      </w:pPr>
      <w:r>
        <w:rPr/>
        <w:pict>
          <v:shape style="position:absolute;margin-left:162pt;margin-top:11.535737pt;width:143.9pt;height:.1pt;mso-position-horizontal-relative:page;mso-position-vertical-relative:paragraph;z-index:-251644928;mso-wrap-distance-left:0;mso-wrap-distance-right:0" coordorigin="3240,231" coordsize="2878,0" path="m3240,231l6118,231e" filled="false" stroked="true" strokeweight=".84pt" strokecolor="#000000">
            <v:path arrowok="t"/>
            <v:stroke dashstyle="solid"/>
            <w10:wrap type="topAndBottom"/>
          </v:shape>
        </w:pict>
      </w:r>
    </w:p>
    <w:p>
      <w:pPr>
        <w:pStyle w:val="ListParagraph"/>
        <w:numPr>
          <w:ilvl w:val="0"/>
          <w:numId w:val="5"/>
        </w:numPr>
        <w:tabs>
          <w:tab w:pos="1423" w:val="left" w:leader="none"/>
        </w:tabs>
        <w:spacing w:line="244" w:lineRule="auto" w:before="140" w:after="0"/>
        <w:ind w:left="1160" w:right="1161" w:firstLine="0"/>
        <w:jc w:val="both"/>
        <w:rPr>
          <w:sz w:val="18"/>
        </w:rPr>
      </w:pPr>
      <w:r>
        <w:rPr>
          <w:sz w:val="18"/>
          <w:u w:val="single"/>
        </w:rPr>
        <w:t>Preferred National Ins. Co. v. Miami Springs Golf Villas, Inc.</w:t>
      </w:r>
      <w:r>
        <w:rPr>
          <w:sz w:val="18"/>
        </w:rPr>
        <w:t>, 787 So.2d 1156, 2001 Fla. App. 9161 (3</w:t>
      </w:r>
      <w:r>
        <w:rPr>
          <w:position w:val="7"/>
          <w:sz w:val="10"/>
        </w:rPr>
        <w:t>rd </w:t>
      </w:r>
      <w:r>
        <w:rPr>
          <w:sz w:val="18"/>
        </w:rPr>
        <w:t>Dist. 2001); </w:t>
      </w:r>
      <w:r>
        <w:rPr>
          <w:sz w:val="18"/>
          <w:u w:val="single"/>
        </w:rPr>
        <w:t>Allstate Ins. Co. v. Suarez</w:t>
      </w:r>
      <w:r>
        <w:rPr>
          <w:sz w:val="18"/>
        </w:rPr>
        <w:t>, 786 So.2d 645 (Fla. Dist. Ct. App. 3d Dist. 2001), </w:t>
      </w:r>
      <w:r>
        <w:rPr>
          <w:i/>
          <w:sz w:val="18"/>
        </w:rPr>
        <w:t>aff’d, </w:t>
      </w:r>
      <w:r>
        <w:rPr>
          <w:sz w:val="18"/>
        </w:rPr>
        <w:t>833 </w:t>
      </w:r>
      <w:r>
        <w:rPr>
          <w:spacing w:val="2"/>
          <w:sz w:val="18"/>
        </w:rPr>
        <w:t>So.2d </w:t>
      </w:r>
      <w:r>
        <w:rPr>
          <w:sz w:val="18"/>
        </w:rPr>
        <w:t>762 (Fla. 2002); </w:t>
      </w:r>
      <w:r>
        <w:rPr>
          <w:sz w:val="18"/>
          <w:u w:val="single"/>
        </w:rPr>
        <w:t>Liberty Mutual Fire Ins. Co. v. Hernandez</w:t>
      </w:r>
      <w:r>
        <w:rPr>
          <w:sz w:val="18"/>
        </w:rPr>
        <w:t>,</w:t>
      </w:r>
      <w:r>
        <w:rPr>
          <w:spacing w:val="-18"/>
          <w:sz w:val="18"/>
        </w:rPr>
        <w:t> </w:t>
      </w:r>
      <w:r>
        <w:rPr>
          <w:sz w:val="18"/>
        </w:rPr>
        <w:t>735</w:t>
      </w:r>
      <w:r>
        <w:rPr>
          <w:spacing w:val="-14"/>
          <w:sz w:val="18"/>
        </w:rPr>
        <w:t> </w:t>
      </w:r>
      <w:r>
        <w:rPr>
          <w:sz w:val="18"/>
        </w:rPr>
        <w:t>So.2d</w:t>
      </w:r>
      <w:r>
        <w:rPr>
          <w:spacing w:val="-14"/>
          <w:sz w:val="18"/>
        </w:rPr>
        <w:t> </w:t>
      </w:r>
      <w:r>
        <w:rPr>
          <w:sz w:val="18"/>
        </w:rPr>
        <w:t>587</w:t>
      </w:r>
      <w:r>
        <w:rPr>
          <w:spacing w:val="-17"/>
          <w:sz w:val="18"/>
        </w:rPr>
        <w:t> </w:t>
      </w:r>
      <w:r>
        <w:rPr>
          <w:sz w:val="18"/>
        </w:rPr>
        <w:t>(Fla</w:t>
      </w:r>
      <w:r>
        <w:rPr>
          <w:spacing w:val="-15"/>
          <w:sz w:val="18"/>
        </w:rPr>
        <w:t> </w:t>
      </w:r>
      <w:r>
        <w:rPr>
          <w:sz w:val="18"/>
        </w:rPr>
        <w:t>3d</w:t>
      </w:r>
      <w:r>
        <w:rPr>
          <w:spacing w:val="-15"/>
          <w:sz w:val="18"/>
        </w:rPr>
        <w:t> </w:t>
      </w:r>
      <w:r>
        <w:rPr>
          <w:sz w:val="18"/>
        </w:rPr>
        <w:t>DCA</w:t>
      </w:r>
      <w:r>
        <w:rPr>
          <w:spacing w:val="-20"/>
          <w:sz w:val="18"/>
        </w:rPr>
        <w:t> </w:t>
      </w:r>
      <w:r>
        <w:rPr>
          <w:sz w:val="18"/>
        </w:rPr>
        <w:t>1999);</w:t>
      </w:r>
      <w:r>
        <w:rPr>
          <w:spacing w:val="-15"/>
          <w:sz w:val="18"/>
        </w:rPr>
        <w:t> </w:t>
      </w:r>
      <w:r>
        <w:rPr>
          <w:sz w:val="18"/>
          <w:u w:val="single"/>
        </w:rPr>
        <w:t>Preferred</w:t>
      </w:r>
      <w:r>
        <w:rPr>
          <w:spacing w:val="-17"/>
          <w:sz w:val="18"/>
          <w:u w:val="single"/>
        </w:rPr>
        <w:t> </w:t>
      </w:r>
      <w:r>
        <w:rPr>
          <w:sz w:val="18"/>
          <w:u w:val="single"/>
        </w:rPr>
        <w:t>Ins.</w:t>
      </w:r>
      <w:r>
        <w:rPr>
          <w:spacing w:val="-16"/>
          <w:sz w:val="18"/>
          <w:u w:val="single"/>
        </w:rPr>
        <w:t> </w:t>
      </w:r>
      <w:r>
        <w:rPr>
          <w:sz w:val="18"/>
          <w:u w:val="single"/>
        </w:rPr>
        <w:t>Co.</w:t>
      </w:r>
      <w:r>
        <w:rPr>
          <w:spacing w:val="-16"/>
          <w:sz w:val="18"/>
          <w:u w:val="single"/>
        </w:rPr>
        <w:t> </w:t>
      </w:r>
      <w:r>
        <w:rPr>
          <w:sz w:val="18"/>
          <w:u w:val="single"/>
        </w:rPr>
        <w:t>v.</w:t>
      </w:r>
      <w:r>
        <w:rPr>
          <w:spacing w:val="-16"/>
          <w:sz w:val="18"/>
          <w:u w:val="single"/>
        </w:rPr>
        <w:t> </w:t>
      </w:r>
      <w:r>
        <w:rPr>
          <w:sz w:val="18"/>
          <w:u w:val="single"/>
        </w:rPr>
        <w:t>Richard</w:t>
      </w:r>
      <w:r>
        <w:rPr>
          <w:spacing w:val="-15"/>
          <w:sz w:val="18"/>
          <w:u w:val="single"/>
        </w:rPr>
        <w:t> </w:t>
      </w:r>
      <w:r>
        <w:rPr>
          <w:sz w:val="18"/>
          <w:u w:val="single"/>
        </w:rPr>
        <w:t>Parks</w:t>
      </w:r>
      <w:r>
        <w:rPr>
          <w:spacing w:val="-17"/>
          <w:sz w:val="18"/>
          <w:u w:val="single"/>
        </w:rPr>
        <w:t> </w:t>
      </w:r>
      <w:r>
        <w:rPr>
          <w:sz w:val="18"/>
          <w:u w:val="single"/>
        </w:rPr>
        <w:t>Trucking Co.</w:t>
      </w:r>
      <w:r>
        <w:rPr>
          <w:sz w:val="18"/>
        </w:rPr>
        <w:t>,</w:t>
      </w:r>
      <w:r>
        <w:rPr>
          <w:spacing w:val="-15"/>
          <w:sz w:val="18"/>
        </w:rPr>
        <w:t> </w:t>
      </w:r>
      <w:r>
        <w:rPr>
          <w:sz w:val="18"/>
        </w:rPr>
        <w:t>158</w:t>
      </w:r>
      <w:r>
        <w:rPr>
          <w:spacing w:val="-17"/>
          <w:sz w:val="18"/>
        </w:rPr>
        <w:t> </w:t>
      </w:r>
      <w:r>
        <w:rPr>
          <w:sz w:val="18"/>
        </w:rPr>
        <w:t>So.2d</w:t>
      </w:r>
      <w:r>
        <w:rPr>
          <w:spacing w:val="-17"/>
          <w:sz w:val="18"/>
        </w:rPr>
        <w:t> </w:t>
      </w:r>
      <w:r>
        <w:rPr>
          <w:sz w:val="18"/>
        </w:rPr>
        <w:t>817</w:t>
      </w:r>
      <w:r>
        <w:rPr>
          <w:spacing w:val="-16"/>
          <w:sz w:val="18"/>
        </w:rPr>
        <w:t> </w:t>
      </w:r>
      <w:r>
        <w:rPr>
          <w:sz w:val="18"/>
        </w:rPr>
        <w:t>(Fla.</w:t>
      </w:r>
      <w:r>
        <w:rPr>
          <w:spacing w:val="-16"/>
          <w:sz w:val="18"/>
        </w:rPr>
        <w:t> </w:t>
      </w:r>
      <w:r>
        <w:rPr>
          <w:sz w:val="18"/>
        </w:rPr>
        <w:t>2d</w:t>
      </w:r>
      <w:r>
        <w:rPr>
          <w:spacing w:val="-15"/>
          <w:sz w:val="18"/>
        </w:rPr>
        <w:t> </w:t>
      </w:r>
      <w:r>
        <w:rPr>
          <w:sz w:val="18"/>
        </w:rPr>
        <w:t>DCA</w:t>
      </w:r>
      <w:r>
        <w:rPr>
          <w:spacing w:val="-20"/>
          <w:sz w:val="18"/>
        </w:rPr>
        <w:t> </w:t>
      </w:r>
      <w:r>
        <w:rPr>
          <w:sz w:val="18"/>
        </w:rPr>
        <w:t>1963);</w:t>
      </w:r>
      <w:r>
        <w:rPr>
          <w:spacing w:val="-15"/>
          <w:sz w:val="18"/>
        </w:rPr>
        <w:t> </w:t>
      </w:r>
      <w:r>
        <w:rPr>
          <w:sz w:val="18"/>
          <w:u w:val="single"/>
        </w:rPr>
        <w:t>Harleysville</w:t>
      </w:r>
      <w:r>
        <w:rPr>
          <w:spacing w:val="-18"/>
          <w:sz w:val="18"/>
          <w:u w:val="single"/>
        </w:rPr>
        <w:t> </w:t>
      </w:r>
      <w:r>
        <w:rPr>
          <w:sz w:val="18"/>
          <w:u w:val="single"/>
        </w:rPr>
        <w:t>Mut.</w:t>
      </w:r>
      <w:r>
        <w:rPr>
          <w:spacing w:val="-16"/>
          <w:sz w:val="18"/>
          <w:u w:val="single"/>
        </w:rPr>
        <w:t> </w:t>
      </w:r>
      <w:r>
        <w:rPr>
          <w:sz w:val="18"/>
          <w:u w:val="single"/>
        </w:rPr>
        <w:t>Ins.</w:t>
      </w:r>
      <w:r>
        <w:rPr>
          <w:spacing w:val="-16"/>
          <w:sz w:val="18"/>
          <w:u w:val="single"/>
        </w:rPr>
        <w:t> </w:t>
      </w:r>
      <w:r>
        <w:rPr>
          <w:sz w:val="18"/>
          <w:u w:val="single"/>
        </w:rPr>
        <w:t>Co.</w:t>
      </w:r>
      <w:r>
        <w:rPr>
          <w:spacing w:val="-13"/>
          <w:sz w:val="18"/>
          <w:u w:val="single"/>
        </w:rPr>
        <w:t> </w:t>
      </w:r>
      <w:r>
        <w:rPr>
          <w:sz w:val="18"/>
          <w:u w:val="single"/>
        </w:rPr>
        <w:t>v.</w:t>
      </w:r>
      <w:r>
        <w:rPr>
          <w:spacing w:val="-16"/>
          <w:sz w:val="18"/>
          <w:u w:val="single"/>
        </w:rPr>
        <w:t> </w:t>
      </w:r>
      <w:r>
        <w:rPr>
          <w:sz w:val="18"/>
          <w:u w:val="single"/>
        </w:rPr>
        <w:t>Narron</w:t>
      </w:r>
      <w:r>
        <w:rPr>
          <w:sz w:val="18"/>
        </w:rPr>
        <w:t>,</w:t>
      </w:r>
      <w:r>
        <w:rPr>
          <w:spacing w:val="-16"/>
          <w:sz w:val="18"/>
        </w:rPr>
        <w:t> </w:t>
      </w:r>
      <w:r>
        <w:rPr>
          <w:sz w:val="18"/>
        </w:rPr>
        <w:t>155</w:t>
      </w:r>
      <w:r>
        <w:rPr>
          <w:spacing w:val="-15"/>
          <w:sz w:val="18"/>
        </w:rPr>
        <w:t> </w:t>
      </w:r>
      <w:r>
        <w:rPr>
          <w:sz w:val="18"/>
        </w:rPr>
        <w:t>N.C.App. 362, 574 S.E.2d 490 (N.C. App.</w:t>
      </w:r>
      <w:r>
        <w:rPr>
          <w:spacing w:val="3"/>
          <w:sz w:val="18"/>
        </w:rPr>
        <w:t> </w:t>
      </w:r>
      <w:r>
        <w:rPr>
          <w:sz w:val="18"/>
        </w:rPr>
        <w:t>2002).</w:t>
      </w:r>
    </w:p>
    <w:p>
      <w:pPr>
        <w:pStyle w:val="ListParagraph"/>
        <w:numPr>
          <w:ilvl w:val="0"/>
          <w:numId w:val="5"/>
        </w:numPr>
        <w:tabs>
          <w:tab w:pos="1411" w:val="left" w:leader="none"/>
        </w:tabs>
        <w:spacing w:line="207" w:lineRule="exact" w:before="0" w:after="0"/>
        <w:ind w:left="1410" w:right="0" w:hanging="251"/>
        <w:jc w:val="left"/>
        <w:rPr>
          <w:sz w:val="18"/>
        </w:rPr>
      </w:pPr>
      <w:r>
        <w:rPr>
          <w:sz w:val="18"/>
          <w:u w:val="single"/>
        </w:rPr>
        <w:t>Home Ins. Co. v. Walter</w:t>
      </w:r>
      <w:r>
        <w:rPr>
          <w:sz w:val="18"/>
        </w:rPr>
        <w:t>, 230 S.W. 723 (Tex. Civ. App.-Dallas</w:t>
      </w:r>
      <w:r>
        <w:rPr>
          <w:spacing w:val="1"/>
          <w:sz w:val="18"/>
        </w:rPr>
        <w:t> </w:t>
      </w:r>
      <w:r>
        <w:rPr>
          <w:sz w:val="18"/>
        </w:rPr>
        <w:t>1921).</w:t>
      </w:r>
    </w:p>
    <w:p>
      <w:pPr>
        <w:pStyle w:val="ListParagraph"/>
        <w:numPr>
          <w:ilvl w:val="0"/>
          <w:numId w:val="5"/>
        </w:numPr>
        <w:tabs>
          <w:tab w:pos="1435" w:val="left" w:leader="none"/>
        </w:tabs>
        <w:spacing w:line="282" w:lineRule="exact" w:before="0" w:after="0"/>
        <w:ind w:left="1434" w:right="0" w:hanging="275"/>
        <w:jc w:val="left"/>
        <w:rPr>
          <w:sz w:val="24"/>
        </w:rPr>
      </w:pPr>
      <w:r>
        <w:rPr>
          <w:sz w:val="18"/>
        </w:rPr>
        <w:t>FC&amp;S Bulletins, The National Underwriter Co.,  Misc. Property, April</w:t>
      </w:r>
      <w:r>
        <w:rPr>
          <w:spacing w:val="7"/>
          <w:sz w:val="18"/>
        </w:rPr>
        <w:t> </w:t>
      </w:r>
      <w:r>
        <w:rPr>
          <w:sz w:val="18"/>
        </w:rPr>
        <w:t>1995</w:t>
      </w:r>
      <w:r>
        <w:rPr>
          <w:sz w:val="24"/>
        </w:rPr>
        <w:t>.</w:t>
      </w:r>
    </w:p>
    <w:p>
      <w:pPr>
        <w:pStyle w:val="ListParagraph"/>
        <w:numPr>
          <w:ilvl w:val="0"/>
          <w:numId w:val="5"/>
        </w:numPr>
        <w:tabs>
          <w:tab w:pos="1435" w:val="left" w:leader="none"/>
        </w:tabs>
        <w:spacing w:line="240" w:lineRule="auto" w:before="1" w:after="0"/>
        <w:ind w:left="1434" w:right="0" w:hanging="275"/>
        <w:jc w:val="left"/>
        <w:rPr>
          <w:sz w:val="18"/>
        </w:rPr>
      </w:pPr>
      <w:r>
        <w:rPr>
          <w:sz w:val="18"/>
          <w:u w:val="single"/>
        </w:rPr>
        <w:t>Gervant v. New England Fire Ins. Co.</w:t>
      </w:r>
      <w:r>
        <w:rPr>
          <w:sz w:val="18"/>
        </w:rPr>
        <w:t>, 306 N.Y. 393, 118 N.E.2d 574</w:t>
      </w:r>
      <w:r>
        <w:rPr>
          <w:spacing w:val="15"/>
          <w:sz w:val="18"/>
        </w:rPr>
        <w:t> </w:t>
      </w:r>
      <w:r>
        <w:rPr>
          <w:sz w:val="18"/>
        </w:rPr>
        <w:t>(1954).</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firstLine="720"/>
        <w:jc w:val="both"/>
      </w:pPr>
      <w:bookmarkStart w:name="Law and Procedure 402" w:id="16"/>
      <w:bookmarkEnd w:id="16"/>
      <w:r>
        <w:rPr/>
      </w:r>
      <w:r>
        <w:rPr>
          <w:spacing w:val="2"/>
        </w:rPr>
        <w:t>An </w:t>
      </w:r>
      <w:r>
        <w:rPr/>
        <w:t>award would not be set </w:t>
      </w:r>
      <w:r>
        <w:rPr>
          <w:spacing w:val="-3"/>
        </w:rPr>
        <w:t>aside </w:t>
      </w:r>
      <w:r>
        <w:rPr/>
        <w:t>because the umpire and appraisers </w:t>
      </w:r>
      <w:r>
        <w:rPr>
          <w:spacing w:val="-4"/>
        </w:rPr>
        <w:t>acted </w:t>
      </w:r>
      <w:r>
        <w:rPr/>
        <w:t>jointly</w:t>
      </w:r>
      <w:r>
        <w:rPr>
          <w:spacing w:val="-30"/>
        </w:rPr>
        <w:t> </w:t>
      </w:r>
      <w:r>
        <w:rPr/>
        <w:t>but</w:t>
      </w:r>
      <w:r>
        <w:rPr>
          <w:spacing w:val="-27"/>
        </w:rPr>
        <w:t> </w:t>
      </w:r>
      <w:r>
        <w:rPr/>
        <w:t>where</w:t>
      </w:r>
      <w:r>
        <w:rPr>
          <w:spacing w:val="-26"/>
        </w:rPr>
        <w:t> </w:t>
      </w:r>
      <w:r>
        <w:rPr/>
        <w:t>the</w:t>
      </w:r>
      <w:r>
        <w:rPr>
          <w:spacing w:val="-25"/>
        </w:rPr>
        <w:t> </w:t>
      </w:r>
      <w:r>
        <w:rPr/>
        <w:t>umpire</w:t>
      </w:r>
      <w:r>
        <w:rPr>
          <w:spacing w:val="-27"/>
        </w:rPr>
        <w:t> </w:t>
      </w:r>
      <w:r>
        <w:rPr/>
        <w:t>did</w:t>
      </w:r>
      <w:r>
        <w:rPr>
          <w:spacing w:val="-27"/>
        </w:rPr>
        <w:t> </w:t>
      </w:r>
      <w:r>
        <w:rPr/>
        <w:t>not</w:t>
      </w:r>
      <w:r>
        <w:rPr>
          <w:spacing w:val="-28"/>
        </w:rPr>
        <w:t> </w:t>
      </w:r>
      <w:r>
        <w:rPr/>
        <w:t>confer</w:t>
      </w:r>
      <w:r>
        <w:rPr>
          <w:spacing w:val="-29"/>
        </w:rPr>
        <w:t> </w:t>
      </w:r>
      <w:r>
        <w:rPr/>
        <w:t>with the insured's appraiser, the appraisement</w:t>
      </w:r>
      <w:r>
        <w:rPr>
          <w:spacing w:val="-15"/>
        </w:rPr>
        <w:t> </w:t>
      </w:r>
      <w:r>
        <w:rPr/>
        <w:t>was held to be</w:t>
      </w:r>
      <w:r>
        <w:rPr>
          <w:spacing w:val="-3"/>
        </w:rPr>
        <w:t> </w:t>
      </w:r>
      <w:r>
        <w:rPr/>
        <w:t>ineffective.</w:t>
      </w:r>
      <w:r>
        <w:rPr>
          <w:vertAlign w:val="superscript"/>
        </w:rPr>
        <w:t>847</w:t>
      </w:r>
    </w:p>
    <w:p>
      <w:pPr>
        <w:pStyle w:val="BodyText"/>
      </w:pPr>
    </w:p>
    <w:p>
      <w:pPr>
        <w:pStyle w:val="BodyText"/>
        <w:spacing w:line="242" w:lineRule="auto" w:before="1"/>
        <w:ind w:left="1520" w:right="1518" w:firstLine="720"/>
        <w:jc w:val="both"/>
      </w:pPr>
      <w:r>
        <w:rPr/>
        <w:t>The appraisers may hire an umpire prior to disagreeing on the value of a loss, but the umpire may not participate until such a disagreement</w:t>
      </w:r>
      <w:r>
        <w:rPr>
          <w:spacing w:val="-4"/>
        </w:rPr>
        <w:t> </w:t>
      </w:r>
      <w:r>
        <w:rPr/>
        <w:t>occurs.</w:t>
      </w:r>
      <w:r>
        <w:rPr>
          <w:vertAlign w:val="superscript"/>
        </w:rPr>
        <w:t>848</w:t>
      </w:r>
    </w:p>
    <w:p>
      <w:pPr>
        <w:pStyle w:val="BodyText"/>
        <w:spacing w:before="1"/>
      </w:pPr>
    </w:p>
    <w:p>
      <w:pPr>
        <w:pStyle w:val="BodyText"/>
        <w:spacing w:line="242" w:lineRule="auto"/>
        <w:ind w:left="1520" w:right="1518" w:firstLine="720"/>
        <w:jc w:val="both"/>
      </w:pPr>
      <w:r>
        <w:rPr>
          <w:spacing w:val="-3"/>
        </w:rPr>
        <w:t>Where </w:t>
      </w:r>
      <w:r>
        <w:rPr/>
        <w:t>an appraisal award is</w:t>
      </w:r>
      <w:r>
        <w:rPr>
          <w:spacing w:val="-25"/>
        </w:rPr>
        <w:t> </w:t>
      </w:r>
      <w:r>
        <w:rPr/>
        <w:t>concluded by adding the amounts allowed by each appraiser and the umpire and dividing by three, this method will not be upheld where it is used </w:t>
      </w:r>
      <w:r>
        <w:rPr>
          <w:spacing w:val="2"/>
        </w:rPr>
        <w:t>in </w:t>
      </w:r>
      <w:r>
        <w:rPr/>
        <w:t>accordance with a previous agreement between the appraisers.</w:t>
      </w:r>
      <w:r>
        <w:rPr>
          <w:vertAlign w:val="superscript"/>
        </w:rPr>
        <w:t>849</w:t>
      </w:r>
      <w:r>
        <w:rPr>
          <w:vertAlign w:val="baseline"/>
        </w:rPr>
        <w:t> </w:t>
      </w:r>
      <w:r>
        <w:rPr>
          <w:spacing w:val="-11"/>
          <w:vertAlign w:val="baseline"/>
        </w:rPr>
        <w:t>Where </w:t>
      </w:r>
      <w:r>
        <w:rPr>
          <w:vertAlign w:val="baseline"/>
        </w:rPr>
        <w:t>the appraisers and umpire agree to an</w:t>
      </w:r>
      <w:r>
        <w:rPr>
          <w:spacing w:val="-30"/>
          <w:vertAlign w:val="baseline"/>
        </w:rPr>
        <w:t> </w:t>
      </w:r>
      <w:r>
        <w:rPr>
          <w:spacing w:val="-4"/>
          <w:vertAlign w:val="baseline"/>
        </w:rPr>
        <w:t>award </w:t>
      </w:r>
      <w:r>
        <w:rPr>
          <w:vertAlign w:val="baseline"/>
        </w:rPr>
        <w:t>arrived at by dividing the aggregate of the amounts of their individual estimates by the number of appraisers, in disregard of their individual judgment, the award or appraisal was held to be</w:t>
      </w:r>
      <w:r>
        <w:rPr>
          <w:spacing w:val="-5"/>
          <w:vertAlign w:val="baseline"/>
        </w:rPr>
        <w:t> </w:t>
      </w:r>
      <w:r>
        <w:rPr>
          <w:vertAlign w:val="baseline"/>
        </w:rPr>
        <w:t>invalid.</w:t>
      </w:r>
      <w:r>
        <w:rPr>
          <w:vertAlign w:val="superscript"/>
        </w:rPr>
        <w:t>850</w:t>
      </w:r>
    </w:p>
    <w:p>
      <w:pPr>
        <w:pStyle w:val="BodyText"/>
        <w:spacing w:before="10"/>
        <w:rPr>
          <w:sz w:val="25"/>
        </w:rPr>
      </w:pPr>
    </w:p>
    <w:p>
      <w:pPr>
        <w:pStyle w:val="BodyText"/>
        <w:spacing w:line="242" w:lineRule="auto" w:before="1"/>
        <w:ind w:left="1520" w:right="1520" w:firstLine="720"/>
        <w:jc w:val="both"/>
      </w:pPr>
      <w:r>
        <w:rPr/>
        <w:t>The obligation of the umpire to act in concert</w:t>
      </w:r>
      <w:r>
        <w:rPr>
          <w:spacing w:val="-24"/>
        </w:rPr>
        <w:t> </w:t>
      </w:r>
      <w:r>
        <w:rPr/>
        <w:t>and</w:t>
      </w:r>
      <w:r>
        <w:rPr>
          <w:spacing w:val="-21"/>
        </w:rPr>
        <w:t> </w:t>
      </w:r>
      <w:r>
        <w:rPr/>
        <w:t>in</w:t>
      </w:r>
      <w:r>
        <w:rPr>
          <w:spacing w:val="-20"/>
        </w:rPr>
        <w:t> </w:t>
      </w:r>
      <w:r>
        <w:rPr/>
        <w:t>conjunction</w:t>
      </w:r>
      <w:r>
        <w:rPr>
          <w:spacing w:val="-18"/>
        </w:rPr>
        <w:t> </w:t>
      </w:r>
      <w:r>
        <w:rPr/>
        <w:t>with</w:t>
      </w:r>
      <w:r>
        <w:rPr>
          <w:spacing w:val="-19"/>
        </w:rPr>
        <w:t> </w:t>
      </w:r>
      <w:r>
        <w:rPr/>
        <w:t>one</w:t>
      </w:r>
      <w:r>
        <w:rPr>
          <w:spacing w:val="-19"/>
        </w:rPr>
        <w:t> </w:t>
      </w:r>
      <w:r>
        <w:rPr/>
        <w:t>or</w:t>
      </w:r>
      <w:r>
        <w:rPr>
          <w:spacing w:val="-21"/>
        </w:rPr>
        <w:t> </w:t>
      </w:r>
      <w:r>
        <w:rPr/>
        <w:t>both</w:t>
      </w:r>
      <w:r>
        <w:rPr>
          <w:spacing w:val="-21"/>
        </w:rPr>
        <w:t> </w:t>
      </w:r>
      <w:r>
        <w:rPr/>
        <w:t>of</w:t>
      </w:r>
    </w:p>
    <w:p>
      <w:pPr>
        <w:pStyle w:val="BodyText"/>
        <w:rPr>
          <w:sz w:val="20"/>
        </w:rPr>
      </w:pPr>
    </w:p>
    <w:p>
      <w:pPr>
        <w:pStyle w:val="BodyText"/>
        <w:spacing w:before="4"/>
        <w:rPr>
          <w:sz w:val="20"/>
        </w:rPr>
      </w:pPr>
      <w:r>
        <w:rPr/>
        <w:pict>
          <v:shape style="position:absolute;margin-left:162pt;margin-top:14.872397pt;width:143.9pt;height:.1pt;mso-position-horizontal-relative:page;mso-position-vertical-relative:paragraph;z-index:-251643904;mso-wrap-distance-left:0;mso-wrap-distance-right:0" coordorigin="3240,297" coordsize="2878,0" path="m3240,297l6118,297e" filled="false" stroked="true" strokeweight=".84pt" strokecolor="#000000">
            <v:path arrowok="t"/>
            <v:stroke dashstyle="solid"/>
            <w10:wrap type="topAndBottom"/>
          </v:shape>
        </w:pict>
      </w:r>
    </w:p>
    <w:p>
      <w:pPr>
        <w:pStyle w:val="ListParagraph"/>
        <w:numPr>
          <w:ilvl w:val="0"/>
          <w:numId w:val="5"/>
        </w:numPr>
        <w:tabs>
          <w:tab w:pos="1447" w:val="left" w:leader="none"/>
        </w:tabs>
        <w:spacing w:line="247" w:lineRule="auto" w:before="140" w:after="0"/>
        <w:ind w:left="1160" w:right="1354" w:firstLine="0"/>
        <w:jc w:val="left"/>
        <w:rPr>
          <w:sz w:val="24"/>
        </w:rPr>
      </w:pPr>
      <w:r>
        <w:rPr>
          <w:sz w:val="18"/>
          <w:u w:val="single"/>
        </w:rPr>
        <w:t>Headley v. Commercial Standard Ins. Co. of Dallas Texas</w:t>
      </w:r>
      <w:r>
        <w:rPr>
          <w:sz w:val="18"/>
        </w:rPr>
        <w:t>, 17 La. App. 25, 134</w:t>
      </w:r>
      <w:r>
        <w:rPr>
          <w:spacing w:val="-12"/>
          <w:sz w:val="18"/>
        </w:rPr>
        <w:t> </w:t>
      </w:r>
      <w:r>
        <w:rPr>
          <w:sz w:val="18"/>
        </w:rPr>
        <w:t>So. 305 (1931)</w:t>
      </w:r>
      <w:r>
        <w:rPr>
          <w:sz w:val="24"/>
        </w:rPr>
        <w:t>.</w:t>
      </w:r>
    </w:p>
    <w:p>
      <w:pPr>
        <w:pStyle w:val="ListParagraph"/>
        <w:numPr>
          <w:ilvl w:val="0"/>
          <w:numId w:val="5"/>
        </w:numPr>
        <w:tabs>
          <w:tab w:pos="1459" w:val="left" w:leader="none"/>
        </w:tabs>
        <w:spacing w:line="204" w:lineRule="exact" w:before="0" w:after="0"/>
        <w:ind w:left="1458" w:right="0" w:hanging="299"/>
        <w:jc w:val="left"/>
        <w:rPr>
          <w:sz w:val="18"/>
        </w:rPr>
      </w:pPr>
      <w:r>
        <w:rPr>
          <w:sz w:val="18"/>
          <w:u w:val="single"/>
        </w:rPr>
        <w:t>Enright v. Montauk Fire Ins. Co.</w:t>
      </w:r>
      <w:r>
        <w:rPr>
          <w:sz w:val="18"/>
        </w:rPr>
        <w:t>, 15 N.Y.S. 893 (Sup. Ct. 1891), </w:t>
      </w:r>
      <w:r>
        <w:rPr>
          <w:i/>
          <w:sz w:val="18"/>
        </w:rPr>
        <w:t>aff’d</w:t>
      </w:r>
      <w:r>
        <w:rPr>
          <w:sz w:val="18"/>
        </w:rPr>
        <w:t>, 142</w:t>
      </w:r>
      <w:r>
        <w:rPr>
          <w:spacing w:val="10"/>
          <w:sz w:val="18"/>
        </w:rPr>
        <w:t> </w:t>
      </w:r>
      <w:r>
        <w:rPr>
          <w:sz w:val="18"/>
        </w:rPr>
        <w:t>N.Y.</w:t>
      </w:r>
    </w:p>
    <w:p>
      <w:pPr>
        <w:spacing w:line="178" w:lineRule="exact" w:before="4"/>
        <w:ind w:left="1160" w:right="0" w:firstLine="0"/>
        <w:jc w:val="left"/>
        <w:rPr>
          <w:rFonts w:ascii="Times New Roman"/>
          <w:sz w:val="18"/>
        </w:rPr>
      </w:pPr>
      <w:r>
        <w:rPr>
          <w:rFonts w:ascii="Times New Roman"/>
          <w:sz w:val="18"/>
        </w:rPr>
        <w:t>667, 37 N.E. 570 (1894).</w:t>
      </w:r>
    </w:p>
    <w:p>
      <w:pPr>
        <w:pStyle w:val="ListParagraph"/>
        <w:numPr>
          <w:ilvl w:val="0"/>
          <w:numId w:val="5"/>
        </w:numPr>
        <w:tabs>
          <w:tab w:pos="1402" w:val="left" w:leader="none"/>
        </w:tabs>
        <w:spacing w:line="240" w:lineRule="exact" w:before="0" w:after="0"/>
        <w:ind w:left="1401" w:right="0" w:hanging="242"/>
        <w:jc w:val="left"/>
        <w:rPr>
          <w:sz w:val="18"/>
        </w:rPr>
      </w:pPr>
      <w:r>
        <w:rPr>
          <w:sz w:val="18"/>
          <w:u w:val="single"/>
        </w:rPr>
        <w:t>Schreiber v. Pacific Coast Fire Ins. Co.</w:t>
      </w:r>
      <w:r>
        <w:rPr>
          <w:sz w:val="18"/>
        </w:rPr>
        <w:t>, 195 Md. 639, 75 A.2d 108</w:t>
      </w:r>
      <w:r>
        <w:rPr>
          <w:spacing w:val="7"/>
          <w:sz w:val="18"/>
        </w:rPr>
        <w:t> </w:t>
      </w:r>
      <w:r>
        <w:rPr>
          <w:sz w:val="18"/>
        </w:rPr>
        <w:t>(1950).</w:t>
      </w:r>
    </w:p>
    <w:p>
      <w:pPr>
        <w:pStyle w:val="ListParagraph"/>
        <w:numPr>
          <w:ilvl w:val="0"/>
          <w:numId w:val="5"/>
        </w:numPr>
        <w:tabs>
          <w:tab w:pos="1429" w:val="left" w:leader="none"/>
        </w:tabs>
        <w:spacing w:line="240" w:lineRule="auto" w:before="6" w:after="0"/>
        <w:ind w:left="1428" w:right="0" w:hanging="269"/>
        <w:jc w:val="left"/>
        <w:rPr>
          <w:sz w:val="18"/>
        </w:rPr>
      </w:pPr>
      <w:r>
        <w:rPr>
          <w:sz w:val="18"/>
          <w:u w:val="single"/>
        </w:rPr>
        <w:t>Round v. Bellows</w:t>
      </w:r>
      <w:r>
        <w:rPr>
          <w:sz w:val="24"/>
        </w:rPr>
        <w:t>, </w:t>
      </w:r>
      <w:r>
        <w:rPr>
          <w:sz w:val="18"/>
        </w:rPr>
        <w:t>21 Mass. 179 (1826); </w:t>
      </w:r>
      <w:r>
        <w:rPr>
          <w:sz w:val="18"/>
          <w:u w:val="single"/>
        </w:rPr>
        <w:t>Schreiber</w:t>
      </w:r>
      <w:r>
        <w:rPr>
          <w:sz w:val="18"/>
        </w:rPr>
        <w:t>, 195 Md.</w:t>
      </w:r>
      <w:r>
        <w:rPr>
          <w:spacing w:val="6"/>
          <w:sz w:val="18"/>
        </w:rPr>
        <w:t> </w:t>
      </w:r>
      <w:r>
        <w:rPr>
          <w:sz w:val="18"/>
        </w:rPr>
        <w:t>639.</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03" w:id="17"/>
      <w:bookmarkEnd w:id="17"/>
      <w:r>
        <w:rPr/>
      </w:r>
      <w:r>
        <w:rPr/>
        <w:t>the appraisers was illustrated by the New York supreme court in its decision setting aside an umpire’s determination that included an award in the amount of $90,000. The umpire arrived at this number after being confronted with a $45,000 written appraisal by the insurance carrier’s representative and a</w:t>
      </w:r>
    </w:p>
    <w:p>
      <w:pPr>
        <w:pStyle w:val="BodyText"/>
        <w:spacing w:line="242" w:lineRule="auto"/>
        <w:ind w:left="1520" w:right="1516"/>
        <w:jc w:val="both"/>
      </w:pPr>
      <w:r>
        <w:rPr/>
        <w:t>$220,000 written appraisal submitted by the insured’s appraiser. A lower court had initially allowed the umpire’s award to stand finding the</w:t>
      </w:r>
      <w:r>
        <w:rPr>
          <w:spacing w:val="-28"/>
        </w:rPr>
        <w:t> </w:t>
      </w:r>
      <w:r>
        <w:rPr/>
        <w:t>umpire’s</w:t>
      </w:r>
      <w:r>
        <w:rPr>
          <w:spacing w:val="-28"/>
        </w:rPr>
        <w:t> </w:t>
      </w:r>
      <w:r>
        <w:rPr/>
        <w:t>“common</w:t>
      </w:r>
      <w:r>
        <w:rPr>
          <w:spacing w:val="-28"/>
        </w:rPr>
        <w:t> </w:t>
      </w:r>
      <w:r>
        <w:rPr/>
        <w:t>sense</w:t>
      </w:r>
      <w:r>
        <w:rPr>
          <w:spacing w:val="-28"/>
        </w:rPr>
        <w:t> </w:t>
      </w:r>
      <w:r>
        <w:rPr/>
        <w:t>approach”</w:t>
      </w:r>
      <w:r>
        <w:rPr>
          <w:spacing w:val="-26"/>
        </w:rPr>
        <w:t> </w:t>
      </w:r>
      <w:r>
        <w:rPr/>
        <w:t>to</w:t>
      </w:r>
      <w:r>
        <w:rPr>
          <w:spacing w:val="-27"/>
        </w:rPr>
        <w:t> </w:t>
      </w:r>
      <w:r>
        <w:rPr/>
        <w:t>be appropriate</w:t>
      </w:r>
      <w:r>
        <w:rPr>
          <w:spacing w:val="-30"/>
        </w:rPr>
        <w:t> </w:t>
      </w:r>
      <w:r>
        <w:rPr/>
        <w:t>when</w:t>
      </w:r>
      <w:r>
        <w:rPr>
          <w:spacing w:val="-30"/>
        </w:rPr>
        <w:t> </w:t>
      </w:r>
      <w:r>
        <w:rPr/>
        <w:t>the</w:t>
      </w:r>
      <w:r>
        <w:rPr>
          <w:spacing w:val="-32"/>
        </w:rPr>
        <w:t> </w:t>
      </w:r>
      <w:r>
        <w:rPr/>
        <w:t>umpire</w:t>
      </w:r>
      <w:r>
        <w:rPr>
          <w:spacing w:val="-33"/>
        </w:rPr>
        <w:t> </w:t>
      </w:r>
      <w:r>
        <w:rPr/>
        <w:t>selected</w:t>
      </w:r>
      <w:r>
        <w:rPr>
          <w:spacing w:val="-30"/>
        </w:rPr>
        <w:t> </w:t>
      </w:r>
      <w:r>
        <w:rPr/>
        <w:t>a</w:t>
      </w:r>
      <w:r>
        <w:rPr>
          <w:spacing w:val="-28"/>
        </w:rPr>
        <w:t> </w:t>
      </w:r>
      <w:r>
        <w:rPr/>
        <w:t>figure between</w:t>
      </w:r>
      <w:r>
        <w:rPr>
          <w:spacing w:val="-16"/>
        </w:rPr>
        <w:t> </w:t>
      </w:r>
      <w:r>
        <w:rPr/>
        <w:t>the</w:t>
      </w:r>
      <w:r>
        <w:rPr>
          <w:spacing w:val="-15"/>
        </w:rPr>
        <w:t> </w:t>
      </w:r>
      <w:r>
        <w:rPr>
          <w:spacing w:val="-3"/>
        </w:rPr>
        <w:t>two</w:t>
      </w:r>
      <w:r>
        <w:rPr>
          <w:spacing w:val="-14"/>
        </w:rPr>
        <w:t> </w:t>
      </w:r>
      <w:r>
        <w:rPr/>
        <w:t>appraisals</w:t>
      </w:r>
      <w:r>
        <w:rPr>
          <w:spacing w:val="-13"/>
        </w:rPr>
        <w:t> </w:t>
      </w:r>
      <w:r>
        <w:rPr/>
        <w:t>he</w:t>
      </w:r>
      <w:r>
        <w:rPr>
          <w:spacing w:val="-17"/>
        </w:rPr>
        <w:t> </w:t>
      </w:r>
      <w:r>
        <w:rPr/>
        <w:t>was</w:t>
      </w:r>
      <w:r>
        <w:rPr>
          <w:spacing w:val="-17"/>
        </w:rPr>
        <w:t> </w:t>
      </w:r>
      <w:r>
        <w:rPr/>
        <w:t>presented with. </w:t>
      </w:r>
      <w:r>
        <w:rPr>
          <w:spacing w:val="3"/>
        </w:rPr>
        <w:t>In </w:t>
      </w:r>
      <w:r>
        <w:rPr/>
        <w:t>overturning the lower court’s decision, the court cited the policy language which prescribes the relationship of appraisers and umpire: “The appraisers, failing to agree, shall submit</w:t>
      </w:r>
      <w:r>
        <w:rPr>
          <w:spacing w:val="-30"/>
        </w:rPr>
        <w:t> </w:t>
      </w:r>
      <w:r>
        <w:rPr/>
        <w:t>their</w:t>
      </w:r>
      <w:r>
        <w:rPr>
          <w:spacing w:val="-29"/>
        </w:rPr>
        <w:t> </w:t>
      </w:r>
      <w:r>
        <w:rPr/>
        <w:t>differences,</w:t>
      </w:r>
      <w:r>
        <w:rPr>
          <w:spacing w:val="-30"/>
        </w:rPr>
        <w:t> </w:t>
      </w:r>
      <w:r>
        <w:rPr/>
        <w:t>only,</w:t>
      </w:r>
      <w:r>
        <w:rPr>
          <w:spacing w:val="-30"/>
        </w:rPr>
        <w:t> </w:t>
      </w:r>
      <w:r>
        <w:rPr/>
        <w:t>to</w:t>
      </w:r>
      <w:r>
        <w:rPr>
          <w:spacing w:val="-28"/>
        </w:rPr>
        <w:t> </w:t>
      </w:r>
      <w:r>
        <w:rPr/>
        <w:t>the</w:t>
      </w:r>
      <w:r>
        <w:rPr>
          <w:spacing w:val="-29"/>
        </w:rPr>
        <w:t> </w:t>
      </w:r>
      <w:r>
        <w:rPr/>
        <w:t>umpire.</w:t>
      </w:r>
      <w:r>
        <w:rPr>
          <w:spacing w:val="9"/>
        </w:rPr>
        <w:t> </w:t>
      </w:r>
      <w:r>
        <w:rPr/>
        <w:t>An award in writing...of any two...shall determine the amount of actual cash value and loss.” The court concluded that based on this language, the umpire was not an arbitrator given sole authority to make such a determination and was to act only in concert and conjunction with the other</w:t>
      </w:r>
      <w:r>
        <w:rPr>
          <w:spacing w:val="-12"/>
        </w:rPr>
        <w:t> </w:t>
      </w:r>
      <w:r>
        <w:rPr/>
        <w:t>appraisers.</w:t>
      </w:r>
      <w:r>
        <w:rPr>
          <w:vertAlign w:val="superscript"/>
        </w:rPr>
        <w:t>851</w:t>
      </w:r>
    </w:p>
    <w:p>
      <w:pPr>
        <w:pStyle w:val="BodyText"/>
        <w:spacing w:before="5"/>
        <w:rPr>
          <w:sz w:val="25"/>
        </w:rPr>
      </w:pPr>
    </w:p>
    <w:p>
      <w:pPr>
        <w:pStyle w:val="BodyText"/>
        <w:spacing w:line="242" w:lineRule="auto"/>
        <w:ind w:left="1520" w:right="1518" w:firstLine="720"/>
        <w:jc w:val="both"/>
      </w:pPr>
      <w:r>
        <w:rPr>
          <w:spacing w:val="3"/>
        </w:rPr>
        <w:t>It </w:t>
      </w:r>
      <w:r>
        <w:rPr/>
        <w:t>has been held that a sitting jurist may not</w:t>
      </w:r>
      <w:r>
        <w:rPr>
          <w:spacing w:val="-33"/>
        </w:rPr>
        <w:t> </w:t>
      </w:r>
      <w:r>
        <w:rPr/>
        <w:t>directly</w:t>
      </w:r>
      <w:r>
        <w:rPr>
          <w:spacing w:val="-33"/>
        </w:rPr>
        <w:t> </w:t>
      </w:r>
      <w:r>
        <w:rPr/>
        <w:t>participate</w:t>
      </w:r>
      <w:r>
        <w:rPr>
          <w:spacing w:val="-33"/>
        </w:rPr>
        <w:t> </w:t>
      </w:r>
      <w:r>
        <w:rPr/>
        <w:t>in</w:t>
      </w:r>
      <w:r>
        <w:rPr>
          <w:spacing w:val="-32"/>
        </w:rPr>
        <w:t> </w:t>
      </w:r>
      <w:r>
        <w:rPr/>
        <w:t>the</w:t>
      </w:r>
      <w:r>
        <w:rPr>
          <w:spacing w:val="-33"/>
        </w:rPr>
        <w:t> </w:t>
      </w:r>
      <w:r>
        <w:rPr/>
        <w:t>appraisal</w:t>
      </w:r>
      <w:r>
        <w:rPr>
          <w:spacing w:val="-32"/>
        </w:rPr>
        <w:t> </w:t>
      </w:r>
      <w:r>
        <w:rPr/>
        <w:t>process except with respect to award</w:t>
      </w:r>
      <w:r>
        <w:rPr>
          <w:spacing w:val="2"/>
        </w:rPr>
        <w:t> </w:t>
      </w:r>
      <w:r>
        <w:rPr/>
        <w:t>enforcement</w:t>
      </w:r>
    </w:p>
    <w:p>
      <w:pPr>
        <w:pStyle w:val="BodyText"/>
        <w:rPr>
          <w:sz w:val="20"/>
        </w:rPr>
      </w:pPr>
    </w:p>
    <w:p>
      <w:pPr>
        <w:pStyle w:val="BodyText"/>
        <w:rPr>
          <w:sz w:val="20"/>
        </w:rPr>
      </w:pPr>
    </w:p>
    <w:p>
      <w:pPr>
        <w:pStyle w:val="BodyText"/>
        <w:spacing w:before="7"/>
        <w:rPr>
          <w:sz w:val="19"/>
        </w:rPr>
      </w:pPr>
      <w:r>
        <w:rPr/>
        <w:pict>
          <v:shape style="position:absolute;margin-left:162pt;margin-top:14.397813pt;width:143.9pt;height:.1pt;mso-position-horizontal-relative:page;mso-position-vertical-relative:paragraph;z-index:-251642880;mso-wrap-distance-left:0;mso-wrap-distance-right:0" coordorigin="3240,288" coordsize="2878,0" path="m3240,288l6118,288e" filled="false" stroked="true" strokeweight=".84pt" strokecolor="#000000">
            <v:path arrowok="t"/>
            <v:stroke dashstyle="solid"/>
            <w10:wrap type="topAndBottom"/>
          </v:shape>
        </w:pict>
      </w:r>
    </w:p>
    <w:p>
      <w:pPr>
        <w:spacing w:before="149"/>
        <w:ind w:left="1160" w:right="0" w:firstLine="0"/>
        <w:jc w:val="left"/>
        <w:rPr>
          <w:rFonts w:ascii="Times New Roman"/>
          <w:sz w:val="18"/>
        </w:rPr>
      </w:pPr>
      <w:r>
        <w:rPr>
          <w:rFonts w:ascii="Times New Roman"/>
          <w:position w:val="9"/>
          <w:sz w:val="14"/>
        </w:rPr>
        <w:t>851 </w:t>
      </w:r>
      <w:r>
        <w:rPr>
          <w:rFonts w:ascii="Times New Roman"/>
          <w:sz w:val="18"/>
          <w:u w:val="single"/>
        </w:rPr>
        <w:t>Allstate v. Kleveno</w:t>
      </w:r>
      <w:r>
        <w:rPr>
          <w:rFonts w:ascii="Times New Roman"/>
          <w:sz w:val="18"/>
        </w:rPr>
        <w:t>, 81 A.D.2d 648, 438 N.Y.S.2d 384 (2d Dept. 1981).</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1520" w:right="1518"/>
        <w:jc w:val="both"/>
      </w:pPr>
      <w:bookmarkStart w:name="Law and Procedure 404" w:id="18"/>
      <w:bookmarkEnd w:id="18"/>
      <w:r>
        <w:rPr/>
      </w:r>
      <w:r>
        <w:rPr/>
        <w:t>proceedings.</w:t>
      </w:r>
      <w:r>
        <w:rPr>
          <w:vertAlign w:val="superscript"/>
        </w:rPr>
        <w:t>852</w:t>
      </w:r>
      <w:r>
        <w:rPr>
          <w:vertAlign w:val="baseline"/>
        </w:rPr>
        <w:t> The </w:t>
      </w:r>
      <w:r>
        <w:rPr>
          <w:spacing w:val="-3"/>
          <w:vertAlign w:val="baseline"/>
        </w:rPr>
        <w:t>two </w:t>
      </w:r>
      <w:r>
        <w:rPr>
          <w:vertAlign w:val="baseline"/>
        </w:rPr>
        <w:t>statutory schemes </w:t>
      </w:r>
      <w:r>
        <w:rPr>
          <w:spacing w:val="-20"/>
          <w:vertAlign w:val="baseline"/>
        </w:rPr>
        <w:t>of </w:t>
      </w:r>
      <w:r>
        <w:rPr>
          <w:vertAlign w:val="baseline"/>
        </w:rPr>
        <w:t>litigation</w:t>
      </w:r>
      <w:r>
        <w:rPr>
          <w:spacing w:val="-17"/>
          <w:vertAlign w:val="baseline"/>
        </w:rPr>
        <w:t> </w:t>
      </w:r>
      <w:r>
        <w:rPr>
          <w:vertAlign w:val="baseline"/>
        </w:rPr>
        <w:t>and</w:t>
      </w:r>
      <w:r>
        <w:rPr>
          <w:spacing w:val="-18"/>
          <w:vertAlign w:val="baseline"/>
        </w:rPr>
        <w:t> </w:t>
      </w:r>
      <w:r>
        <w:rPr>
          <w:vertAlign w:val="baseline"/>
        </w:rPr>
        <w:t>alternative</w:t>
      </w:r>
      <w:r>
        <w:rPr>
          <w:spacing w:val="-20"/>
          <w:vertAlign w:val="baseline"/>
        </w:rPr>
        <w:t> </w:t>
      </w:r>
      <w:r>
        <w:rPr>
          <w:vertAlign w:val="baseline"/>
        </w:rPr>
        <w:t>dispute</w:t>
      </w:r>
      <w:r>
        <w:rPr>
          <w:spacing w:val="-20"/>
          <w:vertAlign w:val="baseline"/>
        </w:rPr>
        <w:t> </w:t>
      </w:r>
      <w:r>
        <w:rPr>
          <w:vertAlign w:val="baseline"/>
        </w:rPr>
        <w:t>resolution</w:t>
      </w:r>
      <w:r>
        <w:rPr>
          <w:spacing w:val="-16"/>
          <w:vertAlign w:val="baseline"/>
        </w:rPr>
        <w:t> </w:t>
      </w:r>
      <w:r>
        <w:rPr>
          <w:vertAlign w:val="baseline"/>
        </w:rPr>
        <w:t>are mutually exclusive and independent of each other. Attempts at creating a hybrid or mutation of the </w:t>
      </w:r>
      <w:r>
        <w:rPr>
          <w:spacing w:val="-3"/>
          <w:vertAlign w:val="baseline"/>
        </w:rPr>
        <w:t>two </w:t>
      </w:r>
      <w:r>
        <w:rPr>
          <w:vertAlign w:val="baseline"/>
        </w:rPr>
        <w:t>will generally not be countenanced by a reviewing</w:t>
      </w:r>
      <w:r>
        <w:rPr>
          <w:spacing w:val="-7"/>
          <w:vertAlign w:val="baseline"/>
        </w:rPr>
        <w:t> </w:t>
      </w:r>
      <w:r>
        <w:rPr>
          <w:vertAlign w:val="baseline"/>
        </w:rPr>
        <w:t>court.</w:t>
      </w:r>
      <w:r>
        <w:rPr>
          <w:vertAlign w:val="superscript"/>
        </w:rPr>
        <w:t>853</w:t>
      </w:r>
    </w:p>
    <w:p>
      <w:pPr>
        <w:pStyle w:val="BodyText"/>
      </w:pPr>
    </w:p>
    <w:p>
      <w:pPr>
        <w:pStyle w:val="BodyText"/>
        <w:spacing w:line="242" w:lineRule="auto" w:before="1"/>
        <w:ind w:left="1520" w:right="1519" w:firstLine="720"/>
        <w:jc w:val="both"/>
      </w:pPr>
      <w:r>
        <w:rPr/>
        <w:t>However, under somewhat unusual circumstances, a federal district judge considered assuming the role of umpire with respect to an appraisal being conducted pursuant to the Standard Fire Policy.</w:t>
      </w:r>
      <w:r>
        <w:rPr>
          <w:vertAlign w:val="superscript"/>
        </w:rPr>
        <w:t>854</w:t>
      </w:r>
    </w:p>
    <w:p>
      <w:pPr>
        <w:pStyle w:val="BodyText"/>
      </w:pPr>
    </w:p>
    <w:p>
      <w:pPr>
        <w:pStyle w:val="ListParagraph"/>
        <w:numPr>
          <w:ilvl w:val="0"/>
          <w:numId w:val="1"/>
        </w:numPr>
        <w:tabs>
          <w:tab w:pos="1878" w:val="left" w:leader="none"/>
        </w:tabs>
        <w:spacing w:line="240" w:lineRule="auto" w:before="1" w:after="0"/>
        <w:ind w:left="1877" w:right="0" w:hanging="358"/>
        <w:jc w:val="left"/>
        <w:rPr>
          <w:rFonts w:ascii="Century Gothic" w:hAnsi="Century Gothic"/>
          <w:sz w:val="26"/>
        </w:rPr>
      </w:pPr>
      <w:r>
        <w:rPr>
          <w:rFonts w:ascii="Century Gothic" w:hAnsi="Century Gothic"/>
          <w:sz w:val="26"/>
        </w:rPr>
        <w:t>The Umpire’s Scope of</w:t>
      </w:r>
      <w:r>
        <w:rPr>
          <w:rFonts w:ascii="Century Gothic" w:hAnsi="Century Gothic"/>
          <w:spacing w:val="-6"/>
          <w:sz w:val="26"/>
        </w:rPr>
        <w:t> </w:t>
      </w:r>
      <w:r>
        <w:rPr>
          <w:rFonts w:ascii="Century Gothic" w:hAnsi="Century Gothic"/>
          <w:sz w:val="26"/>
        </w:rPr>
        <w:t>Authority</w:t>
      </w:r>
    </w:p>
    <w:p>
      <w:pPr>
        <w:pStyle w:val="BodyText"/>
        <w:spacing w:before="5"/>
      </w:pPr>
    </w:p>
    <w:p>
      <w:pPr>
        <w:pStyle w:val="BodyText"/>
        <w:spacing w:line="242" w:lineRule="auto"/>
        <w:ind w:left="1520" w:right="1517" w:firstLine="720"/>
        <w:jc w:val="both"/>
      </w:pPr>
      <w:r>
        <w:rPr/>
        <w:t>The functions of the appraisers </w:t>
      </w:r>
      <w:r>
        <w:rPr>
          <w:spacing w:val="-5"/>
        </w:rPr>
        <w:t>and </w:t>
      </w:r>
      <w:r>
        <w:rPr/>
        <w:t>umpire</w:t>
      </w:r>
      <w:r>
        <w:rPr>
          <w:spacing w:val="-11"/>
        </w:rPr>
        <w:t> </w:t>
      </w:r>
      <w:r>
        <w:rPr/>
        <w:t>in</w:t>
      </w:r>
      <w:r>
        <w:rPr>
          <w:spacing w:val="-9"/>
        </w:rPr>
        <w:t> </w:t>
      </w:r>
      <w:r>
        <w:rPr/>
        <w:t>the</w:t>
      </w:r>
      <w:r>
        <w:rPr>
          <w:spacing w:val="-10"/>
        </w:rPr>
        <w:t> </w:t>
      </w:r>
      <w:r>
        <w:rPr/>
        <w:t>appraisal</w:t>
      </w:r>
      <w:r>
        <w:rPr>
          <w:spacing w:val="-8"/>
        </w:rPr>
        <w:t> </w:t>
      </w:r>
      <w:r>
        <w:rPr/>
        <w:t>process</w:t>
      </w:r>
      <w:r>
        <w:rPr>
          <w:spacing w:val="-9"/>
        </w:rPr>
        <w:t> </w:t>
      </w:r>
      <w:r>
        <w:rPr/>
        <w:t>are</w:t>
      </w:r>
      <w:r>
        <w:rPr>
          <w:spacing w:val="-9"/>
        </w:rPr>
        <w:t> </w:t>
      </w:r>
      <w:r>
        <w:rPr/>
        <w:t>defined</w:t>
      </w:r>
      <w:r>
        <w:rPr>
          <w:spacing w:val="-10"/>
        </w:rPr>
        <w:t> </w:t>
      </w:r>
      <w:r>
        <w:rPr/>
        <w:t>to a limited degree in the policy. Actions by the umpire or appraisers which exceed the</w:t>
      </w:r>
      <w:r>
        <w:rPr>
          <w:spacing w:val="-31"/>
        </w:rPr>
        <w:t> </w:t>
      </w:r>
      <w:r>
        <w:rPr/>
        <w:t>scope of the policy or the appraisal agreement </w:t>
      </w:r>
      <w:r>
        <w:rPr>
          <w:spacing w:val="-4"/>
        </w:rPr>
        <w:t>may </w:t>
      </w:r>
      <w:r>
        <w:rPr/>
        <w:t>result</w:t>
      </w:r>
      <w:r>
        <w:rPr>
          <w:spacing w:val="-24"/>
        </w:rPr>
        <w:t> </w:t>
      </w:r>
      <w:r>
        <w:rPr/>
        <w:t>in</w:t>
      </w:r>
      <w:r>
        <w:rPr>
          <w:spacing w:val="-24"/>
        </w:rPr>
        <w:t> </w:t>
      </w:r>
      <w:r>
        <w:rPr/>
        <w:t>an</w:t>
      </w:r>
      <w:r>
        <w:rPr>
          <w:spacing w:val="-23"/>
        </w:rPr>
        <w:t> </w:t>
      </w:r>
      <w:r>
        <w:rPr/>
        <w:t>award</w:t>
      </w:r>
      <w:r>
        <w:rPr>
          <w:spacing w:val="-23"/>
        </w:rPr>
        <w:t> </w:t>
      </w:r>
      <w:r>
        <w:rPr/>
        <w:t>being</w:t>
      </w:r>
      <w:r>
        <w:rPr>
          <w:spacing w:val="-23"/>
        </w:rPr>
        <w:t> </w:t>
      </w:r>
      <w:r>
        <w:rPr/>
        <w:t>set</w:t>
      </w:r>
      <w:r>
        <w:rPr>
          <w:spacing w:val="-23"/>
        </w:rPr>
        <w:t> </w:t>
      </w:r>
      <w:r>
        <w:rPr/>
        <w:t>aside.</w:t>
      </w:r>
      <w:r>
        <w:rPr>
          <w:spacing w:val="-24"/>
        </w:rPr>
        <w:t> </w:t>
      </w:r>
      <w:r>
        <w:rPr>
          <w:spacing w:val="-3"/>
        </w:rPr>
        <w:t>The</w:t>
      </w:r>
      <w:r>
        <w:rPr>
          <w:spacing w:val="-21"/>
        </w:rPr>
        <w:t> </w:t>
      </w:r>
      <w:r>
        <w:rPr/>
        <w:t>problem is the simple appraisal paragraph leaves a lot to the parties’</w:t>
      </w:r>
      <w:r>
        <w:rPr>
          <w:spacing w:val="-4"/>
        </w:rPr>
        <w:t> </w:t>
      </w:r>
      <w:r>
        <w:rPr/>
        <w:t>imaginations.</w:t>
      </w:r>
    </w:p>
    <w:p>
      <w:pPr>
        <w:pStyle w:val="BodyText"/>
      </w:pPr>
    </w:p>
    <w:p>
      <w:pPr>
        <w:pStyle w:val="BodyText"/>
        <w:spacing w:line="242" w:lineRule="auto"/>
        <w:ind w:left="1520" w:right="1521" w:firstLine="720"/>
        <w:jc w:val="both"/>
      </w:pPr>
      <w:r>
        <w:rPr>
          <w:spacing w:val="3"/>
        </w:rPr>
        <w:t>In</w:t>
      </w:r>
      <w:r>
        <w:rPr>
          <w:spacing w:val="-15"/>
        </w:rPr>
        <w:t> </w:t>
      </w:r>
      <w:r>
        <w:rPr/>
        <w:t>addition</w:t>
      </w:r>
      <w:r>
        <w:rPr>
          <w:spacing w:val="-14"/>
        </w:rPr>
        <w:t> </w:t>
      </w:r>
      <w:r>
        <w:rPr/>
        <w:t>to</w:t>
      </w:r>
      <w:r>
        <w:rPr>
          <w:spacing w:val="-14"/>
        </w:rPr>
        <w:t> </w:t>
      </w:r>
      <w:r>
        <w:rPr/>
        <w:t>guidance</w:t>
      </w:r>
      <w:r>
        <w:rPr>
          <w:spacing w:val="-15"/>
        </w:rPr>
        <w:t> </w:t>
      </w:r>
      <w:r>
        <w:rPr/>
        <w:t>directly</w:t>
      </w:r>
      <w:r>
        <w:rPr>
          <w:spacing w:val="-18"/>
        </w:rPr>
        <w:t> </w:t>
      </w:r>
      <w:r>
        <w:rPr/>
        <w:t>from</w:t>
      </w:r>
      <w:r>
        <w:rPr>
          <w:spacing w:val="-16"/>
        </w:rPr>
        <w:t> </w:t>
      </w:r>
      <w:r>
        <w:rPr/>
        <w:t>the policy, the umpire should also</w:t>
      </w:r>
      <w:r>
        <w:rPr>
          <w:spacing w:val="19"/>
        </w:rPr>
        <w:t> </w:t>
      </w:r>
      <w:r>
        <w:rPr/>
        <w:t>look at the</w:t>
      </w:r>
    </w:p>
    <w:p>
      <w:pPr>
        <w:pStyle w:val="BodyText"/>
        <w:rPr>
          <w:sz w:val="20"/>
        </w:rPr>
      </w:pPr>
    </w:p>
    <w:p>
      <w:pPr>
        <w:pStyle w:val="BodyText"/>
        <w:spacing w:before="11"/>
        <w:rPr>
          <w:sz w:val="14"/>
        </w:rPr>
      </w:pPr>
      <w:r>
        <w:rPr/>
        <w:pict>
          <v:shape style="position:absolute;margin-left:162pt;margin-top:11.542994pt;width:143.9pt;height:.1pt;mso-position-horizontal-relative:page;mso-position-vertical-relative:paragraph;z-index:-251641856;mso-wrap-distance-left:0;mso-wrap-distance-right:0" coordorigin="3240,231" coordsize="2878,0" path="m3240,231l6118,231e" filled="false" stroked="true" strokeweight=".84pt" strokecolor="#000000">
            <v:path arrowok="t"/>
            <v:stroke dashstyle="solid"/>
            <w10:wrap type="topAndBottom"/>
          </v:shape>
        </w:pict>
      </w:r>
    </w:p>
    <w:p>
      <w:pPr>
        <w:pStyle w:val="ListParagraph"/>
        <w:numPr>
          <w:ilvl w:val="0"/>
          <w:numId w:val="6"/>
        </w:numPr>
        <w:tabs>
          <w:tab w:pos="1406" w:val="left" w:leader="none"/>
        </w:tabs>
        <w:spacing w:line="240" w:lineRule="auto" w:before="140" w:after="0"/>
        <w:ind w:left="1406" w:right="0" w:hanging="246"/>
        <w:jc w:val="left"/>
        <w:rPr>
          <w:sz w:val="18"/>
        </w:rPr>
      </w:pPr>
      <w:r>
        <w:rPr>
          <w:sz w:val="18"/>
          <w:u w:val="single"/>
        </w:rPr>
        <w:t>Wages</w:t>
      </w:r>
      <w:r>
        <w:rPr>
          <w:spacing w:val="-15"/>
          <w:sz w:val="18"/>
          <w:u w:val="single"/>
        </w:rPr>
        <w:t> </w:t>
      </w:r>
      <w:r>
        <w:rPr>
          <w:sz w:val="18"/>
          <w:u w:val="single"/>
        </w:rPr>
        <w:t>v.</w:t>
      </w:r>
      <w:r>
        <w:rPr>
          <w:spacing w:val="-14"/>
          <w:sz w:val="18"/>
          <w:u w:val="single"/>
        </w:rPr>
        <w:t> </w:t>
      </w:r>
      <w:r>
        <w:rPr>
          <w:sz w:val="18"/>
          <w:u w:val="single"/>
        </w:rPr>
        <w:t>Smith</w:t>
      </w:r>
      <w:r>
        <w:rPr>
          <w:spacing w:val="-12"/>
          <w:sz w:val="18"/>
          <w:u w:val="single"/>
        </w:rPr>
        <w:t> </w:t>
      </w:r>
      <w:r>
        <w:rPr>
          <w:sz w:val="18"/>
          <w:u w:val="single"/>
        </w:rPr>
        <w:t>Barney</w:t>
      </w:r>
      <w:r>
        <w:rPr>
          <w:spacing w:val="-19"/>
          <w:sz w:val="18"/>
          <w:u w:val="single"/>
        </w:rPr>
        <w:t> </w:t>
      </w:r>
      <w:r>
        <w:rPr>
          <w:sz w:val="18"/>
          <w:u w:val="single"/>
        </w:rPr>
        <w:t>Harris</w:t>
      </w:r>
      <w:r>
        <w:rPr>
          <w:spacing w:val="-15"/>
          <w:sz w:val="18"/>
          <w:u w:val="single"/>
        </w:rPr>
        <w:t> </w:t>
      </w:r>
      <w:r>
        <w:rPr>
          <w:sz w:val="18"/>
          <w:u w:val="single"/>
        </w:rPr>
        <w:t>Upham</w:t>
      </w:r>
      <w:r>
        <w:rPr>
          <w:spacing w:val="-16"/>
          <w:sz w:val="18"/>
          <w:u w:val="single"/>
        </w:rPr>
        <w:t> </w:t>
      </w:r>
      <w:r>
        <w:rPr>
          <w:sz w:val="18"/>
          <w:u w:val="single"/>
        </w:rPr>
        <w:t>&amp;</w:t>
      </w:r>
      <w:r>
        <w:rPr>
          <w:spacing w:val="-13"/>
          <w:sz w:val="18"/>
          <w:u w:val="single"/>
        </w:rPr>
        <w:t> </w:t>
      </w:r>
      <w:r>
        <w:rPr>
          <w:sz w:val="18"/>
          <w:u w:val="single"/>
        </w:rPr>
        <w:t>Co.</w:t>
      </w:r>
      <w:r>
        <w:rPr>
          <w:sz w:val="18"/>
        </w:rPr>
        <w:t>,</w:t>
      </w:r>
      <w:r>
        <w:rPr>
          <w:spacing w:val="-11"/>
          <w:sz w:val="18"/>
        </w:rPr>
        <w:t> </w:t>
      </w:r>
      <w:r>
        <w:rPr>
          <w:sz w:val="18"/>
        </w:rPr>
        <w:t>188</w:t>
      </w:r>
      <w:r>
        <w:rPr>
          <w:spacing w:val="-12"/>
          <w:sz w:val="18"/>
        </w:rPr>
        <w:t> </w:t>
      </w:r>
      <w:r>
        <w:rPr>
          <w:sz w:val="18"/>
        </w:rPr>
        <w:t>Ariz.</w:t>
      </w:r>
      <w:r>
        <w:rPr>
          <w:spacing w:val="-14"/>
          <w:sz w:val="18"/>
        </w:rPr>
        <w:t> </w:t>
      </w:r>
      <w:r>
        <w:rPr>
          <w:sz w:val="18"/>
        </w:rPr>
        <w:t>525,</w:t>
      </w:r>
      <w:r>
        <w:rPr>
          <w:spacing w:val="-14"/>
          <w:sz w:val="18"/>
        </w:rPr>
        <w:t> </w:t>
      </w:r>
      <w:r>
        <w:rPr>
          <w:sz w:val="18"/>
        </w:rPr>
        <w:t>937</w:t>
      </w:r>
      <w:r>
        <w:rPr>
          <w:spacing w:val="-13"/>
          <w:sz w:val="18"/>
        </w:rPr>
        <w:t> </w:t>
      </w:r>
      <w:r>
        <w:rPr>
          <w:sz w:val="18"/>
        </w:rPr>
        <w:t>P.2d</w:t>
      </w:r>
      <w:r>
        <w:rPr>
          <w:spacing w:val="-12"/>
          <w:sz w:val="18"/>
        </w:rPr>
        <w:t> </w:t>
      </w:r>
      <w:r>
        <w:rPr>
          <w:sz w:val="18"/>
        </w:rPr>
        <w:t>715</w:t>
      </w:r>
      <w:r>
        <w:rPr>
          <w:spacing w:val="-13"/>
          <w:sz w:val="18"/>
        </w:rPr>
        <w:t> </w:t>
      </w:r>
      <w:r>
        <w:rPr>
          <w:sz w:val="18"/>
        </w:rPr>
        <w:t>(1997);</w:t>
      </w:r>
      <w:r>
        <w:rPr>
          <w:spacing w:val="-14"/>
          <w:sz w:val="18"/>
        </w:rPr>
        <w:t> </w:t>
      </w:r>
      <w:r>
        <w:rPr>
          <w:sz w:val="18"/>
          <w:u w:val="single"/>
        </w:rPr>
        <w:t>Dodd</w:t>
      </w:r>
    </w:p>
    <w:p>
      <w:pPr>
        <w:spacing w:line="178" w:lineRule="exact" w:before="4"/>
        <w:ind w:left="1160" w:right="0" w:firstLine="0"/>
        <w:jc w:val="both"/>
        <w:rPr>
          <w:rFonts w:ascii="Times New Roman"/>
          <w:sz w:val="18"/>
        </w:rPr>
      </w:pPr>
      <w:r>
        <w:rPr>
          <w:rFonts w:ascii="Times New Roman"/>
          <w:sz w:val="18"/>
          <w:u w:val="single"/>
        </w:rPr>
        <w:t>v. Ford</w:t>
      </w:r>
      <w:r>
        <w:rPr>
          <w:rFonts w:ascii="Times New Roman"/>
          <w:sz w:val="18"/>
        </w:rPr>
        <w:t>, 153 Cal. App.3d 426, 200 Cal. Rptr. 256 (4</w:t>
      </w:r>
      <w:r>
        <w:rPr>
          <w:rFonts w:ascii="Times New Roman"/>
          <w:position w:val="7"/>
          <w:sz w:val="10"/>
        </w:rPr>
        <w:t>th </w:t>
      </w:r>
      <w:r>
        <w:rPr>
          <w:rFonts w:ascii="Times New Roman"/>
          <w:sz w:val="18"/>
        </w:rPr>
        <w:t>Dist. 1984).</w:t>
      </w:r>
    </w:p>
    <w:p>
      <w:pPr>
        <w:pStyle w:val="ListParagraph"/>
        <w:numPr>
          <w:ilvl w:val="0"/>
          <w:numId w:val="6"/>
        </w:numPr>
        <w:tabs>
          <w:tab w:pos="1421" w:val="left" w:leader="none"/>
        </w:tabs>
        <w:spacing w:line="211" w:lineRule="exact" w:before="0" w:after="0"/>
        <w:ind w:left="1421" w:right="0" w:hanging="261"/>
        <w:jc w:val="left"/>
        <w:rPr>
          <w:sz w:val="18"/>
        </w:rPr>
      </w:pPr>
      <w:r>
        <w:rPr>
          <w:sz w:val="18"/>
          <w:u w:val="single"/>
        </w:rPr>
        <w:t>Dodd</w:t>
      </w:r>
      <w:r>
        <w:rPr>
          <w:sz w:val="18"/>
        </w:rPr>
        <w:t>, </w:t>
      </w:r>
      <w:r>
        <w:rPr>
          <w:sz w:val="18"/>
          <w:u w:val="single"/>
        </w:rPr>
        <w:t>Id</w:t>
      </w:r>
      <w:r>
        <w:rPr>
          <w:sz w:val="18"/>
        </w:rPr>
        <w:t>.</w:t>
      </w:r>
    </w:p>
    <w:p>
      <w:pPr>
        <w:pStyle w:val="ListParagraph"/>
        <w:numPr>
          <w:ilvl w:val="0"/>
          <w:numId w:val="6"/>
        </w:numPr>
        <w:tabs>
          <w:tab w:pos="1440" w:val="left" w:leader="none"/>
        </w:tabs>
        <w:spacing w:line="240" w:lineRule="exact" w:before="0" w:after="0"/>
        <w:ind w:left="1439" w:right="0" w:hanging="280"/>
        <w:jc w:val="left"/>
        <w:rPr>
          <w:sz w:val="18"/>
        </w:rPr>
      </w:pPr>
      <w:r>
        <w:rPr>
          <w:sz w:val="18"/>
          <w:u w:val="single"/>
        </w:rPr>
        <w:t>S.R.</w:t>
      </w:r>
      <w:r>
        <w:rPr>
          <w:spacing w:val="21"/>
          <w:sz w:val="18"/>
          <w:u w:val="single"/>
        </w:rPr>
        <w:t> </w:t>
      </w:r>
      <w:r>
        <w:rPr>
          <w:sz w:val="18"/>
          <w:u w:val="single"/>
        </w:rPr>
        <w:t>Intern.</w:t>
      </w:r>
      <w:r>
        <w:rPr>
          <w:spacing w:val="20"/>
          <w:sz w:val="18"/>
          <w:u w:val="single"/>
        </w:rPr>
        <w:t> </w:t>
      </w:r>
      <w:r>
        <w:rPr>
          <w:sz w:val="18"/>
          <w:u w:val="single"/>
        </w:rPr>
        <w:t>Bus.</w:t>
      </w:r>
      <w:r>
        <w:rPr>
          <w:spacing w:val="19"/>
          <w:sz w:val="18"/>
          <w:u w:val="single"/>
        </w:rPr>
        <w:t> </w:t>
      </w:r>
      <w:r>
        <w:rPr>
          <w:sz w:val="18"/>
          <w:u w:val="single"/>
        </w:rPr>
        <w:t>Ins.</w:t>
      </w:r>
      <w:r>
        <w:rPr>
          <w:spacing w:val="19"/>
          <w:sz w:val="18"/>
          <w:u w:val="single"/>
        </w:rPr>
        <w:t> </w:t>
      </w:r>
      <w:r>
        <w:rPr>
          <w:sz w:val="18"/>
          <w:u w:val="single"/>
        </w:rPr>
        <w:t>Co.,</w:t>
      </w:r>
      <w:r>
        <w:rPr>
          <w:spacing w:val="21"/>
          <w:sz w:val="18"/>
          <w:u w:val="single"/>
        </w:rPr>
        <w:t> </w:t>
      </w:r>
      <w:r>
        <w:rPr>
          <w:sz w:val="18"/>
          <w:u w:val="single"/>
        </w:rPr>
        <w:t>Ltd.</w:t>
      </w:r>
      <w:r>
        <w:rPr>
          <w:spacing w:val="20"/>
          <w:sz w:val="18"/>
          <w:u w:val="single"/>
        </w:rPr>
        <w:t> </w:t>
      </w:r>
      <w:r>
        <w:rPr>
          <w:sz w:val="18"/>
          <w:u w:val="single"/>
        </w:rPr>
        <w:t>v.</w:t>
      </w:r>
      <w:r>
        <w:rPr>
          <w:spacing w:val="20"/>
          <w:sz w:val="18"/>
          <w:u w:val="single"/>
        </w:rPr>
        <w:t> </w:t>
      </w:r>
      <w:r>
        <w:rPr>
          <w:sz w:val="18"/>
          <w:u w:val="single"/>
        </w:rPr>
        <w:t>World</w:t>
      </w:r>
      <w:r>
        <w:rPr>
          <w:spacing w:val="20"/>
          <w:sz w:val="18"/>
          <w:u w:val="single"/>
        </w:rPr>
        <w:t> </w:t>
      </w:r>
      <w:r>
        <w:rPr>
          <w:sz w:val="18"/>
          <w:u w:val="single"/>
        </w:rPr>
        <w:t>Trade</w:t>
      </w:r>
      <w:r>
        <w:rPr>
          <w:spacing w:val="19"/>
          <w:sz w:val="18"/>
          <w:u w:val="single"/>
        </w:rPr>
        <w:t> </w:t>
      </w:r>
      <w:r>
        <w:rPr>
          <w:sz w:val="18"/>
          <w:u w:val="single"/>
        </w:rPr>
        <w:t>Center</w:t>
      </w:r>
      <w:r>
        <w:rPr>
          <w:spacing w:val="19"/>
          <w:sz w:val="18"/>
          <w:u w:val="single"/>
        </w:rPr>
        <w:t> </w:t>
      </w:r>
      <w:r>
        <w:rPr>
          <w:sz w:val="18"/>
          <w:u w:val="single"/>
        </w:rPr>
        <w:t>Properties,</w:t>
      </w:r>
      <w:r>
        <w:rPr>
          <w:spacing w:val="21"/>
          <w:sz w:val="18"/>
          <w:u w:val="single"/>
        </w:rPr>
        <w:t> </w:t>
      </w:r>
      <w:r>
        <w:rPr>
          <w:sz w:val="18"/>
          <w:u w:val="single"/>
        </w:rPr>
        <w:t>LLC</w:t>
      </w:r>
      <w:r>
        <w:rPr>
          <w:spacing w:val="24"/>
          <w:sz w:val="18"/>
        </w:rPr>
        <w:t> </w:t>
      </w:r>
      <w:r>
        <w:rPr>
          <w:sz w:val="18"/>
        </w:rPr>
        <w:t>,</w:t>
      </w:r>
      <w:r>
        <w:rPr>
          <w:spacing w:val="24"/>
          <w:sz w:val="18"/>
        </w:rPr>
        <w:t> </w:t>
      </w:r>
      <w:r>
        <w:rPr>
          <w:sz w:val="18"/>
        </w:rPr>
        <w:t>2002</w:t>
      </w:r>
      <w:r>
        <w:rPr>
          <w:spacing w:val="21"/>
          <w:sz w:val="18"/>
        </w:rPr>
        <w:t> </w:t>
      </w:r>
      <w:r>
        <w:rPr>
          <w:sz w:val="18"/>
        </w:rPr>
        <w:t>WL</w:t>
      </w:r>
    </w:p>
    <w:p>
      <w:pPr>
        <w:spacing w:line="244" w:lineRule="auto" w:before="5"/>
        <w:ind w:left="1160" w:right="1162" w:firstLine="0"/>
        <w:jc w:val="both"/>
        <w:rPr>
          <w:rFonts w:ascii="Times New Roman"/>
          <w:sz w:val="18"/>
        </w:rPr>
      </w:pPr>
      <w:r>
        <w:rPr>
          <w:rFonts w:ascii="Times New Roman"/>
          <w:sz w:val="18"/>
        </w:rPr>
        <w:t>1905968 </w:t>
      </w:r>
      <w:r>
        <w:rPr>
          <w:rFonts w:ascii="Times New Roman"/>
          <w:spacing w:val="2"/>
          <w:sz w:val="18"/>
        </w:rPr>
        <w:t>(S.D.N.Y. </w:t>
      </w:r>
      <w:r>
        <w:rPr>
          <w:rFonts w:ascii="Times New Roman"/>
          <w:sz w:val="18"/>
        </w:rPr>
        <w:t>2002) (where the District Court considered appointing himself as the neutral</w:t>
      </w:r>
      <w:r>
        <w:rPr>
          <w:rFonts w:ascii="Times New Roman"/>
          <w:spacing w:val="-12"/>
          <w:sz w:val="18"/>
        </w:rPr>
        <w:t> </w:t>
      </w:r>
      <w:r>
        <w:rPr>
          <w:rFonts w:ascii="Times New Roman"/>
          <w:sz w:val="18"/>
        </w:rPr>
        <w:t>in</w:t>
      </w:r>
      <w:r>
        <w:rPr>
          <w:rFonts w:ascii="Times New Roman"/>
          <w:spacing w:val="-12"/>
          <w:sz w:val="18"/>
        </w:rPr>
        <w:t> </w:t>
      </w:r>
      <w:r>
        <w:rPr>
          <w:rFonts w:ascii="Times New Roman"/>
          <w:sz w:val="18"/>
        </w:rPr>
        <w:t>an</w:t>
      </w:r>
      <w:r>
        <w:rPr>
          <w:rFonts w:ascii="Times New Roman"/>
          <w:spacing w:val="-11"/>
          <w:sz w:val="18"/>
        </w:rPr>
        <w:t> </w:t>
      </w:r>
      <w:r>
        <w:rPr>
          <w:rFonts w:ascii="Times New Roman"/>
          <w:sz w:val="18"/>
        </w:rPr>
        <w:t>appraisal</w:t>
      </w:r>
      <w:r>
        <w:rPr>
          <w:rFonts w:ascii="Times New Roman"/>
          <w:spacing w:val="-12"/>
          <w:sz w:val="18"/>
        </w:rPr>
        <w:t> </w:t>
      </w:r>
      <w:r>
        <w:rPr>
          <w:rFonts w:ascii="Times New Roman"/>
          <w:sz w:val="18"/>
        </w:rPr>
        <w:t>being</w:t>
      </w:r>
      <w:r>
        <w:rPr>
          <w:rFonts w:ascii="Times New Roman"/>
          <w:spacing w:val="-14"/>
          <w:sz w:val="18"/>
        </w:rPr>
        <w:t> </w:t>
      </w:r>
      <w:r>
        <w:rPr>
          <w:rFonts w:ascii="Times New Roman"/>
          <w:sz w:val="18"/>
        </w:rPr>
        <w:t>conducted</w:t>
      </w:r>
      <w:r>
        <w:rPr>
          <w:rFonts w:ascii="Times New Roman"/>
          <w:spacing w:val="-12"/>
          <w:sz w:val="18"/>
        </w:rPr>
        <w:t> </w:t>
      </w:r>
      <w:r>
        <w:rPr>
          <w:rFonts w:ascii="Times New Roman"/>
          <w:sz w:val="18"/>
        </w:rPr>
        <w:t>with</w:t>
      </w:r>
      <w:r>
        <w:rPr>
          <w:rFonts w:ascii="Times New Roman"/>
          <w:spacing w:val="-14"/>
          <w:sz w:val="18"/>
        </w:rPr>
        <w:t> </w:t>
      </w:r>
      <w:r>
        <w:rPr>
          <w:rFonts w:ascii="Times New Roman"/>
          <w:sz w:val="18"/>
        </w:rPr>
        <w:t>respect</w:t>
      </w:r>
      <w:r>
        <w:rPr>
          <w:rFonts w:ascii="Times New Roman"/>
          <w:spacing w:val="-14"/>
          <w:sz w:val="18"/>
        </w:rPr>
        <w:t> </w:t>
      </w:r>
      <w:r>
        <w:rPr>
          <w:rFonts w:ascii="Times New Roman"/>
          <w:sz w:val="18"/>
        </w:rPr>
        <w:t>to</w:t>
      </w:r>
      <w:r>
        <w:rPr>
          <w:rFonts w:ascii="Times New Roman"/>
          <w:spacing w:val="-13"/>
          <w:sz w:val="18"/>
        </w:rPr>
        <w:t> </w:t>
      </w:r>
      <w:r>
        <w:rPr>
          <w:rFonts w:ascii="Times New Roman"/>
          <w:sz w:val="18"/>
        </w:rPr>
        <w:t>the</w:t>
      </w:r>
      <w:r>
        <w:rPr>
          <w:rFonts w:ascii="Times New Roman"/>
          <w:spacing w:val="-15"/>
          <w:sz w:val="18"/>
        </w:rPr>
        <w:t> </w:t>
      </w:r>
      <w:r>
        <w:rPr>
          <w:rFonts w:ascii="Times New Roman"/>
          <w:sz w:val="18"/>
        </w:rPr>
        <w:t>September</w:t>
      </w:r>
      <w:r>
        <w:rPr>
          <w:rFonts w:ascii="Times New Roman"/>
          <w:spacing w:val="-15"/>
          <w:sz w:val="18"/>
        </w:rPr>
        <w:t> </w:t>
      </w:r>
      <w:r>
        <w:rPr>
          <w:rFonts w:ascii="Times New Roman"/>
          <w:sz w:val="18"/>
        </w:rPr>
        <w:t>11,</w:t>
      </w:r>
      <w:r>
        <w:rPr>
          <w:rFonts w:ascii="Times New Roman"/>
          <w:spacing w:val="-13"/>
          <w:sz w:val="18"/>
        </w:rPr>
        <w:t> </w:t>
      </w:r>
      <w:r>
        <w:rPr>
          <w:rFonts w:ascii="Times New Roman"/>
          <w:sz w:val="18"/>
        </w:rPr>
        <w:t>2001</w:t>
      </w:r>
      <w:r>
        <w:rPr>
          <w:rFonts w:ascii="Times New Roman"/>
          <w:spacing w:val="-11"/>
          <w:sz w:val="18"/>
        </w:rPr>
        <w:t> </w:t>
      </w:r>
      <w:r>
        <w:rPr>
          <w:rFonts w:ascii="Times New Roman"/>
          <w:sz w:val="18"/>
        </w:rPr>
        <w:t>attack</w:t>
      </w:r>
      <w:r>
        <w:rPr>
          <w:rFonts w:ascii="Times New Roman"/>
          <w:spacing w:val="-16"/>
          <w:sz w:val="18"/>
        </w:rPr>
        <w:t> </w:t>
      </w:r>
      <w:r>
        <w:rPr>
          <w:rFonts w:ascii="Times New Roman"/>
          <w:sz w:val="18"/>
        </w:rPr>
        <w:t>on</w:t>
      </w:r>
      <w:r>
        <w:rPr>
          <w:rFonts w:ascii="Times New Roman"/>
          <w:spacing w:val="-11"/>
          <w:sz w:val="18"/>
        </w:rPr>
        <w:t> </w:t>
      </w:r>
      <w:r>
        <w:rPr>
          <w:rFonts w:ascii="Times New Roman"/>
          <w:sz w:val="18"/>
        </w:rPr>
        <w:t>the World Trade</w:t>
      </w:r>
      <w:r>
        <w:rPr>
          <w:rFonts w:ascii="Times New Roman"/>
          <w:spacing w:val="-2"/>
          <w:sz w:val="18"/>
        </w:rPr>
        <w:t> </w:t>
      </w:r>
      <w:r>
        <w:rPr>
          <w:rFonts w:ascii="Times New Roman"/>
          <w:sz w:val="18"/>
        </w:rPr>
        <w:t>Center).</w:t>
      </w:r>
    </w:p>
    <w:p>
      <w:pPr>
        <w:spacing w:after="0" w:line="244" w:lineRule="auto"/>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05" w:id="19"/>
      <w:bookmarkEnd w:id="19"/>
      <w:r>
        <w:rPr/>
      </w:r>
      <w:r>
        <w:rPr/>
        <w:t>appraisal</w:t>
      </w:r>
      <w:r>
        <w:rPr>
          <w:spacing w:val="-33"/>
        </w:rPr>
        <w:t> </w:t>
      </w:r>
      <w:r>
        <w:rPr>
          <w:spacing w:val="-4"/>
        </w:rPr>
        <w:t>agreement</w:t>
      </w:r>
      <w:r>
        <w:rPr>
          <w:spacing w:val="-34"/>
        </w:rPr>
        <w:t> </w:t>
      </w:r>
      <w:r>
        <w:rPr/>
        <w:t>and</w:t>
      </w:r>
      <w:r>
        <w:rPr>
          <w:spacing w:val="-31"/>
        </w:rPr>
        <w:t> </w:t>
      </w:r>
      <w:r>
        <w:rPr/>
        <w:t>submission</w:t>
      </w:r>
      <w:r>
        <w:rPr>
          <w:spacing w:val="-29"/>
        </w:rPr>
        <w:t> </w:t>
      </w:r>
      <w:r>
        <w:rPr/>
        <w:t>signed</w:t>
      </w:r>
      <w:r>
        <w:rPr>
          <w:spacing w:val="-30"/>
        </w:rPr>
        <w:t> </w:t>
      </w:r>
      <w:r>
        <w:rPr/>
        <w:t>by the parties and appraisers and which resulted in the umpire’s hiring. The parties should</w:t>
      </w:r>
      <w:r>
        <w:rPr>
          <w:spacing w:val="-20"/>
        </w:rPr>
        <w:t> </w:t>
      </w:r>
      <w:r>
        <w:rPr/>
        <w:t>have set forth the issues to be determined and the requisite specificity that the parties have agreed to require with respect to the ultimate award.</w:t>
      </w:r>
    </w:p>
    <w:p>
      <w:pPr>
        <w:pStyle w:val="BodyText"/>
      </w:pPr>
    </w:p>
    <w:p>
      <w:pPr>
        <w:pStyle w:val="BodyText"/>
        <w:spacing w:line="242" w:lineRule="auto"/>
        <w:ind w:left="1520" w:right="1519" w:firstLine="720"/>
        <w:jc w:val="both"/>
      </w:pPr>
      <w:r>
        <w:rPr/>
        <w:t>The powers and authority to be</w:t>
      </w:r>
      <w:r>
        <w:rPr>
          <w:spacing w:val="-44"/>
        </w:rPr>
        <w:t> </w:t>
      </w:r>
      <w:r>
        <w:rPr/>
        <w:t>asserted by the umpire are also determined by</w:t>
      </w:r>
      <w:r>
        <w:rPr>
          <w:spacing w:val="57"/>
        </w:rPr>
        <w:t> </w:t>
      </w:r>
      <w:r>
        <w:rPr/>
        <w:t>the submission of the appraisers or the appraisal agreement</w:t>
      </w:r>
      <w:r>
        <w:rPr>
          <w:spacing w:val="-28"/>
        </w:rPr>
        <w:t> </w:t>
      </w:r>
      <w:r>
        <w:rPr/>
        <w:t>which</w:t>
      </w:r>
      <w:r>
        <w:rPr>
          <w:spacing w:val="-24"/>
        </w:rPr>
        <w:t> </w:t>
      </w:r>
      <w:r>
        <w:rPr/>
        <w:t>gave</w:t>
      </w:r>
      <w:r>
        <w:rPr>
          <w:spacing w:val="-27"/>
        </w:rPr>
        <w:t> </w:t>
      </w:r>
      <w:r>
        <w:rPr/>
        <w:t>rise</w:t>
      </w:r>
      <w:r>
        <w:rPr>
          <w:spacing w:val="-28"/>
        </w:rPr>
        <w:t> </w:t>
      </w:r>
      <w:r>
        <w:rPr/>
        <w:t>to</w:t>
      </w:r>
      <w:r>
        <w:rPr>
          <w:spacing w:val="-26"/>
        </w:rPr>
        <w:t> </w:t>
      </w:r>
      <w:r>
        <w:rPr/>
        <w:t>the</w:t>
      </w:r>
      <w:r>
        <w:rPr>
          <w:spacing w:val="-28"/>
        </w:rPr>
        <w:t> </w:t>
      </w:r>
      <w:r>
        <w:rPr/>
        <w:t>appraisal.</w:t>
      </w:r>
      <w:r>
        <w:rPr>
          <w:spacing w:val="18"/>
        </w:rPr>
        <w:t> </w:t>
      </w:r>
      <w:r>
        <w:rPr>
          <w:spacing w:val="3"/>
        </w:rPr>
        <w:t>In </w:t>
      </w:r>
      <w:r>
        <w:rPr/>
        <w:t>addition, the insurance contract which exists between the parties, as well as any relevant law, regulation or judicial precedent which controls</w:t>
      </w:r>
      <w:r>
        <w:rPr>
          <w:spacing w:val="-16"/>
        </w:rPr>
        <w:t> </w:t>
      </w:r>
      <w:r>
        <w:rPr/>
        <w:t>in</w:t>
      </w:r>
      <w:r>
        <w:rPr>
          <w:spacing w:val="-18"/>
        </w:rPr>
        <w:t> </w:t>
      </w:r>
      <w:r>
        <w:rPr/>
        <w:t>the</w:t>
      </w:r>
      <w:r>
        <w:rPr>
          <w:spacing w:val="-18"/>
        </w:rPr>
        <w:t> </w:t>
      </w:r>
      <w:r>
        <w:rPr/>
        <w:t>jurisdiction</w:t>
      </w:r>
      <w:r>
        <w:rPr>
          <w:spacing w:val="-18"/>
        </w:rPr>
        <w:t> </w:t>
      </w:r>
      <w:r>
        <w:rPr/>
        <w:t>where</w:t>
      </w:r>
      <w:r>
        <w:rPr>
          <w:spacing w:val="-16"/>
        </w:rPr>
        <w:t> </w:t>
      </w:r>
      <w:r>
        <w:rPr/>
        <w:t>the</w:t>
      </w:r>
      <w:r>
        <w:rPr>
          <w:spacing w:val="-17"/>
        </w:rPr>
        <w:t> </w:t>
      </w:r>
      <w:r>
        <w:rPr/>
        <w:t>property</w:t>
      </w:r>
      <w:r>
        <w:rPr>
          <w:spacing w:val="-18"/>
        </w:rPr>
        <w:t> </w:t>
      </w:r>
      <w:r>
        <w:rPr/>
        <w:t>is located,</w:t>
      </w:r>
      <w:r>
        <w:rPr>
          <w:vertAlign w:val="superscript"/>
        </w:rPr>
        <w:t>855</w:t>
      </w:r>
      <w:r>
        <w:rPr>
          <w:vertAlign w:val="baseline"/>
        </w:rPr>
        <w:t> may impact on the power </w:t>
      </w:r>
      <w:r>
        <w:rPr>
          <w:spacing w:val="-14"/>
          <w:vertAlign w:val="baseline"/>
        </w:rPr>
        <w:t>and </w:t>
      </w:r>
      <w:r>
        <w:rPr>
          <w:vertAlign w:val="baseline"/>
        </w:rPr>
        <w:t>authority of the umpire. Examples would be policy definitions of such terms as actual cash value,</w:t>
      </w:r>
      <w:r>
        <w:rPr>
          <w:spacing w:val="-28"/>
          <w:vertAlign w:val="baseline"/>
        </w:rPr>
        <w:t> </w:t>
      </w:r>
      <w:r>
        <w:rPr>
          <w:vertAlign w:val="baseline"/>
        </w:rPr>
        <w:t>co-insurance</w:t>
      </w:r>
      <w:r>
        <w:rPr>
          <w:spacing w:val="-25"/>
          <w:vertAlign w:val="baseline"/>
        </w:rPr>
        <w:t> </w:t>
      </w:r>
      <w:r>
        <w:rPr>
          <w:vertAlign w:val="baseline"/>
        </w:rPr>
        <w:t>and</w:t>
      </w:r>
      <w:r>
        <w:rPr>
          <w:spacing w:val="-25"/>
          <w:vertAlign w:val="baseline"/>
        </w:rPr>
        <w:t> </w:t>
      </w:r>
      <w:r>
        <w:rPr>
          <w:vertAlign w:val="baseline"/>
        </w:rPr>
        <w:t>the</w:t>
      </w:r>
      <w:r>
        <w:rPr>
          <w:spacing w:val="-26"/>
          <w:vertAlign w:val="baseline"/>
        </w:rPr>
        <w:t> </w:t>
      </w:r>
      <w:r>
        <w:rPr>
          <w:vertAlign w:val="baseline"/>
        </w:rPr>
        <w:t>extent</w:t>
      </w:r>
      <w:r>
        <w:rPr>
          <w:spacing w:val="-29"/>
          <w:vertAlign w:val="baseline"/>
        </w:rPr>
        <w:t> </w:t>
      </w:r>
      <w:r>
        <w:rPr>
          <w:vertAlign w:val="baseline"/>
        </w:rPr>
        <w:t>of</w:t>
      </w:r>
      <w:r>
        <w:rPr>
          <w:spacing w:val="-23"/>
          <w:vertAlign w:val="baseline"/>
        </w:rPr>
        <w:t> </w:t>
      </w:r>
      <w:r>
        <w:rPr>
          <w:vertAlign w:val="baseline"/>
        </w:rPr>
        <w:t>covered property</w:t>
      </w:r>
      <w:r>
        <w:rPr>
          <w:spacing w:val="-16"/>
          <w:vertAlign w:val="baseline"/>
        </w:rPr>
        <w:t> </w:t>
      </w:r>
      <w:r>
        <w:rPr>
          <w:vertAlign w:val="baseline"/>
        </w:rPr>
        <w:t>and</w:t>
      </w:r>
      <w:r>
        <w:rPr>
          <w:spacing w:val="-11"/>
          <w:vertAlign w:val="baseline"/>
        </w:rPr>
        <w:t> </w:t>
      </w:r>
      <w:r>
        <w:rPr>
          <w:vertAlign w:val="baseline"/>
        </w:rPr>
        <w:t>the</w:t>
      </w:r>
      <w:r>
        <w:rPr>
          <w:spacing w:val="-14"/>
          <w:vertAlign w:val="baseline"/>
        </w:rPr>
        <w:t> </w:t>
      </w:r>
      <w:r>
        <w:rPr>
          <w:vertAlign w:val="baseline"/>
        </w:rPr>
        <w:t>policy’s</w:t>
      </w:r>
      <w:r>
        <w:rPr>
          <w:spacing w:val="-15"/>
          <w:vertAlign w:val="baseline"/>
        </w:rPr>
        <w:t> </w:t>
      </w:r>
      <w:r>
        <w:rPr>
          <w:vertAlign w:val="baseline"/>
        </w:rPr>
        <w:t>settlement</w:t>
      </w:r>
      <w:r>
        <w:rPr>
          <w:spacing w:val="-16"/>
          <w:vertAlign w:val="baseline"/>
        </w:rPr>
        <w:t> </w:t>
      </w:r>
      <w:r>
        <w:rPr>
          <w:vertAlign w:val="baseline"/>
        </w:rPr>
        <w:t>provision.</w:t>
      </w:r>
    </w:p>
    <w:p>
      <w:pPr>
        <w:pStyle w:val="BodyText"/>
        <w:spacing w:before="10"/>
        <w:rPr>
          <w:sz w:val="25"/>
        </w:rPr>
      </w:pPr>
    </w:p>
    <w:p>
      <w:pPr>
        <w:pStyle w:val="BodyText"/>
        <w:spacing w:line="242" w:lineRule="auto"/>
        <w:ind w:left="1520" w:right="1519" w:firstLine="859"/>
        <w:jc w:val="both"/>
      </w:pPr>
      <w:r>
        <w:rPr>
          <w:spacing w:val="2"/>
        </w:rPr>
        <w:t>An </w:t>
      </w:r>
      <w:r>
        <w:rPr/>
        <w:t>Ontario court which considered</w:t>
      </w:r>
      <w:r>
        <w:rPr>
          <w:spacing w:val="-31"/>
        </w:rPr>
        <w:t> </w:t>
      </w:r>
      <w:r>
        <w:rPr/>
        <w:t>the approach used by an umpire in making </w:t>
      </w:r>
      <w:r>
        <w:rPr>
          <w:spacing w:val="-3"/>
        </w:rPr>
        <w:t>his </w:t>
      </w:r>
      <w:r>
        <w:rPr/>
        <w:t>appraisal</w:t>
      </w:r>
      <w:r>
        <w:rPr>
          <w:spacing w:val="-36"/>
        </w:rPr>
        <w:t> </w:t>
      </w:r>
      <w:r>
        <w:rPr/>
        <w:t>valuation</w:t>
      </w:r>
      <w:r>
        <w:rPr>
          <w:spacing w:val="-35"/>
        </w:rPr>
        <w:t> </w:t>
      </w:r>
      <w:r>
        <w:rPr/>
        <w:t>determined</w:t>
      </w:r>
      <w:r>
        <w:rPr>
          <w:spacing w:val="-37"/>
        </w:rPr>
        <w:t> </w:t>
      </w:r>
      <w:r>
        <w:rPr/>
        <w:t>that</w:t>
      </w:r>
      <w:r>
        <w:rPr>
          <w:spacing w:val="-37"/>
        </w:rPr>
        <w:t> </w:t>
      </w:r>
      <w:r>
        <w:rPr/>
        <w:t>“the</w:t>
      </w:r>
      <w:r>
        <w:rPr>
          <w:spacing w:val="-36"/>
        </w:rPr>
        <w:t> </w:t>
      </w:r>
      <w:r>
        <w:rPr/>
        <w:t>terms of</w:t>
      </w:r>
      <w:r>
        <w:rPr>
          <w:spacing w:val="-28"/>
        </w:rPr>
        <w:t> </w:t>
      </w:r>
      <w:r>
        <w:rPr/>
        <w:t>the</w:t>
      </w:r>
      <w:r>
        <w:rPr>
          <w:spacing w:val="-29"/>
        </w:rPr>
        <w:t> </w:t>
      </w:r>
      <w:r>
        <w:rPr/>
        <w:t>insurance</w:t>
      </w:r>
      <w:r>
        <w:rPr>
          <w:spacing w:val="-28"/>
        </w:rPr>
        <w:t> </w:t>
      </w:r>
      <w:r>
        <w:rPr/>
        <w:t>policy</w:t>
      </w:r>
      <w:r>
        <w:rPr>
          <w:spacing w:val="-31"/>
        </w:rPr>
        <w:t> </w:t>
      </w:r>
      <w:r>
        <w:rPr/>
        <w:t>govern</w:t>
      </w:r>
      <w:r>
        <w:rPr>
          <w:spacing w:val="-26"/>
        </w:rPr>
        <w:t> </w:t>
      </w:r>
      <w:r>
        <w:rPr/>
        <w:t>the</w:t>
      </w:r>
      <w:r>
        <w:rPr>
          <w:spacing w:val="-27"/>
        </w:rPr>
        <w:t> </w:t>
      </w:r>
      <w:r>
        <w:rPr/>
        <w:t>use</w:t>
      </w:r>
      <w:r>
        <w:rPr>
          <w:spacing w:val="-28"/>
        </w:rPr>
        <w:t> </w:t>
      </w:r>
      <w:r>
        <w:rPr/>
        <w:t>that</w:t>
      </w:r>
      <w:r>
        <w:rPr>
          <w:spacing w:val="-29"/>
        </w:rPr>
        <w:t> </w:t>
      </w:r>
      <w:r>
        <w:rPr>
          <w:spacing w:val="-4"/>
        </w:rPr>
        <w:t>can </w:t>
      </w:r>
      <w:r>
        <w:rPr/>
        <w:t>be made of the umpire’s determination of what the loss is.” There, the umpire had relied upon the replacement cost of the property</w:t>
      </w:r>
      <w:r>
        <w:rPr>
          <w:spacing w:val="-38"/>
        </w:rPr>
        <w:t> </w:t>
      </w:r>
      <w:r>
        <w:rPr/>
        <w:t>as</w:t>
      </w:r>
    </w:p>
    <w:p>
      <w:pPr>
        <w:pStyle w:val="BodyText"/>
        <w:rPr>
          <w:sz w:val="20"/>
        </w:rPr>
      </w:pPr>
    </w:p>
    <w:p>
      <w:pPr>
        <w:pStyle w:val="BodyText"/>
        <w:spacing w:before="3"/>
        <w:rPr>
          <w:sz w:val="16"/>
        </w:rPr>
      </w:pPr>
      <w:r>
        <w:rPr/>
        <w:pict>
          <v:shape style="position:absolute;margin-left:162pt;margin-top:12.407945pt;width:143.9pt;height:.1pt;mso-position-horizontal-relative:page;mso-position-vertical-relative:paragraph;z-index:-251640832;mso-wrap-distance-left:0;mso-wrap-distance-right:0" coordorigin="3240,248" coordsize="2878,0" path="m3240,248l6118,24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38" w:val="left" w:leader="none"/>
        </w:tabs>
        <w:spacing w:line="261" w:lineRule="auto" w:before="71" w:after="0"/>
        <w:ind w:left="1160" w:right="1164" w:firstLine="0"/>
        <w:jc w:val="left"/>
        <w:rPr>
          <w:sz w:val="18"/>
        </w:rPr>
      </w:pPr>
      <w:r>
        <w:rPr>
          <w:sz w:val="18"/>
        </w:rPr>
        <w:t>44 </w:t>
      </w:r>
      <w:r>
        <w:rPr>
          <w:spacing w:val="-3"/>
          <w:sz w:val="18"/>
        </w:rPr>
        <w:t>Am. </w:t>
      </w:r>
      <w:r>
        <w:rPr>
          <w:sz w:val="18"/>
        </w:rPr>
        <w:t>Jur. 2d </w:t>
      </w:r>
      <w:r>
        <w:rPr>
          <w:sz w:val="18"/>
          <w:u w:val="single"/>
        </w:rPr>
        <w:t>Insurance</w:t>
      </w:r>
      <w:r>
        <w:rPr>
          <w:sz w:val="18"/>
        </w:rPr>
        <w:t> §1691 (2002); </w:t>
      </w:r>
      <w:r>
        <w:rPr>
          <w:sz w:val="18"/>
          <w:u w:val="single"/>
        </w:rPr>
        <w:t>Town of Trumbull v. Trumbull Police Local 1745, Connecticut Counsel of Police Unions</w:t>
      </w:r>
      <w:r>
        <w:rPr>
          <w:sz w:val="18"/>
        </w:rPr>
        <w:t>, 1 Conn. App. 207, 470 A.2d 1219</w:t>
      </w:r>
      <w:r>
        <w:rPr>
          <w:spacing w:val="23"/>
          <w:sz w:val="18"/>
        </w:rPr>
        <w:t> </w:t>
      </w:r>
      <w:r>
        <w:rPr>
          <w:sz w:val="18"/>
        </w:rPr>
        <w:t>(1984).</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406" w:id="20"/>
      <w:bookmarkEnd w:id="20"/>
      <w:r>
        <w:rPr/>
      </w:r>
      <w:r>
        <w:rPr/>
        <w:t>stipulated in the policy. The court reasoned that the umpire was correct in his statement that “Whether or not the insured replaces is irrelevant for the purpose of determining the ‘loss’, such determination being on a replacement cost basis. This of itself does not make the insurer liable for that amount because the insurer </w:t>
      </w:r>
      <w:r>
        <w:rPr>
          <w:spacing w:val="2"/>
        </w:rPr>
        <w:t>limits </w:t>
      </w:r>
      <w:r>
        <w:rPr/>
        <w:t>its liability by the various</w:t>
      </w:r>
      <w:r>
        <w:rPr>
          <w:spacing w:val="-28"/>
        </w:rPr>
        <w:t> </w:t>
      </w:r>
      <w:r>
        <w:rPr/>
        <w:t>alternatives</w:t>
      </w:r>
      <w:r>
        <w:rPr>
          <w:spacing w:val="-29"/>
        </w:rPr>
        <w:t> </w:t>
      </w:r>
      <w:r>
        <w:rPr/>
        <w:t>set</w:t>
      </w:r>
      <w:r>
        <w:rPr>
          <w:spacing w:val="-30"/>
        </w:rPr>
        <w:t> </w:t>
      </w:r>
      <w:r>
        <w:rPr/>
        <w:t>forth</w:t>
      </w:r>
      <w:r>
        <w:rPr>
          <w:spacing w:val="-29"/>
        </w:rPr>
        <w:t> </w:t>
      </w:r>
      <w:r>
        <w:rPr/>
        <w:t>in</w:t>
      </w:r>
      <w:r>
        <w:rPr>
          <w:spacing w:val="-28"/>
        </w:rPr>
        <w:t> </w:t>
      </w:r>
      <w:r>
        <w:rPr/>
        <w:t>the</w:t>
      </w:r>
      <w:r>
        <w:rPr>
          <w:spacing w:val="-27"/>
        </w:rPr>
        <w:t> </w:t>
      </w:r>
      <w:r>
        <w:rPr/>
        <w:t>section.”</w:t>
      </w:r>
      <w:r>
        <w:rPr>
          <w:spacing w:val="-27"/>
        </w:rPr>
        <w:t> </w:t>
      </w:r>
      <w:r>
        <w:rPr/>
        <w:t>The court could not determine how useful the umpire’s determination would be, but stated that even if it turned out to have little use in settling the matter only the expense of a </w:t>
      </w:r>
      <w:r>
        <w:rPr>
          <w:spacing w:val="2"/>
        </w:rPr>
        <w:t>hearing </w:t>
      </w:r>
      <w:r>
        <w:rPr>
          <w:spacing w:val="3"/>
        </w:rPr>
        <w:t>before </w:t>
      </w:r>
      <w:r>
        <w:rPr/>
        <w:t>the </w:t>
      </w:r>
      <w:r>
        <w:rPr>
          <w:spacing w:val="2"/>
        </w:rPr>
        <w:t>umpire </w:t>
      </w:r>
      <w:r>
        <w:rPr/>
        <w:t>would be incurred.</w:t>
      </w:r>
      <w:r>
        <w:rPr>
          <w:u w:val="single"/>
          <w:vertAlign w:val="superscript"/>
        </w:rPr>
        <w:t>856</w:t>
      </w:r>
    </w:p>
    <w:p>
      <w:pPr>
        <w:pStyle w:val="BodyText"/>
        <w:spacing w:before="9"/>
        <w:rPr>
          <w:sz w:val="25"/>
        </w:rPr>
      </w:pPr>
    </w:p>
    <w:p>
      <w:pPr>
        <w:pStyle w:val="BodyText"/>
        <w:spacing w:line="242" w:lineRule="auto"/>
        <w:ind w:left="1520" w:right="1516" w:firstLine="720"/>
        <w:jc w:val="both"/>
      </w:pPr>
      <w:r>
        <w:rPr/>
        <w:t>With respect to the Standard Fire Policy, it offers little guidance with respect to the authority</w:t>
      </w:r>
      <w:r>
        <w:rPr>
          <w:spacing w:val="-27"/>
        </w:rPr>
        <w:t> </w:t>
      </w:r>
      <w:r>
        <w:rPr/>
        <w:t>granted</w:t>
      </w:r>
      <w:r>
        <w:rPr>
          <w:spacing w:val="-23"/>
        </w:rPr>
        <w:t> </w:t>
      </w:r>
      <w:r>
        <w:rPr/>
        <w:t>to</w:t>
      </w:r>
      <w:r>
        <w:rPr>
          <w:spacing w:val="-22"/>
        </w:rPr>
        <w:t> </w:t>
      </w:r>
      <w:r>
        <w:rPr/>
        <w:t>the</w:t>
      </w:r>
      <w:r>
        <w:rPr>
          <w:spacing w:val="-25"/>
        </w:rPr>
        <w:t> </w:t>
      </w:r>
      <w:r>
        <w:rPr/>
        <w:t>umpire.</w:t>
      </w:r>
      <w:r>
        <w:rPr>
          <w:spacing w:val="21"/>
        </w:rPr>
        <w:t> </w:t>
      </w:r>
      <w:r>
        <w:rPr/>
        <w:t>Once</w:t>
      </w:r>
      <w:r>
        <w:rPr>
          <w:spacing w:val="-25"/>
        </w:rPr>
        <w:t> </w:t>
      </w:r>
      <w:r>
        <w:rPr/>
        <w:t>making provisions for the selection of the umpire, </w:t>
      </w:r>
      <w:r>
        <w:rPr>
          <w:spacing w:val="2"/>
        </w:rPr>
        <w:t>it </w:t>
      </w:r>
      <w:r>
        <w:rPr/>
        <w:t>requires merely that the appraisers to submit their “differences only, to the</w:t>
      </w:r>
      <w:r>
        <w:rPr>
          <w:spacing w:val="-13"/>
        </w:rPr>
        <w:t> </w:t>
      </w:r>
      <w:r>
        <w:rPr/>
        <w:t>umpire.”</w:t>
      </w:r>
    </w:p>
    <w:p>
      <w:pPr>
        <w:pStyle w:val="BodyText"/>
        <w:spacing w:before="1"/>
      </w:pPr>
    </w:p>
    <w:p>
      <w:pPr>
        <w:pStyle w:val="BodyText"/>
        <w:spacing w:line="242" w:lineRule="auto"/>
        <w:ind w:left="1520" w:right="1520" w:firstLine="720"/>
        <w:jc w:val="both"/>
      </w:pPr>
      <w:r>
        <w:rPr>
          <w:spacing w:val="3"/>
        </w:rPr>
        <w:t>It </w:t>
      </w:r>
      <w:r>
        <w:rPr/>
        <w:t>is critically important for the umpire to educate him or herself with respect to</w:t>
      </w:r>
      <w:r>
        <w:rPr>
          <w:spacing w:val="51"/>
        </w:rPr>
        <w:t> </w:t>
      </w:r>
      <w:r>
        <w:rPr/>
        <w:t>the provisions of the policy regulating the determination of actual cash value (or other value insured by the policy) as well as the amount of loss. The umpire should also </w:t>
      </w:r>
      <w:r>
        <w:rPr>
          <w:spacing w:val="-7"/>
        </w:rPr>
        <w:t>be</w:t>
      </w:r>
    </w:p>
    <w:p>
      <w:pPr>
        <w:pStyle w:val="BodyText"/>
        <w:spacing w:before="1"/>
        <w:rPr>
          <w:sz w:val="19"/>
        </w:rPr>
      </w:pPr>
      <w:r>
        <w:rPr/>
        <w:pict>
          <v:shape style="position:absolute;margin-left:162pt;margin-top:14.108686pt;width:143.9pt;height:.1pt;mso-position-horizontal-relative:page;mso-position-vertical-relative:paragraph;z-index:-251639808;mso-wrap-distance-left:0;mso-wrap-distance-right:0" coordorigin="3240,282" coordsize="2878,0" path="m3240,282l6118,282e" filled="false" stroked="true" strokeweight=".84pt" strokecolor="#000000">
            <v:path arrowok="t"/>
            <v:stroke dashstyle="solid"/>
            <w10:wrap type="topAndBottom"/>
          </v:shape>
        </w:pict>
      </w:r>
    </w:p>
    <w:p>
      <w:pPr>
        <w:pStyle w:val="ListParagraph"/>
        <w:numPr>
          <w:ilvl w:val="0"/>
          <w:numId w:val="6"/>
        </w:numPr>
        <w:tabs>
          <w:tab w:pos="1433" w:val="left" w:leader="none"/>
        </w:tabs>
        <w:spacing w:line="240" w:lineRule="auto" w:before="140" w:after="0"/>
        <w:ind w:left="1432" w:right="0" w:hanging="273"/>
        <w:jc w:val="left"/>
        <w:rPr>
          <w:sz w:val="18"/>
        </w:rPr>
      </w:pPr>
      <w:r>
        <w:rPr>
          <w:sz w:val="18"/>
          <w:u w:val="single"/>
        </w:rPr>
        <w:t>Sehdev</w:t>
      </w:r>
      <w:r>
        <w:rPr>
          <w:spacing w:val="11"/>
          <w:sz w:val="18"/>
          <w:u w:val="single"/>
        </w:rPr>
        <w:t> </w:t>
      </w:r>
      <w:r>
        <w:rPr>
          <w:sz w:val="18"/>
          <w:u w:val="single"/>
        </w:rPr>
        <w:t>v.</w:t>
      </w:r>
      <w:r>
        <w:rPr>
          <w:spacing w:val="13"/>
          <w:sz w:val="18"/>
          <w:u w:val="single"/>
        </w:rPr>
        <w:t> </w:t>
      </w:r>
      <w:r>
        <w:rPr>
          <w:sz w:val="18"/>
          <w:u w:val="single"/>
        </w:rPr>
        <w:t>State</w:t>
      </w:r>
      <w:r>
        <w:rPr>
          <w:spacing w:val="11"/>
          <w:sz w:val="18"/>
          <w:u w:val="single"/>
        </w:rPr>
        <w:t> </w:t>
      </w:r>
      <w:r>
        <w:rPr>
          <w:sz w:val="18"/>
          <w:u w:val="single"/>
        </w:rPr>
        <w:t>Farm</w:t>
      </w:r>
      <w:r>
        <w:rPr>
          <w:spacing w:val="9"/>
          <w:sz w:val="18"/>
          <w:u w:val="single"/>
        </w:rPr>
        <w:t> </w:t>
      </w:r>
      <w:r>
        <w:rPr>
          <w:sz w:val="18"/>
          <w:u w:val="single"/>
        </w:rPr>
        <w:t>Fire</w:t>
      </w:r>
      <w:r>
        <w:rPr>
          <w:spacing w:val="13"/>
          <w:sz w:val="18"/>
          <w:u w:val="single"/>
        </w:rPr>
        <w:t> </w:t>
      </w:r>
      <w:r>
        <w:rPr>
          <w:sz w:val="18"/>
          <w:u w:val="single"/>
        </w:rPr>
        <w:t>&amp;</w:t>
      </w:r>
      <w:r>
        <w:rPr>
          <w:spacing w:val="12"/>
          <w:sz w:val="18"/>
          <w:u w:val="single"/>
        </w:rPr>
        <w:t> </w:t>
      </w:r>
      <w:r>
        <w:rPr>
          <w:sz w:val="18"/>
          <w:u w:val="single"/>
        </w:rPr>
        <w:t>Cas.</w:t>
      </w:r>
      <w:r>
        <w:rPr>
          <w:spacing w:val="12"/>
          <w:sz w:val="18"/>
          <w:u w:val="single"/>
        </w:rPr>
        <w:t> </w:t>
      </w:r>
      <w:r>
        <w:rPr>
          <w:sz w:val="18"/>
          <w:u w:val="single"/>
        </w:rPr>
        <w:t>Co.</w:t>
      </w:r>
      <w:r>
        <w:rPr>
          <w:sz w:val="18"/>
        </w:rPr>
        <w:t>,</w:t>
      </w:r>
      <w:r>
        <w:rPr>
          <w:spacing w:val="18"/>
          <w:sz w:val="18"/>
        </w:rPr>
        <w:t> </w:t>
      </w:r>
      <w:r>
        <w:rPr>
          <w:sz w:val="18"/>
        </w:rPr>
        <w:t>47</w:t>
      </w:r>
      <w:r>
        <w:rPr>
          <w:spacing w:val="13"/>
          <w:sz w:val="18"/>
        </w:rPr>
        <w:t> </w:t>
      </w:r>
      <w:r>
        <w:rPr>
          <w:sz w:val="18"/>
        </w:rPr>
        <w:t>O.A.C.</w:t>
      </w:r>
      <w:r>
        <w:rPr>
          <w:spacing w:val="14"/>
          <w:sz w:val="18"/>
        </w:rPr>
        <w:t> </w:t>
      </w:r>
      <w:r>
        <w:rPr>
          <w:sz w:val="18"/>
        </w:rPr>
        <w:t>223,</w:t>
      </w:r>
      <w:r>
        <w:rPr>
          <w:spacing w:val="13"/>
          <w:sz w:val="18"/>
        </w:rPr>
        <w:t> </w:t>
      </w:r>
      <w:r>
        <w:rPr>
          <w:sz w:val="18"/>
        </w:rPr>
        <w:t>25</w:t>
      </w:r>
      <w:r>
        <w:rPr>
          <w:spacing w:val="13"/>
          <w:sz w:val="18"/>
        </w:rPr>
        <w:t> </w:t>
      </w:r>
      <w:r>
        <w:rPr>
          <w:sz w:val="18"/>
        </w:rPr>
        <w:t>A.C.W.S.</w:t>
      </w:r>
      <w:r>
        <w:rPr>
          <w:spacing w:val="14"/>
          <w:sz w:val="18"/>
        </w:rPr>
        <w:t> </w:t>
      </w:r>
      <w:r>
        <w:rPr>
          <w:sz w:val="18"/>
        </w:rPr>
        <w:t>(3d)</w:t>
      </w:r>
      <w:r>
        <w:rPr>
          <w:spacing w:val="12"/>
          <w:sz w:val="18"/>
        </w:rPr>
        <w:t> </w:t>
      </w:r>
      <w:r>
        <w:rPr>
          <w:sz w:val="18"/>
        </w:rPr>
        <w:t>940,</w:t>
      </w:r>
      <w:r>
        <w:rPr>
          <w:spacing w:val="13"/>
          <w:sz w:val="18"/>
        </w:rPr>
        <w:t> </w:t>
      </w:r>
      <w:r>
        <w:rPr>
          <w:sz w:val="18"/>
        </w:rPr>
        <w:t>1991</w:t>
      </w:r>
    </w:p>
    <w:p>
      <w:pPr>
        <w:spacing w:before="4"/>
        <w:ind w:left="1160" w:right="0" w:firstLine="0"/>
        <w:jc w:val="left"/>
        <w:rPr>
          <w:rFonts w:ascii="Times New Roman"/>
          <w:sz w:val="18"/>
        </w:rPr>
      </w:pPr>
      <w:r>
        <w:rPr>
          <w:rFonts w:ascii="Times New Roman"/>
          <w:sz w:val="18"/>
        </w:rPr>
        <w:t>CarswellOnt 868.</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07" w:id="21"/>
      <w:bookmarkEnd w:id="21"/>
      <w:r>
        <w:rPr/>
      </w:r>
      <w:r>
        <w:rPr/>
        <w:t>familiar with local precedent, insurance regulations and laws which pertain to those definitions of value as well as the insurance appraisal</w:t>
      </w:r>
      <w:r>
        <w:rPr>
          <w:spacing w:val="-31"/>
        </w:rPr>
        <w:t> </w:t>
      </w:r>
      <w:r>
        <w:rPr/>
        <w:t>process</w:t>
      </w:r>
      <w:r>
        <w:rPr>
          <w:spacing w:val="-30"/>
        </w:rPr>
        <w:t> </w:t>
      </w:r>
      <w:r>
        <w:rPr/>
        <w:t>itself.</w:t>
      </w:r>
      <w:r>
        <w:rPr>
          <w:spacing w:val="8"/>
        </w:rPr>
        <w:t> </w:t>
      </w:r>
      <w:r>
        <w:rPr/>
        <w:t>Particular</w:t>
      </w:r>
      <w:r>
        <w:rPr>
          <w:spacing w:val="-30"/>
        </w:rPr>
        <w:t> </w:t>
      </w:r>
      <w:r>
        <w:rPr/>
        <w:t>care</w:t>
      </w:r>
      <w:r>
        <w:rPr>
          <w:spacing w:val="-33"/>
        </w:rPr>
        <w:t> </w:t>
      </w:r>
      <w:r>
        <w:rPr/>
        <w:t>must</w:t>
      </w:r>
      <w:r>
        <w:rPr>
          <w:spacing w:val="-34"/>
        </w:rPr>
        <w:t> </w:t>
      </w:r>
      <w:r>
        <w:rPr/>
        <w:t>be taken in situations where the umpire has no prior</w:t>
      </w:r>
      <w:r>
        <w:rPr>
          <w:spacing w:val="-26"/>
        </w:rPr>
        <w:t> </w:t>
      </w:r>
      <w:r>
        <w:rPr/>
        <w:t>experience</w:t>
      </w:r>
      <w:r>
        <w:rPr>
          <w:spacing w:val="-24"/>
        </w:rPr>
        <w:t> </w:t>
      </w:r>
      <w:r>
        <w:rPr/>
        <w:t>with</w:t>
      </w:r>
      <w:r>
        <w:rPr>
          <w:spacing w:val="-27"/>
        </w:rPr>
        <w:t> </w:t>
      </w:r>
      <w:r>
        <w:rPr/>
        <w:t>insurance</w:t>
      </w:r>
      <w:r>
        <w:rPr>
          <w:spacing w:val="-23"/>
        </w:rPr>
        <w:t> </w:t>
      </w:r>
      <w:r>
        <w:rPr/>
        <w:t>appraisals</w:t>
      </w:r>
      <w:r>
        <w:rPr>
          <w:spacing w:val="-23"/>
        </w:rPr>
        <w:t> </w:t>
      </w:r>
      <w:r>
        <w:rPr/>
        <w:t>and may</w:t>
      </w:r>
      <w:r>
        <w:rPr>
          <w:spacing w:val="-20"/>
        </w:rPr>
        <w:t> </w:t>
      </w:r>
      <w:r>
        <w:rPr/>
        <w:t>be</w:t>
      </w:r>
      <w:r>
        <w:rPr>
          <w:spacing w:val="-16"/>
        </w:rPr>
        <w:t> </w:t>
      </w:r>
      <w:r>
        <w:rPr/>
        <w:t>tempted</w:t>
      </w:r>
      <w:r>
        <w:rPr>
          <w:spacing w:val="-18"/>
        </w:rPr>
        <w:t> </w:t>
      </w:r>
      <w:r>
        <w:rPr/>
        <w:t>to</w:t>
      </w:r>
      <w:r>
        <w:rPr>
          <w:spacing w:val="-16"/>
        </w:rPr>
        <w:t> </w:t>
      </w:r>
      <w:r>
        <w:rPr/>
        <w:t>rely</w:t>
      </w:r>
      <w:r>
        <w:rPr>
          <w:spacing w:val="-19"/>
        </w:rPr>
        <w:t> </w:t>
      </w:r>
      <w:r>
        <w:rPr/>
        <w:t>upon</w:t>
      </w:r>
      <w:r>
        <w:rPr>
          <w:spacing w:val="-14"/>
        </w:rPr>
        <w:t> </w:t>
      </w:r>
      <w:r>
        <w:rPr/>
        <w:t>past</w:t>
      </w:r>
      <w:r>
        <w:rPr>
          <w:spacing w:val="-19"/>
        </w:rPr>
        <w:t> </w:t>
      </w:r>
      <w:r>
        <w:rPr/>
        <w:t>experience with arbitration, mediation, other types of appraisals such as real estate or market value appraisals, or litigation, all of which have little bearing</w:t>
      </w:r>
      <w:r>
        <w:rPr>
          <w:spacing w:val="-11"/>
        </w:rPr>
        <w:t> </w:t>
      </w:r>
      <w:r>
        <w:rPr/>
        <w:t>on</w:t>
      </w:r>
      <w:r>
        <w:rPr>
          <w:spacing w:val="-11"/>
        </w:rPr>
        <w:t> </w:t>
      </w:r>
      <w:r>
        <w:rPr/>
        <w:t>the</w:t>
      </w:r>
      <w:r>
        <w:rPr>
          <w:spacing w:val="-13"/>
        </w:rPr>
        <w:t> </w:t>
      </w:r>
      <w:r>
        <w:rPr/>
        <w:t>process</w:t>
      </w:r>
      <w:r>
        <w:rPr>
          <w:spacing w:val="-12"/>
        </w:rPr>
        <w:t> </w:t>
      </w:r>
      <w:r>
        <w:rPr/>
        <w:t>and</w:t>
      </w:r>
      <w:r>
        <w:rPr>
          <w:spacing w:val="-12"/>
        </w:rPr>
        <w:t> </w:t>
      </w:r>
      <w:r>
        <w:rPr/>
        <w:t>procedures</w:t>
      </w:r>
      <w:r>
        <w:rPr>
          <w:spacing w:val="-11"/>
        </w:rPr>
        <w:t> </w:t>
      </w:r>
      <w:r>
        <w:rPr/>
        <w:t>of</w:t>
      </w:r>
      <w:r>
        <w:rPr>
          <w:spacing w:val="-11"/>
        </w:rPr>
        <w:t> </w:t>
      </w:r>
      <w:r>
        <w:rPr/>
        <w:t>the insurance</w:t>
      </w:r>
      <w:r>
        <w:rPr>
          <w:spacing w:val="-2"/>
        </w:rPr>
        <w:t> </w:t>
      </w:r>
      <w:r>
        <w:rPr/>
        <w:t>appraisal.</w:t>
      </w:r>
    </w:p>
    <w:p>
      <w:pPr>
        <w:pStyle w:val="BodyText"/>
        <w:spacing w:before="10"/>
        <w:rPr>
          <w:sz w:val="25"/>
        </w:rPr>
      </w:pPr>
    </w:p>
    <w:p>
      <w:pPr>
        <w:pStyle w:val="BodyText"/>
        <w:spacing w:line="242" w:lineRule="auto"/>
        <w:ind w:left="1520" w:right="1518" w:firstLine="720"/>
        <w:jc w:val="both"/>
      </w:pPr>
      <w:r>
        <w:rPr>
          <w:spacing w:val="2"/>
        </w:rPr>
        <w:t>As</w:t>
      </w:r>
      <w:r>
        <w:rPr>
          <w:spacing w:val="-20"/>
        </w:rPr>
        <w:t> </w:t>
      </w:r>
      <w:r>
        <w:rPr/>
        <w:t>the</w:t>
      </w:r>
      <w:r>
        <w:rPr>
          <w:spacing w:val="31"/>
        </w:rPr>
        <w:t> </w:t>
      </w:r>
      <w:r>
        <w:rPr/>
        <w:t>“neutral”</w:t>
      </w:r>
      <w:r>
        <w:rPr>
          <w:spacing w:val="-19"/>
        </w:rPr>
        <w:t> </w:t>
      </w:r>
      <w:r>
        <w:rPr/>
        <w:t>in</w:t>
      </w:r>
      <w:r>
        <w:rPr>
          <w:spacing w:val="-20"/>
        </w:rPr>
        <w:t> </w:t>
      </w:r>
      <w:r>
        <w:rPr/>
        <w:t>the</w:t>
      </w:r>
      <w:r>
        <w:rPr>
          <w:spacing w:val="-22"/>
        </w:rPr>
        <w:t> </w:t>
      </w:r>
      <w:r>
        <w:rPr/>
        <w:t>appraisal</w:t>
      </w:r>
      <w:r>
        <w:rPr>
          <w:spacing w:val="-21"/>
        </w:rPr>
        <w:t> </w:t>
      </w:r>
      <w:r>
        <w:rPr>
          <w:spacing w:val="-3"/>
        </w:rPr>
        <w:t>process, </w:t>
      </w:r>
      <w:r>
        <w:rPr/>
        <w:t>it may fall upon the umpire to resolve issues of procedure as well as practical issues such as scheduling,</w:t>
      </w:r>
      <w:r>
        <w:rPr>
          <w:spacing w:val="-12"/>
        </w:rPr>
        <w:t> </w:t>
      </w:r>
      <w:r>
        <w:rPr/>
        <w:t>the</w:t>
      </w:r>
      <w:r>
        <w:rPr>
          <w:spacing w:val="-13"/>
        </w:rPr>
        <w:t> </w:t>
      </w:r>
      <w:r>
        <w:rPr/>
        <w:t>location</w:t>
      </w:r>
      <w:r>
        <w:rPr>
          <w:spacing w:val="-11"/>
        </w:rPr>
        <w:t> </w:t>
      </w:r>
      <w:r>
        <w:rPr/>
        <w:t>of</w:t>
      </w:r>
      <w:r>
        <w:rPr>
          <w:spacing w:val="-9"/>
        </w:rPr>
        <w:t> </w:t>
      </w:r>
      <w:r>
        <w:rPr/>
        <w:t>meetings,</w:t>
      </w:r>
      <w:r>
        <w:rPr>
          <w:spacing w:val="-12"/>
        </w:rPr>
        <w:t> </w:t>
      </w:r>
      <w:r>
        <w:rPr/>
        <w:t>hearings and</w:t>
      </w:r>
      <w:r>
        <w:rPr>
          <w:spacing w:val="-23"/>
        </w:rPr>
        <w:t> </w:t>
      </w:r>
      <w:r>
        <w:rPr/>
        <w:t>the</w:t>
      </w:r>
      <w:r>
        <w:rPr>
          <w:spacing w:val="-24"/>
        </w:rPr>
        <w:t> </w:t>
      </w:r>
      <w:r>
        <w:rPr/>
        <w:t>order</w:t>
      </w:r>
      <w:r>
        <w:rPr>
          <w:spacing w:val="-27"/>
        </w:rPr>
        <w:t> </w:t>
      </w:r>
      <w:r>
        <w:rPr/>
        <w:t>of</w:t>
      </w:r>
      <w:r>
        <w:rPr>
          <w:spacing w:val="-24"/>
        </w:rPr>
        <w:t> </w:t>
      </w:r>
      <w:r>
        <w:rPr/>
        <w:t>presentation</w:t>
      </w:r>
      <w:r>
        <w:rPr>
          <w:spacing w:val="-26"/>
        </w:rPr>
        <w:t> </w:t>
      </w:r>
      <w:r>
        <w:rPr/>
        <w:t>of</w:t>
      </w:r>
      <w:r>
        <w:rPr>
          <w:spacing w:val="-24"/>
        </w:rPr>
        <w:t> </w:t>
      </w:r>
      <w:r>
        <w:rPr/>
        <w:t>evidence</w:t>
      </w:r>
      <w:r>
        <w:rPr>
          <w:spacing w:val="-26"/>
        </w:rPr>
        <w:t> </w:t>
      </w:r>
      <w:r>
        <w:rPr/>
        <w:t>and information.</w:t>
      </w:r>
      <w:r>
        <w:rPr>
          <w:spacing w:val="20"/>
        </w:rPr>
        <w:t> </w:t>
      </w:r>
      <w:r>
        <w:rPr/>
        <w:t>While</w:t>
      </w:r>
      <w:r>
        <w:rPr>
          <w:spacing w:val="-25"/>
        </w:rPr>
        <w:t> </w:t>
      </w:r>
      <w:r>
        <w:rPr/>
        <w:t>an</w:t>
      </w:r>
      <w:r>
        <w:rPr>
          <w:spacing w:val="-24"/>
        </w:rPr>
        <w:t> </w:t>
      </w:r>
      <w:r>
        <w:rPr/>
        <w:t>effort</w:t>
      </w:r>
      <w:r>
        <w:rPr>
          <w:spacing w:val="-29"/>
        </w:rPr>
        <w:t> </w:t>
      </w:r>
      <w:r>
        <w:rPr/>
        <w:t>should</w:t>
      </w:r>
      <w:r>
        <w:rPr>
          <w:spacing w:val="-25"/>
        </w:rPr>
        <w:t> </w:t>
      </w:r>
      <w:r>
        <w:rPr/>
        <w:t>be</w:t>
      </w:r>
      <w:r>
        <w:rPr>
          <w:spacing w:val="-28"/>
        </w:rPr>
        <w:t> </w:t>
      </w:r>
      <w:r>
        <w:rPr/>
        <w:t>made</w:t>
      </w:r>
      <w:r>
        <w:rPr>
          <w:spacing w:val="-26"/>
        </w:rPr>
        <w:t> </w:t>
      </w:r>
      <w:r>
        <w:rPr/>
        <w:t>to resolve these issues by consensus and acclamation, as a practical and logical matter, the umpire should have ultimate authority to make reasonable judgments on these matters in order to insure that the purpose of the parties’ participation </w:t>
      </w:r>
      <w:r>
        <w:rPr>
          <w:spacing w:val="-5"/>
        </w:rPr>
        <w:t>in </w:t>
      </w:r>
      <w:r>
        <w:rPr/>
        <w:t>appraisal </w:t>
      </w:r>
      <w:r>
        <w:rPr>
          <w:spacing w:val="2"/>
        </w:rPr>
        <w:t>is </w:t>
      </w:r>
      <w:r>
        <w:rPr/>
        <w:t>fulfilled</w:t>
      </w:r>
      <w:r>
        <w:rPr>
          <w:spacing w:val="-5"/>
        </w:rPr>
        <w:t> </w:t>
      </w:r>
      <w:r>
        <w:rPr/>
        <w:t>fairly.</w:t>
      </w:r>
    </w:p>
    <w:p>
      <w:pPr>
        <w:pStyle w:val="BodyText"/>
        <w:spacing w:before="10"/>
        <w:rPr>
          <w:sz w:val="25"/>
        </w:rPr>
      </w:pPr>
    </w:p>
    <w:p>
      <w:pPr>
        <w:pStyle w:val="BodyText"/>
        <w:spacing w:line="242" w:lineRule="auto" w:before="1"/>
        <w:ind w:left="1520" w:right="1517" w:firstLine="720"/>
        <w:jc w:val="both"/>
      </w:pPr>
      <w:r>
        <w:rPr/>
        <w:t>A British Columbia court, however, declined to confer authority to determine the disposition of salvage where the umpire’s action in question had been discussed by appraisers but no agreement or authorization</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jc w:val="both"/>
      </w:pPr>
      <w:bookmarkStart w:name="Law and Procedure 408" w:id="22"/>
      <w:bookmarkEnd w:id="22"/>
      <w:r>
        <w:rPr/>
      </w:r>
      <w:r>
        <w:rPr/>
        <w:t>by the parties existed, nor was there statutory authority. </w:t>
      </w:r>
      <w:r>
        <w:rPr>
          <w:spacing w:val="2"/>
        </w:rPr>
        <w:t>In </w:t>
      </w:r>
      <w:r>
        <w:rPr/>
        <w:t>that case, the court concluded that</w:t>
      </w:r>
      <w:r>
        <w:rPr>
          <w:spacing w:val="-21"/>
        </w:rPr>
        <w:t> </w:t>
      </w:r>
      <w:r>
        <w:rPr/>
        <w:t>an</w:t>
      </w:r>
      <w:r>
        <w:rPr>
          <w:spacing w:val="-18"/>
        </w:rPr>
        <w:t> </w:t>
      </w:r>
      <w:r>
        <w:rPr/>
        <w:t>umpire</w:t>
      </w:r>
      <w:r>
        <w:rPr>
          <w:spacing w:val="-20"/>
        </w:rPr>
        <w:t> </w:t>
      </w:r>
      <w:r>
        <w:rPr/>
        <w:t>had</w:t>
      </w:r>
      <w:r>
        <w:rPr>
          <w:spacing w:val="-18"/>
        </w:rPr>
        <w:t> </w:t>
      </w:r>
      <w:r>
        <w:rPr/>
        <w:t>exceeded</w:t>
      </w:r>
      <w:r>
        <w:rPr>
          <w:spacing w:val="-23"/>
        </w:rPr>
        <w:t> </w:t>
      </w:r>
      <w:r>
        <w:rPr/>
        <w:t>the</w:t>
      </w:r>
      <w:r>
        <w:rPr>
          <w:spacing w:val="-19"/>
        </w:rPr>
        <w:t> </w:t>
      </w:r>
      <w:r>
        <w:rPr/>
        <w:t>scope</w:t>
      </w:r>
      <w:r>
        <w:rPr>
          <w:spacing w:val="-19"/>
        </w:rPr>
        <w:t> </w:t>
      </w:r>
      <w:r>
        <w:rPr/>
        <w:t>of</w:t>
      </w:r>
      <w:r>
        <w:rPr>
          <w:spacing w:val="-18"/>
        </w:rPr>
        <w:t> </w:t>
      </w:r>
      <w:r>
        <w:rPr>
          <w:spacing w:val="-3"/>
        </w:rPr>
        <w:t>his </w:t>
      </w:r>
      <w:r>
        <w:rPr/>
        <w:t>authority</w:t>
      </w:r>
      <w:r>
        <w:rPr>
          <w:spacing w:val="-17"/>
        </w:rPr>
        <w:t> </w:t>
      </w:r>
      <w:r>
        <w:rPr/>
        <w:t>in</w:t>
      </w:r>
      <w:r>
        <w:rPr>
          <w:spacing w:val="-15"/>
        </w:rPr>
        <w:t> </w:t>
      </w:r>
      <w:r>
        <w:rPr/>
        <w:t>assessing</w:t>
      </w:r>
      <w:r>
        <w:rPr>
          <w:spacing w:val="-16"/>
        </w:rPr>
        <w:t> </w:t>
      </w:r>
      <w:r>
        <w:rPr/>
        <w:t>a</w:t>
      </w:r>
      <w:r>
        <w:rPr>
          <w:spacing w:val="-15"/>
        </w:rPr>
        <w:t> </w:t>
      </w:r>
      <w:r>
        <w:rPr/>
        <w:t>stock</w:t>
      </w:r>
      <w:r>
        <w:rPr>
          <w:spacing w:val="-16"/>
        </w:rPr>
        <w:t> </w:t>
      </w:r>
      <w:r>
        <w:rPr/>
        <w:t>loss</w:t>
      </w:r>
      <w:r>
        <w:rPr>
          <w:spacing w:val="-15"/>
        </w:rPr>
        <w:t> </w:t>
      </w:r>
      <w:r>
        <w:rPr/>
        <w:t>and</w:t>
      </w:r>
      <w:r>
        <w:rPr>
          <w:spacing w:val="-14"/>
        </w:rPr>
        <w:t> </w:t>
      </w:r>
      <w:r>
        <w:rPr/>
        <w:t>directing that</w:t>
      </w:r>
      <w:r>
        <w:rPr>
          <w:spacing w:val="-15"/>
        </w:rPr>
        <w:t> </w:t>
      </w:r>
      <w:r>
        <w:rPr/>
        <w:t>the</w:t>
      </w:r>
      <w:r>
        <w:rPr>
          <w:spacing w:val="-15"/>
        </w:rPr>
        <w:t> </w:t>
      </w:r>
      <w:r>
        <w:rPr/>
        <w:t>disposition</w:t>
      </w:r>
      <w:r>
        <w:rPr>
          <w:spacing w:val="-15"/>
        </w:rPr>
        <w:t> </w:t>
      </w:r>
      <w:r>
        <w:rPr/>
        <w:t>of</w:t>
      </w:r>
      <w:r>
        <w:rPr>
          <w:spacing w:val="-15"/>
        </w:rPr>
        <w:t> </w:t>
      </w:r>
      <w:r>
        <w:rPr/>
        <w:t>salvage</w:t>
      </w:r>
      <w:r>
        <w:rPr>
          <w:spacing w:val="-13"/>
        </w:rPr>
        <w:t> </w:t>
      </w:r>
      <w:r>
        <w:rPr/>
        <w:t>go</w:t>
      </w:r>
      <w:r>
        <w:rPr>
          <w:spacing w:val="-13"/>
        </w:rPr>
        <w:t> </w:t>
      </w:r>
      <w:r>
        <w:rPr/>
        <w:t>to</w:t>
      </w:r>
      <w:r>
        <w:rPr>
          <w:spacing w:val="-15"/>
        </w:rPr>
        <w:t> </w:t>
      </w:r>
      <w:r>
        <w:rPr/>
        <w:t>an</w:t>
      </w:r>
      <w:r>
        <w:rPr>
          <w:spacing w:val="-11"/>
        </w:rPr>
        <w:t> </w:t>
      </w:r>
      <w:r>
        <w:rPr/>
        <w:t>insurer. The</w:t>
      </w:r>
      <w:r>
        <w:rPr>
          <w:spacing w:val="-17"/>
        </w:rPr>
        <w:t> </w:t>
      </w:r>
      <w:r>
        <w:rPr/>
        <w:t>court</w:t>
      </w:r>
      <w:r>
        <w:rPr>
          <w:spacing w:val="-17"/>
        </w:rPr>
        <w:t> </w:t>
      </w:r>
      <w:r>
        <w:rPr/>
        <w:t>referenced</w:t>
      </w:r>
      <w:r>
        <w:rPr>
          <w:spacing w:val="-16"/>
        </w:rPr>
        <w:t> </w:t>
      </w:r>
      <w:r>
        <w:rPr/>
        <w:t>the</w:t>
      </w:r>
      <w:r>
        <w:rPr>
          <w:spacing w:val="-17"/>
        </w:rPr>
        <w:t> </w:t>
      </w:r>
      <w:r>
        <w:rPr/>
        <w:t>Insurance</w:t>
      </w:r>
      <w:r>
        <w:rPr>
          <w:spacing w:val="-16"/>
        </w:rPr>
        <w:t> </w:t>
      </w:r>
      <w:r>
        <w:rPr/>
        <w:t>Act,</w:t>
      </w:r>
      <w:r>
        <w:rPr>
          <w:spacing w:val="-18"/>
        </w:rPr>
        <w:t> </w:t>
      </w:r>
      <w:r>
        <w:rPr/>
        <w:t>s.</w:t>
      </w:r>
      <w:r>
        <w:rPr>
          <w:spacing w:val="-17"/>
        </w:rPr>
        <w:t> </w:t>
      </w:r>
      <w:r>
        <w:rPr/>
        <w:t>200, stat.</w:t>
      </w:r>
      <w:r>
        <w:rPr>
          <w:spacing w:val="-38"/>
        </w:rPr>
        <w:t> </w:t>
      </w:r>
      <w:r>
        <w:rPr>
          <w:spacing w:val="-3"/>
        </w:rPr>
        <w:t>cond.</w:t>
      </w:r>
      <w:r>
        <w:rPr>
          <w:spacing w:val="-37"/>
        </w:rPr>
        <w:t> </w:t>
      </w:r>
      <w:r>
        <w:rPr/>
        <w:t>11,</w:t>
      </w:r>
      <w:r>
        <w:rPr>
          <w:spacing w:val="-35"/>
        </w:rPr>
        <w:t> </w:t>
      </w:r>
      <w:r>
        <w:rPr/>
        <w:t>which</w:t>
      </w:r>
      <w:r>
        <w:rPr>
          <w:spacing w:val="-33"/>
        </w:rPr>
        <w:t> </w:t>
      </w:r>
      <w:r>
        <w:rPr/>
        <w:t>authorized</w:t>
      </w:r>
      <w:r>
        <w:rPr>
          <w:spacing w:val="-33"/>
        </w:rPr>
        <w:t> </w:t>
      </w:r>
      <w:r>
        <w:rPr/>
        <w:t>appraisers</w:t>
      </w:r>
      <w:r>
        <w:rPr>
          <w:spacing w:val="-33"/>
        </w:rPr>
        <w:t> </w:t>
      </w:r>
      <w:r>
        <w:rPr/>
        <w:t>only to determine value of the insured property, value of saved property and amount of the loss.</w:t>
      </w:r>
      <w:r>
        <w:rPr>
          <w:vertAlign w:val="superscript"/>
        </w:rPr>
        <w:t>857</w:t>
      </w:r>
    </w:p>
    <w:p>
      <w:pPr>
        <w:pStyle w:val="BodyText"/>
        <w:spacing w:before="11"/>
        <w:rPr>
          <w:sz w:val="25"/>
        </w:rPr>
      </w:pPr>
    </w:p>
    <w:p>
      <w:pPr>
        <w:pStyle w:val="BodyText"/>
        <w:spacing w:line="242" w:lineRule="auto" w:before="1"/>
        <w:ind w:left="1520" w:right="1520" w:firstLine="720"/>
        <w:jc w:val="both"/>
      </w:pPr>
      <w:r>
        <w:rPr/>
        <w:t>The general guideline in performing this mission</w:t>
      </w:r>
      <w:r>
        <w:rPr>
          <w:spacing w:val="-20"/>
        </w:rPr>
        <w:t> </w:t>
      </w:r>
      <w:r>
        <w:rPr/>
        <w:t>should</w:t>
      </w:r>
      <w:r>
        <w:rPr>
          <w:spacing w:val="-18"/>
        </w:rPr>
        <w:t> </w:t>
      </w:r>
      <w:r>
        <w:rPr/>
        <w:t>be</w:t>
      </w:r>
      <w:r>
        <w:rPr>
          <w:spacing w:val="-18"/>
        </w:rPr>
        <w:t> </w:t>
      </w:r>
      <w:r>
        <w:rPr/>
        <w:t>an</w:t>
      </w:r>
      <w:r>
        <w:rPr>
          <w:spacing w:val="-17"/>
        </w:rPr>
        <w:t> </w:t>
      </w:r>
      <w:r>
        <w:rPr/>
        <w:t>overriding</w:t>
      </w:r>
      <w:r>
        <w:rPr>
          <w:spacing w:val="-21"/>
        </w:rPr>
        <w:t> </w:t>
      </w:r>
      <w:r>
        <w:rPr/>
        <w:t>focus</w:t>
      </w:r>
      <w:r>
        <w:rPr>
          <w:spacing w:val="-19"/>
        </w:rPr>
        <w:t> </w:t>
      </w:r>
      <w:r>
        <w:rPr/>
        <w:t>on</w:t>
      </w:r>
      <w:r>
        <w:rPr>
          <w:spacing w:val="-20"/>
        </w:rPr>
        <w:t> </w:t>
      </w:r>
      <w:r>
        <w:rPr/>
        <w:t>doing justice to the claim submitted, in a fair and expeditious manner, giving due</w:t>
      </w:r>
      <w:r>
        <w:rPr>
          <w:spacing w:val="-28"/>
        </w:rPr>
        <w:t> </w:t>
      </w:r>
      <w:r>
        <w:rPr/>
        <w:t>consideration to all of the</w:t>
      </w:r>
      <w:r>
        <w:rPr>
          <w:spacing w:val="-5"/>
        </w:rPr>
        <w:t> </w:t>
      </w:r>
      <w:r>
        <w:rPr/>
        <w:t>arguments.</w:t>
      </w:r>
    </w:p>
    <w:p>
      <w:pPr>
        <w:pStyle w:val="BodyText"/>
      </w:pPr>
    </w:p>
    <w:p>
      <w:pPr>
        <w:pStyle w:val="BodyText"/>
        <w:spacing w:line="242" w:lineRule="auto" w:before="1"/>
        <w:ind w:left="1520" w:right="1517" w:firstLine="720"/>
        <w:jc w:val="both"/>
      </w:pPr>
      <w:r>
        <w:rPr>
          <w:spacing w:val="2"/>
        </w:rPr>
        <w:t>As </w:t>
      </w:r>
      <w:r>
        <w:rPr/>
        <w:t>discussed in Chapter </w:t>
      </w:r>
      <w:r>
        <w:rPr>
          <w:spacing w:val="3"/>
        </w:rPr>
        <w:t>I, </w:t>
      </w:r>
      <w:r>
        <w:rPr/>
        <w:t>certain jurisdictions, particularly those which equate arbitration and appraisal, impose </w:t>
      </w:r>
      <w:r>
        <w:rPr>
          <w:spacing w:val="-3"/>
        </w:rPr>
        <w:t>statutory </w:t>
      </w:r>
      <w:r>
        <w:rPr/>
        <w:t>authority upon the umpire. </w:t>
      </w:r>
      <w:r>
        <w:rPr>
          <w:spacing w:val="3"/>
        </w:rPr>
        <w:t>In </w:t>
      </w:r>
      <w:r>
        <w:rPr/>
        <w:t>these states, umpires have available all of the powers granted arbitrators in carrying out their appointed mission. These powers include subpoena power,</w:t>
      </w:r>
      <w:r>
        <w:rPr>
          <w:vertAlign w:val="superscript"/>
        </w:rPr>
        <w:t>858</w:t>
      </w:r>
      <w:r>
        <w:rPr>
          <w:vertAlign w:val="baseline"/>
        </w:rPr>
        <w:t> the scheduling </w:t>
      </w:r>
      <w:r>
        <w:rPr>
          <w:spacing w:val="-13"/>
          <w:vertAlign w:val="baseline"/>
        </w:rPr>
        <w:t>and </w:t>
      </w:r>
      <w:r>
        <w:rPr>
          <w:vertAlign w:val="baseline"/>
        </w:rPr>
        <w:t>conduct of hearings,</w:t>
      </w:r>
      <w:r>
        <w:rPr>
          <w:vertAlign w:val="superscript"/>
        </w:rPr>
        <w:t>859</w:t>
      </w:r>
      <w:r>
        <w:rPr>
          <w:vertAlign w:val="baseline"/>
        </w:rPr>
        <w:t>and the right</w:t>
      </w:r>
      <w:r>
        <w:rPr>
          <w:spacing w:val="53"/>
          <w:vertAlign w:val="baseline"/>
        </w:rPr>
        <w:t> </w:t>
      </w:r>
      <w:r>
        <w:rPr>
          <w:spacing w:val="-19"/>
          <w:vertAlign w:val="baseline"/>
        </w:rPr>
        <w:t>to</w:t>
      </w:r>
    </w:p>
    <w:p>
      <w:pPr>
        <w:pStyle w:val="BodyText"/>
        <w:rPr>
          <w:sz w:val="20"/>
        </w:rPr>
      </w:pPr>
    </w:p>
    <w:p>
      <w:pPr>
        <w:pStyle w:val="BodyText"/>
      </w:pPr>
      <w:r>
        <w:rPr/>
        <w:pict>
          <v:shape style="position:absolute;margin-left:162pt;margin-top:18.340889pt;width:143.9pt;height:.1pt;mso-position-horizontal-relative:page;mso-position-vertical-relative:paragraph;z-index:-251638784;mso-wrap-distance-left:0;mso-wrap-distance-right:0" coordorigin="3240,367" coordsize="2878,0" path="m3240,367l6118,36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38" w:val="left" w:leader="none"/>
        </w:tabs>
        <w:spacing w:line="240" w:lineRule="auto" w:before="71" w:after="0"/>
        <w:ind w:left="1437" w:right="0" w:hanging="278"/>
        <w:jc w:val="left"/>
        <w:rPr>
          <w:sz w:val="18"/>
        </w:rPr>
      </w:pPr>
      <w:r>
        <w:rPr>
          <w:sz w:val="18"/>
          <w:u w:val="single"/>
        </w:rPr>
        <w:t>British Columbia Ins. Corp. v. Dawd Holdings Ltd.</w:t>
      </w:r>
      <w:r>
        <w:rPr>
          <w:sz w:val="18"/>
        </w:rPr>
        <w:t>, (1989) 35 C.C.L.I. 193, I.L.R.</w:t>
      </w:r>
      <w:r>
        <w:rPr>
          <w:spacing w:val="21"/>
          <w:sz w:val="18"/>
        </w:rPr>
        <w:t> </w:t>
      </w:r>
      <w:r>
        <w:rPr>
          <w:sz w:val="18"/>
        </w:rPr>
        <w:t>1-</w:t>
      </w:r>
    </w:p>
    <w:p>
      <w:pPr>
        <w:spacing w:before="19"/>
        <w:ind w:left="1160" w:right="0" w:firstLine="0"/>
        <w:jc w:val="left"/>
        <w:rPr>
          <w:rFonts w:ascii="Times New Roman"/>
          <w:sz w:val="18"/>
        </w:rPr>
      </w:pPr>
      <w:r>
        <w:rPr>
          <w:rFonts w:ascii="Times New Roman"/>
          <w:sz w:val="18"/>
        </w:rPr>
        <w:t>2391, 12 A.C.W.S. (3d) 380, 1988 CarswellBC 400; </w:t>
      </w:r>
      <w:r>
        <w:rPr>
          <w:rFonts w:ascii="Times New Roman"/>
          <w:i/>
          <w:sz w:val="18"/>
        </w:rPr>
        <w:t>Insurance Act</w:t>
      </w:r>
      <w:r>
        <w:rPr>
          <w:rFonts w:ascii="Times New Roman"/>
          <w:sz w:val="18"/>
        </w:rPr>
        <w:t>, R.S.B.C. 1979, c. 200,</w:t>
      </w:r>
    </w:p>
    <w:p>
      <w:pPr>
        <w:spacing w:line="178" w:lineRule="exact" w:before="4"/>
        <w:ind w:left="1160" w:right="0" w:firstLine="0"/>
        <w:jc w:val="left"/>
        <w:rPr>
          <w:rFonts w:ascii="Times New Roman"/>
          <w:sz w:val="18"/>
        </w:rPr>
      </w:pPr>
      <w:r>
        <w:rPr>
          <w:rFonts w:ascii="Times New Roman"/>
          <w:sz w:val="18"/>
        </w:rPr>
        <w:t>s. 11 and 15 Sechion 220.</w:t>
      </w:r>
    </w:p>
    <w:p>
      <w:pPr>
        <w:pStyle w:val="ListParagraph"/>
        <w:numPr>
          <w:ilvl w:val="0"/>
          <w:numId w:val="6"/>
        </w:numPr>
        <w:tabs>
          <w:tab w:pos="1421" w:val="left" w:leader="none"/>
        </w:tabs>
        <w:spacing w:line="211" w:lineRule="exact" w:before="0" w:after="0"/>
        <w:ind w:left="1421" w:right="0" w:hanging="261"/>
        <w:jc w:val="left"/>
        <w:rPr>
          <w:sz w:val="18"/>
        </w:rPr>
      </w:pPr>
      <w:r>
        <w:rPr>
          <w:sz w:val="18"/>
        </w:rPr>
        <w:t>Subpoenas and deposition, Conn. Gen. Stat. §52-412 (a)(b)</w:t>
      </w:r>
      <w:r>
        <w:rPr>
          <w:spacing w:val="3"/>
          <w:sz w:val="18"/>
        </w:rPr>
        <w:t> </w:t>
      </w:r>
      <w:r>
        <w:rPr>
          <w:sz w:val="18"/>
        </w:rPr>
        <w:t>(2003).</w:t>
      </w:r>
    </w:p>
    <w:p>
      <w:pPr>
        <w:pStyle w:val="ListParagraph"/>
        <w:numPr>
          <w:ilvl w:val="0"/>
          <w:numId w:val="6"/>
        </w:numPr>
        <w:tabs>
          <w:tab w:pos="1428" w:val="left" w:leader="none"/>
        </w:tabs>
        <w:spacing w:line="240" w:lineRule="exact" w:before="0" w:after="0"/>
        <w:ind w:left="1427" w:right="0" w:hanging="268"/>
        <w:jc w:val="left"/>
        <w:rPr>
          <w:sz w:val="18"/>
        </w:rPr>
      </w:pPr>
      <w:r>
        <w:rPr>
          <w:sz w:val="18"/>
        </w:rPr>
        <w:t>Hearing;</w:t>
      </w:r>
      <w:r>
        <w:rPr>
          <w:spacing w:val="8"/>
          <w:sz w:val="18"/>
        </w:rPr>
        <w:t> </w:t>
      </w:r>
      <w:r>
        <w:rPr>
          <w:sz w:val="18"/>
        </w:rPr>
        <w:t>time</w:t>
      </w:r>
      <w:r>
        <w:rPr>
          <w:spacing w:val="7"/>
          <w:sz w:val="18"/>
        </w:rPr>
        <w:t> </w:t>
      </w:r>
      <w:r>
        <w:rPr>
          <w:sz w:val="18"/>
        </w:rPr>
        <w:t>and</w:t>
      </w:r>
      <w:r>
        <w:rPr>
          <w:spacing w:val="7"/>
          <w:sz w:val="18"/>
        </w:rPr>
        <w:t> </w:t>
      </w:r>
      <w:r>
        <w:rPr>
          <w:sz w:val="18"/>
        </w:rPr>
        <w:t>place,</w:t>
      </w:r>
      <w:r>
        <w:rPr>
          <w:spacing w:val="6"/>
          <w:sz w:val="18"/>
        </w:rPr>
        <w:t> </w:t>
      </w:r>
      <w:r>
        <w:rPr>
          <w:sz w:val="18"/>
        </w:rPr>
        <w:t>adjournments,</w:t>
      </w:r>
      <w:r>
        <w:rPr>
          <w:spacing w:val="7"/>
          <w:sz w:val="18"/>
        </w:rPr>
        <w:t> </w:t>
      </w:r>
      <w:r>
        <w:rPr>
          <w:sz w:val="18"/>
        </w:rPr>
        <w:t>Conn.</w:t>
      </w:r>
      <w:r>
        <w:rPr>
          <w:spacing w:val="8"/>
          <w:sz w:val="18"/>
        </w:rPr>
        <w:t> </w:t>
      </w:r>
      <w:r>
        <w:rPr>
          <w:sz w:val="18"/>
        </w:rPr>
        <w:t>Gen.</w:t>
      </w:r>
      <w:r>
        <w:rPr>
          <w:spacing w:val="8"/>
          <w:sz w:val="18"/>
        </w:rPr>
        <w:t> </w:t>
      </w:r>
      <w:r>
        <w:rPr>
          <w:sz w:val="18"/>
        </w:rPr>
        <w:t>Stat.</w:t>
      </w:r>
      <w:r>
        <w:rPr>
          <w:spacing w:val="9"/>
          <w:sz w:val="18"/>
        </w:rPr>
        <w:t> </w:t>
      </w:r>
      <w:r>
        <w:rPr>
          <w:sz w:val="18"/>
        </w:rPr>
        <w:t>§52-413</w:t>
      </w:r>
      <w:r>
        <w:rPr>
          <w:spacing w:val="10"/>
          <w:sz w:val="18"/>
        </w:rPr>
        <w:t> </w:t>
      </w:r>
      <w:r>
        <w:rPr>
          <w:sz w:val="18"/>
        </w:rPr>
        <w:t>(2003);</w:t>
      </w:r>
      <w:r>
        <w:rPr>
          <w:spacing w:val="8"/>
          <w:sz w:val="18"/>
        </w:rPr>
        <w:t> </w:t>
      </w:r>
      <w:r>
        <w:rPr>
          <w:sz w:val="18"/>
        </w:rPr>
        <w:t>Additional</w:t>
      </w:r>
    </w:p>
    <w:p>
      <w:pPr>
        <w:spacing w:before="4"/>
        <w:ind w:left="1160" w:right="0" w:firstLine="0"/>
        <w:jc w:val="left"/>
        <w:rPr>
          <w:rFonts w:ascii="Times New Roman" w:hAnsi="Times New Roman"/>
          <w:sz w:val="18"/>
        </w:rPr>
      </w:pPr>
      <w:r>
        <w:rPr>
          <w:rFonts w:ascii="Times New Roman" w:hAnsi="Times New Roman"/>
          <w:sz w:val="18"/>
        </w:rPr>
        <w:t>arbitrator; Rehearing; Oath, Conn. Gen. Stat. §52-414 (2003).</w:t>
      </w:r>
    </w:p>
    <w:p>
      <w:pPr>
        <w:spacing w:after="0"/>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409" w:id="23"/>
      <w:bookmarkEnd w:id="23"/>
      <w:r>
        <w:rPr/>
      </w:r>
      <w:r>
        <w:rPr/>
        <w:t>administer oaths to witnesses.</w:t>
      </w:r>
      <w:r>
        <w:rPr>
          <w:vertAlign w:val="superscript"/>
        </w:rPr>
        <w:t>860</w:t>
      </w:r>
    </w:p>
    <w:p>
      <w:pPr>
        <w:pStyle w:val="BodyText"/>
        <w:spacing w:before="6"/>
      </w:pPr>
    </w:p>
    <w:p>
      <w:pPr>
        <w:pStyle w:val="BodyText"/>
        <w:spacing w:line="242" w:lineRule="auto"/>
        <w:ind w:left="1520" w:right="1518" w:firstLine="720"/>
        <w:jc w:val="both"/>
      </w:pPr>
      <w:r>
        <w:rPr>
          <w:spacing w:val="2"/>
        </w:rPr>
        <w:t>An </w:t>
      </w:r>
      <w:r>
        <w:rPr/>
        <w:t>umpire has the authority to make findings</w:t>
      </w:r>
      <w:r>
        <w:rPr>
          <w:spacing w:val="-13"/>
        </w:rPr>
        <w:t> </w:t>
      </w:r>
      <w:r>
        <w:rPr/>
        <w:t>of</w:t>
      </w:r>
      <w:r>
        <w:rPr>
          <w:spacing w:val="-13"/>
        </w:rPr>
        <w:t> </w:t>
      </w:r>
      <w:r>
        <w:rPr/>
        <w:t>fact</w:t>
      </w:r>
      <w:r>
        <w:rPr>
          <w:spacing w:val="-16"/>
        </w:rPr>
        <w:t> </w:t>
      </w:r>
      <w:r>
        <w:rPr/>
        <w:t>such</w:t>
      </w:r>
      <w:r>
        <w:rPr>
          <w:spacing w:val="-14"/>
        </w:rPr>
        <w:t> </w:t>
      </w:r>
      <w:r>
        <w:rPr/>
        <w:t>as</w:t>
      </w:r>
      <w:r>
        <w:rPr>
          <w:spacing w:val="-15"/>
        </w:rPr>
        <w:t> </w:t>
      </w:r>
      <w:r>
        <w:rPr/>
        <w:t>identifying</w:t>
      </w:r>
      <w:r>
        <w:rPr>
          <w:spacing w:val="-15"/>
        </w:rPr>
        <w:t> </w:t>
      </w:r>
      <w:r>
        <w:rPr/>
        <w:t>the</w:t>
      </w:r>
      <w:r>
        <w:rPr>
          <w:spacing w:val="-15"/>
        </w:rPr>
        <w:t> </w:t>
      </w:r>
      <w:r>
        <w:rPr/>
        <w:t>items</w:t>
      </w:r>
      <w:r>
        <w:rPr>
          <w:spacing w:val="-17"/>
        </w:rPr>
        <w:t> </w:t>
      </w:r>
      <w:r>
        <w:rPr/>
        <w:t>on an inventory that were actually lost </w:t>
      </w:r>
      <w:r>
        <w:rPr>
          <w:spacing w:val="-6"/>
        </w:rPr>
        <w:t>or </w:t>
      </w:r>
      <w:r>
        <w:rPr/>
        <w:t>damaged. </w:t>
      </w:r>
      <w:r>
        <w:rPr>
          <w:spacing w:val="3"/>
        </w:rPr>
        <w:t>In </w:t>
      </w:r>
      <w:r>
        <w:rPr/>
        <w:t>the case of such findings, they are conclusive.</w:t>
      </w:r>
      <w:r>
        <w:rPr>
          <w:vertAlign w:val="superscript"/>
        </w:rPr>
        <w:t>861</w:t>
      </w:r>
      <w:r>
        <w:rPr>
          <w:vertAlign w:val="baseline"/>
        </w:rPr>
        <w:t> This view is not</w:t>
      </w:r>
      <w:r>
        <w:rPr>
          <w:spacing w:val="-15"/>
          <w:vertAlign w:val="baseline"/>
        </w:rPr>
        <w:t> </w:t>
      </w:r>
      <w:r>
        <w:rPr>
          <w:vertAlign w:val="baseline"/>
        </w:rPr>
        <w:t>universal.</w:t>
      </w:r>
    </w:p>
    <w:p>
      <w:pPr>
        <w:pStyle w:val="BodyText"/>
      </w:pPr>
    </w:p>
    <w:p>
      <w:pPr>
        <w:pStyle w:val="BodyText"/>
        <w:spacing w:line="242" w:lineRule="auto" w:before="1"/>
        <w:ind w:left="1520" w:right="1519" w:firstLine="720"/>
        <w:jc w:val="both"/>
      </w:pPr>
      <w:r>
        <w:rPr/>
        <w:t>An arbitrator enjoys a level of arbitral immunity, like judicial immunity, is said to promote fearless and independent decision making. Courts have refused to hold judges liable for their judicial actions and, in cases in which misconduct in arriving at decisions has been alleged, have also clothed arbitrators with immunity.</w:t>
      </w:r>
      <w:r>
        <w:rPr>
          <w:vertAlign w:val="superscript"/>
        </w:rPr>
        <w:t>862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4"/>
        </w:rPr>
      </w:pPr>
      <w:r>
        <w:rPr/>
        <w:pict>
          <v:shape style="position:absolute;margin-left:162pt;margin-top:11.075884pt;width:143.9pt;height:.1pt;mso-position-horizontal-relative:page;mso-position-vertical-relative:paragraph;z-index:-251637760;mso-wrap-distance-left:0;mso-wrap-distance-right:0" coordorigin="3240,222" coordsize="2878,0" path="m3240,222l6118,222e" filled="false" stroked="true" strokeweight=".84pt" strokecolor="#000000">
            <v:path arrowok="t"/>
            <v:stroke dashstyle="solid"/>
            <w10:wrap type="topAndBottom"/>
          </v:shape>
        </w:pict>
      </w:r>
    </w:p>
    <w:p>
      <w:pPr>
        <w:spacing w:line="269" w:lineRule="exact" w:before="140"/>
        <w:ind w:left="1160" w:right="0" w:firstLine="0"/>
        <w:jc w:val="left"/>
        <w:rPr>
          <w:rFonts w:ascii="Times New Roman" w:hAnsi="Times New Roman"/>
          <w:sz w:val="18"/>
        </w:rPr>
      </w:pPr>
      <w:r>
        <w:rPr>
          <w:rFonts w:ascii="Times New Roman" w:hAnsi="Times New Roman"/>
          <w:position w:val="10"/>
          <w:sz w:val="14"/>
        </w:rPr>
        <w:t>860 </w:t>
      </w:r>
      <w:r>
        <w:rPr>
          <w:rFonts w:ascii="Times New Roman" w:hAnsi="Times New Roman"/>
          <w:sz w:val="18"/>
        </w:rPr>
        <w:t>Conn. Gen. Stat. §52-414(e).</w:t>
      </w:r>
    </w:p>
    <w:p>
      <w:pPr>
        <w:pStyle w:val="ListParagraph"/>
        <w:numPr>
          <w:ilvl w:val="0"/>
          <w:numId w:val="7"/>
        </w:numPr>
        <w:tabs>
          <w:tab w:pos="1435" w:val="left" w:leader="none"/>
        </w:tabs>
        <w:spacing w:line="269" w:lineRule="exact" w:before="0" w:after="0"/>
        <w:ind w:left="1434" w:right="0" w:hanging="275"/>
        <w:jc w:val="left"/>
        <w:rPr>
          <w:sz w:val="18"/>
        </w:rPr>
      </w:pPr>
      <w:r>
        <w:rPr>
          <w:sz w:val="18"/>
          <w:u w:val="single"/>
        </w:rPr>
        <w:t>Schreiber v. Pacific Coast Fire Ins. Co.</w:t>
      </w:r>
      <w:r>
        <w:rPr>
          <w:sz w:val="18"/>
        </w:rPr>
        <w:t>, 195 Md. 639, 75 A.2d 108</w:t>
      </w:r>
      <w:r>
        <w:rPr>
          <w:spacing w:val="7"/>
          <w:sz w:val="18"/>
        </w:rPr>
        <w:t> </w:t>
      </w:r>
      <w:r>
        <w:rPr>
          <w:sz w:val="18"/>
        </w:rPr>
        <w:t>(1950).</w:t>
      </w:r>
    </w:p>
    <w:p>
      <w:pPr>
        <w:pStyle w:val="ListParagraph"/>
        <w:numPr>
          <w:ilvl w:val="0"/>
          <w:numId w:val="7"/>
        </w:numPr>
        <w:tabs>
          <w:tab w:pos="1435" w:val="left" w:leader="none"/>
        </w:tabs>
        <w:spacing w:line="240" w:lineRule="auto" w:before="14" w:after="0"/>
        <w:ind w:left="1434" w:right="0" w:hanging="275"/>
        <w:jc w:val="left"/>
        <w:rPr>
          <w:sz w:val="18"/>
        </w:rPr>
      </w:pPr>
      <w:r>
        <w:rPr>
          <w:sz w:val="18"/>
          <w:u w:val="single"/>
        </w:rPr>
        <w:t>Baar v. Tigerman</w:t>
      </w:r>
      <w:r>
        <w:rPr>
          <w:sz w:val="18"/>
        </w:rPr>
        <w:t>, 140 Cal. App.3rd 979, 211 Cal. Rptr. 426</w:t>
      </w:r>
      <w:r>
        <w:rPr>
          <w:spacing w:val="4"/>
          <w:sz w:val="18"/>
        </w:rPr>
        <w:t> </w:t>
      </w:r>
      <w:r>
        <w:rPr>
          <w:sz w:val="18"/>
        </w:rPr>
        <w:t>(1983).</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239" w:val="left" w:leader="none"/>
        </w:tabs>
        <w:spacing w:before="42"/>
        <w:ind w:left="1520"/>
      </w:pPr>
      <w:bookmarkStart w:name="Law and Procedure 410" w:id="24"/>
      <w:bookmarkEnd w:id="24"/>
      <w:r>
        <w:rPr/>
      </w:r>
      <w:r>
        <w:rPr/>
        <w:t>B]</w:t>
        <w:tab/>
        <w:t>FEES</w:t>
      </w:r>
    </w:p>
    <w:p>
      <w:pPr>
        <w:pStyle w:val="BodyText"/>
        <w:spacing w:before="5"/>
      </w:pPr>
    </w:p>
    <w:p>
      <w:pPr>
        <w:pStyle w:val="BodyText"/>
        <w:spacing w:line="242" w:lineRule="auto"/>
        <w:ind w:left="1520" w:right="1519" w:firstLine="720"/>
        <w:jc w:val="both"/>
      </w:pPr>
      <w:r>
        <w:rPr/>
        <w:t>Pursuant to the Standard Fire Policy, generally “[E]ach appraiser shall be paid by the party selecting him and the expenses of appraisal and umpire shall be paid by the parties equally.”</w:t>
      </w:r>
      <w:r>
        <w:rPr>
          <w:vertAlign w:val="superscript"/>
        </w:rPr>
        <w:t>863</w:t>
      </w:r>
    </w:p>
    <w:p>
      <w:pPr>
        <w:pStyle w:val="BodyText"/>
        <w:spacing w:before="1"/>
      </w:pPr>
    </w:p>
    <w:p>
      <w:pPr>
        <w:pStyle w:val="BodyText"/>
        <w:spacing w:line="242" w:lineRule="auto"/>
        <w:ind w:left="1520" w:right="1519" w:firstLine="720"/>
        <w:jc w:val="both"/>
      </w:pPr>
      <w:r>
        <w:rPr/>
        <w:t>However,</w:t>
      </w:r>
      <w:r>
        <w:rPr>
          <w:spacing w:val="-33"/>
        </w:rPr>
        <w:t> </w:t>
      </w:r>
      <w:r>
        <w:rPr/>
        <w:t>this</w:t>
      </w:r>
      <w:r>
        <w:rPr>
          <w:spacing w:val="-30"/>
        </w:rPr>
        <w:t> </w:t>
      </w:r>
      <w:r>
        <w:rPr/>
        <w:t>rule</w:t>
      </w:r>
      <w:r>
        <w:rPr>
          <w:spacing w:val="-31"/>
        </w:rPr>
        <w:t> </w:t>
      </w:r>
      <w:r>
        <w:rPr/>
        <w:t>is</w:t>
      </w:r>
      <w:r>
        <w:rPr>
          <w:spacing w:val="-33"/>
        </w:rPr>
        <w:t> </w:t>
      </w:r>
      <w:r>
        <w:rPr/>
        <w:t>not</w:t>
      </w:r>
      <w:r>
        <w:rPr>
          <w:spacing w:val="-33"/>
        </w:rPr>
        <w:t> </w:t>
      </w:r>
      <w:r>
        <w:rPr/>
        <w:t>universal.</w:t>
      </w:r>
      <w:r>
        <w:rPr>
          <w:spacing w:val="-30"/>
        </w:rPr>
        <w:t> </w:t>
      </w:r>
      <w:r>
        <w:rPr/>
        <w:t>Virginia, for</w:t>
      </w:r>
      <w:r>
        <w:rPr>
          <w:spacing w:val="-7"/>
        </w:rPr>
        <w:t> </w:t>
      </w:r>
      <w:r>
        <w:rPr/>
        <w:t>example</w:t>
      </w:r>
      <w:r>
        <w:rPr>
          <w:spacing w:val="-7"/>
        </w:rPr>
        <w:t> </w:t>
      </w:r>
      <w:r>
        <w:rPr/>
        <w:t>provides</w:t>
      </w:r>
      <w:r>
        <w:rPr>
          <w:spacing w:val="-8"/>
        </w:rPr>
        <w:t> </w:t>
      </w:r>
      <w:r>
        <w:rPr/>
        <w:t>in</w:t>
      </w:r>
      <w:r>
        <w:rPr>
          <w:spacing w:val="-8"/>
        </w:rPr>
        <w:t> </w:t>
      </w:r>
      <w:r>
        <w:rPr/>
        <w:t>its</w:t>
      </w:r>
      <w:r>
        <w:rPr>
          <w:spacing w:val="-8"/>
        </w:rPr>
        <w:t> </w:t>
      </w:r>
      <w:r>
        <w:rPr/>
        <w:t>Standard</w:t>
      </w:r>
      <w:r>
        <w:rPr>
          <w:spacing w:val="-8"/>
        </w:rPr>
        <w:t> </w:t>
      </w:r>
      <w:r>
        <w:rPr/>
        <w:t>Fire</w:t>
      </w:r>
      <w:r>
        <w:rPr>
          <w:spacing w:val="-9"/>
        </w:rPr>
        <w:t> </w:t>
      </w:r>
      <w:r>
        <w:rPr/>
        <w:t>Policy that “[I]f the written demand </w:t>
      </w:r>
      <w:r>
        <w:rPr>
          <w:spacing w:val="2"/>
        </w:rPr>
        <w:t>is </w:t>
      </w:r>
      <w:r>
        <w:rPr/>
        <w:t>made by this Company,</w:t>
      </w:r>
      <w:r>
        <w:rPr>
          <w:spacing w:val="-37"/>
        </w:rPr>
        <w:t> </w:t>
      </w:r>
      <w:r>
        <w:rPr/>
        <w:t>then</w:t>
      </w:r>
      <w:r>
        <w:rPr>
          <w:spacing w:val="-34"/>
        </w:rPr>
        <w:t> </w:t>
      </w:r>
      <w:r>
        <w:rPr/>
        <w:t>the</w:t>
      </w:r>
      <w:r>
        <w:rPr>
          <w:spacing w:val="-34"/>
        </w:rPr>
        <w:t> </w:t>
      </w:r>
      <w:r>
        <w:rPr/>
        <w:t>insured</w:t>
      </w:r>
      <w:r>
        <w:rPr>
          <w:spacing w:val="-34"/>
        </w:rPr>
        <w:t> </w:t>
      </w:r>
      <w:r>
        <w:rPr/>
        <w:t>shall</w:t>
      </w:r>
      <w:r>
        <w:rPr>
          <w:spacing w:val="-36"/>
        </w:rPr>
        <w:t> </w:t>
      </w:r>
      <w:r>
        <w:rPr/>
        <w:t>be</w:t>
      </w:r>
      <w:r>
        <w:rPr>
          <w:spacing w:val="-35"/>
        </w:rPr>
        <w:t> </w:t>
      </w:r>
      <w:r>
        <w:rPr/>
        <w:t>reimbursed by</w:t>
      </w:r>
      <w:r>
        <w:rPr>
          <w:spacing w:val="-26"/>
        </w:rPr>
        <w:t> </w:t>
      </w:r>
      <w:r>
        <w:rPr/>
        <w:t>this</w:t>
      </w:r>
      <w:r>
        <w:rPr>
          <w:spacing w:val="-26"/>
        </w:rPr>
        <w:t> </w:t>
      </w:r>
      <w:r>
        <w:rPr/>
        <w:t>Company</w:t>
      </w:r>
      <w:r>
        <w:rPr>
          <w:spacing w:val="-26"/>
        </w:rPr>
        <w:t> </w:t>
      </w:r>
      <w:r>
        <w:rPr/>
        <w:t>for</w:t>
      </w:r>
      <w:r>
        <w:rPr>
          <w:spacing w:val="-24"/>
        </w:rPr>
        <w:t> </w:t>
      </w:r>
      <w:r>
        <w:rPr/>
        <w:t>the</w:t>
      </w:r>
      <w:r>
        <w:rPr>
          <w:spacing w:val="-25"/>
        </w:rPr>
        <w:t> </w:t>
      </w:r>
      <w:r>
        <w:rPr/>
        <w:t>reasonable</w:t>
      </w:r>
      <w:r>
        <w:rPr>
          <w:spacing w:val="-20"/>
        </w:rPr>
        <w:t> </w:t>
      </w:r>
      <w:r>
        <w:rPr/>
        <w:t>cost</w:t>
      </w:r>
      <w:r>
        <w:rPr>
          <w:spacing w:val="-23"/>
        </w:rPr>
        <w:t> </w:t>
      </w:r>
      <w:r>
        <w:rPr/>
        <w:t>of</w:t>
      </w:r>
      <w:r>
        <w:rPr>
          <w:spacing w:val="-22"/>
        </w:rPr>
        <w:t> </w:t>
      </w:r>
      <w:r>
        <w:rPr/>
        <w:t>the insured’s</w:t>
      </w:r>
      <w:r>
        <w:rPr>
          <w:spacing w:val="-22"/>
        </w:rPr>
        <w:t> </w:t>
      </w:r>
      <w:r>
        <w:rPr/>
        <w:t>appraiser</w:t>
      </w:r>
      <w:r>
        <w:rPr>
          <w:spacing w:val="-22"/>
        </w:rPr>
        <w:t> </w:t>
      </w:r>
      <w:r>
        <w:rPr/>
        <w:t>and</w:t>
      </w:r>
      <w:r>
        <w:rPr>
          <w:spacing w:val="-22"/>
        </w:rPr>
        <w:t> </w:t>
      </w:r>
      <w:r>
        <w:rPr/>
        <w:t>the</w:t>
      </w:r>
      <w:r>
        <w:rPr>
          <w:spacing w:val="-19"/>
        </w:rPr>
        <w:t> </w:t>
      </w:r>
      <w:r>
        <w:rPr/>
        <w:t>insured’s</w:t>
      </w:r>
      <w:r>
        <w:rPr>
          <w:spacing w:val="-18"/>
        </w:rPr>
        <w:t> </w:t>
      </w:r>
      <w:r>
        <w:rPr/>
        <w:t>portion</w:t>
      </w:r>
      <w:r>
        <w:rPr>
          <w:spacing w:val="-18"/>
        </w:rPr>
        <w:t> </w:t>
      </w:r>
      <w:r>
        <w:rPr/>
        <w:t>of the cost of the umpire.”</w:t>
      </w:r>
      <w:r>
        <w:rPr>
          <w:spacing w:val="-6"/>
        </w:rPr>
        <w:t> </w:t>
      </w:r>
      <w:r>
        <w:rPr>
          <w:vertAlign w:val="superscript"/>
        </w:rPr>
        <w:t>864</w:t>
      </w:r>
    </w:p>
    <w:p>
      <w:pPr>
        <w:pStyle w:val="BodyText"/>
      </w:pPr>
    </w:p>
    <w:p>
      <w:pPr>
        <w:pStyle w:val="BodyText"/>
        <w:spacing w:line="242" w:lineRule="auto"/>
        <w:ind w:left="1520" w:right="1518" w:firstLine="720"/>
        <w:jc w:val="both"/>
      </w:pPr>
      <w:r>
        <w:rPr/>
        <w:t>While the splitting of the umpire’s fee is overwhelmingly</w:t>
      </w:r>
      <w:r>
        <w:rPr>
          <w:spacing w:val="-25"/>
        </w:rPr>
        <w:t> </w:t>
      </w:r>
      <w:r>
        <w:rPr/>
        <w:t>the</w:t>
      </w:r>
      <w:r>
        <w:rPr>
          <w:spacing w:val="-24"/>
        </w:rPr>
        <w:t> </w:t>
      </w:r>
      <w:r>
        <w:rPr/>
        <w:t>rule,</w:t>
      </w:r>
      <w:r>
        <w:rPr>
          <w:spacing w:val="-27"/>
        </w:rPr>
        <w:t> </w:t>
      </w:r>
      <w:r>
        <w:rPr/>
        <w:t>the</w:t>
      </w:r>
      <w:r>
        <w:rPr>
          <w:spacing w:val="-26"/>
        </w:rPr>
        <w:t> </w:t>
      </w:r>
      <w:r>
        <w:rPr/>
        <w:t>amount</w:t>
      </w:r>
      <w:r>
        <w:rPr>
          <w:spacing w:val="-25"/>
        </w:rPr>
        <w:t> </w:t>
      </w:r>
      <w:r>
        <w:rPr/>
        <w:t>of</w:t>
      </w:r>
      <w:r>
        <w:rPr>
          <w:spacing w:val="-24"/>
        </w:rPr>
        <w:t> </w:t>
      </w:r>
      <w:r>
        <w:rPr/>
        <w:t>the</w:t>
      </w:r>
      <w:r>
        <w:rPr>
          <w:spacing w:val="-25"/>
        </w:rPr>
        <w:t> </w:t>
      </w:r>
      <w:r>
        <w:rPr/>
        <w:t>fee should certainly be discussed in advance of hiring and be confirmed in writing, signed by the parties to the appraisal, as well as the umpire so as to avoid any</w:t>
      </w:r>
      <w:r>
        <w:rPr>
          <w:spacing w:val="-15"/>
        </w:rPr>
        <w:t> </w:t>
      </w:r>
      <w:r>
        <w:rPr/>
        <w:t>misunderstanding.</w:t>
      </w:r>
    </w:p>
    <w:p>
      <w:pPr>
        <w:pStyle w:val="BodyText"/>
        <w:spacing w:before="1"/>
      </w:pPr>
    </w:p>
    <w:p>
      <w:pPr>
        <w:pStyle w:val="BodyText"/>
        <w:spacing w:line="242" w:lineRule="auto"/>
        <w:ind w:left="1520" w:right="1518" w:firstLine="720"/>
        <w:jc w:val="both"/>
      </w:pPr>
      <w:r>
        <w:rPr/>
        <w:t>Though appraisal </w:t>
      </w:r>
      <w:r>
        <w:rPr>
          <w:spacing w:val="2"/>
        </w:rPr>
        <w:t>is </w:t>
      </w:r>
      <w:r>
        <w:rPr/>
        <w:t>generally a </w:t>
      </w:r>
      <w:r>
        <w:rPr>
          <w:spacing w:val="-4"/>
        </w:rPr>
        <w:t>less </w:t>
      </w:r>
      <w:r>
        <w:rPr>
          <w:spacing w:val="-3"/>
        </w:rPr>
        <w:t>expensive</w:t>
      </w:r>
      <w:r>
        <w:rPr>
          <w:spacing w:val="-42"/>
        </w:rPr>
        <w:t> </w:t>
      </w:r>
      <w:r>
        <w:rPr/>
        <w:t>proposition</w:t>
      </w:r>
      <w:r>
        <w:rPr>
          <w:spacing w:val="-41"/>
        </w:rPr>
        <w:t> </w:t>
      </w:r>
      <w:r>
        <w:rPr>
          <w:spacing w:val="-3"/>
        </w:rPr>
        <w:t>than</w:t>
      </w:r>
      <w:r>
        <w:rPr>
          <w:spacing w:val="-40"/>
        </w:rPr>
        <w:t> </w:t>
      </w:r>
      <w:r>
        <w:rPr/>
        <w:t>its</w:t>
      </w:r>
      <w:r>
        <w:rPr>
          <w:spacing w:val="-41"/>
        </w:rPr>
        <w:t> </w:t>
      </w:r>
      <w:r>
        <w:rPr/>
        <w:t>more</w:t>
      </w:r>
      <w:r>
        <w:rPr>
          <w:spacing w:val="-40"/>
        </w:rPr>
        <w:t> </w:t>
      </w:r>
      <w:r>
        <w:rPr/>
        <w:t>contentious alternative</w:t>
      </w:r>
      <w:r>
        <w:rPr>
          <w:spacing w:val="-25"/>
        </w:rPr>
        <w:t> </w:t>
      </w:r>
      <w:r>
        <w:rPr/>
        <w:t>of</w:t>
      </w:r>
      <w:r>
        <w:rPr>
          <w:spacing w:val="-23"/>
        </w:rPr>
        <w:t> </w:t>
      </w:r>
      <w:r>
        <w:rPr/>
        <w:t>litigation,</w:t>
      </w:r>
      <w:r>
        <w:rPr>
          <w:spacing w:val="-24"/>
        </w:rPr>
        <w:t> </w:t>
      </w:r>
      <w:r>
        <w:rPr/>
        <w:t>it</w:t>
      </w:r>
      <w:r>
        <w:rPr>
          <w:spacing w:val="-29"/>
        </w:rPr>
        <w:t> </w:t>
      </w:r>
      <w:r>
        <w:rPr/>
        <w:t>can</w:t>
      </w:r>
      <w:r>
        <w:rPr>
          <w:spacing w:val="-25"/>
        </w:rPr>
        <w:t> </w:t>
      </w:r>
      <w:r>
        <w:rPr/>
        <w:t>still</w:t>
      </w:r>
      <w:r>
        <w:rPr>
          <w:spacing w:val="-24"/>
        </w:rPr>
        <w:t> </w:t>
      </w:r>
      <w:r>
        <w:rPr/>
        <w:t>be</w:t>
      </w:r>
      <w:r>
        <w:rPr>
          <w:spacing w:val="-25"/>
        </w:rPr>
        <w:t> </w:t>
      </w:r>
      <w:r>
        <w:rPr/>
        <w:t>expensive.</w:t>
      </w:r>
    </w:p>
    <w:p>
      <w:pPr>
        <w:pStyle w:val="BodyText"/>
        <w:spacing w:before="4"/>
        <w:rPr>
          <w:sz w:val="22"/>
        </w:rPr>
      </w:pPr>
      <w:r>
        <w:rPr/>
        <w:pict>
          <v:shape style="position:absolute;margin-left:162pt;margin-top:16.098883pt;width:143.9pt;height:.1pt;mso-position-horizontal-relative:page;mso-position-vertical-relative:paragraph;z-index:-251636736;mso-wrap-distance-left:0;mso-wrap-distance-right:0" coordorigin="3240,322" coordsize="2878,0" path="m3240,322l6118,32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45" w:val="left" w:leader="none"/>
        </w:tabs>
        <w:spacing w:line="240" w:lineRule="auto" w:before="71" w:after="0"/>
        <w:ind w:left="1444" w:right="0" w:hanging="285"/>
        <w:jc w:val="both"/>
        <w:rPr>
          <w:sz w:val="18"/>
        </w:rPr>
      </w:pPr>
      <w:r>
        <w:rPr>
          <w:i/>
          <w:sz w:val="18"/>
        </w:rPr>
        <w:t>e.g., </w:t>
      </w:r>
      <w:r>
        <w:rPr>
          <w:sz w:val="18"/>
        </w:rPr>
        <w:t>Standard Form, Conn. Gen. Stat. §38a-307 (2003); Standard</w:t>
      </w:r>
      <w:r>
        <w:rPr>
          <w:spacing w:val="17"/>
          <w:sz w:val="18"/>
        </w:rPr>
        <w:t> </w:t>
      </w:r>
      <w:r>
        <w:rPr>
          <w:sz w:val="18"/>
        </w:rPr>
        <w:t>Policy Provisions,</w:t>
      </w:r>
    </w:p>
    <w:p>
      <w:pPr>
        <w:spacing w:before="19"/>
        <w:ind w:left="1160" w:right="0" w:firstLine="0"/>
        <w:jc w:val="both"/>
        <w:rPr>
          <w:rFonts w:ascii="Times New Roman" w:hAnsi="Times New Roman"/>
          <w:sz w:val="18"/>
        </w:rPr>
      </w:pPr>
      <w:r>
        <w:rPr>
          <w:rFonts w:ascii="Times New Roman" w:hAnsi="Times New Roman"/>
          <w:sz w:val="18"/>
        </w:rPr>
        <w:t>N.Y. Ins. Law §3404(e) (McKinney 2003); Standard Policy Provisions, 40 Pa. Cons. Stat.</w:t>
      </w:r>
    </w:p>
    <w:p>
      <w:pPr>
        <w:spacing w:line="244" w:lineRule="auto" w:before="4"/>
        <w:ind w:left="1160" w:right="1165" w:firstLine="0"/>
        <w:jc w:val="both"/>
        <w:rPr>
          <w:rFonts w:ascii="Times New Roman" w:hAnsi="Times New Roman"/>
          <w:sz w:val="18"/>
        </w:rPr>
      </w:pPr>
      <w:r>
        <w:rPr>
          <w:rFonts w:ascii="Times New Roman" w:hAnsi="Times New Roman"/>
          <w:sz w:val="18"/>
        </w:rPr>
        <w:t>§636 (2003) (statute originally enacted on May 17, 1921); Insurance Act. R.S.O. 1990 Condition 11, §143 (Ontario, Can); Standard Provisions, Conditions, Stipulations and Agreements for such Policies, Va. Code Ann </w:t>
      </w:r>
      <w:r>
        <w:rPr>
          <w:rFonts w:ascii="Century" w:hAnsi="Century"/>
          <w:sz w:val="18"/>
        </w:rPr>
        <w:t>§</w:t>
      </w:r>
      <w:r>
        <w:rPr>
          <w:rFonts w:ascii="Times New Roman" w:hAnsi="Times New Roman"/>
          <w:sz w:val="18"/>
        </w:rPr>
        <w:t>38.2-2105 (Michie 2002).</w:t>
      </w:r>
    </w:p>
    <w:p>
      <w:pPr>
        <w:pStyle w:val="ListParagraph"/>
        <w:numPr>
          <w:ilvl w:val="0"/>
          <w:numId w:val="7"/>
        </w:numPr>
        <w:tabs>
          <w:tab w:pos="1442" w:val="left" w:leader="none"/>
        </w:tabs>
        <w:spacing w:line="261" w:lineRule="auto" w:before="0" w:after="0"/>
        <w:ind w:left="1160" w:right="1166" w:firstLine="0"/>
        <w:jc w:val="both"/>
        <w:rPr>
          <w:sz w:val="18"/>
        </w:rPr>
      </w:pPr>
      <w:r>
        <w:rPr>
          <w:sz w:val="18"/>
        </w:rPr>
        <w:t>Standard Provisions and Agreements for such Policies, Va. Code Annot. §38.2-2105 (lines 144-147) (Michie</w:t>
      </w:r>
      <w:r>
        <w:rPr>
          <w:spacing w:val="-2"/>
          <w:sz w:val="18"/>
        </w:rPr>
        <w:t> </w:t>
      </w:r>
      <w:r>
        <w:rPr>
          <w:sz w:val="18"/>
        </w:rPr>
        <w:t>2002).</w:t>
      </w:r>
    </w:p>
    <w:p>
      <w:pPr>
        <w:spacing w:after="0" w:line="261"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411" w:id="25"/>
      <w:bookmarkEnd w:id="25"/>
      <w:r>
        <w:rPr/>
      </w:r>
      <w:r>
        <w:rPr/>
        <w:t>Umpire’s fees are generally hourly and can range typically from $150 to as high as $400,</w:t>
      </w:r>
    </w:p>
    <w:p>
      <w:pPr>
        <w:pStyle w:val="BodyText"/>
        <w:spacing w:line="242" w:lineRule="auto"/>
        <w:ind w:left="1520" w:right="1517"/>
        <w:jc w:val="both"/>
      </w:pPr>
      <w:r>
        <w:rPr/>
        <w:t>$500 or $600 per hour. Some jurisdictions have ready-made pools of independent umpires </w:t>
      </w:r>
      <w:r>
        <w:rPr>
          <w:spacing w:val="-6"/>
        </w:rPr>
        <w:t>or </w:t>
      </w:r>
      <w:r>
        <w:rPr/>
        <w:t>arbitrators</w:t>
      </w:r>
      <w:r>
        <w:rPr>
          <w:spacing w:val="-27"/>
        </w:rPr>
        <w:t> </w:t>
      </w:r>
      <w:r>
        <w:rPr/>
        <w:t>who</w:t>
      </w:r>
      <w:r>
        <w:rPr>
          <w:spacing w:val="-27"/>
        </w:rPr>
        <w:t> </w:t>
      </w:r>
      <w:r>
        <w:rPr/>
        <w:t>may</w:t>
      </w:r>
      <w:r>
        <w:rPr>
          <w:spacing w:val="-30"/>
        </w:rPr>
        <w:t> </w:t>
      </w:r>
      <w:r>
        <w:rPr/>
        <w:t>be</w:t>
      </w:r>
      <w:r>
        <w:rPr>
          <w:spacing w:val="-28"/>
        </w:rPr>
        <w:t> </w:t>
      </w:r>
      <w:r>
        <w:rPr/>
        <w:t>called</w:t>
      </w:r>
      <w:r>
        <w:rPr>
          <w:spacing w:val="-25"/>
        </w:rPr>
        <w:t> </w:t>
      </w:r>
      <w:r>
        <w:rPr/>
        <w:t>upon</w:t>
      </w:r>
      <w:r>
        <w:rPr>
          <w:spacing w:val="-25"/>
        </w:rPr>
        <w:t> </w:t>
      </w:r>
      <w:r>
        <w:rPr/>
        <w:t>on</w:t>
      </w:r>
      <w:r>
        <w:rPr>
          <w:spacing w:val="-24"/>
        </w:rPr>
        <w:t> </w:t>
      </w:r>
      <w:r>
        <w:rPr/>
        <w:t>a</w:t>
      </w:r>
      <w:r>
        <w:rPr>
          <w:spacing w:val="-25"/>
        </w:rPr>
        <w:t> </w:t>
      </w:r>
      <w:r>
        <w:rPr/>
        <w:t>given claim to render assistance. </w:t>
      </w:r>
      <w:r>
        <w:rPr>
          <w:spacing w:val="3"/>
        </w:rPr>
        <w:t>In </w:t>
      </w:r>
      <w:r>
        <w:rPr/>
        <w:t>other jurisdictions, umpires are often culled from lists of insurance company and consumer claim estimators who are participating in the insurance claims process</w:t>
      </w:r>
      <w:r>
        <w:rPr>
          <w:spacing w:val="-4"/>
        </w:rPr>
        <w:t> </w:t>
      </w:r>
      <w:r>
        <w:rPr/>
        <w:t>generally.</w:t>
      </w:r>
    </w:p>
    <w:p>
      <w:pPr>
        <w:pStyle w:val="BodyText"/>
        <w:spacing w:before="11"/>
        <w:rPr>
          <w:sz w:val="25"/>
        </w:rPr>
      </w:pPr>
    </w:p>
    <w:p>
      <w:pPr>
        <w:pStyle w:val="BodyText"/>
        <w:spacing w:line="242" w:lineRule="auto"/>
        <w:ind w:left="1520" w:right="1516" w:firstLine="720"/>
        <w:jc w:val="both"/>
      </w:pPr>
      <w:r>
        <w:rPr/>
        <w:t>Good success can be achieved </w:t>
      </w:r>
      <w:r>
        <w:rPr>
          <w:spacing w:val="-7"/>
        </w:rPr>
        <w:t>by </w:t>
      </w:r>
      <w:r>
        <w:rPr/>
        <w:t>utilizing the rosters of one of the private companies who are engaged in alternative dispute</w:t>
      </w:r>
      <w:r>
        <w:rPr>
          <w:spacing w:val="-22"/>
        </w:rPr>
        <w:t> </w:t>
      </w:r>
      <w:r>
        <w:rPr/>
        <w:t>resolution</w:t>
      </w:r>
      <w:r>
        <w:rPr>
          <w:spacing w:val="-18"/>
        </w:rPr>
        <w:t> </w:t>
      </w:r>
      <w:r>
        <w:rPr/>
        <w:t>(A.D.R.)</w:t>
      </w:r>
      <w:r>
        <w:rPr>
          <w:spacing w:val="-23"/>
        </w:rPr>
        <w:t> </w:t>
      </w:r>
      <w:r>
        <w:rPr/>
        <w:t>and</w:t>
      </w:r>
      <w:r>
        <w:rPr>
          <w:spacing w:val="-19"/>
        </w:rPr>
        <w:t> </w:t>
      </w:r>
      <w:r>
        <w:rPr/>
        <w:t>make</w:t>
      </w:r>
      <w:r>
        <w:rPr>
          <w:spacing w:val="-20"/>
        </w:rPr>
        <w:t> </w:t>
      </w:r>
      <w:r>
        <w:rPr/>
        <w:t>available retired judges to act as the neutral. These candidates often have judicial temperament and</w:t>
      </w:r>
      <w:r>
        <w:rPr>
          <w:spacing w:val="-12"/>
        </w:rPr>
        <w:t> </w:t>
      </w:r>
      <w:r>
        <w:rPr/>
        <w:t>experience</w:t>
      </w:r>
      <w:r>
        <w:rPr>
          <w:spacing w:val="-13"/>
        </w:rPr>
        <w:t> </w:t>
      </w:r>
      <w:r>
        <w:rPr/>
        <w:t>in</w:t>
      </w:r>
      <w:r>
        <w:rPr>
          <w:spacing w:val="-12"/>
        </w:rPr>
        <w:t> </w:t>
      </w:r>
      <w:r>
        <w:rPr/>
        <w:t>issue</w:t>
      </w:r>
      <w:r>
        <w:rPr>
          <w:spacing w:val="-12"/>
        </w:rPr>
        <w:t> </w:t>
      </w:r>
      <w:r>
        <w:rPr/>
        <w:t>determination</w:t>
      </w:r>
      <w:r>
        <w:rPr>
          <w:spacing w:val="-12"/>
        </w:rPr>
        <w:t> </w:t>
      </w:r>
      <w:r>
        <w:rPr/>
        <w:t>and</w:t>
      </w:r>
      <w:r>
        <w:rPr>
          <w:spacing w:val="-11"/>
        </w:rPr>
        <w:t> </w:t>
      </w:r>
      <w:r>
        <w:rPr/>
        <w:t>do not</w:t>
      </w:r>
      <w:r>
        <w:rPr>
          <w:spacing w:val="-18"/>
        </w:rPr>
        <w:t> </w:t>
      </w:r>
      <w:r>
        <w:rPr/>
        <w:t>have</w:t>
      </w:r>
      <w:r>
        <w:rPr>
          <w:spacing w:val="-17"/>
        </w:rPr>
        <w:t> </w:t>
      </w:r>
      <w:r>
        <w:rPr/>
        <w:t>the</w:t>
      </w:r>
      <w:r>
        <w:rPr>
          <w:spacing w:val="-18"/>
        </w:rPr>
        <w:t> </w:t>
      </w:r>
      <w:r>
        <w:rPr/>
        <w:t>troublesome</w:t>
      </w:r>
      <w:r>
        <w:rPr>
          <w:spacing w:val="-16"/>
        </w:rPr>
        <w:t> </w:t>
      </w:r>
      <w:r>
        <w:rPr/>
        <w:t>ties</w:t>
      </w:r>
      <w:r>
        <w:rPr>
          <w:spacing w:val="-19"/>
        </w:rPr>
        <w:t> </w:t>
      </w:r>
      <w:r>
        <w:rPr/>
        <w:t>to</w:t>
      </w:r>
      <w:r>
        <w:rPr>
          <w:spacing w:val="-18"/>
        </w:rPr>
        <w:t> </w:t>
      </w:r>
      <w:r>
        <w:rPr/>
        <w:t>the</w:t>
      </w:r>
      <w:r>
        <w:rPr>
          <w:spacing w:val="-18"/>
        </w:rPr>
        <w:t> </w:t>
      </w:r>
      <w:r>
        <w:rPr/>
        <w:t>insurance </w:t>
      </w:r>
      <w:r>
        <w:rPr>
          <w:spacing w:val="13"/>
        </w:rPr>
        <w:t>claims </w:t>
      </w:r>
      <w:r>
        <w:rPr>
          <w:spacing w:val="12"/>
        </w:rPr>
        <w:t>industry </w:t>
      </w:r>
      <w:r>
        <w:rPr>
          <w:spacing w:val="11"/>
        </w:rPr>
        <w:t>which </w:t>
      </w:r>
      <w:r>
        <w:rPr>
          <w:spacing w:val="9"/>
        </w:rPr>
        <w:t>may </w:t>
      </w:r>
      <w:r>
        <w:rPr>
          <w:spacing w:val="11"/>
        </w:rPr>
        <w:t>become </w:t>
      </w:r>
      <w:r>
        <w:rPr/>
        <w:t>problematic.</w:t>
      </w:r>
    </w:p>
    <w:p>
      <w:pPr>
        <w:pStyle w:val="BodyText"/>
        <w:spacing w:before="11"/>
        <w:rPr>
          <w:sz w:val="25"/>
        </w:rPr>
      </w:pPr>
    </w:p>
    <w:p>
      <w:pPr>
        <w:pStyle w:val="BodyText"/>
        <w:spacing w:line="242" w:lineRule="auto"/>
        <w:ind w:left="1520" w:right="1518" w:firstLine="720"/>
        <w:jc w:val="both"/>
      </w:pPr>
      <w:r>
        <w:rPr>
          <w:spacing w:val="2"/>
        </w:rPr>
        <w:t>As </w:t>
      </w:r>
      <w:r>
        <w:rPr/>
        <w:t>complex appraisals can be long winded, the process can become expensive and</w:t>
      </w:r>
      <w:r>
        <w:rPr>
          <w:spacing w:val="-27"/>
        </w:rPr>
        <w:t> </w:t>
      </w:r>
      <w:r>
        <w:rPr/>
        <w:t>the</w:t>
      </w:r>
      <w:r>
        <w:rPr>
          <w:spacing w:val="-27"/>
        </w:rPr>
        <w:t> </w:t>
      </w:r>
      <w:r>
        <w:rPr/>
        <w:t>parties</w:t>
      </w:r>
      <w:r>
        <w:rPr>
          <w:spacing w:val="-29"/>
        </w:rPr>
        <w:t> </w:t>
      </w:r>
      <w:r>
        <w:rPr/>
        <w:t>should</w:t>
      </w:r>
      <w:r>
        <w:rPr>
          <w:spacing w:val="-27"/>
        </w:rPr>
        <w:t> </w:t>
      </w:r>
      <w:r>
        <w:rPr/>
        <w:t>agree</w:t>
      </w:r>
      <w:r>
        <w:rPr>
          <w:spacing w:val="-30"/>
        </w:rPr>
        <w:t> </w:t>
      </w:r>
      <w:r>
        <w:rPr/>
        <w:t>to</w:t>
      </w:r>
      <w:r>
        <w:rPr>
          <w:spacing w:val="-29"/>
        </w:rPr>
        <w:t> </w:t>
      </w:r>
      <w:r>
        <w:rPr/>
        <w:t>make</w:t>
      </w:r>
      <w:r>
        <w:rPr>
          <w:spacing w:val="-28"/>
        </w:rPr>
        <w:t> </w:t>
      </w:r>
      <w:r>
        <w:rPr/>
        <w:t>provision for periodic payments to the umpire where appropriate.</w:t>
      </w:r>
    </w:p>
    <w:p>
      <w:pPr>
        <w:pStyle w:val="BodyText"/>
        <w:spacing w:before="1"/>
      </w:pPr>
    </w:p>
    <w:p>
      <w:pPr>
        <w:pStyle w:val="BodyText"/>
        <w:spacing w:line="242" w:lineRule="auto"/>
        <w:ind w:left="1520" w:right="1518" w:firstLine="720"/>
        <w:jc w:val="both"/>
      </w:pPr>
      <w:r>
        <w:rPr/>
        <w:t>Contingent fees for the umpire are obviously unacceptable.</w:t>
      </w:r>
    </w:p>
    <w:p>
      <w:pPr>
        <w:pStyle w:val="BodyText"/>
        <w:spacing w:before="2"/>
      </w:pPr>
    </w:p>
    <w:p>
      <w:pPr>
        <w:pStyle w:val="BodyText"/>
        <w:ind w:left="2240"/>
      </w:pPr>
      <w:r>
        <w:rPr/>
        <w:t>Where a party refuses to pay his fair share</w:t>
      </w:r>
    </w:p>
    <w:p>
      <w:pPr>
        <w:spacing w:after="0"/>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jc w:val="both"/>
      </w:pPr>
      <w:bookmarkStart w:name="Law and Procedure 412" w:id="26"/>
      <w:bookmarkEnd w:id="26"/>
      <w:r>
        <w:rPr/>
      </w:r>
      <w:r>
        <w:rPr/>
        <w:t>for the work of the umpire, the attorney who petitioned the court for his</w:t>
      </w:r>
      <w:r>
        <w:rPr>
          <w:spacing w:val="51"/>
        </w:rPr>
        <w:t> </w:t>
      </w:r>
      <w:r>
        <w:rPr/>
        <w:t>appointment cannot be required to pay on behalf of his client where the attorney’s petition for the appointment of the umpire was a strategic effort taken on behalf of </w:t>
      </w:r>
      <w:r>
        <w:rPr>
          <w:spacing w:val="2"/>
        </w:rPr>
        <w:t>his </w:t>
      </w:r>
      <w:r>
        <w:rPr/>
        <w:t>client.</w:t>
      </w:r>
      <w:r>
        <w:rPr>
          <w:vertAlign w:val="superscript"/>
        </w:rPr>
        <w:t>865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r>
        <w:rPr/>
        <w:pict>
          <v:shape style="position:absolute;margin-left:162pt;margin-top:16.343155pt;width:143.9pt;height:.1pt;mso-position-horizontal-relative:page;mso-position-vertical-relative:paragraph;z-index:-251635712;mso-wrap-distance-left:0;mso-wrap-distance-right:0" coordorigin="3240,327" coordsize="2878,0" path="m3240,327l6118,327e" filled="false" stroked="true" strokeweight=".84pt" strokecolor="#000000">
            <v:path arrowok="t"/>
            <v:stroke dashstyle="solid"/>
            <w10:wrap type="topAndBottom"/>
          </v:shape>
        </w:pict>
      </w:r>
    </w:p>
    <w:p>
      <w:pPr>
        <w:pStyle w:val="ListParagraph"/>
        <w:numPr>
          <w:ilvl w:val="0"/>
          <w:numId w:val="7"/>
        </w:numPr>
        <w:tabs>
          <w:tab w:pos="1421" w:val="left" w:leader="none"/>
        </w:tabs>
        <w:spacing w:line="240" w:lineRule="auto" w:before="149" w:after="0"/>
        <w:ind w:left="1421" w:right="0" w:hanging="261"/>
        <w:jc w:val="left"/>
        <w:rPr>
          <w:sz w:val="18"/>
        </w:rPr>
      </w:pPr>
      <w:r>
        <w:rPr>
          <w:sz w:val="18"/>
          <w:u w:val="single"/>
        </w:rPr>
        <w:t>Dorsey v. Nationwide Ins. Co.</w:t>
      </w:r>
      <w:r>
        <w:rPr>
          <w:sz w:val="18"/>
        </w:rPr>
        <w:t>, 345 Pa. Super. 254, 498 A.2d 387</w:t>
      </w:r>
      <w:r>
        <w:rPr>
          <w:spacing w:val="1"/>
          <w:sz w:val="18"/>
        </w:rPr>
        <w:t> </w:t>
      </w:r>
      <w:r>
        <w:rPr>
          <w:sz w:val="18"/>
        </w:rPr>
        <w:t>(1985).</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719" w:val="left" w:leader="none"/>
        </w:tabs>
        <w:spacing w:before="42"/>
        <w:ind w:right="279"/>
        <w:jc w:val="center"/>
      </w:pPr>
      <w:bookmarkStart w:name="Law and Procedure 413" w:id="27"/>
      <w:bookmarkEnd w:id="27"/>
      <w:r>
        <w:rPr/>
      </w:r>
      <w:r>
        <w:rPr/>
        <w:t>C]</w:t>
        <w:tab/>
        <w:t>WRITTEN AGREEMENT WITH THE</w:t>
      </w:r>
      <w:r>
        <w:rPr>
          <w:spacing w:val="-13"/>
        </w:rPr>
        <w:t> </w:t>
      </w:r>
      <w:r>
        <w:rPr/>
        <w:t>UMPIRE</w:t>
      </w:r>
    </w:p>
    <w:p>
      <w:pPr>
        <w:pStyle w:val="BodyText"/>
        <w:spacing w:before="5"/>
      </w:pPr>
    </w:p>
    <w:p>
      <w:pPr>
        <w:pStyle w:val="BodyText"/>
        <w:spacing w:line="242" w:lineRule="auto"/>
        <w:ind w:left="1520" w:right="1518" w:firstLine="720"/>
        <w:jc w:val="both"/>
      </w:pPr>
      <w:r>
        <w:rPr/>
        <w:t>It is often advisable for the parties to appoint the umpire by way of a written agreement which sets forth clearly and unambiguously the issues to be determined pursuant to the appraisal provision, as well as the fees and expenses of the umpire.</w:t>
      </w:r>
    </w:p>
    <w:p>
      <w:pPr>
        <w:pStyle w:val="BodyText"/>
        <w:spacing w:before="1"/>
      </w:pPr>
    </w:p>
    <w:p>
      <w:pPr>
        <w:pStyle w:val="BodyText"/>
        <w:spacing w:line="242" w:lineRule="auto"/>
        <w:ind w:left="1520" w:right="1517" w:firstLine="720"/>
        <w:jc w:val="both"/>
      </w:pPr>
      <w:r>
        <w:rPr/>
        <w:t>The parties and their appraisers have discretion to make the agreement hiring the umpire as simple or as extensive as they choose within their reasonable judgment. For example, it could provide for a chronology of the proceedings, setting forth the anticipated timing</w:t>
      </w:r>
      <w:r>
        <w:rPr>
          <w:spacing w:val="-19"/>
        </w:rPr>
        <w:t> </w:t>
      </w:r>
      <w:r>
        <w:rPr/>
        <w:t>of</w:t>
      </w:r>
      <w:r>
        <w:rPr>
          <w:spacing w:val="-19"/>
        </w:rPr>
        <w:t> </w:t>
      </w:r>
      <w:r>
        <w:rPr/>
        <w:t>each</w:t>
      </w:r>
      <w:r>
        <w:rPr>
          <w:spacing w:val="-21"/>
        </w:rPr>
        <w:t> </w:t>
      </w:r>
      <w:r>
        <w:rPr/>
        <w:t>step</w:t>
      </w:r>
      <w:r>
        <w:rPr>
          <w:spacing w:val="-22"/>
        </w:rPr>
        <w:t> </w:t>
      </w:r>
      <w:r>
        <w:rPr/>
        <w:t>in</w:t>
      </w:r>
      <w:r>
        <w:rPr>
          <w:spacing w:val="-21"/>
        </w:rPr>
        <w:t> </w:t>
      </w:r>
      <w:r>
        <w:rPr/>
        <w:t>carrying</w:t>
      </w:r>
      <w:r>
        <w:rPr>
          <w:spacing w:val="-22"/>
        </w:rPr>
        <w:t> </w:t>
      </w:r>
      <w:r>
        <w:rPr/>
        <w:t>out</w:t>
      </w:r>
      <w:r>
        <w:rPr>
          <w:spacing w:val="-19"/>
        </w:rPr>
        <w:t> </w:t>
      </w:r>
      <w:r>
        <w:rPr/>
        <w:t>the</w:t>
      </w:r>
      <w:r>
        <w:rPr>
          <w:spacing w:val="-20"/>
        </w:rPr>
        <w:t> </w:t>
      </w:r>
      <w:r>
        <w:rPr/>
        <w:t>process. </w:t>
      </w:r>
      <w:r>
        <w:rPr>
          <w:spacing w:val="3"/>
        </w:rPr>
        <w:t>It </w:t>
      </w:r>
      <w:r>
        <w:rPr/>
        <w:t>can set forth the time within which the</w:t>
      </w:r>
      <w:r>
        <w:rPr>
          <w:spacing w:val="-40"/>
        </w:rPr>
        <w:t> </w:t>
      </w:r>
      <w:r>
        <w:rPr/>
        <w:t>team must render its final decision after the proceedings are concluded. </w:t>
      </w:r>
      <w:r>
        <w:rPr>
          <w:spacing w:val="2"/>
        </w:rPr>
        <w:t>At </w:t>
      </w:r>
      <w:r>
        <w:rPr/>
        <w:t>a minimum, </w:t>
      </w:r>
      <w:r>
        <w:rPr>
          <w:spacing w:val="-5"/>
        </w:rPr>
        <w:t>it </w:t>
      </w:r>
      <w:r>
        <w:rPr/>
        <w:t>should reference the appraisal agreement between</w:t>
      </w:r>
      <w:r>
        <w:rPr>
          <w:spacing w:val="-27"/>
        </w:rPr>
        <w:t> </w:t>
      </w:r>
      <w:r>
        <w:rPr/>
        <w:t>the</w:t>
      </w:r>
      <w:r>
        <w:rPr>
          <w:spacing w:val="-26"/>
        </w:rPr>
        <w:t> </w:t>
      </w:r>
      <w:r>
        <w:rPr/>
        <w:t>parties</w:t>
      </w:r>
      <w:r>
        <w:rPr>
          <w:spacing w:val="-26"/>
        </w:rPr>
        <w:t> </w:t>
      </w:r>
      <w:r>
        <w:rPr/>
        <w:t>which</w:t>
      </w:r>
      <w:r>
        <w:rPr>
          <w:spacing w:val="-25"/>
        </w:rPr>
        <w:t> </w:t>
      </w:r>
      <w:r>
        <w:rPr/>
        <w:t>should</w:t>
      </w:r>
      <w:r>
        <w:rPr>
          <w:spacing w:val="-23"/>
        </w:rPr>
        <w:t> </w:t>
      </w:r>
      <w:r>
        <w:rPr/>
        <w:t>be</w:t>
      </w:r>
      <w:r>
        <w:rPr>
          <w:spacing w:val="-27"/>
        </w:rPr>
        <w:t> </w:t>
      </w:r>
      <w:r>
        <w:rPr/>
        <w:t>made</w:t>
      </w:r>
      <w:r>
        <w:rPr>
          <w:spacing w:val="-27"/>
        </w:rPr>
        <w:t> </w:t>
      </w:r>
      <w:r>
        <w:rPr/>
        <w:t>an exhibit</w:t>
      </w:r>
      <w:r>
        <w:rPr>
          <w:spacing w:val="-4"/>
        </w:rPr>
        <w:t> </w:t>
      </w:r>
      <w:r>
        <w:rPr/>
        <w:t>thereto.</w:t>
      </w:r>
    </w:p>
    <w:p>
      <w:pPr>
        <w:pStyle w:val="BodyText"/>
        <w:spacing w:before="10"/>
        <w:rPr>
          <w:sz w:val="25"/>
        </w:rPr>
      </w:pPr>
    </w:p>
    <w:p>
      <w:pPr>
        <w:pStyle w:val="BodyText"/>
        <w:spacing w:line="242" w:lineRule="auto"/>
        <w:ind w:left="1520" w:right="1518" w:firstLine="720"/>
        <w:jc w:val="both"/>
      </w:pPr>
      <w:r>
        <w:rPr/>
        <w:t>As with the appraisal agreement itself, the agreement hiring the umpire should be executed by the parties as well as the appraisers, as the appraisers do not act as agents of the party hiring them and thus may not have the technical legal authority to bind the party that retained them with respect to commitments made to the umpire.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firstLine="720"/>
        <w:jc w:val="both"/>
      </w:pPr>
      <w:bookmarkStart w:name="Law and Procedure 414" w:id="28"/>
      <w:bookmarkEnd w:id="28"/>
      <w:r>
        <w:rPr/>
      </w:r>
      <w:r>
        <w:rPr/>
        <w:t>A sample form of agreement hiring the umpire is contained in Appendix A.</w:t>
      </w:r>
    </w:p>
    <w:p>
      <w:pPr>
        <w:pStyle w:val="BodyText"/>
        <w:spacing w:before="2"/>
      </w:pPr>
    </w:p>
    <w:p>
      <w:pPr>
        <w:pStyle w:val="BodyText"/>
        <w:spacing w:line="242" w:lineRule="auto"/>
        <w:ind w:left="1520" w:right="1518" w:firstLine="720"/>
        <w:jc w:val="both"/>
      </w:pPr>
      <w:r>
        <w:rPr>
          <w:spacing w:val="3"/>
        </w:rPr>
        <w:t>It</w:t>
      </w:r>
      <w:r>
        <w:rPr>
          <w:spacing w:val="-22"/>
        </w:rPr>
        <w:t> </w:t>
      </w:r>
      <w:r>
        <w:rPr/>
        <w:t>has</w:t>
      </w:r>
      <w:r>
        <w:rPr>
          <w:spacing w:val="-19"/>
        </w:rPr>
        <w:t> </w:t>
      </w:r>
      <w:r>
        <w:rPr/>
        <w:t>been</w:t>
      </w:r>
      <w:r>
        <w:rPr>
          <w:spacing w:val="-20"/>
        </w:rPr>
        <w:t> </w:t>
      </w:r>
      <w:r>
        <w:rPr/>
        <w:t>held</w:t>
      </w:r>
      <w:r>
        <w:rPr>
          <w:spacing w:val="-17"/>
        </w:rPr>
        <w:t> </w:t>
      </w:r>
      <w:r>
        <w:rPr/>
        <w:t>that</w:t>
      </w:r>
      <w:r>
        <w:rPr>
          <w:spacing w:val="-19"/>
        </w:rPr>
        <w:t> </w:t>
      </w:r>
      <w:r>
        <w:rPr/>
        <w:t>where</w:t>
      </w:r>
      <w:r>
        <w:rPr>
          <w:spacing w:val="-20"/>
        </w:rPr>
        <w:t> </w:t>
      </w:r>
      <w:r>
        <w:rPr/>
        <w:t>a</w:t>
      </w:r>
      <w:r>
        <w:rPr>
          <w:spacing w:val="-17"/>
        </w:rPr>
        <w:t> </w:t>
      </w:r>
      <w:r>
        <w:rPr/>
        <w:t>party</w:t>
      </w:r>
      <w:r>
        <w:rPr>
          <w:spacing w:val="-22"/>
        </w:rPr>
        <w:t> </w:t>
      </w:r>
      <w:r>
        <w:rPr/>
        <w:t>to</w:t>
      </w:r>
      <w:r>
        <w:rPr>
          <w:spacing w:val="-20"/>
        </w:rPr>
        <w:t> </w:t>
      </w:r>
      <w:r>
        <w:rPr/>
        <w:t>an appraisal agreement agrees in writing on the appointment</w:t>
      </w:r>
      <w:r>
        <w:rPr>
          <w:spacing w:val="-36"/>
        </w:rPr>
        <w:t> </w:t>
      </w:r>
      <w:r>
        <w:rPr/>
        <w:t>of</w:t>
      </w:r>
      <w:r>
        <w:rPr>
          <w:spacing w:val="-31"/>
        </w:rPr>
        <w:t> </w:t>
      </w:r>
      <w:r>
        <w:rPr/>
        <w:t>a</w:t>
      </w:r>
      <w:r>
        <w:rPr>
          <w:spacing w:val="-35"/>
        </w:rPr>
        <w:t> </w:t>
      </w:r>
      <w:r>
        <w:rPr/>
        <w:t>certain</w:t>
      </w:r>
      <w:r>
        <w:rPr>
          <w:spacing w:val="-32"/>
        </w:rPr>
        <w:t> </w:t>
      </w:r>
      <w:r>
        <w:rPr/>
        <w:t>umpire,</w:t>
      </w:r>
      <w:r>
        <w:rPr>
          <w:spacing w:val="-35"/>
        </w:rPr>
        <w:t> </w:t>
      </w:r>
      <w:r>
        <w:rPr/>
        <w:t>that</w:t>
      </w:r>
      <w:r>
        <w:rPr>
          <w:spacing w:val="-34"/>
        </w:rPr>
        <w:t> </w:t>
      </w:r>
      <w:r>
        <w:rPr/>
        <w:t>party</w:t>
      </w:r>
      <w:r>
        <w:rPr>
          <w:spacing w:val="-34"/>
        </w:rPr>
        <w:t> </w:t>
      </w:r>
      <w:r>
        <w:rPr/>
        <w:t>will be</w:t>
      </w:r>
      <w:r>
        <w:rPr>
          <w:spacing w:val="-21"/>
        </w:rPr>
        <w:t> </w:t>
      </w:r>
      <w:r>
        <w:rPr/>
        <w:t>estopped</w:t>
      </w:r>
      <w:r>
        <w:rPr>
          <w:spacing w:val="-17"/>
        </w:rPr>
        <w:t> </w:t>
      </w:r>
      <w:r>
        <w:rPr/>
        <w:t>from</w:t>
      </w:r>
      <w:r>
        <w:rPr>
          <w:spacing w:val="-19"/>
        </w:rPr>
        <w:t> </w:t>
      </w:r>
      <w:r>
        <w:rPr/>
        <w:t>challenging</w:t>
      </w:r>
      <w:r>
        <w:rPr>
          <w:spacing w:val="-18"/>
        </w:rPr>
        <w:t> </w:t>
      </w:r>
      <w:r>
        <w:rPr/>
        <w:t>the</w:t>
      </w:r>
      <w:r>
        <w:rPr>
          <w:spacing w:val="-22"/>
        </w:rPr>
        <w:t> </w:t>
      </w:r>
      <w:r>
        <w:rPr/>
        <w:t>selection</w:t>
      </w:r>
      <w:r>
        <w:rPr>
          <w:spacing w:val="-21"/>
        </w:rPr>
        <w:t> </w:t>
      </w:r>
      <w:r>
        <w:rPr>
          <w:spacing w:val="-7"/>
        </w:rPr>
        <w:t>of </w:t>
      </w:r>
      <w:r>
        <w:rPr/>
        <w:t>the umpire based on a claim of lack of authority where the individual making the designation is the corporate treasurer of the insured and acted in the absence of the president of the company who was away at the time of the</w:t>
      </w:r>
      <w:r>
        <w:rPr>
          <w:spacing w:val="-5"/>
        </w:rPr>
        <w:t> </w:t>
      </w:r>
      <w:r>
        <w:rPr/>
        <w:t>loss.</w:t>
      </w:r>
      <w:r>
        <w:rPr>
          <w:vertAlign w:val="superscript"/>
        </w:rPr>
        <w:t>866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r>
        <w:rPr/>
        <w:pict>
          <v:shape style="position:absolute;margin-left:162pt;margin-top:12.161485pt;width:143.9pt;height:.1pt;mso-position-horizontal-relative:page;mso-position-vertical-relative:paragraph;z-index:-251634688;mso-wrap-distance-left:0;mso-wrap-distance-right:0" coordorigin="3240,243" coordsize="2878,0" path="m3240,243l6118,24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28" w:val="left" w:leader="none"/>
        </w:tabs>
        <w:spacing w:line="261" w:lineRule="auto" w:before="71" w:after="0"/>
        <w:ind w:left="1160" w:right="1168" w:firstLine="0"/>
        <w:jc w:val="left"/>
        <w:rPr>
          <w:sz w:val="18"/>
        </w:rPr>
      </w:pPr>
      <w:r>
        <w:rPr>
          <w:sz w:val="18"/>
          <w:u w:val="single"/>
        </w:rPr>
        <w:t>Remington</w:t>
      </w:r>
      <w:r>
        <w:rPr>
          <w:spacing w:val="-7"/>
          <w:sz w:val="18"/>
          <w:u w:val="single"/>
        </w:rPr>
        <w:t> </w:t>
      </w:r>
      <w:r>
        <w:rPr>
          <w:sz w:val="18"/>
          <w:u w:val="single"/>
        </w:rPr>
        <w:t>Paper</w:t>
      </w:r>
      <w:r>
        <w:rPr>
          <w:spacing w:val="-5"/>
          <w:sz w:val="18"/>
          <w:u w:val="single"/>
        </w:rPr>
        <w:t> </w:t>
      </w:r>
      <w:r>
        <w:rPr>
          <w:sz w:val="18"/>
          <w:u w:val="single"/>
        </w:rPr>
        <w:t>Co.</w:t>
      </w:r>
      <w:r>
        <w:rPr>
          <w:spacing w:val="-5"/>
          <w:sz w:val="18"/>
          <w:u w:val="single"/>
        </w:rPr>
        <w:t> </w:t>
      </w:r>
      <w:r>
        <w:rPr>
          <w:sz w:val="18"/>
          <w:u w:val="single"/>
        </w:rPr>
        <w:t>v.</w:t>
      </w:r>
      <w:r>
        <w:rPr>
          <w:spacing w:val="-4"/>
          <w:sz w:val="18"/>
          <w:u w:val="single"/>
        </w:rPr>
        <w:t> </w:t>
      </w:r>
      <w:r>
        <w:rPr>
          <w:sz w:val="18"/>
          <w:u w:val="single"/>
        </w:rPr>
        <w:t>The</w:t>
      </w:r>
      <w:r>
        <w:rPr>
          <w:spacing w:val="-6"/>
          <w:sz w:val="18"/>
          <w:u w:val="single"/>
        </w:rPr>
        <w:t> </w:t>
      </w:r>
      <w:r>
        <w:rPr>
          <w:sz w:val="18"/>
          <w:u w:val="single"/>
        </w:rPr>
        <w:t>London</w:t>
      </w:r>
      <w:r>
        <w:rPr>
          <w:spacing w:val="-3"/>
          <w:sz w:val="18"/>
          <w:u w:val="single"/>
        </w:rPr>
        <w:t> </w:t>
      </w:r>
      <w:r>
        <w:rPr>
          <w:sz w:val="18"/>
          <w:u w:val="single"/>
        </w:rPr>
        <w:t>Assur.</w:t>
      </w:r>
      <w:r>
        <w:rPr>
          <w:spacing w:val="-5"/>
          <w:sz w:val="18"/>
          <w:u w:val="single"/>
        </w:rPr>
        <w:t> </w:t>
      </w:r>
      <w:r>
        <w:rPr>
          <w:sz w:val="18"/>
          <w:u w:val="single"/>
        </w:rPr>
        <w:t>Corp.</w:t>
      </w:r>
      <w:r>
        <w:rPr>
          <w:spacing w:val="-4"/>
          <w:sz w:val="18"/>
          <w:u w:val="single"/>
        </w:rPr>
        <w:t> </w:t>
      </w:r>
      <w:r>
        <w:rPr>
          <w:sz w:val="18"/>
          <w:u w:val="single"/>
        </w:rPr>
        <w:t>of</w:t>
      </w:r>
      <w:r>
        <w:rPr>
          <w:spacing w:val="-8"/>
          <w:sz w:val="18"/>
          <w:u w:val="single"/>
        </w:rPr>
        <w:t> </w:t>
      </w:r>
      <w:r>
        <w:rPr>
          <w:sz w:val="18"/>
          <w:u w:val="single"/>
        </w:rPr>
        <w:t>England</w:t>
      </w:r>
      <w:r>
        <w:rPr>
          <w:sz w:val="18"/>
        </w:rPr>
        <w:t>,</w:t>
      </w:r>
      <w:r>
        <w:rPr>
          <w:spacing w:val="-4"/>
          <w:sz w:val="18"/>
        </w:rPr>
        <w:t> </w:t>
      </w:r>
      <w:r>
        <w:rPr>
          <w:sz w:val="18"/>
        </w:rPr>
        <w:t>12</w:t>
      </w:r>
      <w:r>
        <w:rPr>
          <w:spacing w:val="-4"/>
          <w:sz w:val="18"/>
        </w:rPr>
        <w:t> </w:t>
      </w:r>
      <w:r>
        <w:rPr>
          <w:sz w:val="18"/>
        </w:rPr>
        <w:t>A.D.</w:t>
      </w:r>
      <w:r>
        <w:rPr>
          <w:spacing w:val="-4"/>
          <w:sz w:val="18"/>
        </w:rPr>
        <w:t> </w:t>
      </w:r>
      <w:r>
        <w:rPr>
          <w:sz w:val="18"/>
        </w:rPr>
        <w:t>218,</w:t>
      </w:r>
      <w:r>
        <w:rPr>
          <w:spacing w:val="-6"/>
          <w:sz w:val="18"/>
        </w:rPr>
        <w:t> </w:t>
      </w:r>
      <w:r>
        <w:rPr>
          <w:sz w:val="18"/>
        </w:rPr>
        <w:t>43</w:t>
      </w:r>
      <w:r>
        <w:rPr>
          <w:spacing w:val="-3"/>
          <w:sz w:val="18"/>
        </w:rPr>
        <w:t> </w:t>
      </w:r>
      <w:r>
        <w:rPr>
          <w:sz w:val="18"/>
        </w:rPr>
        <w:t>N.Y.S. 431 (4</w:t>
      </w:r>
      <w:r>
        <w:rPr>
          <w:position w:val="7"/>
          <w:sz w:val="10"/>
        </w:rPr>
        <w:t>th </w:t>
      </w:r>
      <w:r>
        <w:rPr>
          <w:sz w:val="18"/>
        </w:rPr>
        <w:t>Dept.</w:t>
      </w:r>
      <w:r>
        <w:rPr>
          <w:spacing w:val="-4"/>
          <w:sz w:val="18"/>
        </w:rPr>
        <w:t> </w:t>
      </w:r>
      <w:r>
        <w:rPr>
          <w:sz w:val="18"/>
        </w:rPr>
        <w:t>1896).</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1"/>
          <w:numId w:val="7"/>
        </w:numPr>
        <w:tabs>
          <w:tab w:pos="719" w:val="left" w:leader="none"/>
          <w:tab w:pos="2240" w:val="left" w:leader="none"/>
        </w:tabs>
        <w:spacing w:line="240" w:lineRule="auto" w:before="42" w:after="0"/>
        <w:ind w:left="2240" w:right="420" w:hanging="2240"/>
        <w:jc w:val="left"/>
        <w:rPr>
          <w:rFonts w:ascii="Century Gothic"/>
          <w:sz w:val="26"/>
        </w:rPr>
      </w:pPr>
      <w:bookmarkStart w:name="Law and Procedure 415" w:id="29"/>
      <w:bookmarkEnd w:id="29"/>
      <w:r>
        <w:rPr/>
      </w:r>
      <w:bookmarkStart w:name="Law and Procedure 415" w:id="30"/>
      <w:bookmarkEnd w:id="30"/>
      <w:r>
        <w:rPr>
          <w:rFonts w:ascii="Century Gothic"/>
          <w:sz w:val="26"/>
        </w:rPr>
        <w:t>CO</w:t>
      </w:r>
      <w:r>
        <w:rPr>
          <w:rFonts w:ascii="Century Gothic"/>
          <w:sz w:val="26"/>
        </w:rPr>
        <w:t>URT APPOINTMENT OF THE</w:t>
      </w:r>
      <w:r>
        <w:rPr>
          <w:rFonts w:ascii="Century Gothic"/>
          <w:spacing w:val="-15"/>
          <w:sz w:val="26"/>
        </w:rPr>
        <w:t> </w:t>
      </w:r>
      <w:r>
        <w:rPr>
          <w:rFonts w:ascii="Century Gothic"/>
          <w:sz w:val="26"/>
        </w:rPr>
        <w:t>UMPIRE</w:t>
      </w:r>
    </w:p>
    <w:p>
      <w:pPr>
        <w:pStyle w:val="BodyText"/>
        <w:spacing w:before="5"/>
      </w:pPr>
    </w:p>
    <w:p>
      <w:pPr>
        <w:pStyle w:val="BodyText"/>
        <w:spacing w:line="242" w:lineRule="auto"/>
        <w:ind w:left="1520" w:right="1520" w:firstLine="720"/>
        <w:jc w:val="both"/>
      </w:pPr>
      <w:r>
        <w:rPr/>
        <w:t>The Standard Fire Policy states the following with respect to the appointment of the umpire:</w:t>
      </w:r>
    </w:p>
    <w:p>
      <w:pPr>
        <w:pStyle w:val="BodyText"/>
        <w:spacing w:before="2"/>
      </w:pPr>
    </w:p>
    <w:p>
      <w:pPr>
        <w:pStyle w:val="BodyText"/>
        <w:spacing w:line="242" w:lineRule="auto"/>
        <w:ind w:left="2240" w:right="2239"/>
        <w:jc w:val="both"/>
      </w:pPr>
      <w:r>
        <w:rPr/>
        <w:t>“The appraisers shall first select a competent and disinterested umpire; and failing for 15 days to agree to such an umpire, then, on request of the insured or this company, such umpire shall be selected by a judge of a court of record in the state in which the property covered is located.”</w:t>
      </w:r>
      <w:r>
        <w:rPr>
          <w:vertAlign w:val="superscript"/>
        </w:rPr>
        <w:t>867</w:t>
      </w:r>
    </w:p>
    <w:p>
      <w:pPr>
        <w:pStyle w:val="BodyText"/>
        <w:spacing w:before="12"/>
        <w:rPr>
          <w:sz w:val="25"/>
        </w:rPr>
      </w:pPr>
    </w:p>
    <w:p>
      <w:pPr>
        <w:pStyle w:val="BodyText"/>
        <w:spacing w:line="242" w:lineRule="auto"/>
        <w:ind w:left="1520" w:right="1519" w:firstLine="720"/>
        <w:jc w:val="both"/>
      </w:pPr>
      <w:r>
        <w:rPr>
          <w:spacing w:val="3"/>
        </w:rPr>
        <w:t>In </w:t>
      </w:r>
      <w:r>
        <w:rPr/>
        <w:t>order to accommodate the</w:t>
      </w:r>
      <w:r>
        <w:rPr>
          <w:spacing w:val="-30"/>
        </w:rPr>
        <w:t> </w:t>
      </w:r>
      <w:r>
        <w:rPr/>
        <w:t>appraisal provision’s</w:t>
      </w:r>
      <w:r>
        <w:rPr>
          <w:spacing w:val="-28"/>
        </w:rPr>
        <w:t> </w:t>
      </w:r>
      <w:r>
        <w:rPr/>
        <w:t>mandatory</w:t>
      </w:r>
      <w:r>
        <w:rPr>
          <w:spacing w:val="-31"/>
        </w:rPr>
        <w:t> </w:t>
      </w:r>
      <w:r>
        <w:rPr/>
        <w:t>court</w:t>
      </w:r>
      <w:r>
        <w:rPr>
          <w:spacing w:val="-34"/>
        </w:rPr>
        <w:t> </w:t>
      </w:r>
      <w:r>
        <w:rPr/>
        <w:t>involvement</w:t>
      </w:r>
      <w:r>
        <w:rPr>
          <w:spacing w:val="-30"/>
        </w:rPr>
        <w:t> </w:t>
      </w:r>
      <w:r>
        <w:rPr/>
        <w:t>once the appraisers fail to reach agreement on the selection of an umpire, most states provide a statutory method for appointing an</w:t>
      </w:r>
      <w:r>
        <w:rPr>
          <w:spacing w:val="-14"/>
        </w:rPr>
        <w:t> </w:t>
      </w:r>
      <w:r>
        <w:rPr/>
        <w:t>umpire.</w:t>
      </w:r>
    </w:p>
    <w:p>
      <w:pPr>
        <w:pStyle w:val="BodyText"/>
      </w:pPr>
    </w:p>
    <w:p>
      <w:pPr>
        <w:pStyle w:val="BodyText"/>
        <w:spacing w:line="242" w:lineRule="auto" w:before="1"/>
        <w:ind w:left="1520" w:right="1518" w:firstLine="720"/>
        <w:jc w:val="both"/>
      </w:pPr>
      <w:r>
        <w:rPr/>
        <w:t>For example, §3408 of the New York Insurance Law governs the procedure for the selection of an umpire upon the failure of the parties to agree:</w:t>
      </w:r>
    </w:p>
    <w:p>
      <w:pPr>
        <w:pStyle w:val="BodyText"/>
        <w:spacing w:before="1"/>
      </w:pPr>
    </w:p>
    <w:p>
      <w:pPr>
        <w:pStyle w:val="BodyText"/>
        <w:spacing w:line="242" w:lineRule="auto"/>
        <w:ind w:left="2240" w:right="2239"/>
        <w:jc w:val="both"/>
      </w:pPr>
      <w:r>
        <w:rPr/>
        <w:t>“(a)</w:t>
      </w:r>
      <w:r>
        <w:rPr>
          <w:spacing w:val="-29"/>
        </w:rPr>
        <w:t> </w:t>
      </w:r>
      <w:r>
        <w:rPr/>
        <w:t>Whenever</w:t>
      </w:r>
      <w:r>
        <w:rPr>
          <w:spacing w:val="-27"/>
        </w:rPr>
        <w:t> </w:t>
      </w:r>
      <w:r>
        <w:rPr/>
        <w:t>application</w:t>
      </w:r>
      <w:r>
        <w:rPr>
          <w:spacing w:val="-26"/>
        </w:rPr>
        <w:t> </w:t>
      </w:r>
      <w:r>
        <w:rPr/>
        <w:t>shall</w:t>
      </w:r>
      <w:r>
        <w:rPr>
          <w:spacing w:val="-24"/>
        </w:rPr>
        <w:t> </w:t>
      </w:r>
      <w:r>
        <w:rPr>
          <w:spacing w:val="-7"/>
        </w:rPr>
        <w:t>be </w:t>
      </w:r>
      <w:r>
        <w:rPr/>
        <w:t>made for the selection of </w:t>
      </w:r>
      <w:r>
        <w:rPr>
          <w:spacing w:val="-6"/>
        </w:rPr>
        <w:t>an </w:t>
      </w:r>
      <w:r>
        <w:rPr/>
        <w:t>umpire pursuant to the</w:t>
      </w:r>
      <w:r>
        <w:rPr>
          <w:spacing w:val="24"/>
        </w:rPr>
        <w:t> </w:t>
      </w:r>
      <w:r>
        <w:rPr/>
        <w:t>provisions</w:t>
      </w:r>
    </w:p>
    <w:p>
      <w:pPr>
        <w:pStyle w:val="BodyText"/>
        <w:rPr>
          <w:sz w:val="20"/>
        </w:rPr>
      </w:pPr>
    </w:p>
    <w:p>
      <w:pPr>
        <w:pStyle w:val="BodyText"/>
        <w:spacing w:before="3"/>
        <w:rPr>
          <w:sz w:val="13"/>
        </w:rPr>
      </w:pPr>
      <w:r>
        <w:rPr/>
        <w:pict>
          <v:shape style="position:absolute;margin-left:162pt;margin-top:10.557148pt;width:143.9pt;height:.1pt;mso-position-horizontal-relative:page;mso-position-vertical-relative:paragraph;z-index:-251633664;mso-wrap-distance-left:0;mso-wrap-distance-right:0" coordorigin="3240,211" coordsize="2878,0" path="m3240,211l6118,211e" filled="false" stroked="true" strokeweight=".84pt" strokecolor="#000000">
            <v:path arrowok="t"/>
            <v:stroke dashstyle="solid"/>
            <w10:wrap type="topAndBottom"/>
          </v:shape>
        </w:pict>
      </w:r>
    </w:p>
    <w:p>
      <w:pPr>
        <w:spacing w:before="149"/>
        <w:ind w:left="1160" w:right="0" w:firstLine="0"/>
        <w:jc w:val="left"/>
        <w:rPr>
          <w:rFonts w:ascii="Times New Roman"/>
          <w:sz w:val="18"/>
        </w:rPr>
      </w:pPr>
      <w:r>
        <w:rPr>
          <w:rFonts w:ascii="Times New Roman"/>
          <w:position w:val="9"/>
          <w:sz w:val="14"/>
        </w:rPr>
        <w:t>867 </w:t>
      </w:r>
      <w:r>
        <w:rPr>
          <w:rFonts w:ascii="Times New Roman"/>
          <w:i/>
          <w:sz w:val="18"/>
        </w:rPr>
        <w:t>See e.g</w:t>
      </w:r>
      <w:r>
        <w:rPr>
          <w:rFonts w:ascii="Times New Roman"/>
          <w:sz w:val="18"/>
        </w:rPr>
        <w:t>., N.Y. Ins. Law 3404 (Lines 128-32).</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6"/>
        <w:jc w:val="both"/>
      </w:pPr>
      <w:bookmarkStart w:name="Law and Procedure 416" w:id="31"/>
      <w:bookmarkEnd w:id="31"/>
      <w:r>
        <w:rPr/>
      </w:r>
      <w:r>
        <w:rPr/>
        <w:t>relating to appraisals contained in the standard fire insurance policy of the State of New York it shall be made to a justice of the Supreme Court</w:t>
      </w:r>
      <w:r>
        <w:rPr>
          <w:spacing w:val="-9"/>
        </w:rPr>
        <w:t> </w:t>
      </w:r>
      <w:r>
        <w:rPr/>
        <w:t>residing</w:t>
      </w:r>
      <w:r>
        <w:rPr>
          <w:spacing w:val="-6"/>
        </w:rPr>
        <w:t> </w:t>
      </w:r>
      <w:r>
        <w:rPr/>
        <w:t>in</w:t>
      </w:r>
      <w:r>
        <w:rPr>
          <w:spacing w:val="-8"/>
        </w:rPr>
        <w:t> </w:t>
      </w:r>
      <w:r>
        <w:rPr/>
        <w:t>the</w:t>
      </w:r>
      <w:r>
        <w:rPr>
          <w:spacing w:val="-10"/>
        </w:rPr>
        <w:t> </w:t>
      </w:r>
      <w:r>
        <w:rPr/>
        <w:t>county</w:t>
      </w:r>
      <w:r>
        <w:rPr>
          <w:spacing w:val="-11"/>
        </w:rPr>
        <w:t> </w:t>
      </w:r>
      <w:r>
        <w:rPr/>
        <w:t>or</w:t>
      </w:r>
      <w:r>
        <w:rPr>
          <w:spacing w:val="-9"/>
        </w:rPr>
        <w:t> </w:t>
      </w:r>
      <w:r>
        <w:rPr/>
        <w:t>to</w:t>
      </w:r>
      <w:r>
        <w:rPr>
          <w:spacing w:val="-6"/>
        </w:rPr>
        <w:t> </w:t>
      </w:r>
      <w:r>
        <w:rPr/>
        <w:t>a county judge of the county in which the lost or damaged property is or was located. The application</w:t>
      </w:r>
      <w:r>
        <w:rPr>
          <w:spacing w:val="-27"/>
        </w:rPr>
        <w:t> </w:t>
      </w:r>
      <w:r>
        <w:rPr/>
        <w:t>shall</w:t>
      </w:r>
      <w:r>
        <w:rPr>
          <w:spacing w:val="-23"/>
        </w:rPr>
        <w:t> </w:t>
      </w:r>
      <w:r>
        <w:rPr/>
        <w:t>be</w:t>
      </w:r>
      <w:r>
        <w:rPr>
          <w:spacing w:val="-29"/>
        </w:rPr>
        <w:t> </w:t>
      </w:r>
      <w:r>
        <w:rPr/>
        <w:t>on</w:t>
      </w:r>
      <w:r>
        <w:rPr>
          <w:spacing w:val="-29"/>
        </w:rPr>
        <w:t> </w:t>
      </w:r>
      <w:r>
        <w:rPr/>
        <w:t>five</w:t>
      </w:r>
      <w:r>
        <w:rPr>
          <w:spacing w:val="-29"/>
        </w:rPr>
        <w:t> </w:t>
      </w:r>
      <w:r>
        <w:rPr/>
        <w:t>(5)</w:t>
      </w:r>
      <w:r>
        <w:rPr>
          <w:spacing w:val="-31"/>
        </w:rPr>
        <w:t> </w:t>
      </w:r>
      <w:r>
        <w:rPr/>
        <w:t>days notice in writing to the other</w:t>
      </w:r>
      <w:r>
        <w:rPr>
          <w:spacing w:val="-29"/>
        </w:rPr>
        <w:t> </w:t>
      </w:r>
      <w:r>
        <w:rPr/>
        <w:t>party. Any such notice in writing, when served by the insured, may be served</w:t>
      </w:r>
      <w:r>
        <w:rPr>
          <w:spacing w:val="-27"/>
        </w:rPr>
        <w:t> </w:t>
      </w:r>
      <w:r>
        <w:rPr/>
        <w:t>upon</w:t>
      </w:r>
      <w:r>
        <w:rPr>
          <w:spacing w:val="-23"/>
        </w:rPr>
        <w:t> </w:t>
      </w:r>
      <w:r>
        <w:rPr/>
        <w:t>any</w:t>
      </w:r>
      <w:r>
        <w:rPr>
          <w:spacing w:val="-27"/>
        </w:rPr>
        <w:t> </w:t>
      </w:r>
      <w:r>
        <w:rPr/>
        <w:t>local</w:t>
      </w:r>
      <w:r>
        <w:rPr>
          <w:spacing w:val="-22"/>
        </w:rPr>
        <w:t> </w:t>
      </w:r>
      <w:r>
        <w:rPr/>
        <w:t>agent</w:t>
      </w:r>
      <w:r>
        <w:rPr>
          <w:spacing w:val="-29"/>
        </w:rPr>
        <w:t> </w:t>
      </w:r>
      <w:r>
        <w:rPr/>
        <w:t>of</w:t>
      </w:r>
      <w:r>
        <w:rPr>
          <w:spacing w:val="-28"/>
        </w:rPr>
        <w:t> </w:t>
      </w:r>
      <w:r>
        <w:rPr/>
        <w:t>the insurer.</w:t>
      </w:r>
    </w:p>
    <w:p>
      <w:pPr>
        <w:pStyle w:val="BodyText"/>
        <w:spacing w:before="9"/>
        <w:rPr>
          <w:sz w:val="25"/>
        </w:rPr>
      </w:pPr>
    </w:p>
    <w:p>
      <w:pPr>
        <w:pStyle w:val="BodyText"/>
        <w:spacing w:line="242" w:lineRule="auto" w:before="1"/>
        <w:ind w:left="2240" w:right="2235"/>
        <w:jc w:val="both"/>
      </w:pPr>
      <w:r>
        <w:rPr/>
        <w:t>(b) The Court shall, on proof </w:t>
      </w:r>
      <w:r>
        <w:rPr>
          <w:spacing w:val="-6"/>
        </w:rPr>
        <w:t>by </w:t>
      </w:r>
      <w:r>
        <w:rPr/>
        <w:t>affidavit</w:t>
      </w:r>
      <w:r>
        <w:rPr>
          <w:spacing w:val="-14"/>
        </w:rPr>
        <w:t> </w:t>
      </w:r>
      <w:r>
        <w:rPr/>
        <w:t>of</w:t>
      </w:r>
      <w:r>
        <w:rPr>
          <w:spacing w:val="-10"/>
        </w:rPr>
        <w:t> </w:t>
      </w:r>
      <w:r>
        <w:rPr/>
        <w:t>the</w:t>
      </w:r>
      <w:r>
        <w:rPr>
          <w:spacing w:val="-11"/>
        </w:rPr>
        <w:t> </w:t>
      </w:r>
      <w:r>
        <w:rPr/>
        <w:t>failure</w:t>
      </w:r>
      <w:r>
        <w:rPr>
          <w:spacing w:val="-12"/>
        </w:rPr>
        <w:t> </w:t>
      </w:r>
      <w:r>
        <w:rPr/>
        <w:t>or</w:t>
      </w:r>
      <w:r>
        <w:rPr>
          <w:spacing w:val="-12"/>
        </w:rPr>
        <w:t> </w:t>
      </w:r>
      <w:r>
        <w:rPr/>
        <w:t>neglect</w:t>
      </w:r>
      <w:r>
        <w:rPr>
          <w:spacing w:val="-11"/>
        </w:rPr>
        <w:t> </w:t>
      </w:r>
      <w:r>
        <w:rPr/>
        <w:t>of the appraisers to agree upon and select an umpire within the time provided</w:t>
      </w:r>
      <w:r>
        <w:rPr>
          <w:spacing w:val="-15"/>
        </w:rPr>
        <w:t> </w:t>
      </w:r>
      <w:r>
        <w:rPr/>
        <w:t>in</w:t>
      </w:r>
      <w:r>
        <w:rPr>
          <w:spacing w:val="-13"/>
        </w:rPr>
        <w:t> </w:t>
      </w:r>
      <w:r>
        <w:rPr/>
        <w:t>such</w:t>
      </w:r>
      <w:r>
        <w:rPr>
          <w:spacing w:val="-13"/>
        </w:rPr>
        <w:t> </w:t>
      </w:r>
      <w:r>
        <w:rPr/>
        <w:t>policy,</w:t>
      </w:r>
      <w:r>
        <w:rPr>
          <w:spacing w:val="-14"/>
        </w:rPr>
        <w:t> </w:t>
      </w:r>
      <w:r>
        <w:rPr/>
        <w:t>and</w:t>
      </w:r>
      <w:r>
        <w:rPr>
          <w:spacing w:val="-11"/>
        </w:rPr>
        <w:t> </w:t>
      </w:r>
      <w:r>
        <w:rPr/>
        <w:t>of</w:t>
      </w:r>
      <w:r>
        <w:rPr>
          <w:spacing w:val="-10"/>
        </w:rPr>
        <w:t> </w:t>
      </w:r>
      <w:r>
        <w:rPr/>
        <w:t>the service of notice pursuant to subsection (a) hereof, forthwith </w:t>
      </w:r>
      <w:r>
        <w:rPr>
          <w:spacing w:val="12"/>
        </w:rPr>
        <w:t>appoint </w:t>
      </w:r>
      <w:r>
        <w:rPr/>
        <w:t>a </w:t>
      </w:r>
      <w:r>
        <w:rPr>
          <w:spacing w:val="14"/>
        </w:rPr>
        <w:t>competent </w:t>
      </w:r>
      <w:r>
        <w:rPr>
          <w:spacing w:val="9"/>
        </w:rPr>
        <w:t>and </w:t>
      </w:r>
      <w:r>
        <w:rPr/>
        <w:t>disinterested person to act as</w:t>
      </w:r>
      <w:r>
        <w:rPr>
          <w:spacing w:val="-40"/>
        </w:rPr>
        <w:t> </w:t>
      </w:r>
      <w:r>
        <w:rPr/>
        <w:t>such umpire in the ascertainment of</w:t>
      </w:r>
      <w:r>
        <w:rPr>
          <w:spacing w:val="-51"/>
        </w:rPr>
        <w:t> </w:t>
      </w:r>
      <w:r>
        <w:rPr/>
        <w:t>the amount</w:t>
      </w:r>
      <w:r>
        <w:rPr>
          <w:spacing w:val="-21"/>
        </w:rPr>
        <w:t> </w:t>
      </w:r>
      <w:r>
        <w:rPr/>
        <w:t>of</w:t>
      </w:r>
      <w:r>
        <w:rPr>
          <w:spacing w:val="-20"/>
        </w:rPr>
        <w:t> </w:t>
      </w:r>
      <w:r>
        <w:rPr/>
        <w:t>such</w:t>
      </w:r>
      <w:r>
        <w:rPr>
          <w:spacing w:val="-22"/>
        </w:rPr>
        <w:t> </w:t>
      </w:r>
      <w:r>
        <w:rPr/>
        <w:t>loss</w:t>
      </w:r>
      <w:r>
        <w:rPr>
          <w:spacing w:val="-21"/>
        </w:rPr>
        <w:t> </w:t>
      </w:r>
      <w:r>
        <w:rPr/>
        <w:t>or</w:t>
      </w:r>
      <w:r>
        <w:rPr>
          <w:spacing w:val="-24"/>
        </w:rPr>
        <w:t> </w:t>
      </w:r>
      <w:r>
        <w:rPr>
          <w:spacing w:val="-5"/>
        </w:rPr>
        <w:t>damage.”</w:t>
      </w:r>
      <w:r>
        <w:rPr>
          <w:spacing w:val="-5"/>
          <w:vertAlign w:val="superscript"/>
        </w:rPr>
        <w:t>868</w:t>
      </w:r>
    </w:p>
    <w:p>
      <w:pPr>
        <w:pStyle w:val="BodyText"/>
        <w:spacing w:before="10"/>
        <w:rPr>
          <w:sz w:val="25"/>
        </w:rPr>
      </w:pPr>
    </w:p>
    <w:p>
      <w:pPr>
        <w:pStyle w:val="BodyText"/>
        <w:spacing w:line="242" w:lineRule="auto" w:before="1"/>
        <w:ind w:left="1520" w:right="1519" w:firstLine="720"/>
        <w:jc w:val="both"/>
      </w:pPr>
      <w:r>
        <w:rPr>
          <w:spacing w:val="-3"/>
        </w:rPr>
        <w:t>What</w:t>
      </w:r>
      <w:r>
        <w:rPr>
          <w:spacing w:val="-27"/>
        </w:rPr>
        <w:t> </w:t>
      </w:r>
      <w:r>
        <w:rPr/>
        <w:t>constitutes</w:t>
      </w:r>
      <w:r>
        <w:rPr>
          <w:spacing w:val="-26"/>
        </w:rPr>
        <w:t> </w:t>
      </w:r>
      <w:r>
        <w:rPr/>
        <w:t>a</w:t>
      </w:r>
      <w:r>
        <w:rPr>
          <w:spacing w:val="-25"/>
        </w:rPr>
        <w:t> </w:t>
      </w:r>
      <w:r>
        <w:rPr/>
        <w:t>“court</w:t>
      </w:r>
      <w:r>
        <w:rPr>
          <w:spacing w:val="-27"/>
        </w:rPr>
        <w:t> </w:t>
      </w:r>
      <w:r>
        <w:rPr/>
        <w:t>of</w:t>
      </w:r>
      <w:r>
        <w:rPr>
          <w:spacing w:val="-28"/>
        </w:rPr>
        <w:t> </w:t>
      </w:r>
      <w:r>
        <w:rPr/>
        <w:t>record”</w:t>
      </w:r>
      <w:r>
        <w:rPr>
          <w:spacing w:val="-26"/>
        </w:rPr>
        <w:t> </w:t>
      </w:r>
      <w:r>
        <w:rPr/>
        <w:t>may vary from jurisdiction to jurisdiction. Texas for example, requires that the</w:t>
      </w:r>
      <w:r>
        <w:rPr>
          <w:spacing w:val="29"/>
        </w:rPr>
        <w:t> </w:t>
      </w:r>
      <w:r>
        <w:rPr/>
        <w:t>appointing judge</w:t>
      </w:r>
    </w:p>
    <w:p>
      <w:pPr>
        <w:pStyle w:val="BodyText"/>
        <w:rPr>
          <w:sz w:val="16"/>
        </w:rPr>
      </w:pPr>
      <w:r>
        <w:rPr/>
        <w:pict>
          <v:shape style="position:absolute;margin-left:162pt;margin-top:12.233369pt;width:143.9pt;height:.1pt;mso-position-horizontal-relative:page;mso-position-vertical-relative:paragraph;z-index:-251632640;mso-wrap-distance-left:0;mso-wrap-distance-right:0" coordorigin="3240,245" coordsize="2878,0" path="m3240,245l6118,245e" filled="false" stroked="true" strokeweight=".84pt" strokecolor="#000000">
            <v:path arrowok="t"/>
            <v:stroke dashstyle="solid"/>
            <w10:wrap type="topAndBottom"/>
          </v:shape>
        </w:pict>
      </w:r>
    </w:p>
    <w:p>
      <w:pPr>
        <w:spacing w:line="244" w:lineRule="auto" w:before="140"/>
        <w:ind w:left="1160" w:right="1230" w:firstLine="0"/>
        <w:jc w:val="left"/>
        <w:rPr>
          <w:rFonts w:ascii="Times New Roman"/>
          <w:sz w:val="18"/>
        </w:rPr>
      </w:pPr>
      <w:r>
        <w:rPr>
          <w:rFonts w:ascii="Times New Roman"/>
          <w:position w:val="10"/>
          <w:sz w:val="14"/>
        </w:rPr>
        <w:t>868 </w:t>
      </w:r>
      <w:r>
        <w:rPr>
          <w:rFonts w:ascii="Times New Roman"/>
          <w:i/>
          <w:sz w:val="18"/>
        </w:rPr>
        <w:t>See, </w:t>
      </w:r>
      <w:r>
        <w:rPr>
          <w:rFonts w:ascii="Times New Roman"/>
          <w:sz w:val="18"/>
          <w:u w:val="single"/>
        </w:rPr>
        <w:t>In the Matter of Merrimack Mut. Fire Ins. Co. v. Seibert</w:t>
      </w:r>
      <w:r>
        <w:rPr>
          <w:rFonts w:ascii="Times New Roman"/>
          <w:sz w:val="18"/>
        </w:rPr>
        <w:t>, 31 Misc.3d 523, 917 N.Y.S.2d 839, 2011 N.Y. Slip Op. 21060 (Monroe Cty. 2011).</w:t>
      </w:r>
    </w:p>
    <w:p>
      <w:pPr>
        <w:spacing w:after="0" w:line="244" w:lineRule="auto"/>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17" w:id="32"/>
      <w:bookmarkEnd w:id="32"/>
      <w:r>
        <w:rPr/>
      </w:r>
      <w:r>
        <w:rPr/>
        <w:t>be a judge of a district court of a judicial district where the loss occurred, thereby preventing</w:t>
      </w:r>
      <w:r>
        <w:rPr>
          <w:spacing w:val="-30"/>
        </w:rPr>
        <w:t> </w:t>
      </w:r>
      <w:r>
        <w:rPr/>
        <w:t>county</w:t>
      </w:r>
      <w:r>
        <w:rPr>
          <w:spacing w:val="-32"/>
        </w:rPr>
        <w:t> </w:t>
      </w:r>
      <w:r>
        <w:rPr/>
        <w:t>court</w:t>
      </w:r>
      <w:r>
        <w:rPr>
          <w:spacing w:val="-31"/>
        </w:rPr>
        <w:t> </w:t>
      </w:r>
      <w:r>
        <w:rPr/>
        <w:t>judges</w:t>
      </w:r>
      <w:r>
        <w:rPr>
          <w:spacing w:val="-30"/>
        </w:rPr>
        <w:t> </w:t>
      </w:r>
      <w:r>
        <w:rPr/>
        <w:t>as</w:t>
      </w:r>
      <w:r>
        <w:rPr>
          <w:spacing w:val="-29"/>
        </w:rPr>
        <w:t> </w:t>
      </w:r>
      <w:r>
        <w:rPr/>
        <w:t>well</w:t>
      </w:r>
      <w:r>
        <w:rPr>
          <w:spacing w:val="-29"/>
        </w:rPr>
        <w:t> </w:t>
      </w:r>
      <w:r>
        <w:rPr/>
        <w:t>as</w:t>
      </w:r>
      <w:r>
        <w:rPr>
          <w:spacing w:val="-29"/>
        </w:rPr>
        <w:t> </w:t>
      </w:r>
      <w:r>
        <w:rPr/>
        <w:t>other members</w:t>
      </w:r>
      <w:r>
        <w:rPr>
          <w:spacing w:val="-12"/>
        </w:rPr>
        <w:t> </w:t>
      </w:r>
      <w:r>
        <w:rPr/>
        <w:t>of</w:t>
      </w:r>
      <w:r>
        <w:rPr>
          <w:spacing w:val="-11"/>
        </w:rPr>
        <w:t> </w:t>
      </w:r>
      <w:r>
        <w:rPr/>
        <w:t>the</w:t>
      </w:r>
      <w:r>
        <w:rPr>
          <w:spacing w:val="-16"/>
        </w:rPr>
        <w:t> </w:t>
      </w:r>
      <w:r>
        <w:rPr/>
        <w:t>judiciary</w:t>
      </w:r>
      <w:r>
        <w:rPr>
          <w:spacing w:val="-17"/>
        </w:rPr>
        <w:t> </w:t>
      </w:r>
      <w:r>
        <w:rPr/>
        <w:t>from</w:t>
      </w:r>
      <w:r>
        <w:rPr>
          <w:spacing w:val="-15"/>
        </w:rPr>
        <w:t> </w:t>
      </w:r>
      <w:r>
        <w:rPr/>
        <w:t>making</w:t>
      </w:r>
      <w:r>
        <w:rPr>
          <w:spacing w:val="-13"/>
        </w:rPr>
        <w:t> </w:t>
      </w:r>
      <w:r>
        <w:rPr/>
        <w:t>such</w:t>
      </w:r>
      <w:r>
        <w:rPr>
          <w:spacing w:val="-9"/>
        </w:rPr>
        <w:t> </w:t>
      </w:r>
      <w:r>
        <w:rPr/>
        <w:t>an appointment.</w:t>
      </w:r>
      <w:r>
        <w:rPr>
          <w:vertAlign w:val="superscript"/>
        </w:rPr>
        <w:t>869</w:t>
      </w:r>
    </w:p>
    <w:p>
      <w:pPr>
        <w:pStyle w:val="BodyText"/>
      </w:pPr>
    </w:p>
    <w:p>
      <w:pPr>
        <w:pStyle w:val="BodyText"/>
        <w:spacing w:line="242" w:lineRule="auto" w:before="1"/>
        <w:ind w:left="1520" w:right="1517" w:firstLine="720"/>
        <w:jc w:val="both"/>
      </w:pPr>
      <w:r>
        <w:rPr>
          <w:spacing w:val="3"/>
        </w:rPr>
        <w:t>In </w:t>
      </w:r>
      <w:r>
        <w:rPr/>
        <w:t>a rare and extremely complex claim involving multiple policies and extensive damage, a court of competent jurisdiction may</w:t>
      </w:r>
      <w:r>
        <w:rPr>
          <w:spacing w:val="-25"/>
        </w:rPr>
        <w:t> </w:t>
      </w:r>
      <w:r>
        <w:rPr/>
        <w:t>consider</w:t>
      </w:r>
      <w:r>
        <w:rPr>
          <w:spacing w:val="-24"/>
        </w:rPr>
        <w:t> </w:t>
      </w:r>
      <w:r>
        <w:rPr/>
        <w:t>substituting</w:t>
      </w:r>
      <w:r>
        <w:rPr>
          <w:spacing w:val="-23"/>
        </w:rPr>
        <w:t> </w:t>
      </w:r>
      <w:r>
        <w:rPr/>
        <w:t>itself</w:t>
      </w:r>
      <w:r>
        <w:rPr>
          <w:spacing w:val="-22"/>
        </w:rPr>
        <w:t> </w:t>
      </w:r>
      <w:r>
        <w:rPr/>
        <w:t>as</w:t>
      </w:r>
      <w:r>
        <w:rPr>
          <w:spacing w:val="-23"/>
        </w:rPr>
        <w:t> </w:t>
      </w:r>
      <w:r>
        <w:rPr/>
        <w:t>the</w:t>
      </w:r>
      <w:r>
        <w:rPr>
          <w:spacing w:val="-24"/>
        </w:rPr>
        <w:t> </w:t>
      </w:r>
      <w:r>
        <w:rPr>
          <w:spacing w:val="-5"/>
        </w:rPr>
        <w:t>neutral.</w:t>
      </w:r>
      <w:r>
        <w:rPr>
          <w:spacing w:val="-5"/>
          <w:vertAlign w:val="superscript"/>
        </w:rPr>
        <w:t>870</w:t>
      </w:r>
      <w:r>
        <w:rPr>
          <w:spacing w:val="-5"/>
          <w:vertAlign w:val="baseline"/>
        </w:rPr>
        <w:t> </w:t>
      </w:r>
      <w:r>
        <w:rPr>
          <w:vertAlign w:val="baseline"/>
        </w:rPr>
        <w:t>Historically, this appears to be a very unusual event.</w:t>
      </w:r>
      <w:r>
        <w:rPr>
          <w:spacing w:val="32"/>
          <w:vertAlign w:val="baseline"/>
        </w:rPr>
        <w:t> </w:t>
      </w:r>
      <w:r>
        <w:rPr>
          <w:spacing w:val="2"/>
          <w:vertAlign w:val="baseline"/>
        </w:rPr>
        <w:t>In</w:t>
      </w:r>
      <w:r>
        <w:rPr>
          <w:spacing w:val="-20"/>
          <w:vertAlign w:val="baseline"/>
        </w:rPr>
        <w:t> </w:t>
      </w:r>
      <w:r>
        <w:rPr>
          <w:u w:val="single"/>
          <w:vertAlign w:val="baseline"/>
        </w:rPr>
        <w:t>S.R.</w:t>
      </w:r>
      <w:r>
        <w:rPr>
          <w:spacing w:val="-25"/>
          <w:u w:val="single"/>
          <w:vertAlign w:val="baseline"/>
        </w:rPr>
        <w:t> </w:t>
      </w:r>
      <w:r>
        <w:rPr>
          <w:u w:val="single"/>
          <w:vertAlign w:val="baseline"/>
        </w:rPr>
        <w:t>International</w:t>
      </w:r>
      <w:r>
        <w:rPr>
          <w:spacing w:val="-16"/>
          <w:u w:val="single"/>
          <w:vertAlign w:val="baseline"/>
        </w:rPr>
        <w:t> </w:t>
      </w:r>
      <w:r>
        <w:rPr>
          <w:u w:val="single"/>
          <w:vertAlign w:val="baseline"/>
        </w:rPr>
        <w:t>Business</w:t>
      </w:r>
      <w:r>
        <w:rPr>
          <w:spacing w:val="-18"/>
          <w:u w:val="single"/>
          <w:vertAlign w:val="baseline"/>
        </w:rPr>
        <w:t> </w:t>
      </w:r>
      <w:r>
        <w:rPr>
          <w:u w:val="single"/>
          <w:vertAlign w:val="baseline"/>
        </w:rPr>
        <w:t>Ins.</w:t>
      </w:r>
      <w:r>
        <w:rPr>
          <w:spacing w:val="-20"/>
          <w:u w:val="single"/>
          <w:vertAlign w:val="baseline"/>
        </w:rPr>
        <w:t> </w:t>
      </w:r>
      <w:r>
        <w:rPr>
          <w:u w:val="single"/>
          <w:vertAlign w:val="baseline"/>
        </w:rPr>
        <w:t>Co.</w:t>
      </w:r>
      <w:r>
        <w:rPr>
          <w:spacing w:val="-19"/>
          <w:u w:val="single"/>
          <w:vertAlign w:val="baseline"/>
        </w:rPr>
        <w:t> </w:t>
      </w:r>
      <w:r>
        <w:rPr>
          <w:u w:val="single"/>
          <w:vertAlign w:val="baseline"/>
        </w:rPr>
        <w:t>Ltd.</w:t>
      </w:r>
      <w:r>
        <w:rPr>
          <w:vertAlign w:val="baseline"/>
        </w:rPr>
        <w:t> </w:t>
      </w:r>
      <w:r>
        <w:rPr>
          <w:u w:val="single"/>
          <w:vertAlign w:val="baseline"/>
        </w:rPr>
        <w:t>v.</w:t>
      </w:r>
      <w:r>
        <w:rPr>
          <w:spacing w:val="-32"/>
          <w:u w:val="single"/>
          <w:vertAlign w:val="baseline"/>
        </w:rPr>
        <w:t> </w:t>
      </w:r>
      <w:r>
        <w:rPr>
          <w:spacing w:val="-3"/>
          <w:u w:val="single"/>
          <w:vertAlign w:val="baseline"/>
        </w:rPr>
        <w:t>World</w:t>
      </w:r>
      <w:r>
        <w:rPr>
          <w:spacing w:val="-27"/>
          <w:u w:val="single"/>
          <w:vertAlign w:val="baseline"/>
        </w:rPr>
        <w:t> </w:t>
      </w:r>
      <w:r>
        <w:rPr>
          <w:u w:val="single"/>
          <w:vertAlign w:val="baseline"/>
        </w:rPr>
        <w:t>Trade</w:t>
      </w:r>
      <w:r>
        <w:rPr>
          <w:spacing w:val="-28"/>
          <w:u w:val="single"/>
          <w:vertAlign w:val="baseline"/>
        </w:rPr>
        <w:t> </w:t>
      </w:r>
      <w:r>
        <w:rPr>
          <w:u w:val="single"/>
          <w:vertAlign w:val="baseline"/>
        </w:rPr>
        <w:t>Center</w:t>
      </w:r>
      <w:r>
        <w:rPr>
          <w:spacing w:val="-31"/>
          <w:u w:val="single"/>
          <w:vertAlign w:val="baseline"/>
        </w:rPr>
        <w:t> </w:t>
      </w:r>
      <w:r>
        <w:rPr>
          <w:u w:val="single"/>
          <w:vertAlign w:val="baseline"/>
        </w:rPr>
        <w:t>Properties</w:t>
      </w:r>
      <w:r>
        <w:rPr>
          <w:spacing w:val="-31"/>
          <w:u w:val="single"/>
          <w:vertAlign w:val="baseline"/>
        </w:rPr>
        <w:t> </w:t>
      </w:r>
      <w:r>
        <w:rPr>
          <w:u w:val="single"/>
          <w:vertAlign w:val="baseline"/>
        </w:rPr>
        <w:t>and</w:t>
      </w:r>
      <w:r>
        <w:rPr>
          <w:spacing w:val="-29"/>
          <w:u w:val="single"/>
          <w:vertAlign w:val="baseline"/>
        </w:rPr>
        <w:t> </w:t>
      </w:r>
      <w:r>
        <w:rPr>
          <w:u w:val="single"/>
          <w:vertAlign w:val="baseline"/>
        </w:rPr>
        <w:t>Allianz</w:t>
      </w:r>
      <w:r>
        <w:rPr>
          <w:spacing w:val="-29"/>
          <w:u w:val="single"/>
          <w:vertAlign w:val="baseline"/>
        </w:rPr>
        <w:t> </w:t>
      </w:r>
      <w:r>
        <w:rPr>
          <w:u w:val="single"/>
          <w:vertAlign w:val="baseline"/>
        </w:rPr>
        <w:t>Ins.</w:t>
      </w:r>
      <w:r>
        <w:rPr>
          <w:vertAlign w:val="baseline"/>
        </w:rPr>
        <w:t> </w:t>
      </w:r>
      <w:r>
        <w:rPr>
          <w:u w:val="single"/>
          <w:vertAlign w:val="baseline"/>
        </w:rPr>
        <w:t>Co.</w:t>
      </w:r>
      <w:r>
        <w:rPr>
          <w:vertAlign w:val="baseline"/>
        </w:rPr>
        <w:t>,</w:t>
      </w:r>
      <w:r>
        <w:rPr>
          <w:vertAlign w:val="superscript"/>
        </w:rPr>
        <w:t>871</w:t>
      </w:r>
      <w:r>
        <w:rPr>
          <w:vertAlign w:val="baseline"/>
        </w:rPr>
        <w:t> a federal district court was </w:t>
      </w:r>
      <w:r>
        <w:rPr>
          <w:spacing w:val="-5"/>
          <w:vertAlign w:val="baseline"/>
        </w:rPr>
        <w:t>confronted </w:t>
      </w:r>
      <w:r>
        <w:rPr>
          <w:vertAlign w:val="baseline"/>
        </w:rPr>
        <w:t>with</w:t>
      </w:r>
      <w:r>
        <w:rPr>
          <w:spacing w:val="-26"/>
          <w:vertAlign w:val="baseline"/>
        </w:rPr>
        <w:t> </w:t>
      </w:r>
      <w:r>
        <w:rPr>
          <w:vertAlign w:val="baseline"/>
        </w:rPr>
        <w:t>managing</w:t>
      </w:r>
      <w:r>
        <w:rPr>
          <w:spacing w:val="-24"/>
          <w:vertAlign w:val="baseline"/>
        </w:rPr>
        <w:t> </w:t>
      </w:r>
      <w:r>
        <w:rPr>
          <w:vertAlign w:val="baseline"/>
        </w:rPr>
        <w:t>the</w:t>
      </w:r>
      <w:r>
        <w:rPr>
          <w:spacing w:val="-29"/>
          <w:vertAlign w:val="baseline"/>
        </w:rPr>
        <w:t> </w:t>
      </w:r>
      <w:r>
        <w:rPr>
          <w:vertAlign w:val="baseline"/>
        </w:rPr>
        <w:t>insurance</w:t>
      </w:r>
      <w:r>
        <w:rPr>
          <w:spacing w:val="-27"/>
          <w:vertAlign w:val="baseline"/>
        </w:rPr>
        <w:t> </w:t>
      </w:r>
      <w:r>
        <w:rPr>
          <w:vertAlign w:val="baseline"/>
        </w:rPr>
        <w:t>claims</w:t>
      </w:r>
      <w:r>
        <w:rPr>
          <w:spacing w:val="-26"/>
          <w:vertAlign w:val="baseline"/>
        </w:rPr>
        <w:t> </w:t>
      </w:r>
      <w:r>
        <w:rPr>
          <w:vertAlign w:val="baseline"/>
        </w:rPr>
        <w:t>arising</w:t>
      </w:r>
      <w:r>
        <w:rPr>
          <w:spacing w:val="-27"/>
          <w:vertAlign w:val="baseline"/>
        </w:rPr>
        <w:t> </w:t>
      </w:r>
      <w:r>
        <w:rPr>
          <w:vertAlign w:val="baseline"/>
        </w:rPr>
        <w:t>out of</w:t>
      </w:r>
      <w:r>
        <w:rPr>
          <w:spacing w:val="-31"/>
          <w:vertAlign w:val="baseline"/>
        </w:rPr>
        <w:t> </w:t>
      </w:r>
      <w:r>
        <w:rPr>
          <w:vertAlign w:val="baseline"/>
        </w:rPr>
        <w:t>the</w:t>
      </w:r>
      <w:r>
        <w:rPr>
          <w:spacing w:val="-31"/>
          <w:vertAlign w:val="baseline"/>
        </w:rPr>
        <w:t> </w:t>
      </w:r>
      <w:r>
        <w:rPr>
          <w:spacing w:val="-3"/>
          <w:vertAlign w:val="baseline"/>
        </w:rPr>
        <w:t>World</w:t>
      </w:r>
      <w:r>
        <w:rPr>
          <w:spacing w:val="-27"/>
          <w:vertAlign w:val="baseline"/>
        </w:rPr>
        <w:t> </w:t>
      </w:r>
      <w:r>
        <w:rPr>
          <w:vertAlign w:val="baseline"/>
        </w:rPr>
        <w:t>Trade</w:t>
      </w:r>
      <w:r>
        <w:rPr>
          <w:spacing w:val="-28"/>
          <w:vertAlign w:val="baseline"/>
        </w:rPr>
        <w:t> </w:t>
      </w:r>
      <w:r>
        <w:rPr>
          <w:vertAlign w:val="baseline"/>
        </w:rPr>
        <w:t>Center</w:t>
      </w:r>
      <w:r>
        <w:rPr>
          <w:spacing w:val="-30"/>
          <w:vertAlign w:val="baseline"/>
        </w:rPr>
        <w:t> </w:t>
      </w:r>
      <w:r>
        <w:rPr>
          <w:vertAlign w:val="baseline"/>
        </w:rPr>
        <w:t>attack</w:t>
      </w:r>
      <w:r>
        <w:rPr>
          <w:spacing w:val="-28"/>
          <w:vertAlign w:val="baseline"/>
        </w:rPr>
        <w:t> </w:t>
      </w:r>
      <w:r>
        <w:rPr>
          <w:vertAlign w:val="baseline"/>
        </w:rPr>
        <w:t>of</w:t>
      </w:r>
      <w:r>
        <w:rPr>
          <w:spacing w:val="-29"/>
          <w:vertAlign w:val="baseline"/>
        </w:rPr>
        <w:t> </w:t>
      </w:r>
      <w:r>
        <w:rPr>
          <w:vertAlign w:val="baseline"/>
        </w:rPr>
        <w:t>September 11, 2001. The property at risk was vast, its destruction total and the policies numerous. Many of the carriers who shared the risk had either issued incomplete policies or had</w:t>
      </w:r>
      <w:r>
        <w:rPr>
          <w:spacing w:val="-19"/>
          <w:vertAlign w:val="baseline"/>
        </w:rPr>
        <w:t> </w:t>
      </w:r>
      <w:r>
        <w:rPr>
          <w:vertAlign w:val="baseline"/>
        </w:rPr>
        <w:t>failed to deliver their policy at the time of the loss. Confronted</w:t>
      </w:r>
      <w:r>
        <w:rPr>
          <w:spacing w:val="-17"/>
          <w:vertAlign w:val="baseline"/>
        </w:rPr>
        <w:t> </w:t>
      </w:r>
      <w:r>
        <w:rPr>
          <w:vertAlign w:val="baseline"/>
        </w:rPr>
        <w:t>with</w:t>
      </w:r>
      <w:r>
        <w:rPr>
          <w:spacing w:val="-13"/>
          <w:vertAlign w:val="baseline"/>
        </w:rPr>
        <w:t> </w:t>
      </w:r>
      <w:r>
        <w:rPr>
          <w:vertAlign w:val="baseline"/>
        </w:rPr>
        <w:t>an</w:t>
      </w:r>
      <w:r>
        <w:rPr>
          <w:spacing w:val="-12"/>
          <w:vertAlign w:val="baseline"/>
        </w:rPr>
        <w:t> </w:t>
      </w:r>
      <w:r>
        <w:rPr>
          <w:vertAlign w:val="baseline"/>
        </w:rPr>
        <w:t>appraisal</w:t>
      </w:r>
      <w:r>
        <w:rPr>
          <w:spacing w:val="-13"/>
          <w:vertAlign w:val="baseline"/>
        </w:rPr>
        <w:t> </w:t>
      </w:r>
      <w:r>
        <w:rPr>
          <w:vertAlign w:val="baseline"/>
        </w:rPr>
        <w:t>demand</w:t>
      </w:r>
      <w:r>
        <w:rPr>
          <w:spacing w:val="-16"/>
          <w:vertAlign w:val="baseline"/>
        </w:rPr>
        <w:t> </w:t>
      </w:r>
      <w:r>
        <w:rPr>
          <w:vertAlign w:val="baseline"/>
        </w:rPr>
        <w:t>by</w:t>
      </w:r>
      <w:r>
        <w:rPr>
          <w:spacing w:val="-17"/>
          <w:vertAlign w:val="baseline"/>
        </w:rPr>
        <w:t> </w:t>
      </w:r>
      <w:r>
        <w:rPr>
          <w:vertAlign w:val="baseline"/>
        </w:rPr>
        <w:t>one of the carriers, the district court, in</w:t>
      </w:r>
      <w:r>
        <w:rPr>
          <w:spacing w:val="-37"/>
          <w:vertAlign w:val="baseline"/>
        </w:rPr>
        <w:t> </w:t>
      </w:r>
      <w:r>
        <w:rPr>
          <w:vertAlign w:val="baseline"/>
        </w:rPr>
        <w:t>recognizing the </w:t>
      </w:r>
      <w:r>
        <w:rPr>
          <w:spacing w:val="2"/>
          <w:vertAlign w:val="baseline"/>
        </w:rPr>
        <w:t>binding </w:t>
      </w:r>
      <w:r>
        <w:rPr>
          <w:vertAlign w:val="baseline"/>
        </w:rPr>
        <w:t>effect of the appraisal clause, considered naming himself as the neutral. No other examples of this can be</w:t>
      </w:r>
      <w:r>
        <w:rPr>
          <w:spacing w:val="-10"/>
          <w:vertAlign w:val="baseline"/>
        </w:rPr>
        <w:t> </w:t>
      </w:r>
      <w:r>
        <w:rPr>
          <w:vertAlign w:val="baseline"/>
        </w:rPr>
        <w:t>found.</w:t>
      </w:r>
    </w:p>
    <w:p>
      <w:pPr>
        <w:pStyle w:val="BodyText"/>
        <w:spacing w:before="7"/>
        <w:rPr>
          <w:sz w:val="25"/>
        </w:rPr>
      </w:pPr>
    </w:p>
    <w:p>
      <w:pPr>
        <w:pStyle w:val="BodyText"/>
        <w:ind w:left="2240"/>
      </w:pPr>
      <w:r>
        <w:rPr/>
        <w:t>Note that a technical lack of authority on</w:t>
      </w:r>
    </w:p>
    <w:p>
      <w:pPr>
        <w:pStyle w:val="BodyText"/>
        <w:rPr>
          <w:sz w:val="20"/>
        </w:rPr>
      </w:pPr>
    </w:p>
    <w:p>
      <w:pPr>
        <w:pStyle w:val="BodyText"/>
        <w:spacing w:before="5"/>
        <w:rPr>
          <w:sz w:val="14"/>
        </w:rPr>
      </w:pPr>
      <w:r>
        <w:rPr/>
        <w:pict>
          <v:shape style="position:absolute;margin-left:162pt;margin-top:11.245688pt;width:143.9pt;height:.1pt;mso-position-horizontal-relative:page;mso-position-vertical-relative:paragraph;z-index:-251631616;mso-wrap-distance-left:0;mso-wrap-distance-right:0" coordorigin="3240,225" coordsize="2878,0" path="m3240,225l6118,225e" filled="false" stroked="true" strokeweight=".84pt" strokecolor="#000000">
            <v:path arrowok="t"/>
            <v:stroke dashstyle="solid"/>
            <w10:wrap type="topAndBottom"/>
          </v:shape>
        </w:pict>
      </w:r>
    </w:p>
    <w:p>
      <w:pPr>
        <w:spacing w:line="240" w:lineRule="exact" w:before="140"/>
        <w:ind w:left="1160" w:right="0" w:firstLine="0"/>
        <w:jc w:val="left"/>
        <w:rPr>
          <w:rFonts w:ascii="Times New Roman"/>
          <w:sz w:val="18"/>
        </w:rPr>
      </w:pPr>
      <w:r>
        <w:rPr>
          <w:rFonts w:ascii="Times New Roman"/>
          <w:position w:val="10"/>
          <w:sz w:val="14"/>
        </w:rPr>
        <w:t>869 </w:t>
      </w:r>
      <w:r>
        <w:rPr>
          <w:rFonts w:ascii="Times New Roman"/>
          <w:sz w:val="18"/>
        </w:rPr>
        <w:t>Texas Standard Fire Policy (Lines 109-110).</w:t>
      </w:r>
    </w:p>
    <w:p>
      <w:pPr>
        <w:spacing w:line="240" w:lineRule="exact" w:before="0"/>
        <w:ind w:left="1160" w:right="0" w:firstLine="0"/>
        <w:jc w:val="left"/>
        <w:rPr>
          <w:rFonts w:ascii="Times New Roman"/>
          <w:sz w:val="18"/>
        </w:rPr>
      </w:pPr>
      <w:r>
        <w:rPr>
          <w:rFonts w:ascii="Times New Roman"/>
          <w:position w:val="10"/>
          <w:sz w:val="14"/>
        </w:rPr>
        <w:t>870</w:t>
      </w:r>
      <w:r>
        <w:rPr>
          <w:rFonts w:ascii="Times New Roman"/>
          <w:sz w:val="14"/>
        </w:rPr>
        <w:t> </w:t>
      </w:r>
      <w:r>
        <w:rPr>
          <w:rFonts w:ascii="Times New Roman"/>
          <w:sz w:val="18"/>
          <w:u w:val="single"/>
        </w:rPr>
        <w:t>S.R. Intern. Bus. Ins. Co., Ltd. v. World Trade Center Properties LLC</w:t>
      </w:r>
      <w:r>
        <w:rPr>
          <w:rFonts w:ascii="Times New Roman"/>
          <w:sz w:val="18"/>
        </w:rPr>
        <w:t>, 2002 WL</w:t>
      </w:r>
    </w:p>
    <w:p>
      <w:pPr>
        <w:spacing w:line="180" w:lineRule="exact" w:before="4"/>
        <w:ind w:left="1160" w:right="0" w:firstLine="0"/>
        <w:jc w:val="left"/>
        <w:rPr>
          <w:rFonts w:ascii="Times New Roman"/>
          <w:sz w:val="18"/>
        </w:rPr>
      </w:pPr>
      <w:r>
        <w:rPr>
          <w:rFonts w:ascii="Times New Roman"/>
          <w:sz w:val="18"/>
        </w:rPr>
        <w:t>1905968 (S.D.N.Y. 2002).</w:t>
      </w:r>
    </w:p>
    <w:p>
      <w:pPr>
        <w:spacing w:line="146" w:lineRule="auto" w:before="3"/>
        <w:ind w:left="1160" w:right="0" w:firstLine="0"/>
        <w:jc w:val="left"/>
        <w:rPr>
          <w:rFonts w:ascii="Times New Roman"/>
          <w:sz w:val="18"/>
        </w:rPr>
      </w:pPr>
      <w:r>
        <w:rPr>
          <w:rFonts w:ascii="Times New Roman"/>
          <w:sz w:val="14"/>
        </w:rPr>
        <w:t>871</w:t>
      </w:r>
      <w:r>
        <w:rPr>
          <w:rFonts w:ascii="Times New Roman"/>
          <w:position w:val="-8"/>
          <w:sz w:val="14"/>
        </w:rPr>
        <w:t> </w:t>
      </w:r>
      <w:r>
        <w:rPr>
          <w:rFonts w:ascii="Times New Roman"/>
          <w:position w:val="-8"/>
          <w:sz w:val="18"/>
          <w:u w:val="single"/>
        </w:rPr>
        <w:t>Id</w:t>
      </w:r>
      <w:r>
        <w:rPr>
          <w:rFonts w:ascii="Times New Roman"/>
          <w:position w:val="-8"/>
          <w:sz w:val="18"/>
        </w:rPr>
        <w:t>.</w:t>
      </w:r>
    </w:p>
    <w:p>
      <w:pPr>
        <w:spacing w:after="0" w:line="146" w:lineRule="auto"/>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18" w:id="33"/>
      <w:bookmarkEnd w:id="33"/>
      <w:r>
        <w:rPr/>
      </w:r>
      <w:r>
        <w:rPr/>
        <w:t>the part of a justice to appoint a referee will generally not upset the award if the parties failed to timely object.</w:t>
      </w:r>
      <w:r>
        <w:rPr>
          <w:vertAlign w:val="superscript"/>
        </w:rPr>
        <w:t>872</w:t>
      </w:r>
    </w:p>
    <w:p>
      <w:pPr>
        <w:pStyle w:val="BodyText"/>
        <w:spacing w:before="1"/>
      </w:pPr>
    </w:p>
    <w:p>
      <w:pPr>
        <w:pStyle w:val="BodyText"/>
        <w:spacing w:line="242" w:lineRule="auto"/>
        <w:ind w:left="1520" w:right="1518" w:firstLine="720"/>
        <w:jc w:val="both"/>
      </w:pPr>
      <w:r>
        <w:rPr/>
        <w:t>It has been held that the order of a federal district court appointing an umpire is not an appealable final order pursuant to 28</w:t>
      </w:r>
    </w:p>
    <w:p>
      <w:pPr>
        <w:pStyle w:val="BodyText"/>
        <w:spacing w:line="242" w:lineRule="auto"/>
        <w:ind w:left="1520" w:right="1517"/>
        <w:jc w:val="both"/>
      </w:pPr>
      <w:r>
        <w:rPr/>
        <w:t>U.S.C.</w:t>
      </w:r>
      <w:r>
        <w:rPr>
          <w:spacing w:val="-26"/>
        </w:rPr>
        <w:t> </w:t>
      </w:r>
      <w:r>
        <w:rPr/>
        <w:t>§1291.</w:t>
      </w:r>
      <w:r>
        <w:rPr>
          <w:spacing w:val="24"/>
        </w:rPr>
        <w:t> </w:t>
      </w:r>
      <w:r>
        <w:rPr/>
        <w:t>A</w:t>
      </w:r>
      <w:r>
        <w:rPr>
          <w:spacing w:val="-19"/>
        </w:rPr>
        <w:t> </w:t>
      </w:r>
      <w:r>
        <w:rPr/>
        <w:t>final</w:t>
      </w:r>
      <w:r>
        <w:rPr>
          <w:spacing w:val="-22"/>
        </w:rPr>
        <w:t> </w:t>
      </w:r>
      <w:r>
        <w:rPr/>
        <w:t>decision</w:t>
      </w:r>
      <w:r>
        <w:rPr>
          <w:spacing w:val="-23"/>
        </w:rPr>
        <w:t> </w:t>
      </w:r>
      <w:r>
        <w:rPr/>
        <w:t>is</w:t>
      </w:r>
      <w:r>
        <w:rPr>
          <w:spacing w:val="-24"/>
        </w:rPr>
        <w:t> </w:t>
      </w:r>
      <w:r>
        <w:rPr/>
        <w:t>one</w:t>
      </w:r>
      <w:r>
        <w:rPr>
          <w:spacing w:val="-24"/>
        </w:rPr>
        <w:t> </w:t>
      </w:r>
      <w:r>
        <w:rPr/>
        <w:t>which</w:t>
      </w:r>
      <w:r>
        <w:rPr>
          <w:spacing w:val="-22"/>
        </w:rPr>
        <w:t> </w:t>
      </w:r>
      <w:r>
        <w:rPr/>
        <w:t>ends the litigation on the merits and leaves nothing for the court to do but execute </w:t>
      </w:r>
      <w:r>
        <w:rPr>
          <w:spacing w:val="-5"/>
        </w:rPr>
        <w:t>the </w:t>
      </w:r>
      <w:r>
        <w:rPr/>
        <w:t>judgment.</w:t>
      </w:r>
      <w:r>
        <w:rPr>
          <w:vertAlign w:val="superscript"/>
        </w:rPr>
        <w:t>873</w:t>
      </w:r>
      <w:r>
        <w:rPr>
          <w:vertAlign w:val="baseline"/>
        </w:rPr>
        <w:t> </w:t>
      </w:r>
      <w:r>
        <w:rPr>
          <w:spacing w:val="3"/>
          <w:vertAlign w:val="baseline"/>
        </w:rPr>
        <w:t>In </w:t>
      </w:r>
      <w:r>
        <w:rPr>
          <w:u w:val="single"/>
          <w:vertAlign w:val="baseline"/>
        </w:rPr>
        <w:t>Camden Fire Ins. Assoc. v. </w:t>
      </w:r>
      <w:r>
        <w:rPr>
          <w:spacing w:val="-13"/>
          <w:u w:val="single"/>
          <w:vertAlign w:val="baseline"/>
        </w:rPr>
        <w:t>KML </w:t>
      </w:r>
      <w:r>
        <w:rPr>
          <w:u w:val="single"/>
          <w:vertAlign w:val="baseline"/>
        </w:rPr>
        <w:t>Sales, Inc.</w:t>
      </w:r>
      <w:r>
        <w:rPr>
          <w:vertAlign w:val="baseline"/>
        </w:rPr>
        <w:t>, it was stated that the final appealable decision which ended the litigation</w:t>
      </w:r>
      <w:r>
        <w:rPr>
          <w:spacing w:val="-11"/>
          <w:vertAlign w:val="baseline"/>
        </w:rPr>
        <w:t> </w:t>
      </w:r>
      <w:r>
        <w:rPr>
          <w:vertAlign w:val="baseline"/>
        </w:rPr>
        <w:t>on</w:t>
      </w:r>
      <w:r>
        <w:rPr>
          <w:spacing w:val="-11"/>
          <w:vertAlign w:val="baseline"/>
        </w:rPr>
        <w:t> </w:t>
      </w:r>
      <w:r>
        <w:rPr>
          <w:vertAlign w:val="baseline"/>
        </w:rPr>
        <w:t>its</w:t>
      </w:r>
      <w:r>
        <w:rPr>
          <w:spacing w:val="-12"/>
          <w:vertAlign w:val="baseline"/>
        </w:rPr>
        <w:t> </w:t>
      </w:r>
      <w:r>
        <w:rPr>
          <w:vertAlign w:val="baseline"/>
        </w:rPr>
        <w:t>merits</w:t>
      </w:r>
      <w:r>
        <w:rPr>
          <w:spacing w:val="-12"/>
          <w:vertAlign w:val="baseline"/>
        </w:rPr>
        <w:t> </w:t>
      </w:r>
      <w:r>
        <w:rPr>
          <w:vertAlign w:val="baseline"/>
        </w:rPr>
        <w:t>was</w:t>
      </w:r>
      <w:r>
        <w:rPr>
          <w:spacing w:val="-11"/>
          <w:vertAlign w:val="baseline"/>
        </w:rPr>
        <w:t> </w:t>
      </w:r>
      <w:r>
        <w:rPr>
          <w:vertAlign w:val="baseline"/>
        </w:rPr>
        <w:t>the</w:t>
      </w:r>
      <w:r>
        <w:rPr>
          <w:spacing w:val="-12"/>
          <w:vertAlign w:val="baseline"/>
        </w:rPr>
        <w:t> </w:t>
      </w:r>
      <w:r>
        <w:rPr>
          <w:vertAlign w:val="baseline"/>
        </w:rPr>
        <w:t>decision</w:t>
      </w:r>
      <w:r>
        <w:rPr>
          <w:spacing w:val="-11"/>
          <w:vertAlign w:val="baseline"/>
        </w:rPr>
        <w:t> </w:t>
      </w:r>
      <w:r>
        <w:rPr>
          <w:vertAlign w:val="baseline"/>
        </w:rPr>
        <w:t>to</w:t>
      </w:r>
      <w:r>
        <w:rPr>
          <w:spacing w:val="-11"/>
          <w:vertAlign w:val="baseline"/>
        </w:rPr>
        <w:t> </w:t>
      </w:r>
      <w:r>
        <w:rPr>
          <w:vertAlign w:val="baseline"/>
        </w:rPr>
        <w:t>grant the insurance carrier specific performance</w:t>
      </w:r>
      <w:r>
        <w:rPr>
          <w:spacing w:val="-20"/>
          <w:vertAlign w:val="baseline"/>
        </w:rPr>
        <w:t> </w:t>
      </w:r>
      <w:r>
        <w:rPr>
          <w:vertAlign w:val="baseline"/>
        </w:rPr>
        <w:t>on the</w:t>
      </w:r>
      <w:r>
        <w:rPr>
          <w:spacing w:val="-30"/>
          <w:vertAlign w:val="baseline"/>
        </w:rPr>
        <w:t> </w:t>
      </w:r>
      <w:r>
        <w:rPr>
          <w:vertAlign w:val="baseline"/>
        </w:rPr>
        <w:t>insurance</w:t>
      </w:r>
      <w:r>
        <w:rPr>
          <w:spacing w:val="-30"/>
          <w:vertAlign w:val="baseline"/>
        </w:rPr>
        <w:t> </w:t>
      </w:r>
      <w:r>
        <w:rPr>
          <w:vertAlign w:val="baseline"/>
        </w:rPr>
        <w:t>contract</w:t>
      </w:r>
      <w:r>
        <w:rPr>
          <w:spacing w:val="-30"/>
          <w:vertAlign w:val="baseline"/>
        </w:rPr>
        <w:t> </w:t>
      </w:r>
      <w:r>
        <w:rPr>
          <w:vertAlign w:val="baseline"/>
        </w:rPr>
        <w:t>and</w:t>
      </w:r>
      <w:r>
        <w:rPr>
          <w:spacing w:val="-29"/>
          <w:vertAlign w:val="baseline"/>
        </w:rPr>
        <w:t> </w:t>
      </w:r>
      <w:r>
        <w:rPr>
          <w:vertAlign w:val="baseline"/>
        </w:rPr>
        <w:t>send</w:t>
      </w:r>
      <w:r>
        <w:rPr>
          <w:spacing w:val="-30"/>
          <w:vertAlign w:val="baseline"/>
        </w:rPr>
        <w:t> </w:t>
      </w:r>
      <w:r>
        <w:rPr>
          <w:vertAlign w:val="baseline"/>
        </w:rPr>
        <w:t>the</w:t>
      </w:r>
      <w:r>
        <w:rPr>
          <w:spacing w:val="-30"/>
          <w:vertAlign w:val="baseline"/>
        </w:rPr>
        <w:t> </w:t>
      </w:r>
      <w:r>
        <w:rPr>
          <w:vertAlign w:val="baseline"/>
        </w:rPr>
        <w:t>dispute</w:t>
      </w:r>
      <w:r>
        <w:rPr>
          <w:spacing w:val="-28"/>
          <w:vertAlign w:val="baseline"/>
        </w:rPr>
        <w:t> </w:t>
      </w:r>
      <w:r>
        <w:rPr>
          <w:vertAlign w:val="baseline"/>
        </w:rPr>
        <w:t>to appraisal. That decision was the final decision and was in fact appealed and upheld. </w:t>
      </w:r>
      <w:r>
        <w:rPr>
          <w:spacing w:val="4"/>
          <w:vertAlign w:val="baseline"/>
        </w:rPr>
        <w:t>If </w:t>
      </w:r>
      <w:r>
        <w:rPr>
          <w:vertAlign w:val="baseline"/>
        </w:rPr>
        <w:t>the carrier is unhappy with the outcome of the appraisal process, it could institute a </w:t>
      </w:r>
      <w:r>
        <w:rPr>
          <w:spacing w:val="-3"/>
          <w:vertAlign w:val="baseline"/>
        </w:rPr>
        <w:t>separate </w:t>
      </w:r>
      <w:r>
        <w:rPr>
          <w:vertAlign w:val="baseline"/>
        </w:rPr>
        <w:t>proceeding in the district court to vacate the award on the basis of the umpire’s alleged bias.</w:t>
      </w:r>
    </w:p>
    <w:p>
      <w:pPr>
        <w:pStyle w:val="BodyText"/>
        <w:spacing w:before="8"/>
        <w:rPr>
          <w:sz w:val="25"/>
        </w:rPr>
      </w:pPr>
    </w:p>
    <w:p>
      <w:pPr>
        <w:pStyle w:val="BodyText"/>
        <w:spacing w:line="242" w:lineRule="auto"/>
        <w:ind w:left="1520" w:right="1520" w:firstLine="720"/>
        <w:jc w:val="both"/>
      </w:pPr>
      <w:r>
        <w:rPr/>
        <w:t>However, in an action to appoint an umpire, the court may not also define the appraisers’ and umpire’s role under the insurance policy, unless agreed to by the parties. In an Ohio case, the Court of Appeals</w:t>
      </w:r>
    </w:p>
    <w:p>
      <w:pPr>
        <w:pStyle w:val="BodyText"/>
        <w:spacing w:before="2"/>
        <w:rPr>
          <w:sz w:val="19"/>
        </w:rPr>
      </w:pPr>
      <w:r>
        <w:rPr/>
        <w:pict>
          <v:shape style="position:absolute;margin-left:162pt;margin-top:14.158687pt;width:143.9pt;height:.1pt;mso-position-horizontal-relative:page;mso-position-vertical-relative:paragraph;z-index:-251630592;mso-wrap-distance-left:0;mso-wrap-distance-right:0" coordorigin="3240,283" coordsize="2878,0" path="m3240,283l6118,283e" filled="false" stroked="true" strokeweight=".84pt" strokecolor="#000000">
            <v:path arrowok="t"/>
            <v:stroke dashstyle="solid"/>
            <w10:wrap type="topAndBottom"/>
          </v:shape>
        </w:pict>
      </w:r>
    </w:p>
    <w:p>
      <w:pPr>
        <w:pStyle w:val="BodyText"/>
        <w:spacing w:before="4"/>
        <w:rPr>
          <w:sz w:val="10"/>
        </w:rPr>
      </w:pPr>
    </w:p>
    <w:p>
      <w:pPr>
        <w:spacing w:line="254" w:lineRule="exact" w:before="71"/>
        <w:ind w:left="1160" w:right="0" w:firstLine="0"/>
        <w:jc w:val="left"/>
        <w:rPr>
          <w:rFonts w:ascii="Times New Roman"/>
          <w:sz w:val="24"/>
        </w:rPr>
      </w:pPr>
      <w:r>
        <w:rPr>
          <w:rFonts w:ascii="Times New Roman"/>
          <w:position w:val="10"/>
          <w:sz w:val="14"/>
        </w:rPr>
        <w:t>872 </w:t>
      </w:r>
      <w:r>
        <w:rPr>
          <w:rFonts w:ascii="Times New Roman"/>
          <w:sz w:val="18"/>
          <w:u w:val="single"/>
        </w:rPr>
        <w:t>Salganic v. U.S. Fire Ins. Co.</w:t>
      </w:r>
      <w:r>
        <w:rPr>
          <w:rFonts w:ascii="Times New Roman"/>
          <w:sz w:val="18"/>
        </w:rPr>
        <w:t>, 80 N.H. 450, 118 A. 815 (1922)</w:t>
      </w:r>
      <w:r>
        <w:rPr>
          <w:rFonts w:ascii="Times New Roman"/>
          <w:sz w:val="24"/>
        </w:rPr>
        <w:t>.</w:t>
      </w:r>
    </w:p>
    <w:p>
      <w:pPr>
        <w:pStyle w:val="ListParagraph"/>
        <w:numPr>
          <w:ilvl w:val="0"/>
          <w:numId w:val="8"/>
        </w:numPr>
        <w:tabs>
          <w:tab w:pos="1423" w:val="left" w:leader="none"/>
        </w:tabs>
        <w:spacing w:line="241" w:lineRule="exact" w:before="0" w:after="0"/>
        <w:ind w:left="1422" w:right="0" w:hanging="263"/>
        <w:jc w:val="left"/>
        <w:rPr>
          <w:sz w:val="18"/>
        </w:rPr>
      </w:pPr>
      <w:r>
        <w:rPr>
          <w:sz w:val="18"/>
        </w:rPr>
        <w:t>99 Fla. Appx. 367, 2004 WL 1147055 (Ca 3. Pa.)(3d Circuit Court of Appeals</w:t>
      </w:r>
      <w:r>
        <w:rPr>
          <w:spacing w:val="30"/>
          <w:sz w:val="18"/>
        </w:rPr>
        <w:t> </w:t>
      </w:r>
      <w:r>
        <w:rPr>
          <w:sz w:val="18"/>
        </w:rPr>
        <w:t>2004);</w:t>
      </w:r>
    </w:p>
    <w:p>
      <w:pPr>
        <w:spacing w:before="4"/>
        <w:ind w:left="1160" w:right="0" w:firstLine="0"/>
        <w:jc w:val="left"/>
        <w:rPr>
          <w:rFonts w:ascii="Times New Roman"/>
          <w:sz w:val="18"/>
        </w:rPr>
      </w:pPr>
      <w:r>
        <w:rPr>
          <w:rFonts w:ascii="Times New Roman"/>
          <w:sz w:val="18"/>
          <w:u w:val="single"/>
        </w:rPr>
        <w:t>Catlin v. U.S</w:t>
      </w:r>
      <w:r>
        <w:rPr>
          <w:rFonts w:ascii="Times New Roman"/>
          <w:sz w:val="18"/>
        </w:rPr>
        <w:t>, 324 U.S. 229, 233, 65 S. Ct. 631, 89 L. Ed. 911 (U.S. 1945).</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19" w:id="34"/>
      <w:bookmarkEnd w:id="34"/>
      <w:r>
        <w:rPr/>
      </w:r>
      <w:r>
        <w:rPr/>
        <w:t>reversed a decision made by the trial court directing the appraisers and umpire not to make</w:t>
      </w:r>
      <w:r>
        <w:rPr>
          <w:spacing w:val="-29"/>
        </w:rPr>
        <w:t> </w:t>
      </w:r>
      <w:r>
        <w:rPr/>
        <w:t>any</w:t>
      </w:r>
      <w:r>
        <w:rPr>
          <w:spacing w:val="-28"/>
        </w:rPr>
        <w:t> </w:t>
      </w:r>
      <w:r>
        <w:rPr/>
        <w:t>determination</w:t>
      </w:r>
      <w:r>
        <w:rPr>
          <w:spacing w:val="-28"/>
        </w:rPr>
        <w:t> </w:t>
      </w:r>
      <w:r>
        <w:rPr/>
        <w:t>as</w:t>
      </w:r>
      <w:r>
        <w:rPr>
          <w:spacing w:val="-26"/>
        </w:rPr>
        <w:t> </w:t>
      </w:r>
      <w:r>
        <w:rPr/>
        <w:t>to</w:t>
      </w:r>
      <w:r>
        <w:rPr>
          <w:spacing w:val="-27"/>
        </w:rPr>
        <w:t> </w:t>
      </w:r>
      <w:r>
        <w:rPr/>
        <w:t>causation</w:t>
      </w:r>
      <w:r>
        <w:rPr>
          <w:spacing w:val="-27"/>
        </w:rPr>
        <w:t> </w:t>
      </w:r>
      <w:r>
        <w:rPr/>
        <w:t>of</w:t>
      </w:r>
      <w:r>
        <w:rPr>
          <w:spacing w:val="-26"/>
        </w:rPr>
        <w:t> </w:t>
      </w:r>
      <w:r>
        <w:rPr/>
        <w:t>the damage</w:t>
      </w:r>
      <w:r>
        <w:rPr>
          <w:spacing w:val="-29"/>
        </w:rPr>
        <w:t> </w:t>
      </w:r>
      <w:r>
        <w:rPr/>
        <w:t>to</w:t>
      </w:r>
      <w:r>
        <w:rPr>
          <w:spacing w:val="-28"/>
        </w:rPr>
        <w:t> </w:t>
      </w:r>
      <w:r>
        <w:rPr/>
        <w:t>the</w:t>
      </w:r>
      <w:r>
        <w:rPr>
          <w:spacing w:val="-31"/>
        </w:rPr>
        <w:t> </w:t>
      </w:r>
      <w:r>
        <w:rPr/>
        <w:t>insured’s</w:t>
      </w:r>
      <w:r>
        <w:rPr>
          <w:spacing w:val="-31"/>
        </w:rPr>
        <w:t> </w:t>
      </w:r>
      <w:r>
        <w:rPr/>
        <w:t>property.</w:t>
      </w:r>
      <w:r>
        <w:rPr>
          <w:spacing w:val="13"/>
        </w:rPr>
        <w:t> </w:t>
      </w:r>
      <w:r>
        <w:rPr>
          <w:spacing w:val="3"/>
        </w:rPr>
        <w:t>In</w:t>
      </w:r>
      <w:r>
        <w:rPr>
          <w:spacing w:val="-29"/>
        </w:rPr>
        <w:t> </w:t>
      </w:r>
      <w:r>
        <w:rPr/>
        <w:t>reversing, the</w:t>
      </w:r>
      <w:r>
        <w:rPr>
          <w:spacing w:val="-29"/>
        </w:rPr>
        <w:t> </w:t>
      </w:r>
      <w:r>
        <w:rPr/>
        <w:t>court</w:t>
      </w:r>
      <w:r>
        <w:rPr>
          <w:spacing w:val="-30"/>
        </w:rPr>
        <w:t> </w:t>
      </w:r>
      <w:r>
        <w:rPr/>
        <w:t>held</w:t>
      </w:r>
      <w:r>
        <w:rPr>
          <w:spacing w:val="-28"/>
        </w:rPr>
        <w:t> </w:t>
      </w:r>
      <w:r>
        <w:rPr/>
        <w:t>that</w:t>
      </w:r>
      <w:r>
        <w:rPr>
          <w:spacing w:val="-29"/>
        </w:rPr>
        <w:t> </w:t>
      </w:r>
      <w:r>
        <w:rPr/>
        <w:t>because</w:t>
      </w:r>
      <w:r>
        <w:rPr>
          <w:spacing w:val="-27"/>
        </w:rPr>
        <w:t> </w:t>
      </w:r>
      <w:r>
        <w:rPr/>
        <w:t>the</w:t>
      </w:r>
      <w:r>
        <w:rPr>
          <w:spacing w:val="-30"/>
        </w:rPr>
        <w:t> </w:t>
      </w:r>
      <w:r>
        <w:rPr/>
        <w:t>insured</w:t>
      </w:r>
      <w:r>
        <w:rPr>
          <w:spacing w:val="-27"/>
        </w:rPr>
        <w:t> </w:t>
      </w:r>
      <w:r>
        <w:rPr/>
        <w:t>did</w:t>
      </w:r>
      <w:r>
        <w:rPr>
          <w:spacing w:val="-26"/>
        </w:rPr>
        <w:t> </w:t>
      </w:r>
      <w:r>
        <w:rPr>
          <w:spacing w:val="-4"/>
        </w:rPr>
        <w:t>not </w:t>
      </w:r>
      <w:r>
        <w:rPr/>
        <w:t>request a declaratory judgment and only requested that the court select an umpire, an act agreed to by the parties in the contract, the trial court lacked authority to impose specific conditions on the way in which the appraisers would complete their</w:t>
      </w:r>
      <w:r>
        <w:rPr>
          <w:spacing w:val="-8"/>
        </w:rPr>
        <w:t> </w:t>
      </w:r>
      <w:r>
        <w:rPr/>
        <w:t>task.</w:t>
      </w:r>
      <w:r>
        <w:rPr>
          <w:vertAlign w:val="superscript"/>
        </w:rPr>
        <w:t>874</w:t>
      </w:r>
    </w:p>
    <w:p>
      <w:pPr>
        <w:pStyle w:val="BodyText"/>
        <w:spacing w:before="10"/>
        <w:rPr>
          <w:sz w:val="25"/>
        </w:rPr>
      </w:pPr>
    </w:p>
    <w:p>
      <w:pPr>
        <w:pStyle w:val="BodyText"/>
        <w:spacing w:line="242" w:lineRule="auto" w:before="1"/>
        <w:ind w:left="1520" w:right="1518" w:firstLine="720"/>
        <w:jc w:val="both"/>
      </w:pPr>
      <w:r>
        <w:rPr/>
        <w:t>Similarly,</w:t>
      </w:r>
      <w:r>
        <w:rPr>
          <w:spacing w:val="-32"/>
        </w:rPr>
        <w:t> </w:t>
      </w:r>
      <w:r>
        <w:rPr/>
        <w:t>in</w:t>
      </w:r>
      <w:r>
        <w:rPr>
          <w:spacing w:val="-30"/>
        </w:rPr>
        <w:t> </w:t>
      </w:r>
      <w:r>
        <w:rPr/>
        <w:t>New</w:t>
      </w:r>
      <w:r>
        <w:rPr>
          <w:spacing w:val="-35"/>
        </w:rPr>
        <w:t> </w:t>
      </w:r>
      <w:r>
        <w:rPr/>
        <w:t>York</w:t>
      </w:r>
      <w:r>
        <w:rPr>
          <w:spacing w:val="-27"/>
        </w:rPr>
        <w:t> </w:t>
      </w:r>
      <w:r>
        <w:rPr/>
        <w:t>it</w:t>
      </w:r>
      <w:r>
        <w:rPr>
          <w:spacing w:val="-29"/>
        </w:rPr>
        <w:t> </w:t>
      </w:r>
      <w:r>
        <w:rPr/>
        <w:t>has</w:t>
      </w:r>
      <w:r>
        <w:rPr>
          <w:spacing w:val="-27"/>
        </w:rPr>
        <w:t> </w:t>
      </w:r>
      <w:r>
        <w:rPr/>
        <w:t>been</w:t>
      </w:r>
      <w:r>
        <w:rPr>
          <w:spacing w:val="-29"/>
        </w:rPr>
        <w:t> </w:t>
      </w:r>
      <w:r>
        <w:rPr/>
        <w:t>held</w:t>
      </w:r>
      <w:r>
        <w:rPr>
          <w:spacing w:val="-27"/>
        </w:rPr>
        <w:t> </w:t>
      </w:r>
      <w:r>
        <w:rPr/>
        <w:t>that an action to appoint an umpire </w:t>
      </w:r>
      <w:r>
        <w:rPr>
          <w:spacing w:val="2"/>
        </w:rPr>
        <w:t>is </w:t>
      </w:r>
      <w:r>
        <w:rPr/>
        <w:t>not the proper forum to determine the extent of the issues sto be considered in appraisal and is beyond the scope of an application to appoint an</w:t>
      </w:r>
      <w:r>
        <w:rPr>
          <w:spacing w:val="-3"/>
        </w:rPr>
        <w:t> </w:t>
      </w:r>
      <w:r>
        <w:rPr/>
        <w:t>umpire.</w:t>
      </w:r>
      <w:r>
        <w:rPr>
          <w:vertAlign w:val="superscript"/>
        </w:rPr>
        <w:t>875</w:t>
      </w:r>
    </w:p>
    <w:p>
      <w:pPr>
        <w:pStyle w:val="BodyText"/>
      </w:pPr>
    </w:p>
    <w:p>
      <w:pPr>
        <w:pStyle w:val="BodyText"/>
        <w:spacing w:line="242" w:lineRule="auto"/>
        <w:ind w:left="1520" w:right="1520" w:firstLine="720"/>
        <w:jc w:val="both"/>
      </w:pPr>
      <w:r>
        <w:rPr>
          <w:spacing w:val="-5"/>
        </w:rPr>
        <w:t>Where</w:t>
      </w:r>
      <w:r>
        <w:rPr>
          <w:spacing w:val="-32"/>
        </w:rPr>
        <w:t> </w:t>
      </w:r>
      <w:r>
        <w:rPr/>
        <w:t>an</w:t>
      </w:r>
      <w:r>
        <w:rPr>
          <w:spacing w:val="-31"/>
        </w:rPr>
        <w:t> </w:t>
      </w:r>
      <w:r>
        <w:rPr/>
        <w:t>action</w:t>
      </w:r>
      <w:r>
        <w:rPr>
          <w:spacing w:val="-30"/>
        </w:rPr>
        <w:t> </w:t>
      </w:r>
      <w:r>
        <w:rPr/>
        <w:t>to</w:t>
      </w:r>
      <w:r>
        <w:rPr>
          <w:spacing w:val="-30"/>
        </w:rPr>
        <w:t> </w:t>
      </w:r>
      <w:r>
        <w:rPr/>
        <w:t>compel</w:t>
      </w:r>
      <w:r>
        <w:rPr>
          <w:spacing w:val="-30"/>
        </w:rPr>
        <w:t> </w:t>
      </w:r>
      <w:r>
        <w:rPr>
          <w:spacing w:val="-3"/>
        </w:rPr>
        <w:t>appointment </w:t>
      </w:r>
      <w:r>
        <w:rPr/>
        <w:t>of</w:t>
      </w:r>
      <w:r>
        <w:rPr>
          <w:spacing w:val="-13"/>
        </w:rPr>
        <w:t> </w:t>
      </w:r>
      <w:r>
        <w:rPr/>
        <w:t>an</w:t>
      </w:r>
      <w:r>
        <w:rPr>
          <w:spacing w:val="-13"/>
        </w:rPr>
        <w:t> </w:t>
      </w:r>
      <w:r>
        <w:rPr/>
        <w:t>umpire</w:t>
      </w:r>
      <w:r>
        <w:rPr>
          <w:spacing w:val="-14"/>
        </w:rPr>
        <w:t> </w:t>
      </w:r>
      <w:r>
        <w:rPr/>
        <w:t>is</w:t>
      </w:r>
      <w:r>
        <w:rPr>
          <w:spacing w:val="-11"/>
        </w:rPr>
        <w:t> </w:t>
      </w:r>
      <w:r>
        <w:rPr/>
        <w:t>brought</w:t>
      </w:r>
      <w:r>
        <w:rPr>
          <w:spacing w:val="-10"/>
        </w:rPr>
        <w:t> </w:t>
      </w:r>
      <w:r>
        <w:rPr/>
        <w:t>by</w:t>
      </w:r>
      <w:r>
        <w:rPr>
          <w:spacing w:val="-16"/>
        </w:rPr>
        <w:t> </w:t>
      </w:r>
      <w:r>
        <w:rPr/>
        <w:t>special</w:t>
      </w:r>
      <w:r>
        <w:rPr>
          <w:spacing w:val="-13"/>
        </w:rPr>
        <w:t> </w:t>
      </w:r>
      <w:r>
        <w:rPr/>
        <w:t>proceeding pursuant</w:t>
      </w:r>
      <w:r>
        <w:rPr>
          <w:spacing w:val="-14"/>
        </w:rPr>
        <w:t> </w:t>
      </w:r>
      <w:r>
        <w:rPr/>
        <w:t>to</w:t>
      </w:r>
      <w:r>
        <w:rPr>
          <w:spacing w:val="-13"/>
        </w:rPr>
        <w:t> </w:t>
      </w:r>
      <w:r>
        <w:rPr/>
        <w:t>statute</w:t>
      </w:r>
      <w:r>
        <w:rPr>
          <w:spacing w:val="-15"/>
        </w:rPr>
        <w:t> </w:t>
      </w:r>
      <w:r>
        <w:rPr/>
        <w:t>(i.e.</w:t>
      </w:r>
      <w:r>
        <w:rPr>
          <w:spacing w:val="-14"/>
        </w:rPr>
        <w:t> </w:t>
      </w:r>
      <w:r>
        <w:rPr/>
        <w:t>Ins.</w:t>
      </w:r>
      <w:r>
        <w:rPr>
          <w:spacing w:val="-12"/>
        </w:rPr>
        <w:t> </w:t>
      </w:r>
      <w:r>
        <w:rPr/>
        <w:t>Law</w:t>
      </w:r>
      <w:r>
        <w:rPr>
          <w:spacing w:val="-15"/>
        </w:rPr>
        <w:t> </w:t>
      </w:r>
      <w:r>
        <w:rPr/>
        <w:t>§</w:t>
      </w:r>
      <w:r>
        <w:rPr>
          <w:spacing w:val="-15"/>
        </w:rPr>
        <w:t> </w:t>
      </w:r>
      <w:r>
        <w:rPr/>
        <w:t>3408),</w:t>
      </w:r>
      <w:r>
        <w:rPr>
          <w:spacing w:val="-17"/>
        </w:rPr>
        <w:t> </w:t>
      </w:r>
      <w:r>
        <w:rPr/>
        <w:t>“there is no basis for the court to issue a declaratory judgment regarding competency of [any] appraiser.”</w:t>
      </w:r>
      <w:r>
        <w:rPr>
          <w:vertAlign w:val="superscript"/>
        </w:rPr>
        <w:t>876</w:t>
      </w:r>
    </w:p>
    <w:p>
      <w:pPr>
        <w:pStyle w:val="BodyText"/>
        <w:spacing w:before="1"/>
      </w:pPr>
    </w:p>
    <w:p>
      <w:pPr>
        <w:pStyle w:val="BodyText"/>
        <w:spacing w:line="242" w:lineRule="auto"/>
        <w:ind w:left="1520" w:right="1520" w:firstLine="720"/>
        <w:jc w:val="both"/>
      </w:pPr>
      <w:r>
        <w:rPr>
          <w:spacing w:val="3"/>
        </w:rPr>
        <w:t>It </w:t>
      </w:r>
      <w:r>
        <w:rPr/>
        <w:t>is important to note that an action to appoint</w:t>
      </w:r>
      <w:r>
        <w:rPr>
          <w:spacing w:val="-12"/>
        </w:rPr>
        <w:t> </w:t>
      </w:r>
      <w:r>
        <w:rPr/>
        <w:t>an</w:t>
      </w:r>
      <w:r>
        <w:rPr>
          <w:spacing w:val="-10"/>
        </w:rPr>
        <w:t> </w:t>
      </w:r>
      <w:r>
        <w:rPr/>
        <w:t>umpire</w:t>
      </w:r>
      <w:r>
        <w:rPr>
          <w:spacing w:val="-11"/>
        </w:rPr>
        <w:t> </w:t>
      </w:r>
      <w:r>
        <w:rPr/>
        <w:t>does</w:t>
      </w:r>
      <w:r>
        <w:rPr>
          <w:spacing w:val="-10"/>
        </w:rPr>
        <w:t> </w:t>
      </w:r>
      <w:r>
        <w:rPr/>
        <w:t>not</w:t>
      </w:r>
      <w:r>
        <w:rPr>
          <w:spacing w:val="-13"/>
        </w:rPr>
        <w:t> </w:t>
      </w:r>
      <w:r>
        <w:rPr/>
        <w:t>confer</w:t>
      </w:r>
      <w:r>
        <w:rPr>
          <w:spacing w:val="-13"/>
        </w:rPr>
        <w:t> </w:t>
      </w:r>
      <w:r>
        <w:rPr/>
        <w:t>jurisdiction</w:t>
      </w:r>
    </w:p>
    <w:p>
      <w:pPr>
        <w:pStyle w:val="BodyText"/>
        <w:spacing w:before="2"/>
        <w:rPr>
          <w:sz w:val="28"/>
        </w:rPr>
      </w:pPr>
      <w:r>
        <w:rPr/>
        <w:pict>
          <v:shape style="position:absolute;margin-left:162pt;margin-top:19.70643pt;width:143.9pt;height:.1pt;mso-position-horizontal-relative:page;mso-position-vertical-relative:paragraph;z-index:-251629568;mso-wrap-distance-left:0;mso-wrap-distance-right:0" coordorigin="3240,394" coordsize="2878,0" path="m3240,394l6118,39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8"/>
        </w:numPr>
        <w:tabs>
          <w:tab w:pos="1435" w:val="left" w:leader="none"/>
        </w:tabs>
        <w:spacing w:line="254" w:lineRule="exact" w:before="71" w:after="0"/>
        <w:ind w:left="1434" w:right="0" w:hanging="275"/>
        <w:jc w:val="left"/>
        <w:rPr>
          <w:sz w:val="24"/>
        </w:rPr>
      </w:pPr>
      <w:r>
        <w:rPr>
          <w:i/>
          <w:sz w:val="18"/>
        </w:rPr>
        <w:t>See </w:t>
      </w:r>
      <w:r>
        <w:rPr>
          <w:sz w:val="18"/>
          <w:u w:val="single"/>
        </w:rPr>
        <w:t>Hull v. Motorists Ins. Group</w:t>
      </w:r>
      <w:r>
        <w:rPr>
          <w:sz w:val="18"/>
        </w:rPr>
        <w:t>, 2011 WL 2040958 (Ohio Ct. App.</w:t>
      </w:r>
      <w:r>
        <w:rPr>
          <w:spacing w:val="3"/>
          <w:sz w:val="18"/>
        </w:rPr>
        <w:t> </w:t>
      </w:r>
      <w:r>
        <w:rPr>
          <w:sz w:val="18"/>
        </w:rPr>
        <w:t>2011)</w:t>
      </w:r>
      <w:r>
        <w:rPr>
          <w:sz w:val="24"/>
        </w:rPr>
        <w:t>.</w:t>
      </w:r>
    </w:p>
    <w:p>
      <w:pPr>
        <w:pStyle w:val="ListParagraph"/>
        <w:numPr>
          <w:ilvl w:val="0"/>
          <w:numId w:val="8"/>
        </w:numPr>
        <w:tabs>
          <w:tab w:pos="1411" w:val="left" w:leader="none"/>
        </w:tabs>
        <w:spacing w:line="241" w:lineRule="exact" w:before="0" w:after="0"/>
        <w:ind w:left="1410" w:right="0" w:hanging="251"/>
        <w:jc w:val="left"/>
        <w:rPr>
          <w:sz w:val="18"/>
        </w:rPr>
      </w:pPr>
      <w:r>
        <w:rPr>
          <w:sz w:val="18"/>
          <w:u w:val="single"/>
        </w:rPr>
        <w:t>In</w:t>
      </w:r>
      <w:r>
        <w:rPr>
          <w:spacing w:val="-8"/>
          <w:sz w:val="18"/>
          <w:u w:val="single"/>
        </w:rPr>
        <w:t> </w:t>
      </w:r>
      <w:r>
        <w:rPr>
          <w:sz w:val="18"/>
          <w:u w:val="single"/>
        </w:rPr>
        <w:t>the</w:t>
      </w:r>
      <w:r>
        <w:rPr>
          <w:spacing w:val="-10"/>
          <w:sz w:val="18"/>
          <w:u w:val="single"/>
        </w:rPr>
        <w:t> </w:t>
      </w:r>
      <w:r>
        <w:rPr>
          <w:sz w:val="18"/>
          <w:u w:val="single"/>
        </w:rPr>
        <w:t>Matter</w:t>
      </w:r>
      <w:r>
        <w:rPr>
          <w:spacing w:val="-9"/>
          <w:sz w:val="18"/>
          <w:u w:val="single"/>
        </w:rPr>
        <w:t> </w:t>
      </w:r>
      <w:r>
        <w:rPr>
          <w:sz w:val="18"/>
          <w:u w:val="single"/>
        </w:rPr>
        <w:t>of</w:t>
      </w:r>
      <w:r>
        <w:rPr>
          <w:spacing w:val="-12"/>
          <w:sz w:val="18"/>
          <w:u w:val="single"/>
        </w:rPr>
        <w:t> </w:t>
      </w:r>
      <w:r>
        <w:rPr>
          <w:sz w:val="18"/>
          <w:u w:val="single"/>
        </w:rPr>
        <w:t>Merrimack</w:t>
      </w:r>
      <w:r>
        <w:rPr>
          <w:spacing w:val="-12"/>
          <w:sz w:val="18"/>
          <w:u w:val="single"/>
        </w:rPr>
        <w:t> </w:t>
      </w:r>
      <w:r>
        <w:rPr>
          <w:sz w:val="18"/>
          <w:u w:val="single"/>
        </w:rPr>
        <w:t>Mut.</w:t>
      </w:r>
      <w:r>
        <w:rPr>
          <w:spacing w:val="-8"/>
          <w:sz w:val="18"/>
          <w:u w:val="single"/>
        </w:rPr>
        <w:t> </w:t>
      </w:r>
      <w:r>
        <w:rPr>
          <w:sz w:val="18"/>
          <w:u w:val="single"/>
        </w:rPr>
        <w:t>Fire</w:t>
      </w:r>
      <w:r>
        <w:rPr>
          <w:spacing w:val="-9"/>
          <w:sz w:val="18"/>
          <w:u w:val="single"/>
        </w:rPr>
        <w:t> </w:t>
      </w:r>
      <w:r>
        <w:rPr>
          <w:sz w:val="18"/>
          <w:u w:val="single"/>
        </w:rPr>
        <w:t>Ins.</w:t>
      </w:r>
      <w:r>
        <w:rPr>
          <w:spacing w:val="-9"/>
          <w:sz w:val="18"/>
          <w:u w:val="single"/>
        </w:rPr>
        <w:t> </w:t>
      </w:r>
      <w:r>
        <w:rPr>
          <w:sz w:val="18"/>
          <w:u w:val="single"/>
        </w:rPr>
        <w:t>Co.</w:t>
      </w:r>
      <w:r>
        <w:rPr>
          <w:spacing w:val="-9"/>
          <w:sz w:val="18"/>
          <w:u w:val="single"/>
        </w:rPr>
        <w:t> </w:t>
      </w:r>
      <w:r>
        <w:rPr>
          <w:sz w:val="18"/>
          <w:u w:val="single"/>
        </w:rPr>
        <w:t>v.</w:t>
      </w:r>
      <w:r>
        <w:rPr>
          <w:spacing w:val="-11"/>
          <w:sz w:val="18"/>
          <w:u w:val="single"/>
        </w:rPr>
        <w:t> </w:t>
      </w:r>
      <w:r>
        <w:rPr>
          <w:sz w:val="18"/>
          <w:u w:val="single"/>
        </w:rPr>
        <w:t>Seibert</w:t>
      </w:r>
      <w:r>
        <w:rPr>
          <w:sz w:val="18"/>
        </w:rPr>
        <w:t>,</w:t>
      </w:r>
      <w:r>
        <w:rPr>
          <w:spacing w:val="-8"/>
          <w:sz w:val="18"/>
        </w:rPr>
        <w:t> </w:t>
      </w:r>
      <w:r>
        <w:rPr>
          <w:sz w:val="18"/>
        </w:rPr>
        <w:t>31</w:t>
      </w:r>
      <w:r>
        <w:rPr>
          <w:spacing w:val="-8"/>
          <w:sz w:val="18"/>
        </w:rPr>
        <w:t> </w:t>
      </w:r>
      <w:r>
        <w:rPr>
          <w:sz w:val="18"/>
        </w:rPr>
        <w:t>Misc.3d</w:t>
      </w:r>
      <w:r>
        <w:rPr>
          <w:spacing w:val="-8"/>
          <w:sz w:val="18"/>
        </w:rPr>
        <w:t> </w:t>
      </w:r>
      <w:r>
        <w:rPr>
          <w:sz w:val="18"/>
        </w:rPr>
        <w:t>523,</w:t>
      </w:r>
      <w:r>
        <w:rPr>
          <w:spacing w:val="-9"/>
          <w:sz w:val="18"/>
        </w:rPr>
        <w:t> </w:t>
      </w:r>
      <w:r>
        <w:rPr>
          <w:sz w:val="18"/>
        </w:rPr>
        <w:t>917</w:t>
      </w:r>
      <w:r>
        <w:rPr>
          <w:spacing w:val="-9"/>
          <w:sz w:val="18"/>
        </w:rPr>
        <w:t> </w:t>
      </w:r>
      <w:r>
        <w:rPr>
          <w:sz w:val="18"/>
        </w:rPr>
        <w:t>N.Y.S.2d</w:t>
      </w:r>
    </w:p>
    <w:p>
      <w:pPr>
        <w:spacing w:line="182" w:lineRule="exact" w:before="4"/>
        <w:ind w:left="1160" w:right="0" w:firstLine="0"/>
        <w:jc w:val="left"/>
        <w:rPr>
          <w:rFonts w:ascii="Times New Roman"/>
          <w:sz w:val="18"/>
        </w:rPr>
      </w:pPr>
      <w:r>
        <w:rPr>
          <w:rFonts w:ascii="Times New Roman"/>
          <w:sz w:val="18"/>
        </w:rPr>
        <w:t>839, 2011 N.Y. Slip Op. 21060 (Monroe Cty. 2011).</w:t>
      </w:r>
    </w:p>
    <w:p>
      <w:pPr>
        <w:pStyle w:val="ListParagraph"/>
        <w:numPr>
          <w:ilvl w:val="0"/>
          <w:numId w:val="8"/>
        </w:numPr>
        <w:tabs>
          <w:tab w:pos="1376" w:val="left" w:leader="none"/>
        </w:tabs>
        <w:spacing w:line="235" w:lineRule="exact" w:before="0" w:after="0"/>
        <w:ind w:left="1376" w:right="0" w:hanging="216"/>
        <w:jc w:val="left"/>
        <w:rPr>
          <w:sz w:val="18"/>
        </w:rPr>
      </w:pPr>
      <w:r>
        <w:rPr>
          <w:sz w:val="18"/>
          <w:u w:val="single"/>
        </w:rPr>
        <w:t> Id.</w:t>
      </w:r>
    </w:p>
    <w:p>
      <w:pPr>
        <w:spacing w:after="0" w:line="235"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20" w:id="35"/>
      <w:bookmarkEnd w:id="35"/>
      <w:r>
        <w:rPr/>
      </w:r>
      <w:r>
        <w:rPr/>
        <w:t>on the court to limit the scope of appraisal. </w:t>
      </w:r>
      <w:r>
        <w:rPr>
          <w:spacing w:val="3"/>
        </w:rPr>
        <w:t>In </w:t>
      </w:r>
      <w:r>
        <w:rPr/>
        <w:t>New York, the Court declined a request by parties to limit or define an umpire’s damage assessment</w:t>
      </w:r>
      <w:r>
        <w:rPr>
          <w:spacing w:val="-10"/>
        </w:rPr>
        <w:t> </w:t>
      </w:r>
      <w:r>
        <w:rPr/>
        <w:t>in</w:t>
      </w:r>
      <w:r>
        <w:rPr>
          <w:spacing w:val="-8"/>
        </w:rPr>
        <w:t> </w:t>
      </w:r>
      <w:r>
        <w:rPr/>
        <w:t>terms</w:t>
      </w:r>
      <w:r>
        <w:rPr>
          <w:spacing w:val="-8"/>
        </w:rPr>
        <w:t> </w:t>
      </w:r>
      <w:r>
        <w:rPr/>
        <w:t>of</w:t>
      </w:r>
      <w:r>
        <w:rPr>
          <w:spacing w:val="-7"/>
        </w:rPr>
        <w:t> </w:t>
      </w:r>
      <w:r>
        <w:rPr/>
        <w:t>value</w:t>
      </w:r>
      <w:r>
        <w:rPr>
          <w:spacing w:val="-6"/>
        </w:rPr>
        <w:t> </w:t>
      </w:r>
      <w:r>
        <w:rPr/>
        <w:t>of</w:t>
      </w:r>
      <w:r>
        <w:rPr>
          <w:spacing w:val="-7"/>
        </w:rPr>
        <w:t> </w:t>
      </w:r>
      <w:r>
        <w:rPr/>
        <w:t>the</w:t>
      </w:r>
      <w:r>
        <w:rPr>
          <w:spacing w:val="-8"/>
        </w:rPr>
        <w:t> </w:t>
      </w:r>
      <w:r>
        <w:rPr/>
        <w:t>loss,</w:t>
      </w:r>
      <w:r>
        <w:rPr>
          <w:spacing w:val="-10"/>
        </w:rPr>
        <w:t> </w:t>
      </w:r>
      <w:r>
        <w:rPr/>
        <w:t>actual cash</w:t>
      </w:r>
      <w:r>
        <w:rPr>
          <w:spacing w:val="-16"/>
        </w:rPr>
        <w:t> </w:t>
      </w:r>
      <w:r>
        <w:rPr/>
        <w:t>value,</w:t>
      </w:r>
      <w:r>
        <w:rPr>
          <w:spacing w:val="-17"/>
        </w:rPr>
        <w:t> </w:t>
      </w:r>
      <w:r>
        <w:rPr/>
        <w:t>repair</w:t>
      </w:r>
      <w:r>
        <w:rPr>
          <w:spacing w:val="-17"/>
        </w:rPr>
        <w:t> </w:t>
      </w:r>
      <w:r>
        <w:rPr/>
        <w:t>and</w:t>
      </w:r>
      <w:r>
        <w:rPr>
          <w:spacing w:val="-15"/>
        </w:rPr>
        <w:t> </w:t>
      </w:r>
      <w:r>
        <w:rPr/>
        <w:t>replacement</w:t>
      </w:r>
      <w:r>
        <w:rPr>
          <w:spacing w:val="-16"/>
        </w:rPr>
        <w:t> </w:t>
      </w:r>
      <w:r>
        <w:rPr/>
        <w:t>costs</w:t>
      </w:r>
      <w:r>
        <w:rPr>
          <w:spacing w:val="-15"/>
        </w:rPr>
        <w:t> </w:t>
      </w:r>
      <w:r>
        <w:rPr>
          <w:spacing w:val="-4"/>
        </w:rPr>
        <w:t>and </w:t>
      </w:r>
      <w:r>
        <w:rPr/>
        <w:t>other issues. </w:t>
      </w:r>
      <w:r>
        <w:rPr>
          <w:spacing w:val="3"/>
        </w:rPr>
        <w:t>It </w:t>
      </w:r>
      <w:r>
        <w:rPr/>
        <w:t>asserted that an appraisal decision pursuant to policy terms determined the amount of loss and “[t]he amount of loss shall be determined according to the policy terms and applicable provisions of the Insurance Law by the appointed umpire.”</w:t>
      </w:r>
      <w:r>
        <w:rPr>
          <w:spacing w:val="-10"/>
        </w:rPr>
        <w:t> </w:t>
      </w:r>
      <w:r>
        <w:rPr>
          <w:u w:val="single"/>
          <w:vertAlign w:val="superscript"/>
        </w:rPr>
        <w:t>877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4"/>
        </w:rPr>
      </w:pPr>
      <w:r>
        <w:rPr/>
        <w:pict>
          <v:shape style="position:absolute;margin-left:162pt;margin-top:11.088696pt;width:143.9pt;height:.1pt;mso-position-horizontal-relative:page;mso-position-vertical-relative:paragraph;z-index:-251628544;mso-wrap-distance-left:0;mso-wrap-distance-right:0" coordorigin="3240,222" coordsize="2878,0" path="m3240,222l6118,222e" filled="false" stroked="true" strokeweight=".84pt" strokecolor="#000000">
            <v:path arrowok="t"/>
            <v:stroke dashstyle="solid"/>
            <w10:wrap type="topAndBottom"/>
          </v:shape>
        </w:pict>
      </w:r>
    </w:p>
    <w:p>
      <w:pPr>
        <w:pStyle w:val="ListParagraph"/>
        <w:numPr>
          <w:ilvl w:val="0"/>
          <w:numId w:val="8"/>
        </w:numPr>
        <w:tabs>
          <w:tab w:pos="1411" w:val="left" w:leader="none"/>
        </w:tabs>
        <w:spacing w:line="244" w:lineRule="auto" w:before="140" w:after="0"/>
        <w:ind w:left="1160" w:right="1165" w:firstLine="0"/>
        <w:jc w:val="left"/>
        <w:rPr>
          <w:sz w:val="18"/>
        </w:rPr>
      </w:pPr>
      <w:r>
        <w:rPr>
          <w:sz w:val="18"/>
          <w:u w:val="single"/>
        </w:rPr>
        <w:t>In</w:t>
      </w:r>
      <w:r>
        <w:rPr>
          <w:spacing w:val="-8"/>
          <w:sz w:val="18"/>
          <w:u w:val="single"/>
        </w:rPr>
        <w:t> </w:t>
      </w:r>
      <w:r>
        <w:rPr>
          <w:sz w:val="18"/>
          <w:u w:val="single"/>
        </w:rPr>
        <w:t>the</w:t>
      </w:r>
      <w:r>
        <w:rPr>
          <w:spacing w:val="-12"/>
          <w:sz w:val="18"/>
          <w:u w:val="single"/>
        </w:rPr>
        <w:t> </w:t>
      </w:r>
      <w:r>
        <w:rPr>
          <w:sz w:val="18"/>
          <w:u w:val="single"/>
        </w:rPr>
        <w:t>Matter</w:t>
      </w:r>
      <w:r>
        <w:rPr>
          <w:spacing w:val="-11"/>
          <w:sz w:val="18"/>
          <w:u w:val="single"/>
        </w:rPr>
        <w:t> </w:t>
      </w:r>
      <w:r>
        <w:rPr>
          <w:sz w:val="18"/>
          <w:u w:val="single"/>
        </w:rPr>
        <w:t>of</w:t>
      </w:r>
      <w:r>
        <w:rPr>
          <w:spacing w:val="-11"/>
          <w:sz w:val="18"/>
          <w:u w:val="single"/>
        </w:rPr>
        <w:t> </w:t>
      </w:r>
      <w:r>
        <w:rPr>
          <w:sz w:val="18"/>
          <w:u w:val="single"/>
        </w:rPr>
        <w:t>Merrimack</w:t>
      </w:r>
      <w:r>
        <w:rPr>
          <w:spacing w:val="-11"/>
          <w:sz w:val="18"/>
          <w:u w:val="single"/>
        </w:rPr>
        <w:t> </w:t>
      </w:r>
      <w:r>
        <w:rPr>
          <w:sz w:val="18"/>
          <w:u w:val="single"/>
        </w:rPr>
        <w:t>Mut.</w:t>
      </w:r>
      <w:r>
        <w:rPr>
          <w:spacing w:val="-8"/>
          <w:sz w:val="18"/>
          <w:u w:val="single"/>
        </w:rPr>
        <w:t> </w:t>
      </w:r>
      <w:r>
        <w:rPr>
          <w:sz w:val="18"/>
          <w:u w:val="single"/>
        </w:rPr>
        <w:t>Fire</w:t>
      </w:r>
      <w:r>
        <w:rPr>
          <w:spacing w:val="-9"/>
          <w:sz w:val="18"/>
          <w:u w:val="single"/>
        </w:rPr>
        <w:t> </w:t>
      </w:r>
      <w:r>
        <w:rPr>
          <w:sz w:val="18"/>
          <w:u w:val="single"/>
        </w:rPr>
        <w:t>Ins.</w:t>
      </w:r>
      <w:r>
        <w:rPr>
          <w:spacing w:val="-8"/>
          <w:sz w:val="18"/>
          <w:u w:val="single"/>
        </w:rPr>
        <w:t> </w:t>
      </w:r>
      <w:r>
        <w:rPr>
          <w:sz w:val="18"/>
          <w:u w:val="single"/>
        </w:rPr>
        <w:t>Co.</w:t>
      </w:r>
      <w:r>
        <w:rPr>
          <w:spacing w:val="-9"/>
          <w:sz w:val="18"/>
          <w:u w:val="single"/>
        </w:rPr>
        <w:t> </w:t>
      </w:r>
      <w:r>
        <w:rPr>
          <w:sz w:val="18"/>
          <w:u w:val="single"/>
        </w:rPr>
        <w:t>v.</w:t>
      </w:r>
      <w:r>
        <w:rPr>
          <w:spacing w:val="-8"/>
          <w:sz w:val="18"/>
          <w:u w:val="single"/>
        </w:rPr>
        <w:t> </w:t>
      </w:r>
      <w:r>
        <w:rPr>
          <w:sz w:val="18"/>
          <w:u w:val="single"/>
        </w:rPr>
        <w:t>Seibert</w:t>
      </w:r>
      <w:r>
        <w:rPr>
          <w:sz w:val="18"/>
        </w:rPr>
        <w:t>,</w:t>
      </w:r>
      <w:r>
        <w:rPr>
          <w:spacing w:val="-9"/>
          <w:sz w:val="18"/>
        </w:rPr>
        <w:t> </w:t>
      </w:r>
      <w:r>
        <w:rPr>
          <w:sz w:val="18"/>
        </w:rPr>
        <w:t>31</w:t>
      </w:r>
      <w:r>
        <w:rPr>
          <w:spacing w:val="-7"/>
          <w:sz w:val="18"/>
        </w:rPr>
        <w:t> </w:t>
      </w:r>
      <w:r>
        <w:rPr>
          <w:sz w:val="18"/>
        </w:rPr>
        <w:t>Misc.3d</w:t>
      </w:r>
      <w:r>
        <w:rPr>
          <w:spacing w:val="-8"/>
          <w:sz w:val="18"/>
        </w:rPr>
        <w:t> </w:t>
      </w:r>
      <w:r>
        <w:rPr>
          <w:sz w:val="18"/>
        </w:rPr>
        <w:t>523,</w:t>
      </w:r>
      <w:r>
        <w:rPr>
          <w:spacing w:val="-8"/>
          <w:sz w:val="18"/>
        </w:rPr>
        <w:t> </w:t>
      </w:r>
      <w:r>
        <w:rPr>
          <w:sz w:val="18"/>
        </w:rPr>
        <w:t>917</w:t>
      </w:r>
      <w:r>
        <w:rPr>
          <w:spacing w:val="-9"/>
          <w:sz w:val="18"/>
        </w:rPr>
        <w:t> </w:t>
      </w:r>
      <w:r>
        <w:rPr>
          <w:sz w:val="18"/>
        </w:rPr>
        <w:t>N.Y.S.2d 839, 2011 N.Y. Slip Op. 21060 (Monroe Cty.</w:t>
      </w:r>
      <w:r>
        <w:rPr>
          <w:spacing w:val="7"/>
          <w:sz w:val="18"/>
        </w:rPr>
        <w:t> </w:t>
      </w:r>
      <w:r>
        <w:rPr>
          <w:sz w:val="18"/>
        </w:rPr>
        <w:t>2011).</w:t>
      </w:r>
    </w:p>
    <w:p>
      <w:pPr>
        <w:spacing w:after="0" w:line="244"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1"/>
          <w:numId w:val="7"/>
        </w:numPr>
        <w:tabs>
          <w:tab w:pos="2239" w:val="left" w:leader="none"/>
          <w:tab w:pos="2240" w:val="left" w:leader="none"/>
        </w:tabs>
        <w:spacing w:line="240" w:lineRule="auto" w:before="42" w:after="0"/>
        <w:ind w:left="2240" w:right="0" w:hanging="720"/>
        <w:jc w:val="left"/>
        <w:rPr>
          <w:rFonts w:ascii="Century Gothic"/>
          <w:sz w:val="26"/>
        </w:rPr>
      </w:pPr>
      <w:bookmarkStart w:name="Law and Procedure 421" w:id="36"/>
      <w:bookmarkEnd w:id="36"/>
      <w:r>
        <w:rPr/>
      </w:r>
      <w:bookmarkStart w:name="Law and Procedure 421" w:id="37"/>
      <w:bookmarkEnd w:id="37"/>
      <w:r>
        <w:rPr>
          <w:rFonts w:ascii="Century Gothic"/>
          <w:spacing w:val="-3"/>
          <w:sz w:val="26"/>
        </w:rPr>
        <w:t>W</w:t>
      </w:r>
      <w:r>
        <w:rPr>
          <w:rFonts w:ascii="Century Gothic"/>
          <w:spacing w:val="-3"/>
          <w:sz w:val="26"/>
        </w:rPr>
        <w:t>HEN </w:t>
      </w:r>
      <w:r>
        <w:rPr>
          <w:rFonts w:ascii="Century Gothic"/>
          <w:sz w:val="26"/>
        </w:rPr>
        <w:t>TO APPOINT THE</w:t>
      </w:r>
      <w:r>
        <w:rPr>
          <w:rFonts w:ascii="Century Gothic"/>
          <w:spacing w:val="-6"/>
          <w:sz w:val="26"/>
        </w:rPr>
        <w:t> </w:t>
      </w:r>
      <w:r>
        <w:rPr>
          <w:rFonts w:ascii="Century Gothic"/>
          <w:sz w:val="26"/>
        </w:rPr>
        <w:t>UMPIRE</w:t>
      </w:r>
    </w:p>
    <w:p>
      <w:pPr>
        <w:pStyle w:val="BodyText"/>
        <w:spacing w:before="5"/>
      </w:pPr>
    </w:p>
    <w:p>
      <w:pPr>
        <w:pStyle w:val="BodyText"/>
        <w:spacing w:line="242" w:lineRule="auto"/>
        <w:ind w:left="1520" w:right="1522" w:firstLine="720"/>
        <w:jc w:val="both"/>
      </w:pPr>
      <w:r>
        <w:rPr/>
        <w:t>There</w:t>
      </w:r>
      <w:r>
        <w:rPr>
          <w:spacing w:val="-32"/>
        </w:rPr>
        <w:t> </w:t>
      </w:r>
      <w:r>
        <w:rPr/>
        <w:t>is</w:t>
      </w:r>
      <w:r>
        <w:rPr>
          <w:spacing w:val="-30"/>
        </w:rPr>
        <w:t> </w:t>
      </w:r>
      <w:r>
        <w:rPr/>
        <w:t>a</w:t>
      </w:r>
      <w:r>
        <w:rPr>
          <w:spacing w:val="-33"/>
        </w:rPr>
        <w:t> </w:t>
      </w:r>
      <w:r>
        <w:rPr>
          <w:spacing w:val="-3"/>
        </w:rPr>
        <w:t>dichotomy</w:t>
      </w:r>
      <w:r>
        <w:rPr>
          <w:spacing w:val="-36"/>
        </w:rPr>
        <w:t> </w:t>
      </w:r>
      <w:r>
        <w:rPr/>
        <w:t>in</w:t>
      </w:r>
      <w:r>
        <w:rPr>
          <w:spacing w:val="-30"/>
        </w:rPr>
        <w:t> </w:t>
      </w:r>
      <w:r>
        <w:rPr/>
        <w:t>thinking</w:t>
      </w:r>
      <w:r>
        <w:rPr>
          <w:spacing w:val="-29"/>
        </w:rPr>
        <w:t> </w:t>
      </w:r>
      <w:r>
        <w:rPr/>
        <w:t>regarding when an umpire should be</w:t>
      </w:r>
      <w:r>
        <w:rPr>
          <w:spacing w:val="-8"/>
        </w:rPr>
        <w:t> </w:t>
      </w:r>
      <w:r>
        <w:rPr/>
        <w:t>appointed.</w:t>
      </w:r>
    </w:p>
    <w:p>
      <w:pPr>
        <w:pStyle w:val="BodyText"/>
        <w:spacing w:before="2"/>
      </w:pPr>
    </w:p>
    <w:p>
      <w:pPr>
        <w:pStyle w:val="BodyText"/>
        <w:spacing w:line="242" w:lineRule="auto"/>
        <w:ind w:left="1520" w:right="1517" w:firstLine="720"/>
        <w:jc w:val="both"/>
      </w:pPr>
      <w:r>
        <w:rPr>
          <w:spacing w:val="3"/>
        </w:rPr>
        <w:t>It </w:t>
      </w:r>
      <w:r>
        <w:rPr/>
        <w:t>has been stated that the appraisers should</w:t>
      </w:r>
      <w:r>
        <w:rPr>
          <w:spacing w:val="-13"/>
        </w:rPr>
        <w:t> </w:t>
      </w:r>
      <w:r>
        <w:rPr/>
        <w:t>discuss</w:t>
      </w:r>
      <w:r>
        <w:rPr>
          <w:spacing w:val="-14"/>
        </w:rPr>
        <w:t> </w:t>
      </w:r>
      <w:r>
        <w:rPr/>
        <w:t>and</w:t>
      </w:r>
      <w:r>
        <w:rPr>
          <w:spacing w:val="-14"/>
        </w:rPr>
        <w:t> </w:t>
      </w:r>
      <w:r>
        <w:rPr/>
        <w:t>agree</w:t>
      </w:r>
      <w:r>
        <w:rPr>
          <w:spacing w:val="-15"/>
        </w:rPr>
        <w:t> </w:t>
      </w:r>
      <w:r>
        <w:rPr/>
        <w:t>on</w:t>
      </w:r>
      <w:r>
        <w:rPr>
          <w:spacing w:val="-17"/>
        </w:rPr>
        <w:t> </w:t>
      </w:r>
      <w:r>
        <w:rPr/>
        <w:t>the</w:t>
      </w:r>
      <w:r>
        <w:rPr>
          <w:spacing w:val="-18"/>
        </w:rPr>
        <w:t> </w:t>
      </w:r>
      <w:r>
        <w:rPr/>
        <w:t>identity</w:t>
      </w:r>
      <w:r>
        <w:rPr>
          <w:spacing w:val="-19"/>
        </w:rPr>
        <w:t> </w:t>
      </w:r>
      <w:r>
        <w:rPr/>
        <w:t>of</w:t>
      </w:r>
      <w:r>
        <w:rPr>
          <w:spacing w:val="-17"/>
        </w:rPr>
        <w:t> </w:t>
      </w:r>
      <w:r>
        <w:rPr/>
        <w:t>the umpire</w:t>
      </w:r>
      <w:r>
        <w:rPr>
          <w:spacing w:val="-34"/>
        </w:rPr>
        <w:t> </w:t>
      </w:r>
      <w:r>
        <w:rPr/>
        <w:t>before</w:t>
      </w:r>
      <w:r>
        <w:rPr>
          <w:spacing w:val="-32"/>
        </w:rPr>
        <w:t> </w:t>
      </w:r>
      <w:r>
        <w:rPr/>
        <w:t>discussing</w:t>
      </w:r>
      <w:r>
        <w:rPr>
          <w:spacing w:val="-29"/>
        </w:rPr>
        <w:t> </w:t>
      </w:r>
      <w:r>
        <w:rPr/>
        <w:t>the</w:t>
      </w:r>
      <w:r>
        <w:rPr>
          <w:spacing w:val="-32"/>
        </w:rPr>
        <w:t> </w:t>
      </w:r>
      <w:r>
        <w:rPr/>
        <w:t>merits</w:t>
      </w:r>
      <w:r>
        <w:rPr>
          <w:spacing w:val="-31"/>
        </w:rPr>
        <w:t> </w:t>
      </w:r>
      <w:r>
        <w:rPr/>
        <w:t>of</w:t>
      </w:r>
      <w:r>
        <w:rPr>
          <w:spacing w:val="-32"/>
        </w:rPr>
        <w:t> </w:t>
      </w:r>
      <w:r>
        <w:rPr/>
        <w:t>the</w:t>
      </w:r>
      <w:r>
        <w:rPr>
          <w:spacing w:val="-31"/>
        </w:rPr>
        <w:t> </w:t>
      </w:r>
      <w:r>
        <w:rPr/>
        <w:t>issues raised by the appraisal. The advocates of this approach point out that the Standard Fire Policy requires it, stating in relevant part, (lines 128 and 129) “[T]he appraisers shall first select a competent and disinterested umpire.” This</w:t>
      </w:r>
      <w:r>
        <w:rPr>
          <w:spacing w:val="-43"/>
        </w:rPr>
        <w:t> </w:t>
      </w:r>
      <w:r>
        <w:rPr/>
        <w:t>is contained in the passage immediately after the provision providing for the appointment</w:t>
      </w:r>
      <w:r>
        <w:rPr>
          <w:spacing w:val="-45"/>
        </w:rPr>
        <w:t> </w:t>
      </w:r>
      <w:r>
        <w:rPr/>
        <w:t>of the appraisers. Additionally, an argument has been</w:t>
      </w:r>
      <w:r>
        <w:rPr>
          <w:spacing w:val="-14"/>
        </w:rPr>
        <w:t> </w:t>
      </w:r>
      <w:r>
        <w:rPr/>
        <w:t>made</w:t>
      </w:r>
      <w:r>
        <w:rPr>
          <w:spacing w:val="-17"/>
        </w:rPr>
        <w:t> </w:t>
      </w:r>
      <w:r>
        <w:rPr/>
        <w:t>that</w:t>
      </w:r>
      <w:r>
        <w:rPr>
          <w:spacing w:val="-17"/>
        </w:rPr>
        <w:t> </w:t>
      </w:r>
      <w:r>
        <w:rPr/>
        <w:t>the</w:t>
      </w:r>
      <w:r>
        <w:rPr>
          <w:spacing w:val="-14"/>
        </w:rPr>
        <w:t> </w:t>
      </w:r>
      <w:r>
        <w:rPr/>
        <w:t>umpire</w:t>
      </w:r>
      <w:r>
        <w:rPr>
          <w:spacing w:val="-15"/>
        </w:rPr>
        <w:t> </w:t>
      </w:r>
      <w:r>
        <w:rPr/>
        <w:t>should</w:t>
      </w:r>
      <w:r>
        <w:rPr>
          <w:spacing w:val="-12"/>
        </w:rPr>
        <w:t> </w:t>
      </w:r>
      <w:r>
        <w:rPr/>
        <w:t>be</w:t>
      </w:r>
      <w:r>
        <w:rPr>
          <w:spacing w:val="-14"/>
        </w:rPr>
        <w:t> </w:t>
      </w:r>
      <w:r>
        <w:rPr>
          <w:spacing w:val="-3"/>
        </w:rPr>
        <w:t>agreed </w:t>
      </w:r>
      <w:r>
        <w:rPr>
          <w:spacing w:val="5"/>
        </w:rPr>
        <w:t>upon </w:t>
      </w:r>
      <w:r>
        <w:rPr>
          <w:spacing w:val="6"/>
        </w:rPr>
        <w:t>immediately</w:t>
      </w:r>
      <w:r>
        <w:rPr>
          <w:spacing w:val="83"/>
        </w:rPr>
        <w:t> </w:t>
      </w:r>
      <w:r>
        <w:rPr>
          <w:spacing w:val="5"/>
        </w:rPr>
        <w:t>in order </w:t>
      </w:r>
      <w:r>
        <w:rPr>
          <w:spacing w:val="2"/>
        </w:rPr>
        <w:t>to </w:t>
      </w:r>
      <w:r>
        <w:rPr>
          <w:spacing w:val="5"/>
        </w:rPr>
        <w:t>avoid </w:t>
      </w:r>
      <w:r>
        <w:rPr/>
        <w:t>confrontation</w:t>
      </w:r>
      <w:r>
        <w:rPr>
          <w:spacing w:val="-16"/>
        </w:rPr>
        <w:t> </w:t>
      </w:r>
      <w:r>
        <w:rPr/>
        <w:t>and</w:t>
      </w:r>
      <w:r>
        <w:rPr>
          <w:spacing w:val="-15"/>
        </w:rPr>
        <w:t> </w:t>
      </w:r>
      <w:r>
        <w:rPr/>
        <w:t>contention</w:t>
      </w:r>
      <w:r>
        <w:rPr>
          <w:spacing w:val="-15"/>
        </w:rPr>
        <w:t> </w:t>
      </w:r>
      <w:r>
        <w:rPr/>
        <w:t>in</w:t>
      </w:r>
      <w:r>
        <w:rPr>
          <w:spacing w:val="-15"/>
        </w:rPr>
        <w:t> </w:t>
      </w:r>
      <w:r>
        <w:rPr/>
        <w:t>that</w:t>
      </w:r>
      <w:r>
        <w:rPr>
          <w:spacing w:val="-20"/>
        </w:rPr>
        <w:t> </w:t>
      </w:r>
      <w:r>
        <w:rPr/>
        <w:t>selection </w:t>
      </w:r>
      <w:r>
        <w:rPr>
          <w:spacing w:val="13"/>
        </w:rPr>
        <w:t>process </w:t>
      </w:r>
      <w:r>
        <w:rPr>
          <w:spacing w:val="12"/>
        </w:rPr>
        <w:t>which </w:t>
      </w:r>
      <w:r>
        <w:rPr>
          <w:spacing w:val="11"/>
        </w:rPr>
        <w:t>might arise </w:t>
      </w:r>
      <w:r>
        <w:rPr>
          <w:spacing w:val="10"/>
        </w:rPr>
        <w:t>once </w:t>
      </w:r>
      <w:r>
        <w:rPr/>
        <w:t>a disagreement on the merits</w:t>
      </w:r>
      <w:r>
        <w:rPr>
          <w:spacing w:val="-10"/>
        </w:rPr>
        <w:t> </w:t>
      </w:r>
      <w:r>
        <w:rPr/>
        <w:t>occurs.</w:t>
      </w:r>
    </w:p>
    <w:p>
      <w:pPr>
        <w:pStyle w:val="BodyText"/>
        <w:spacing w:before="9"/>
        <w:rPr>
          <w:sz w:val="25"/>
        </w:rPr>
      </w:pPr>
    </w:p>
    <w:p>
      <w:pPr>
        <w:pStyle w:val="BodyText"/>
        <w:spacing w:line="242" w:lineRule="auto"/>
        <w:ind w:left="1520" w:right="1519" w:firstLine="720"/>
        <w:jc w:val="both"/>
      </w:pPr>
      <w:r>
        <w:rPr/>
        <w:t>While the umpire may often be</w:t>
      </w:r>
      <w:r>
        <w:rPr>
          <w:spacing w:val="-31"/>
        </w:rPr>
        <w:t> </w:t>
      </w:r>
      <w:r>
        <w:rPr>
          <w:spacing w:val="-3"/>
        </w:rPr>
        <w:t>selected </w:t>
      </w:r>
      <w:r>
        <w:rPr/>
        <w:t>immediately upon the appointment of </w:t>
      </w:r>
      <w:r>
        <w:rPr>
          <w:spacing w:val="-5"/>
        </w:rPr>
        <w:t>the </w:t>
      </w:r>
      <w:r>
        <w:rPr/>
        <w:t>appraisers and their arrival on the scene, the umpire generally does not become </w:t>
      </w:r>
      <w:r>
        <w:rPr>
          <w:spacing w:val="-3"/>
        </w:rPr>
        <w:t>directly </w:t>
      </w:r>
      <w:r>
        <w:rPr/>
        <w:t>involved</w:t>
      </w:r>
      <w:r>
        <w:rPr>
          <w:spacing w:val="-29"/>
        </w:rPr>
        <w:t> </w:t>
      </w:r>
      <w:r>
        <w:rPr/>
        <w:t>in</w:t>
      </w:r>
      <w:r>
        <w:rPr>
          <w:spacing w:val="-25"/>
        </w:rPr>
        <w:t> </w:t>
      </w:r>
      <w:r>
        <w:rPr/>
        <w:t>discussions</w:t>
      </w:r>
      <w:r>
        <w:rPr>
          <w:spacing w:val="-28"/>
        </w:rPr>
        <w:t> </w:t>
      </w:r>
      <w:r>
        <w:rPr/>
        <w:t>until</w:t>
      </w:r>
      <w:r>
        <w:rPr>
          <w:spacing w:val="-27"/>
        </w:rPr>
        <w:t> </w:t>
      </w:r>
      <w:r>
        <w:rPr/>
        <w:t>the</w:t>
      </w:r>
      <w:r>
        <w:rPr>
          <w:spacing w:val="-29"/>
        </w:rPr>
        <w:t> </w:t>
      </w:r>
      <w:r>
        <w:rPr/>
        <w:t>appraisers</w:t>
      </w:r>
      <w:r>
        <w:rPr>
          <w:spacing w:val="-28"/>
        </w:rPr>
        <w:t> </w:t>
      </w:r>
      <w:r>
        <w:rPr/>
        <w:t>have failed to reach an agreement between themselves. Involvement of the umpire </w:t>
      </w:r>
      <w:r>
        <w:rPr>
          <w:spacing w:val="-5"/>
        </w:rPr>
        <w:t>in </w:t>
      </w:r>
      <w:r>
        <w:rPr/>
        <w:t>formal substantive discussions is generally </w:t>
      </w:r>
      <w:r>
        <w:rPr>
          <w:spacing w:val="-4"/>
        </w:rPr>
        <w:t>not </w:t>
      </w:r>
      <w:r>
        <w:rPr/>
        <w:t>appropriate</w:t>
      </w:r>
      <w:r>
        <w:rPr>
          <w:spacing w:val="-17"/>
        </w:rPr>
        <w:t> </w:t>
      </w:r>
      <w:r>
        <w:rPr/>
        <w:t>until</w:t>
      </w:r>
      <w:r>
        <w:rPr>
          <w:spacing w:val="-16"/>
        </w:rPr>
        <w:t> </w:t>
      </w:r>
      <w:r>
        <w:rPr/>
        <w:t>a</w:t>
      </w:r>
      <w:r>
        <w:rPr>
          <w:spacing w:val="-16"/>
        </w:rPr>
        <w:t> </w:t>
      </w:r>
      <w:r>
        <w:rPr/>
        <w:t>reasonable</w:t>
      </w:r>
      <w:r>
        <w:rPr>
          <w:spacing w:val="-11"/>
        </w:rPr>
        <w:t> </w:t>
      </w:r>
      <w:r>
        <w:rPr/>
        <w:t>effort</w:t>
      </w:r>
      <w:r>
        <w:rPr>
          <w:spacing w:val="-18"/>
        </w:rPr>
        <w:t> </w:t>
      </w:r>
      <w:r>
        <w:rPr/>
        <w:t>has</w:t>
      </w:r>
      <w:r>
        <w:rPr>
          <w:spacing w:val="-17"/>
        </w:rPr>
        <w:t> </w:t>
      </w:r>
      <w:r>
        <w:rPr>
          <w:spacing w:val="-4"/>
        </w:rPr>
        <w:t>been </w:t>
      </w:r>
      <w:r>
        <w:rPr/>
        <w:t>made</w:t>
      </w:r>
      <w:r>
        <w:rPr>
          <w:spacing w:val="-28"/>
        </w:rPr>
        <w:t> </w:t>
      </w:r>
      <w:r>
        <w:rPr/>
        <w:t>on</w:t>
      </w:r>
      <w:r>
        <w:rPr>
          <w:spacing w:val="-26"/>
        </w:rPr>
        <w:t> </w:t>
      </w:r>
      <w:r>
        <w:rPr/>
        <w:t>the</w:t>
      </w:r>
      <w:r>
        <w:rPr>
          <w:spacing w:val="-28"/>
        </w:rPr>
        <w:t> </w:t>
      </w:r>
      <w:r>
        <w:rPr/>
        <w:t>part</w:t>
      </w:r>
      <w:r>
        <w:rPr>
          <w:spacing w:val="-27"/>
        </w:rPr>
        <w:t> </w:t>
      </w:r>
      <w:r>
        <w:rPr/>
        <w:t>of</w:t>
      </w:r>
      <w:r>
        <w:rPr>
          <w:spacing w:val="-24"/>
        </w:rPr>
        <w:t> </w:t>
      </w:r>
      <w:r>
        <w:rPr/>
        <w:t>the</w:t>
      </w:r>
      <w:r>
        <w:rPr>
          <w:spacing w:val="-24"/>
        </w:rPr>
        <w:t> </w:t>
      </w:r>
      <w:r>
        <w:rPr/>
        <w:t>appraisers</w:t>
      </w:r>
      <w:r>
        <w:rPr>
          <w:spacing w:val="-27"/>
        </w:rPr>
        <w:t> </w:t>
      </w:r>
      <w:r>
        <w:rPr/>
        <w:t>to</w:t>
      </w:r>
      <w:r>
        <w:rPr>
          <w:spacing w:val="-26"/>
        </w:rPr>
        <w:t> </w:t>
      </w:r>
      <w:r>
        <w:rPr/>
        <w:t>reach</w:t>
      </w:r>
      <w:r>
        <w:rPr>
          <w:spacing w:val="-27"/>
        </w:rPr>
        <w:t> </w:t>
      </w:r>
      <w:r>
        <w:rPr/>
        <w:t>an</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6"/>
        <w:jc w:val="both"/>
      </w:pPr>
      <w:bookmarkStart w:name="Law and Procedure 422" w:id="38"/>
      <w:bookmarkEnd w:id="38"/>
      <w:r>
        <w:rPr/>
      </w:r>
      <w:r>
        <w:rPr/>
        <w:t>agreement. This is so unless, by their various positions, and in the exercise of their reasonable and independent judgment, it is clear that the appraisers will not be able to agree</w:t>
      </w:r>
      <w:r>
        <w:rPr>
          <w:spacing w:val="-20"/>
        </w:rPr>
        <w:t> </w:t>
      </w:r>
      <w:r>
        <w:rPr/>
        <w:t>and</w:t>
      </w:r>
      <w:r>
        <w:rPr>
          <w:spacing w:val="-18"/>
        </w:rPr>
        <w:t> </w:t>
      </w:r>
      <w:r>
        <w:rPr/>
        <w:t>that</w:t>
      </w:r>
      <w:r>
        <w:rPr>
          <w:spacing w:val="-21"/>
        </w:rPr>
        <w:t> </w:t>
      </w:r>
      <w:r>
        <w:rPr/>
        <w:t>further</w:t>
      </w:r>
      <w:r>
        <w:rPr>
          <w:spacing w:val="-20"/>
        </w:rPr>
        <w:t> </w:t>
      </w:r>
      <w:r>
        <w:rPr/>
        <w:t>efforts</w:t>
      </w:r>
      <w:r>
        <w:rPr>
          <w:spacing w:val="-20"/>
        </w:rPr>
        <w:t> </w:t>
      </w:r>
      <w:r>
        <w:rPr/>
        <w:t>would</w:t>
      </w:r>
      <w:r>
        <w:rPr>
          <w:spacing w:val="-16"/>
        </w:rPr>
        <w:t> </w:t>
      </w:r>
      <w:r>
        <w:rPr/>
        <w:t>be</w:t>
      </w:r>
      <w:r>
        <w:rPr>
          <w:spacing w:val="-18"/>
        </w:rPr>
        <w:t> </w:t>
      </w:r>
      <w:r>
        <w:rPr/>
        <w:t>fruitless absent the involvement of the</w:t>
      </w:r>
      <w:r>
        <w:rPr>
          <w:spacing w:val="-12"/>
        </w:rPr>
        <w:t> </w:t>
      </w:r>
      <w:r>
        <w:rPr/>
        <w:t>umpire.</w:t>
      </w:r>
    </w:p>
    <w:p>
      <w:pPr>
        <w:pStyle w:val="BodyText"/>
        <w:spacing w:before="1"/>
      </w:pPr>
    </w:p>
    <w:p>
      <w:pPr>
        <w:pStyle w:val="BodyText"/>
        <w:spacing w:line="242" w:lineRule="auto"/>
        <w:ind w:left="1520" w:right="1518" w:firstLine="720"/>
        <w:jc w:val="both"/>
      </w:pPr>
      <w:r>
        <w:rPr>
          <w:spacing w:val="3"/>
        </w:rPr>
        <w:t>It</w:t>
      </w:r>
      <w:r>
        <w:rPr>
          <w:spacing w:val="-22"/>
        </w:rPr>
        <w:t> </w:t>
      </w:r>
      <w:r>
        <w:rPr/>
        <w:t>may</w:t>
      </w:r>
      <w:r>
        <w:rPr>
          <w:spacing w:val="-23"/>
        </w:rPr>
        <w:t> </w:t>
      </w:r>
      <w:r>
        <w:rPr/>
        <w:t>also</w:t>
      </w:r>
      <w:r>
        <w:rPr>
          <w:spacing w:val="-18"/>
        </w:rPr>
        <w:t> </w:t>
      </w:r>
      <w:r>
        <w:rPr/>
        <w:t>be</w:t>
      </w:r>
      <w:r>
        <w:rPr>
          <w:spacing w:val="-20"/>
        </w:rPr>
        <w:t> </w:t>
      </w:r>
      <w:r>
        <w:rPr/>
        <w:t>appropriate</w:t>
      </w:r>
      <w:r>
        <w:rPr>
          <w:spacing w:val="-21"/>
        </w:rPr>
        <w:t> </w:t>
      </w:r>
      <w:r>
        <w:rPr/>
        <w:t>to</w:t>
      </w:r>
      <w:r>
        <w:rPr>
          <w:spacing w:val="-20"/>
        </w:rPr>
        <w:t> </w:t>
      </w:r>
      <w:r>
        <w:rPr/>
        <w:t>appoint</w:t>
      </w:r>
      <w:r>
        <w:rPr>
          <w:spacing w:val="-24"/>
        </w:rPr>
        <w:t> </w:t>
      </w:r>
      <w:r>
        <w:rPr>
          <w:spacing w:val="-7"/>
        </w:rPr>
        <w:t>an </w:t>
      </w:r>
      <w:r>
        <w:rPr/>
        <w:t>umpire when one party has failed to respond to the demand for an appraisal. There is case support for the proposition that the appraisal may nevertheless proceed; even upon a party’s</w:t>
      </w:r>
      <w:r>
        <w:rPr>
          <w:spacing w:val="-22"/>
        </w:rPr>
        <w:t> </w:t>
      </w:r>
      <w:r>
        <w:rPr/>
        <w:t>failure</w:t>
      </w:r>
      <w:r>
        <w:rPr>
          <w:spacing w:val="-23"/>
        </w:rPr>
        <w:t> </w:t>
      </w:r>
      <w:r>
        <w:rPr/>
        <w:t>to</w:t>
      </w:r>
      <w:r>
        <w:rPr>
          <w:spacing w:val="-22"/>
        </w:rPr>
        <w:t> </w:t>
      </w:r>
      <w:r>
        <w:rPr/>
        <w:t>appoint</w:t>
      </w:r>
      <w:r>
        <w:rPr>
          <w:spacing w:val="-23"/>
        </w:rPr>
        <w:t> </w:t>
      </w:r>
      <w:r>
        <w:rPr/>
        <w:t>an</w:t>
      </w:r>
      <w:r>
        <w:rPr>
          <w:spacing w:val="-24"/>
        </w:rPr>
        <w:t> </w:t>
      </w:r>
      <w:r>
        <w:rPr/>
        <w:t>appraiser,</w:t>
      </w:r>
      <w:r>
        <w:rPr>
          <w:spacing w:val="-27"/>
        </w:rPr>
        <w:t> </w:t>
      </w:r>
      <w:r>
        <w:rPr/>
        <w:t>with</w:t>
      </w:r>
      <w:r>
        <w:rPr>
          <w:spacing w:val="-21"/>
        </w:rPr>
        <w:t> </w:t>
      </w:r>
      <w:r>
        <w:rPr/>
        <w:t>the matter being determined by the single appraiser and the umpire. </w:t>
      </w:r>
      <w:r>
        <w:rPr>
          <w:spacing w:val="-3"/>
        </w:rPr>
        <w:t>The </w:t>
      </w:r>
      <w:r>
        <w:rPr/>
        <w:t>other party is deemed to have waived its right to participate.</w:t>
      </w:r>
      <w:r>
        <w:rPr>
          <w:vertAlign w:val="superscript"/>
        </w:rPr>
        <w:t>878</w:t>
      </w:r>
    </w:p>
    <w:p>
      <w:pPr>
        <w:pStyle w:val="BodyText"/>
        <w:spacing w:before="11"/>
        <w:rPr>
          <w:sz w:val="25"/>
        </w:rPr>
      </w:pPr>
    </w:p>
    <w:p>
      <w:pPr>
        <w:pStyle w:val="BodyText"/>
        <w:spacing w:line="242" w:lineRule="auto"/>
        <w:ind w:left="1520" w:right="1516" w:firstLine="720"/>
        <w:jc w:val="both"/>
      </w:pPr>
      <w:r>
        <w:rPr/>
        <w:t>The most common procedure is for </w:t>
      </w:r>
      <w:r>
        <w:rPr>
          <w:spacing w:val="-5"/>
        </w:rPr>
        <w:t>the </w:t>
      </w:r>
      <w:r>
        <w:rPr/>
        <w:t>appraisers to select an umpire before</w:t>
      </w:r>
      <w:r>
        <w:rPr>
          <w:spacing w:val="52"/>
        </w:rPr>
        <w:t> </w:t>
      </w:r>
      <w:r>
        <w:rPr/>
        <w:t>they actually reach disagreement on a particular </w:t>
      </w:r>
      <w:r>
        <w:rPr>
          <w:spacing w:val="6"/>
        </w:rPr>
        <w:t>issue.</w:t>
      </w:r>
      <w:r>
        <w:rPr>
          <w:spacing w:val="6"/>
          <w:vertAlign w:val="superscript"/>
        </w:rPr>
        <w:t>879</w:t>
      </w:r>
      <w:r>
        <w:rPr>
          <w:spacing w:val="6"/>
          <w:vertAlign w:val="baseline"/>
        </w:rPr>
        <w:t> </w:t>
      </w:r>
      <w:r>
        <w:rPr>
          <w:spacing w:val="3"/>
          <w:vertAlign w:val="baseline"/>
        </w:rPr>
        <w:t>The </w:t>
      </w:r>
      <w:r>
        <w:rPr>
          <w:spacing w:val="5"/>
          <w:vertAlign w:val="baseline"/>
        </w:rPr>
        <w:t>umpire </w:t>
      </w:r>
      <w:r>
        <w:rPr>
          <w:spacing w:val="4"/>
          <w:vertAlign w:val="baseline"/>
        </w:rPr>
        <w:t>then </w:t>
      </w:r>
      <w:r>
        <w:rPr>
          <w:spacing w:val="5"/>
          <w:vertAlign w:val="baseline"/>
        </w:rPr>
        <w:t>awaits </w:t>
      </w:r>
      <w:r>
        <w:rPr>
          <w:spacing w:val="-25"/>
          <w:vertAlign w:val="baseline"/>
        </w:rPr>
        <w:t>a </w:t>
      </w:r>
      <w:r>
        <w:rPr>
          <w:vertAlign w:val="baseline"/>
        </w:rPr>
        <w:t>disagreement to materialize between the appraisers and then assists in resolving that disagreement.</w:t>
      </w:r>
    </w:p>
    <w:p>
      <w:pPr>
        <w:pStyle w:val="BodyText"/>
      </w:pPr>
    </w:p>
    <w:p>
      <w:pPr>
        <w:pStyle w:val="BodyText"/>
        <w:spacing w:line="242" w:lineRule="auto"/>
        <w:ind w:left="1520" w:right="1520" w:firstLine="720"/>
        <w:jc w:val="both"/>
      </w:pPr>
      <w:r>
        <w:rPr/>
        <w:t>After an umpire is appointed, the appraisers still have power to act without the umpire if a disagreement does not exist</w:t>
      </w:r>
    </w:p>
    <w:p>
      <w:pPr>
        <w:pStyle w:val="BodyText"/>
        <w:spacing w:before="2"/>
        <w:rPr>
          <w:sz w:val="19"/>
        </w:rPr>
      </w:pPr>
      <w:r>
        <w:rPr/>
        <w:pict>
          <v:shape style="position:absolute;margin-left:162pt;margin-top:14.195957pt;width:143.9pt;height:.1pt;mso-position-horizontal-relative:page;mso-position-vertical-relative:paragraph;z-index:-251627520;mso-wrap-distance-left:0;mso-wrap-distance-right:0" coordorigin="3240,284" coordsize="2878,0" path="m3240,284l6118,28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8"/>
        </w:numPr>
        <w:tabs>
          <w:tab w:pos="1435" w:val="left" w:leader="none"/>
        </w:tabs>
        <w:spacing w:line="248" w:lineRule="exact" w:before="71" w:after="0"/>
        <w:ind w:left="1434" w:right="0" w:hanging="275"/>
        <w:jc w:val="left"/>
        <w:rPr>
          <w:sz w:val="18"/>
        </w:rPr>
      </w:pPr>
      <w:r>
        <w:rPr>
          <w:sz w:val="18"/>
          <w:u w:val="single"/>
        </w:rPr>
        <w:t>Saba v. The Homeland Ins. Co. of America</w:t>
      </w:r>
      <w:r>
        <w:rPr>
          <w:sz w:val="18"/>
        </w:rPr>
        <w:t>, 159 Ohio 237, 112 N.E.2d 1</w:t>
      </w:r>
      <w:r>
        <w:rPr>
          <w:spacing w:val="1"/>
          <w:sz w:val="18"/>
        </w:rPr>
        <w:t> </w:t>
      </w:r>
      <w:r>
        <w:rPr>
          <w:sz w:val="18"/>
        </w:rPr>
        <w:t>(1953).</w:t>
      </w:r>
    </w:p>
    <w:p>
      <w:pPr>
        <w:pStyle w:val="ListParagraph"/>
        <w:numPr>
          <w:ilvl w:val="0"/>
          <w:numId w:val="8"/>
        </w:numPr>
        <w:tabs>
          <w:tab w:pos="1411" w:val="left" w:leader="none"/>
        </w:tabs>
        <w:spacing w:line="248" w:lineRule="exact" w:before="0" w:after="0"/>
        <w:ind w:left="1410" w:right="0" w:hanging="251"/>
        <w:jc w:val="left"/>
        <w:rPr>
          <w:sz w:val="18"/>
        </w:rPr>
      </w:pPr>
      <w:r>
        <w:rPr>
          <w:sz w:val="18"/>
          <w:u w:val="single"/>
        </w:rPr>
        <w:t>Atlas</w:t>
      </w:r>
      <w:r>
        <w:rPr>
          <w:spacing w:val="-11"/>
          <w:sz w:val="18"/>
          <w:u w:val="single"/>
        </w:rPr>
        <w:t> </w:t>
      </w:r>
      <w:r>
        <w:rPr>
          <w:sz w:val="18"/>
          <w:u w:val="single"/>
        </w:rPr>
        <w:t>Const.</w:t>
      </w:r>
      <w:r>
        <w:rPr>
          <w:spacing w:val="-9"/>
          <w:sz w:val="18"/>
          <w:u w:val="single"/>
        </w:rPr>
        <w:t> </w:t>
      </w:r>
      <w:r>
        <w:rPr>
          <w:sz w:val="18"/>
          <w:u w:val="single"/>
        </w:rPr>
        <w:t>Co.,</w:t>
      </w:r>
      <w:r>
        <w:rPr>
          <w:spacing w:val="-8"/>
          <w:sz w:val="18"/>
          <w:u w:val="single"/>
        </w:rPr>
        <w:t> </w:t>
      </w:r>
      <w:r>
        <w:rPr>
          <w:sz w:val="18"/>
          <w:u w:val="single"/>
        </w:rPr>
        <w:t>Inc.</w:t>
      </w:r>
      <w:r>
        <w:rPr>
          <w:spacing w:val="-10"/>
          <w:sz w:val="18"/>
          <w:u w:val="single"/>
        </w:rPr>
        <w:t> </w:t>
      </w:r>
      <w:r>
        <w:rPr>
          <w:sz w:val="18"/>
          <w:u w:val="single"/>
        </w:rPr>
        <w:t>v.</w:t>
      </w:r>
      <w:r>
        <w:rPr>
          <w:spacing w:val="-9"/>
          <w:sz w:val="18"/>
          <w:u w:val="single"/>
        </w:rPr>
        <w:t> </w:t>
      </w:r>
      <w:r>
        <w:rPr>
          <w:sz w:val="18"/>
          <w:u w:val="single"/>
        </w:rPr>
        <w:t>Indiana</w:t>
      </w:r>
      <w:r>
        <w:rPr>
          <w:spacing w:val="-8"/>
          <w:sz w:val="18"/>
          <w:u w:val="single"/>
        </w:rPr>
        <w:t> </w:t>
      </w:r>
      <w:r>
        <w:rPr>
          <w:sz w:val="18"/>
          <w:u w:val="single"/>
        </w:rPr>
        <w:t>Ins.</w:t>
      </w:r>
      <w:r>
        <w:rPr>
          <w:spacing w:val="-6"/>
          <w:sz w:val="18"/>
          <w:u w:val="single"/>
        </w:rPr>
        <w:t> </w:t>
      </w:r>
      <w:r>
        <w:rPr>
          <w:sz w:val="18"/>
          <w:u w:val="single"/>
        </w:rPr>
        <w:t>Co.,</w:t>
      </w:r>
      <w:r>
        <w:rPr>
          <w:spacing w:val="-6"/>
          <w:sz w:val="18"/>
          <w:u w:val="single"/>
        </w:rPr>
        <w:t> </w:t>
      </w:r>
      <w:r>
        <w:rPr>
          <w:sz w:val="18"/>
          <w:u w:val="single"/>
        </w:rPr>
        <w:t>Inc.</w:t>
      </w:r>
      <w:r>
        <w:rPr>
          <w:sz w:val="18"/>
        </w:rPr>
        <w:t>,</w:t>
      </w:r>
      <w:r>
        <w:rPr>
          <w:spacing w:val="-6"/>
          <w:sz w:val="18"/>
        </w:rPr>
        <w:t> </w:t>
      </w:r>
      <w:r>
        <w:rPr>
          <w:sz w:val="18"/>
        </w:rPr>
        <w:t>160</w:t>
      </w:r>
      <w:r>
        <w:rPr>
          <w:spacing w:val="-7"/>
          <w:sz w:val="18"/>
        </w:rPr>
        <w:t> </w:t>
      </w:r>
      <w:r>
        <w:rPr>
          <w:sz w:val="18"/>
        </w:rPr>
        <w:t>Ind.</w:t>
      </w:r>
      <w:r>
        <w:rPr>
          <w:spacing w:val="-6"/>
          <w:sz w:val="18"/>
        </w:rPr>
        <w:t> </w:t>
      </w:r>
      <w:r>
        <w:rPr>
          <w:sz w:val="18"/>
        </w:rPr>
        <w:t>App.</w:t>
      </w:r>
      <w:r>
        <w:rPr>
          <w:spacing w:val="-9"/>
          <w:sz w:val="18"/>
        </w:rPr>
        <w:t> </w:t>
      </w:r>
      <w:r>
        <w:rPr>
          <w:sz w:val="18"/>
        </w:rPr>
        <w:t>33,</w:t>
      </w:r>
      <w:r>
        <w:rPr>
          <w:spacing w:val="-9"/>
          <w:sz w:val="18"/>
        </w:rPr>
        <w:t> </w:t>
      </w:r>
      <w:r>
        <w:rPr>
          <w:sz w:val="18"/>
        </w:rPr>
        <w:t>309</w:t>
      </w:r>
      <w:r>
        <w:rPr>
          <w:spacing w:val="-8"/>
          <w:sz w:val="18"/>
        </w:rPr>
        <w:t> </w:t>
      </w:r>
      <w:r>
        <w:rPr>
          <w:sz w:val="18"/>
        </w:rPr>
        <w:t>N.E.</w:t>
      </w:r>
      <w:r>
        <w:rPr>
          <w:spacing w:val="-8"/>
          <w:sz w:val="18"/>
        </w:rPr>
        <w:t> </w:t>
      </w:r>
      <w:r>
        <w:rPr>
          <w:sz w:val="18"/>
        </w:rPr>
        <w:t>810</w:t>
      </w:r>
      <w:r>
        <w:rPr>
          <w:spacing w:val="-8"/>
          <w:sz w:val="18"/>
        </w:rPr>
        <w:t> </w:t>
      </w:r>
      <w:r>
        <w:rPr>
          <w:sz w:val="18"/>
        </w:rPr>
        <w:t>(2d</w:t>
      </w:r>
      <w:r>
        <w:rPr>
          <w:spacing w:val="-8"/>
          <w:sz w:val="18"/>
        </w:rPr>
        <w:t> </w:t>
      </w:r>
      <w:r>
        <w:rPr>
          <w:sz w:val="18"/>
        </w:rPr>
        <w:t>Dist.</w:t>
      </w:r>
    </w:p>
    <w:p>
      <w:pPr>
        <w:spacing w:before="4"/>
        <w:ind w:left="1160" w:right="0" w:firstLine="0"/>
        <w:jc w:val="left"/>
        <w:rPr>
          <w:rFonts w:ascii="Times New Roman"/>
          <w:sz w:val="18"/>
        </w:rPr>
      </w:pPr>
      <w:r>
        <w:rPr>
          <w:rFonts w:ascii="Times New Roman"/>
          <w:sz w:val="18"/>
        </w:rPr>
        <w:t>1974).</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23" w:id="39"/>
      <w:bookmarkEnd w:id="39"/>
      <w:r>
        <w:rPr/>
      </w:r>
      <w:r>
        <w:rPr/>
        <w:t>between the appraisers at the time of</w:t>
      </w:r>
      <w:r>
        <w:rPr>
          <w:spacing w:val="59"/>
        </w:rPr>
        <w:t> </w:t>
      </w:r>
      <w:r>
        <w:rPr/>
        <w:t>the umpire's hiring. The fact that the umpire was chosen before a disagreement does </w:t>
      </w:r>
      <w:r>
        <w:rPr>
          <w:spacing w:val="-5"/>
        </w:rPr>
        <w:t>not </w:t>
      </w:r>
      <w:r>
        <w:rPr/>
        <w:t>deprive the appraisers of their power to act without him.</w:t>
      </w:r>
      <w:r>
        <w:rPr>
          <w:vertAlign w:val="superscript"/>
        </w:rPr>
        <w:t>880</w:t>
      </w:r>
      <w:r>
        <w:rPr>
          <w:vertAlign w:val="baseline"/>
        </w:rPr>
        <w:t> For example, if an </w:t>
      </w:r>
      <w:r>
        <w:rPr>
          <w:spacing w:val="-4"/>
          <w:vertAlign w:val="baseline"/>
        </w:rPr>
        <w:t>appraisal </w:t>
      </w:r>
      <w:r>
        <w:rPr>
          <w:vertAlign w:val="baseline"/>
        </w:rPr>
        <w:t>agreement provides that two persons are named as appraisers with a third to be appointed by them, </w:t>
      </w:r>
      <w:r>
        <w:rPr>
          <w:spacing w:val="2"/>
          <w:vertAlign w:val="baseline"/>
        </w:rPr>
        <w:t>it </w:t>
      </w:r>
      <w:r>
        <w:rPr>
          <w:vertAlign w:val="baseline"/>
        </w:rPr>
        <w:t>has been held that the position of such third person was that of an umpire, who should act only when the appraisers differed.</w:t>
      </w:r>
    </w:p>
    <w:p>
      <w:pPr>
        <w:pStyle w:val="BodyText"/>
        <w:spacing w:before="10"/>
        <w:rPr>
          <w:sz w:val="25"/>
        </w:rPr>
      </w:pPr>
    </w:p>
    <w:p>
      <w:pPr>
        <w:pStyle w:val="BodyText"/>
        <w:spacing w:line="242" w:lineRule="auto" w:before="1"/>
        <w:ind w:left="1520" w:right="1519" w:firstLine="720"/>
        <w:jc w:val="both"/>
      </w:pPr>
      <w:r>
        <w:rPr/>
        <w:t>The</w:t>
      </w:r>
      <w:r>
        <w:rPr>
          <w:spacing w:val="-27"/>
        </w:rPr>
        <w:t> </w:t>
      </w:r>
      <w:r>
        <w:rPr/>
        <w:t>predominant</w:t>
      </w:r>
      <w:r>
        <w:rPr>
          <w:spacing w:val="-28"/>
        </w:rPr>
        <w:t> </w:t>
      </w:r>
      <w:r>
        <w:rPr/>
        <w:t>approach</w:t>
      </w:r>
      <w:r>
        <w:rPr>
          <w:spacing w:val="-23"/>
        </w:rPr>
        <w:t> </w:t>
      </w:r>
      <w:r>
        <w:rPr/>
        <w:t>is</w:t>
      </w:r>
      <w:r>
        <w:rPr>
          <w:spacing w:val="-24"/>
        </w:rPr>
        <w:t> </w:t>
      </w:r>
      <w:r>
        <w:rPr/>
        <w:t>to</w:t>
      </w:r>
      <w:r>
        <w:rPr>
          <w:spacing w:val="-23"/>
        </w:rPr>
        <w:t> </w:t>
      </w:r>
      <w:r>
        <w:rPr/>
        <w:t>appoint the umpire after the appraisers have initially conferred, agreed to any portion of the</w:t>
      </w:r>
      <w:r>
        <w:rPr>
          <w:spacing w:val="-15"/>
        </w:rPr>
        <w:t> </w:t>
      </w:r>
      <w:r>
        <w:rPr/>
        <w:t>claim and identified the nature and extent of the disagreements.</w:t>
      </w:r>
    </w:p>
    <w:p>
      <w:pPr>
        <w:pStyle w:val="BodyText"/>
      </w:pPr>
    </w:p>
    <w:p>
      <w:pPr>
        <w:pStyle w:val="BodyText"/>
        <w:spacing w:line="242" w:lineRule="auto" w:before="1"/>
        <w:ind w:left="1520" w:right="1522" w:firstLine="720"/>
        <w:jc w:val="both"/>
      </w:pPr>
      <w:r>
        <w:rPr/>
        <w:t>This approach may be more efficient if</w:t>
      </w:r>
      <w:r>
        <w:rPr>
          <w:spacing w:val="-46"/>
        </w:rPr>
        <w:t> </w:t>
      </w:r>
      <w:r>
        <w:rPr/>
        <w:t>it appears</w:t>
      </w:r>
      <w:r>
        <w:rPr>
          <w:spacing w:val="-13"/>
        </w:rPr>
        <w:t> </w:t>
      </w:r>
      <w:r>
        <w:rPr/>
        <w:t>to</w:t>
      </w:r>
      <w:r>
        <w:rPr>
          <w:spacing w:val="-14"/>
        </w:rPr>
        <w:t> </w:t>
      </w:r>
      <w:r>
        <w:rPr/>
        <w:t>the</w:t>
      </w:r>
      <w:r>
        <w:rPr>
          <w:spacing w:val="-13"/>
        </w:rPr>
        <w:t> </w:t>
      </w:r>
      <w:r>
        <w:rPr/>
        <w:t>appraisers</w:t>
      </w:r>
      <w:r>
        <w:rPr>
          <w:spacing w:val="-13"/>
        </w:rPr>
        <w:t> </w:t>
      </w:r>
      <w:r>
        <w:rPr/>
        <w:t>that</w:t>
      </w:r>
      <w:r>
        <w:rPr>
          <w:spacing w:val="-14"/>
        </w:rPr>
        <w:t> </w:t>
      </w:r>
      <w:r>
        <w:rPr/>
        <w:t>there</w:t>
      </w:r>
      <w:r>
        <w:rPr>
          <w:spacing w:val="-14"/>
        </w:rPr>
        <w:t> </w:t>
      </w:r>
      <w:r>
        <w:rPr/>
        <w:t>may</w:t>
      </w:r>
      <w:r>
        <w:rPr>
          <w:spacing w:val="-17"/>
        </w:rPr>
        <w:t> </w:t>
      </w:r>
      <w:r>
        <w:rPr/>
        <w:t>be</w:t>
      </w:r>
      <w:r>
        <w:rPr>
          <w:spacing w:val="-13"/>
        </w:rPr>
        <w:t> </w:t>
      </w:r>
      <w:r>
        <w:rPr/>
        <w:t>a realistic</w:t>
      </w:r>
      <w:r>
        <w:rPr>
          <w:spacing w:val="-29"/>
        </w:rPr>
        <w:t> </w:t>
      </w:r>
      <w:r>
        <w:rPr/>
        <w:t>possibility</w:t>
      </w:r>
      <w:r>
        <w:rPr>
          <w:spacing w:val="-30"/>
        </w:rPr>
        <w:t> </w:t>
      </w:r>
      <w:r>
        <w:rPr/>
        <w:t>of</w:t>
      </w:r>
      <w:r>
        <w:rPr>
          <w:spacing w:val="-31"/>
        </w:rPr>
        <w:t> </w:t>
      </w:r>
      <w:r>
        <w:rPr/>
        <w:t>resolving</w:t>
      </w:r>
      <w:r>
        <w:rPr>
          <w:spacing w:val="-29"/>
        </w:rPr>
        <w:t> </w:t>
      </w:r>
      <w:r>
        <w:rPr/>
        <w:t>the</w:t>
      </w:r>
      <w:r>
        <w:rPr>
          <w:spacing w:val="-30"/>
        </w:rPr>
        <w:t> </w:t>
      </w:r>
      <w:r>
        <w:rPr/>
        <w:t>claim</w:t>
      </w:r>
      <w:r>
        <w:rPr>
          <w:spacing w:val="-31"/>
        </w:rPr>
        <w:t> </w:t>
      </w:r>
      <w:r>
        <w:rPr/>
        <w:t>without the intercession of an</w:t>
      </w:r>
      <w:r>
        <w:rPr>
          <w:spacing w:val="-5"/>
        </w:rPr>
        <w:t> </w:t>
      </w:r>
      <w:r>
        <w:rPr/>
        <w:t>umpire.</w:t>
      </w:r>
    </w:p>
    <w:p>
      <w:pPr>
        <w:pStyle w:val="BodyText"/>
        <w:spacing w:before="1"/>
      </w:pPr>
    </w:p>
    <w:p>
      <w:pPr>
        <w:pStyle w:val="BodyText"/>
        <w:spacing w:line="242" w:lineRule="auto"/>
        <w:ind w:left="1520" w:right="1517" w:firstLine="720"/>
        <w:jc w:val="both"/>
      </w:pPr>
      <w:r>
        <w:rPr/>
        <w:t>Unless the policy provides </w:t>
      </w:r>
      <w:r>
        <w:rPr>
          <w:spacing w:val="-3"/>
        </w:rPr>
        <w:t>otherwise, </w:t>
      </w:r>
      <w:r>
        <w:rPr/>
        <w:t>there must be a disagreement between the appraisers before an umpire may participate. </w:t>
      </w:r>
      <w:r>
        <w:rPr>
          <w:spacing w:val="3"/>
        </w:rPr>
        <w:t>In</w:t>
      </w:r>
      <w:r>
        <w:rPr>
          <w:spacing w:val="-20"/>
        </w:rPr>
        <w:t> </w:t>
      </w:r>
      <w:r>
        <w:rPr/>
        <w:t>fact,</w:t>
      </w:r>
      <w:r>
        <w:rPr>
          <w:spacing w:val="-23"/>
        </w:rPr>
        <w:t> </w:t>
      </w:r>
      <w:r>
        <w:rPr/>
        <w:t>an</w:t>
      </w:r>
      <w:r>
        <w:rPr>
          <w:spacing w:val="-19"/>
        </w:rPr>
        <w:t> </w:t>
      </w:r>
      <w:r>
        <w:rPr/>
        <w:t>umpire's</w:t>
      </w:r>
      <w:r>
        <w:rPr>
          <w:spacing w:val="-20"/>
        </w:rPr>
        <w:t> </w:t>
      </w:r>
      <w:r>
        <w:rPr/>
        <w:t>signature</w:t>
      </w:r>
      <w:r>
        <w:rPr>
          <w:spacing w:val="-23"/>
        </w:rPr>
        <w:t> </w:t>
      </w:r>
      <w:r>
        <w:rPr/>
        <w:t>on</w:t>
      </w:r>
      <w:r>
        <w:rPr>
          <w:spacing w:val="-21"/>
        </w:rPr>
        <w:t> </w:t>
      </w:r>
      <w:r>
        <w:rPr/>
        <w:t>the</w:t>
      </w:r>
      <w:r>
        <w:rPr>
          <w:spacing w:val="-23"/>
        </w:rPr>
        <w:t> </w:t>
      </w:r>
      <w:r>
        <w:rPr/>
        <w:t>award</w:t>
      </w:r>
      <w:r>
        <w:rPr>
          <w:spacing w:val="-22"/>
        </w:rPr>
        <w:t> </w:t>
      </w:r>
      <w:r>
        <w:rPr/>
        <w:t>has been held to be ineffective if it occurred</w:t>
      </w:r>
      <w:r>
        <w:rPr>
          <w:spacing w:val="6"/>
        </w:rPr>
        <w:t> </w:t>
      </w:r>
      <w:r>
        <w:rPr/>
        <w:t>prior</w:t>
      </w:r>
    </w:p>
    <w:p>
      <w:pPr>
        <w:pStyle w:val="BodyText"/>
        <w:rPr>
          <w:sz w:val="20"/>
        </w:rPr>
      </w:pPr>
    </w:p>
    <w:p>
      <w:pPr>
        <w:pStyle w:val="BodyText"/>
        <w:rPr>
          <w:sz w:val="20"/>
        </w:rPr>
      </w:pPr>
    </w:p>
    <w:p>
      <w:pPr>
        <w:pStyle w:val="BodyText"/>
        <w:spacing w:before="5"/>
        <w:rPr>
          <w:sz w:val="28"/>
        </w:rPr>
      </w:pPr>
      <w:r>
        <w:rPr/>
        <w:pict>
          <v:shape style="position:absolute;margin-left:162pt;margin-top:19.854946pt;width:143.9pt;height:.1pt;mso-position-horizontal-relative:page;mso-position-vertical-relative:paragraph;z-index:-251626496;mso-wrap-distance-left:0;mso-wrap-distance-right:0" coordorigin="3240,397" coordsize="2878,0" path="m3240,397l6118,397e" filled="false" stroked="true" strokeweight=".84pt" strokecolor="#000000">
            <v:path arrowok="t"/>
            <v:stroke dashstyle="solid"/>
            <w10:wrap type="topAndBottom"/>
          </v:shape>
        </w:pict>
      </w:r>
    </w:p>
    <w:p>
      <w:pPr>
        <w:pStyle w:val="BodyText"/>
        <w:spacing w:before="11"/>
        <w:rPr>
          <w:sz w:val="10"/>
        </w:rPr>
      </w:pPr>
    </w:p>
    <w:p>
      <w:pPr>
        <w:pStyle w:val="ListParagraph"/>
        <w:numPr>
          <w:ilvl w:val="0"/>
          <w:numId w:val="8"/>
        </w:numPr>
        <w:tabs>
          <w:tab w:pos="1414" w:val="left" w:leader="none"/>
        </w:tabs>
        <w:spacing w:line="240" w:lineRule="auto" w:before="69" w:after="0"/>
        <w:ind w:left="1413" w:right="0" w:hanging="254"/>
        <w:jc w:val="left"/>
        <w:rPr>
          <w:sz w:val="18"/>
        </w:rPr>
      </w:pPr>
      <w:r>
        <w:rPr>
          <w:sz w:val="18"/>
          <w:u w:val="single"/>
        </w:rPr>
        <w:t>Enright v. Montauk Fire Ins. Co.</w:t>
      </w:r>
      <w:r>
        <w:rPr>
          <w:sz w:val="18"/>
        </w:rPr>
        <w:t>, 15 N.Y.S. 893, (Sup. Ct. 1891), </w:t>
      </w:r>
      <w:r>
        <w:rPr>
          <w:i/>
          <w:sz w:val="18"/>
        </w:rPr>
        <w:t>aff’d, </w:t>
      </w:r>
      <w:r>
        <w:rPr>
          <w:sz w:val="18"/>
        </w:rPr>
        <w:t>142</w:t>
      </w:r>
      <w:r>
        <w:rPr>
          <w:spacing w:val="10"/>
          <w:sz w:val="18"/>
        </w:rPr>
        <w:t> </w:t>
      </w:r>
      <w:r>
        <w:rPr>
          <w:sz w:val="18"/>
        </w:rPr>
        <w:t>N.Y.</w:t>
      </w:r>
    </w:p>
    <w:p>
      <w:pPr>
        <w:spacing w:before="4"/>
        <w:ind w:left="1160" w:right="0" w:firstLine="0"/>
        <w:jc w:val="left"/>
        <w:rPr>
          <w:rFonts w:ascii="Times New Roman"/>
          <w:sz w:val="18"/>
        </w:rPr>
      </w:pPr>
      <w:r>
        <w:rPr>
          <w:rFonts w:ascii="Times New Roman"/>
          <w:sz w:val="18"/>
        </w:rPr>
        <w:t>667, 37 N.E. 570 (1894).</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1520" w:right="1517"/>
        <w:jc w:val="both"/>
      </w:pPr>
      <w:bookmarkStart w:name="Law and Procedure 424" w:id="40"/>
      <w:bookmarkEnd w:id="40"/>
      <w:r>
        <w:rPr/>
      </w:r>
      <w:r>
        <w:rPr/>
        <w:t>to any disagreement by the </w:t>
      </w:r>
      <w:r>
        <w:rPr>
          <w:spacing w:val="-4"/>
        </w:rPr>
        <w:t>appraisers.</w:t>
      </w:r>
      <w:r>
        <w:rPr>
          <w:spacing w:val="-4"/>
          <w:vertAlign w:val="superscript"/>
        </w:rPr>
        <w:t>881</w:t>
      </w:r>
      <w:r>
        <w:rPr>
          <w:spacing w:val="-4"/>
          <w:vertAlign w:val="baseline"/>
        </w:rPr>
        <w:t> </w:t>
      </w:r>
      <w:r>
        <w:rPr>
          <w:vertAlign w:val="baseline"/>
        </w:rPr>
        <w:t>Additionally, the fact that the umpire did not </w:t>
      </w:r>
      <w:r>
        <w:rPr>
          <w:spacing w:val="-3"/>
          <w:vertAlign w:val="baseline"/>
        </w:rPr>
        <w:t>participate</w:t>
      </w:r>
      <w:r>
        <w:rPr>
          <w:spacing w:val="-34"/>
          <w:vertAlign w:val="baseline"/>
        </w:rPr>
        <w:t> </w:t>
      </w:r>
      <w:r>
        <w:rPr>
          <w:vertAlign w:val="baseline"/>
        </w:rPr>
        <w:t>in</w:t>
      </w:r>
      <w:r>
        <w:rPr>
          <w:spacing w:val="-32"/>
          <w:vertAlign w:val="baseline"/>
        </w:rPr>
        <w:t> </w:t>
      </w:r>
      <w:r>
        <w:rPr>
          <w:vertAlign w:val="baseline"/>
        </w:rPr>
        <w:t>the</w:t>
      </w:r>
      <w:r>
        <w:rPr>
          <w:spacing w:val="-30"/>
          <w:vertAlign w:val="baseline"/>
        </w:rPr>
        <w:t> </w:t>
      </w:r>
      <w:r>
        <w:rPr>
          <w:vertAlign w:val="baseline"/>
        </w:rPr>
        <w:t>appraisal</w:t>
      </w:r>
      <w:r>
        <w:rPr>
          <w:spacing w:val="-30"/>
          <w:vertAlign w:val="baseline"/>
        </w:rPr>
        <w:t> </w:t>
      </w:r>
      <w:r>
        <w:rPr>
          <w:vertAlign w:val="baseline"/>
        </w:rPr>
        <w:t>from</w:t>
      </w:r>
      <w:r>
        <w:rPr>
          <w:spacing w:val="-30"/>
          <w:vertAlign w:val="baseline"/>
        </w:rPr>
        <w:t> </w:t>
      </w:r>
      <w:r>
        <w:rPr>
          <w:vertAlign w:val="baseline"/>
        </w:rPr>
        <w:t>the</w:t>
      </w:r>
      <w:r>
        <w:rPr>
          <w:spacing w:val="-31"/>
          <w:vertAlign w:val="baseline"/>
        </w:rPr>
        <w:t> </w:t>
      </w:r>
      <w:r>
        <w:rPr>
          <w:vertAlign w:val="baseline"/>
        </w:rPr>
        <w:t>beginning, but</w:t>
      </w:r>
      <w:r>
        <w:rPr>
          <w:spacing w:val="-24"/>
          <w:vertAlign w:val="baseline"/>
        </w:rPr>
        <w:t> </w:t>
      </w:r>
      <w:r>
        <w:rPr>
          <w:vertAlign w:val="baseline"/>
        </w:rPr>
        <w:t>only</w:t>
      </w:r>
      <w:r>
        <w:rPr>
          <w:spacing w:val="-21"/>
          <w:vertAlign w:val="baseline"/>
        </w:rPr>
        <w:t> </w:t>
      </w:r>
      <w:r>
        <w:rPr>
          <w:vertAlign w:val="baseline"/>
        </w:rPr>
        <w:t>after</w:t>
      </w:r>
      <w:r>
        <w:rPr>
          <w:spacing w:val="-26"/>
          <w:vertAlign w:val="baseline"/>
        </w:rPr>
        <w:t> </w:t>
      </w:r>
      <w:r>
        <w:rPr>
          <w:vertAlign w:val="baseline"/>
        </w:rPr>
        <w:t>the</w:t>
      </w:r>
      <w:r>
        <w:rPr>
          <w:spacing w:val="-23"/>
          <w:vertAlign w:val="baseline"/>
        </w:rPr>
        <w:t> </w:t>
      </w:r>
      <w:r>
        <w:rPr>
          <w:vertAlign w:val="baseline"/>
        </w:rPr>
        <w:t>appraisers</w:t>
      </w:r>
      <w:r>
        <w:rPr>
          <w:spacing w:val="-23"/>
          <w:vertAlign w:val="baseline"/>
        </w:rPr>
        <w:t> </w:t>
      </w:r>
      <w:r>
        <w:rPr>
          <w:vertAlign w:val="baseline"/>
        </w:rPr>
        <w:t>disagreed,</w:t>
      </w:r>
      <w:r>
        <w:rPr>
          <w:spacing w:val="-27"/>
          <w:vertAlign w:val="baseline"/>
        </w:rPr>
        <w:t> </w:t>
      </w:r>
      <w:r>
        <w:rPr>
          <w:vertAlign w:val="baseline"/>
        </w:rPr>
        <w:t>did</w:t>
      </w:r>
      <w:r>
        <w:rPr>
          <w:spacing w:val="-23"/>
          <w:vertAlign w:val="baseline"/>
        </w:rPr>
        <w:t> </w:t>
      </w:r>
      <w:r>
        <w:rPr>
          <w:spacing w:val="-4"/>
          <w:vertAlign w:val="baseline"/>
        </w:rPr>
        <w:t>not </w:t>
      </w:r>
      <w:r>
        <w:rPr>
          <w:vertAlign w:val="baseline"/>
        </w:rPr>
        <w:t>negatively effect the validity of the</w:t>
      </w:r>
      <w:r>
        <w:rPr>
          <w:spacing w:val="-24"/>
          <w:vertAlign w:val="baseline"/>
        </w:rPr>
        <w:t> </w:t>
      </w:r>
      <w:r>
        <w:rPr>
          <w:vertAlign w:val="baseline"/>
        </w:rPr>
        <w:t>award.</w:t>
      </w:r>
      <w:r>
        <w:rPr>
          <w:vertAlign w:val="superscript"/>
        </w:rPr>
        <w:t>882</w:t>
      </w:r>
    </w:p>
    <w:p>
      <w:pPr>
        <w:pStyle w:val="BodyText"/>
        <w:spacing w:before="1"/>
      </w:pPr>
    </w:p>
    <w:p>
      <w:pPr>
        <w:pStyle w:val="BodyText"/>
        <w:spacing w:line="242" w:lineRule="auto"/>
        <w:ind w:left="1520" w:right="1515" w:firstLine="720"/>
        <w:jc w:val="both"/>
      </w:pPr>
      <w:r>
        <w:rPr/>
        <w:t>Additionally, once the appraisers have refined their understanding of areas of disagreement it may better enable them to select an appropriate umpire. For example, in the homeowner’s policy context, if they can resolve issues of personal property, a builder may</w:t>
      </w:r>
      <w:r>
        <w:rPr>
          <w:spacing w:val="-30"/>
        </w:rPr>
        <w:t> </w:t>
      </w:r>
      <w:r>
        <w:rPr/>
        <w:t>be</w:t>
      </w:r>
      <w:r>
        <w:rPr>
          <w:spacing w:val="-27"/>
        </w:rPr>
        <w:t> </w:t>
      </w:r>
      <w:r>
        <w:rPr/>
        <w:t>a</w:t>
      </w:r>
      <w:r>
        <w:rPr>
          <w:spacing w:val="-27"/>
        </w:rPr>
        <w:t> </w:t>
      </w:r>
      <w:r>
        <w:rPr/>
        <w:t>more</w:t>
      </w:r>
      <w:r>
        <w:rPr>
          <w:spacing w:val="-27"/>
        </w:rPr>
        <w:t> </w:t>
      </w:r>
      <w:r>
        <w:rPr/>
        <w:t>appropriate</w:t>
      </w:r>
      <w:r>
        <w:rPr>
          <w:spacing w:val="-28"/>
        </w:rPr>
        <w:t> </w:t>
      </w:r>
      <w:r>
        <w:rPr/>
        <w:t>choice</w:t>
      </w:r>
      <w:r>
        <w:rPr>
          <w:spacing w:val="-28"/>
        </w:rPr>
        <w:t> </w:t>
      </w:r>
      <w:r>
        <w:rPr/>
        <w:t>for</w:t>
      </w:r>
      <w:r>
        <w:rPr>
          <w:spacing w:val="-27"/>
        </w:rPr>
        <w:t> </w:t>
      </w:r>
      <w:r>
        <w:rPr/>
        <w:t>umpire.</w:t>
      </w:r>
    </w:p>
    <w:p>
      <w:pPr>
        <w:pStyle w:val="BodyText"/>
      </w:pPr>
    </w:p>
    <w:p>
      <w:pPr>
        <w:pStyle w:val="BodyText"/>
        <w:spacing w:line="242" w:lineRule="auto"/>
        <w:ind w:left="1520" w:right="1520" w:firstLine="720"/>
        <w:jc w:val="both"/>
      </w:pPr>
      <w:r>
        <w:rPr>
          <w:spacing w:val="2"/>
        </w:rPr>
        <w:t>As</w:t>
      </w:r>
      <w:r>
        <w:rPr>
          <w:spacing w:val="-21"/>
        </w:rPr>
        <w:t> </w:t>
      </w:r>
      <w:r>
        <w:rPr/>
        <w:t>it</w:t>
      </w:r>
      <w:r>
        <w:rPr>
          <w:spacing w:val="-22"/>
        </w:rPr>
        <w:t> </w:t>
      </w:r>
      <w:r>
        <w:rPr/>
        <w:t>is</w:t>
      </w:r>
      <w:r>
        <w:rPr>
          <w:spacing w:val="-20"/>
        </w:rPr>
        <w:t> </w:t>
      </w:r>
      <w:r>
        <w:rPr/>
        <w:t>in</w:t>
      </w:r>
      <w:r>
        <w:rPr>
          <w:spacing w:val="-20"/>
        </w:rPr>
        <w:t> </w:t>
      </w:r>
      <w:r>
        <w:rPr/>
        <w:t>both</w:t>
      </w:r>
      <w:r>
        <w:rPr>
          <w:spacing w:val="-21"/>
        </w:rPr>
        <w:t> </w:t>
      </w:r>
      <w:r>
        <w:rPr/>
        <w:t>parties’</w:t>
      </w:r>
      <w:r>
        <w:rPr>
          <w:spacing w:val="-21"/>
        </w:rPr>
        <w:t> </w:t>
      </w:r>
      <w:r>
        <w:rPr/>
        <w:t>interest</w:t>
      </w:r>
      <w:r>
        <w:rPr>
          <w:spacing w:val="-22"/>
        </w:rPr>
        <w:t> </w:t>
      </w:r>
      <w:r>
        <w:rPr/>
        <w:t>to</w:t>
      </w:r>
      <w:r>
        <w:rPr>
          <w:spacing w:val="-20"/>
        </w:rPr>
        <w:t> </w:t>
      </w:r>
      <w:r>
        <w:rPr/>
        <w:t>expedite repair and re-occupancy of the damaged premises,</w:t>
      </w:r>
      <w:r>
        <w:rPr>
          <w:spacing w:val="-21"/>
        </w:rPr>
        <w:t> </w:t>
      </w:r>
      <w:r>
        <w:rPr/>
        <w:t>it</w:t>
      </w:r>
      <w:r>
        <w:rPr>
          <w:spacing w:val="-18"/>
        </w:rPr>
        <w:t> </w:t>
      </w:r>
      <w:r>
        <w:rPr/>
        <w:t>may</w:t>
      </w:r>
      <w:r>
        <w:rPr>
          <w:spacing w:val="-18"/>
        </w:rPr>
        <w:t> </w:t>
      </w:r>
      <w:r>
        <w:rPr/>
        <w:t>be</w:t>
      </w:r>
      <w:r>
        <w:rPr>
          <w:spacing w:val="-16"/>
        </w:rPr>
        <w:t> </w:t>
      </w:r>
      <w:r>
        <w:rPr/>
        <w:t>appropriate</w:t>
      </w:r>
      <w:r>
        <w:rPr>
          <w:spacing w:val="-18"/>
        </w:rPr>
        <w:t> </w:t>
      </w:r>
      <w:r>
        <w:rPr/>
        <w:t>to</w:t>
      </w:r>
      <w:r>
        <w:rPr>
          <w:spacing w:val="-16"/>
        </w:rPr>
        <w:t> </w:t>
      </w:r>
      <w:r>
        <w:rPr/>
        <w:t>encourage an immediate appointment of the umpire </w:t>
      </w:r>
      <w:r>
        <w:rPr>
          <w:spacing w:val="-8"/>
        </w:rPr>
        <w:t>to </w:t>
      </w:r>
      <w:r>
        <w:rPr/>
        <w:t>allow for an immediate inspection of the damaged</w:t>
      </w:r>
      <w:r>
        <w:rPr>
          <w:spacing w:val="-33"/>
        </w:rPr>
        <w:t> </w:t>
      </w:r>
      <w:r>
        <w:rPr/>
        <w:t>premises</w:t>
      </w:r>
      <w:r>
        <w:rPr>
          <w:spacing w:val="-33"/>
        </w:rPr>
        <w:t> </w:t>
      </w:r>
      <w:r>
        <w:rPr/>
        <w:t>so</w:t>
      </w:r>
      <w:r>
        <w:rPr>
          <w:spacing w:val="-32"/>
        </w:rPr>
        <w:t> </w:t>
      </w:r>
      <w:r>
        <w:rPr/>
        <w:t>both</w:t>
      </w:r>
      <w:r>
        <w:rPr>
          <w:spacing w:val="-34"/>
        </w:rPr>
        <w:t> </w:t>
      </w:r>
      <w:r>
        <w:rPr/>
        <w:t>demolition</w:t>
      </w:r>
      <w:r>
        <w:rPr>
          <w:spacing w:val="-32"/>
        </w:rPr>
        <w:t> </w:t>
      </w:r>
      <w:r>
        <w:rPr/>
        <w:t>and</w:t>
      </w:r>
      <w:r>
        <w:rPr>
          <w:spacing w:val="-32"/>
        </w:rPr>
        <w:t> </w:t>
      </w:r>
      <w:r>
        <w:rPr>
          <w:spacing w:val="-5"/>
        </w:rPr>
        <w:t>the </w:t>
      </w:r>
      <w:r>
        <w:rPr/>
        <w:t>appraisal may proceed simultaneously. </w:t>
      </w:r>
      <w:r>
        <w:rPr>
          <w:spacing w:val="-4"/>
        </w:rPr>
        <w:t>It </w:t>
      </w:r>
      <w:r>
        <w:rPr/>
        <w:t>would also facilitate the discovery of hidden damage</w:t>
      </w:r>
      <w:r>
        <w:rPr>
          <w:spacing w:val="-14"/>
        </w:rPr>
        <w:t> </w:t>
      </w:r>
      <w:r>
        <w:rPr/>
        <w:t>when</w:t>
      </w:r>
      <w:r>
        <w:rPr>
          <w:spacing w:val="-14"/>
        </w:rPr>
        <w:t> </w:t>
      </w:r>
      <w:r>
        <w:rPr/>
        <w:t>there</w:t>
      </w:r>
      <w:r>
        <w:rPr>
          <w:spacing w:val="-14"/>
        </w:rPr>
        <w:t> </w:t>
      </w:r>
      <w:r>
        <w:rPr/>
        <w:t>is</w:t>
      </w:r>
      <w:r>
        <w:rPr>
          <w:spacing w:val="-14"/>
        </w:rPr>
        <w:t> </w:t>
      </w:r>
      <w:r>
        <w:rPr/>
        <w:t>still</w:t>
      </w:r>
      <w:r>
        <w:rPr>
          <w:spacing w:val="-10"/>
        </w:rPr>
        <w:t> </w:t>
      </w:r>
      <w:r>
        <w:rPr/>
        <w:t>time</w:t>
      </w:r>
      <w:r>
        <w:rPr>
          <w:spacing w:val="-12"/>
        </w:rPr>
        <w:t> </w:t>
      </w:r>
      <w:r>
        <w:rPr/>
        <w:t>to</w:t>
      </w:r>
      <w:r>
        <w:rPr>
          <w:spacing w:val="-14"/>
        </w:rPr>
        <w:t> </w:t>
      </w:r>
      <w:r>
        <w:rPr/>
        <w:t>consider</w:t>
      </w:r>
      <w:r>
        <w:rPr>
          <w:spacing w:val="-15"/>
        </w:rPr>
        <w:t> </w:t>
      </w:r>
      <w:r>
        <w:rPr/>
        <w:t>it</w:t>
      </w:r>
      <w:r>
        <w:rPr>
          <w:spacing w:val="-16"/>
        </w:rPr>
        <w:t> </w:t>
      </w:r>
      <w:r>
        <w:rPr/>
        <w:t>in the</w:t>
      </w:r>
      <w:r>
        <w:rPr>
          <w:spacing w:val="-2"/>
        </w:rPr>
        <w:t> </w:t>
      </w:r>
      <w:r>
        <w:rPr/>
        <w:t>appraisal.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r>
        <w:rPr/>
        <w:pict>
          <v:shape style="position:absolute;margin-left:162pt;margin-top:13.937822pt;width:143.9pt;height:.1pt;mso-position-horizontal-relative:page;mso-position-vertical-relative:paragraph;z-index:-251625472;mso-wrap-distance-left:0;mso-wrap-distance-right:0" coordorigin="3240,279" coordsize="2878,0" path="m3240,279l6118,279e" filled="false" stroked="true" strokeweight=".84pt" strokecolor="#000000">
            <v:path arrowok="t"/>
            <v:stroke dashstyle="solid"/>
            <w10:wrap type="topAndBottom"/>
          </v:shape>
        </w:pict>
      </w:r>
    </w:p>
    <w:p>
      <w:pPr>
        <w:pStyle w:val="ListParagraph"/>
        <w:numPr>
          <w:ilvl w:val="0"/>
          <w:numId w:val="8"/>
        </w:numPr>
        <w:tabs>
          <w:tab w:pos="1411" w:val="left" w:leader="none"/>
        </w:tabs>
        <w:spacing w:line="244" w:lineRule="auto" w:before="140" w:after="0"/>
        <w:ind w:left="1160" w:right="1184" w:firstLine="0"/>
        <w:jc w:val="left"/>
        <w:rPr>
          <w:sz w:val="18"/>
        </w:rPr>
      </w:pPr>
      <w:r>
        <w:rPr>
          <w:sz w:val="18"/>
          <w:u w:val="single"/>
        </w:rPr>
        <w:t>Fisch v. Transcon Ins. Co.</w:t>
      </w:r>
      <w:r>
        <w:rPr>
          <w:sz w:val="18"/>
        </w:rPr>
        <w:t>, 356 S.W.2d 186 (Tex. Civ. App.-Houston 1962, writ ref’d n.r.e.); </w:t>
      </w:r>
      <w:r>
        <w:rPr>
          <w:sz w:val="18"/>
          <w:u w:val="single"/>
        </w:rPr>
        <w:t>Collings Carriage Co. v. German American Ins. Co.</w:t>
      </w:r>
      <w:r>
        <w:rPr>
          <w:sz w:val="18"/>
        </w:rPr>
        <w:t>, 86 N.J. Eq. 53, 97 A. 726 (1916).</w:t>
      </w:r>
    </w:p>
    <w:p>
      <w:pPr>
        <w:pStyle w:val="ListParagraph"/>
        <w:numPr>
          <w:ilvl w:val="0"/>
          <w:numId w:val="8"/>
        </w:numPr>
        <w:tabs>
          <w:tab w:pos="1402" w:val="left" w:leader="none"/>
        </w:tabs>
        <w:spacing w:line="206" w:lineRule="exact" w:before="0" w:after="0"/>
        <w:ind w:left="1401" w:right="0" w:hanging="242"/>
        <w:jc w:val="left"/>
        <w:rPr>
          <w:sz w:val="18"/>
        </w:rPr>
      </w:pPr>
      <w:r>
        <w:rPr>
          <w:sz w:val="18"/>
          <w:u w:val="single"/>
        </w:rPr>
        <w:t>Home Ins. Co. v. Walter</w:t>
      </w:r>
      <w:r>
        <w:rPr>
          <w:sz w:val="18"/>
        </w:rPr>
        <w:t>, 230 S.W. 723 (Tex. Civ. App.-Dallas</w:t>
      </w:r>
      <w:r>
        <w:rPr>
          <w:spacing w:val="1"/>
          <w:sz w:val="18"/>
        </w:rPr>
        <w:t> </w:t>
      </w:r>
      <w:r>
        <w:rPr>
          <w:sz w:val="18"/>
        </w:rPr>
        <w:t>1921).</w:t>
      </w:r>
    </w:p>
    <w:sectPr>
      <w:pgSz w:w="12240" w:h="15840"/>
      <w:pgMar w:header="0" w:footer="2273" w:top="1500" w:bottom="246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Century">
    <w:altName w:val="Century"/>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4pt;margin-top:667.371460pt;width:24pt;height:14pt;mso-position-horizontal-relative:page;mso-position-vertical-relative:page;z-index:-25260441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426</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873"/>
      <w:numFmt w:val="decimal"/>
      <w:lvlText w:val="%1"/>
      <w:lvlJc w:val="left"/>
      <w:pPr>
        <w:ind w:left="1422" w:hanging="26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58" w:hanging="263"/>
      </w:pPr>
      <w:rPr>
        <w:rFonts w:hint="default"/>
      </w:rPr>
    </w:lvl>
    <w:lvl w:ilvl="2">
      <w:start w:val="0"/>
      <w:numFmt w:val="bullet"/>
      <w:lvlText w:val="•"/>
      <w:lvlJc w:val="left"/>
      <w:pPr>
        <w:ind w:left="2896" w:hanging="263"/>
      </w:pPr>
      <w:rPr>
        <w:rFonts w:hint="default"/>
      </w:rPr>
    </w:lvl>
    <w:lvl w:ilvl="3">
      <w:start w:val="0"/>
      <w:numFmt w:val="bullet"/>
      <w:lvlText w:val="•"/>
      <w:lvlJc w:val="left"/>
      <w:pPr>
        <w:ind w:left="3634" w:hanging="263"/>
      </w:pPr>
      <w:rPr>
        <w:rFonts w:hint="default"/>
      </w:rPr>
    </w:lvl>
    <w:lvl w:ilvl="4">
      <w:start w:val="0"/>
      <w:numFmt w:val="bullet"/>
      <w:lvlText w:val="•"/>
      <w:lvlJc w:val="left"/>
      <w:pPr>
        <w:ind w:left="4372" w:hanging="263"/>
      </w:pPr>
      <w:rPr>
        <w:rFonts w:hint="default"/>
      </w:rPr>
    </w:lvl>
    <w:lvl w:ilvl="5">
      <w:start w:val="0"/>
      <w:numFmt w:val="bullet"/>
      <w:lvlText w:val="•"/>
      <w:lvlJc w:val="left"/>
      <w:pPr>
        <w:ind w:left="5110" w:hanging="263"/>
      </w:pPr>
      <w:rPr>
        <w:rFonts w:hint="default"/>
      </w:rPr>
    </w:lvl>
    <w:lvl w:ilvl="6">
      <w:start w:val="0"/>
      <w:numFmt w:val="bullet"/>
      <w:lvlText w:val="•"/>
      <w:lvlJc w:val="left"/>
      <w:pPr>
        <w:ind w:left="5848" w:hanging="263"/>
      </w:pPr>
      <w:rPr>
        <w:rFonts w:hint="default"/>
      </w:rPr>
    </w:lvl>
    <w:lvl w:ilvl="7">
      <w:start w:val="0"/>
      <w:numFmt w:val="bullet"/>
      <w:lvlText w:val="•"/>
      <w:lvlJc w:val="left"/>
      <w:pPr>
        <w:ind w:left="6586" w:hanging="263"/>
      </w:pPr>
      <w:rPr>
        <w:rFonts w:hint="default"/>
      </w:rPr>
    </w:lvl>
    <w:lvl w:ilvl="8">
      <w:start w:val="0"/>
      <w:numFmt w:val="bullet"/>
      <w:lvlText w:val="•"/>
      <w:lvlJc w:val="left"/>
      <w:pPr>
        <w:ind w:left="7324" w:hanging="263"/>
      </w:pPr>
      <w:rPr>
        <w:rFonts w:hint="default"/>
      </w:rPr>
    </w:lvl>
  </w:abstractNum>
  <w:abstractNum w:abstractNumId="6">
    <w:multiLevelType w:val="hybridMultilevel"/>
    <w:lvl w:ilvl="0">
      <w:start w:val="861"/>
      <w:numFmt w:val="decimal"/>
      <w:lvlText w:val="%1"/>
      <w:lvlJc w:val="left"/>
      <w:pPr>
        <w:ind w:left="1434" w:hanging="275"/>
        <w:jc w:val="left"/>
      </w:pPr>
      <w:rPr>
        <w:rFonts w:hint="default" w:ascii="Times New Roman" w:hAnsi="Times New Roman" w:eastAsia="Times New Roman" w:cs="Times New Roman"/>
        <w:spacing w:val="0"/>
        <w:w w:val="99"/>
        <w:position w:val="10"/>
        <w:sz w:val="14"/>
        <w:szCs w:val="14"/>
      </w:rPr>
    </w:lvl>
    <w:lvl w:ilvl="1">
      <w:start w:val="4"/>
      <w:numFmt w:val="upperLetter"/>
      <w:lvlText w:val="%2]"/>
      <w:lvlJc w:val="left"/>
      <w:pPr>
        <w:ind w:left="2240" w:hanging="720"/>
        <w:jc w:val="left"/>
      </w:pPr>
      <w:rPr>
        <w:rFonts w:hint="default" w:ascii="Century Gothic" w:hAnsi="Century Gothic" w:eastAsia="Century Gothic" w:cs="Century Gothic"/>
        <w:w w:val="99"/>
        <w:sz w:val="26"/>
        <w:szCs w:val="26"/>
      </w:rPr>
    </w:lvl>
    <w:lvl w:ilvl="2">
      <w:start w:val="0"/>
      <w:numFmt w:val="bullet"/>
      <w:lvlText w:val="•"/>
      <w:lvlJc w:val="left"/>
      <w:pPr>
        <w:ind w:left="2968" w:hanging="720"/>
      </w:pPr>
      <w:rPr>
        <w:rFonts w:hint="default"/>
      </w:rPr>
    </w:lvl>
    <w:lvl w:ilvl="3">
      <w:start w:val="0"/>
      <w:numFmt w:val="bullet"/>
      <w:lvlText w:val="•"/>
      <w:lvlJc w:val="left"/>
      <w:pPr>
        <w:ind w:left="3697" w:hanging="720"/>
      </w:pPr>
      <w:rPr>
        <w:rFonts w:hint="default"/>
      </w:rPr>
    </w:lvl>
    <w:lvl w:ilvl="4">
      <w:start w:val="0"/>
      <w:numFmt w:val="bullet"/>
      <w:lvlText w:val="•"/>
      <w:lvlJc w:val="left"/>
      <w:pPr>
        <w:ind w:left="4426" w:hanging="720"/>
      </w:pPr>
      <w:rPr>
        <w:rFonts w:hint="default"/>
      </w:rPr>
    </w:lvl>
    <w:lvl w:ilvl="5">
      <w:start w:val="0"/>
      <w:numFmt w:val="bullet"/>
      <w:lvlText w:val="•"/>
      <w:lvlJc w:val="left"/>
      <w:pPr>
        <w:ind w:left="5155" w:hanging="720"/>
      </w:pPr>
      <w:rPr>
        <w:rFonts w:hint="default"/>
      </w:rPr>
    </w:lvl>
    <w:lvl w:ilvl="6">
      <w:start w:val="0"/>
      <w:numFmt w:val="bullet"/>
      <w:lvlText w:val="•"/>
      <w:lvlJc w:val="left"/>
      <w:pPr>
        <w:ind w:left="5884" w:hanging="720"/>
      </w:pPr>
      <w:rPr>
        <w:rFonts w:hint="default"/>
      </w:rPr>
    </w:lvl>
    <w:lvl w:ilvl="7">
      <w:start w:val="0"/>
      <w:numFmt w:val="bullet"/>
      <w:lvlText w:val="•"/>
      <w:lvlJc w:val="left"/>
      <w:pPr>
        <w:ind w:left="6613" w:hanging="720"/>
      </w:pPr>
      <w:rPr>
        <w:rFonts w:hint="default"/>
      </w:rPr>
    </w:lvl>
    <w:lvl w:ilvl="8">
      <w:start w:val="0"/>
      <w:numFmt w:val="bullet"/>
      <w:lvlText w:val="•"/>
      <w:lvlJc w:val="left"/>
      <w:pPr>
        <w:ind w:left="7342" w:hanging="720"/>
      </w:pPr>
      <w:rPr>
        <w:rFonts w:hint="default"/>
      </w:rPr>
    </w:lvl>
  </w:abstractNum>
  <w:abstractNum w:abstractNumId="5">
    <w:multiLevelType w:val="hybridMultilevel"/>
    <w:lvl w:ilvl="0">
      <w:start w:val="852"/>
      <w:numFmt w:val="decimal"/>
      <w:lvlText w:val="%1"/>
      <w:lvlJc w:val="left"/>
      <w:pPr>
        <w:ind w:left="1406" w:hanging="246"/>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46"/>
      </w:pPr>
      <w:rPr>
        <w:rFonts w:hint="default"/>
      </w:rPr>
    </w:lvl>
    <w:lvl w:ilvl="2">
      <w:start w:val="0"/>
      <w:numFmt w:val="bullet"/>
      <w:lvlText w:val="•"/>
      <w:lvlJc w:val="left"/>
      <w:pPr>
        <w:ind w:left="2328" w:hanging="246"/>
      </w:pPr>
      <w:rPr>
        <w:rFonts w:hint="default"/>
      </w:rPr>
    </w:lvl>
    <w:lvl w:ilvl="3">
      <w:start w:val="0"/>
      <w:numFmt w:val="bullet"/>
      <w:lvlText w:val="•"/>
      <w:lvlJc w:val="left"/>
      <w:pPr>
        <w:ind w:left="3137" w:hanging="246"/>
      </w:pPr>
      <w:rPr>
        <w:rFonts w:hint="default"/>
      </w:rPr>
    </w:lvl>
    <w:lvl w:ilvl="4">
      <w:start w:val="0"/>
      <w:numFmt w:val="bullet"/>
      <w:lvlText w:val="•"/>
      <w:lvlJc w:val="left"/>
      <w:pPr>
        <w:ind w:left="3946" w:hanging="246"/>
      </w:pPr>
      <w:rPr>
        <w:rFonts w:hint="default"/>
      </w:rPr>
    </w:lvl>
    <w:lvl w:ilvl="5">
      <w:start w:val="0"/>
      <w:numFmt w:val="bullet"/>
      <w:lvlText w:val="•"/>
      <w:lvlJc w:val="left"/>
      <w:pPr>
        <w:ind w:left="4755" w:hanging="246"/>
      </w:pPr>
      <w:rPr>
        <w:rFonts w:hint="default"/>
      </w:rPr>
    </w:lvl>
    <w:lvl w:ilvl="6">
      <w:start w:val="0"/>
      <w:numFmt w:val="bullet"/>
      <w:lvlText w:val="•"/>
      <w:lvlJc w:val="left"/>
      <w:pPr>
        <w:ind w:left="5564" w:hanging="246"/>
      </w:pPr>
      <w:rPr>
        <w:rFonts w:hint="default"/>
      </w:rPr>
    </w:lvl>
    <w:lvl w:ilvl="7">
      <w:start w:val="0"/>
      <w:numFmt w:val="bullet"/>
      <w:lvlText w:val="•"/>
      <w:lvlJc w:val="left"/>
      <w:pPr>
        <w:ind w:left="6373" w:hanging="246"/>
      </w:pPr>
      <w:rPr>
        <w:rFonts w:hint="default"/>
      </w:rPr>
    </w:lvl>
    <w:lvl w:ilvl="8">
      <w:start w:val="0"/>
      <w:numFmt w:val="bullet"/>
      <w:lvlText w:val="•"/>
      <w:lvlJc w:val="left"/>
      <w:pPr>
        <w:ind w:left="7182" w:hanging="246"/>
      </w:pPr>
      <w:rPr>
        <w:rFonts w:hint="default"/>
      </w:rPr>
    </w:lvl>
  </w:abstractNum>
  <w:abstractNum w:abstractNumId="4">
    <w:multiLevelType w:val="hybridMultilevel"/>
    <w:lvl w:ilvl="0">
      <w:start w:val="835"/>
      <w:numFmt w:val="decimal"/>
      <w:lvlText w:val="%1"/>
      <w:lvlJc w:val="left"/>
      <w:pPr>
        <w:ind w:left="1418" w:hanging="25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58" w:hanging="258"/>
      </w:pPr>
      <w:rPr>
        <w:rFonts w:hint="default"/>
      </w:rPr>
    </w:lvl>
    <w:lvl w:ilvl="2">
      <w:start w:val="0"/>
      <w:numFmt w:val="bullet"/>
      <w:lvlText w:val="•"/>
      <w:lvlJc w:val="left"/>
      <w:pPr>
        <w:ind w:left="2896" w:hanging="258"/>
      </w:pPr>
      <w:rPr>
        <w:rFonts w:hint="default"/>
      </w:rPr>
    </w:lvl>
    <w:lvl w:ilvl="3">
      <w:start w:val="0"/>
      <w:numFmt w:val="bullet"/>
      <w:lvlText w:val="•"/>
      <w:lvlJc w:val="left"/>
      <w:pPr>
        <w:ind w:left="3634" w:hanging="258"/>
      </w:pPr>
      <w:rPr>
        <w:rFonts w:hint="default"/>
      </w:rPr>
    </w:lvl>
    <w:lvl w:ilvl="4">
      <w:start w:val="0"/>
      <w:numFmt w:val="bullet"/>
      <w:lvlText w:val="•"/>
      <w:lvlJc w:val="left"/>
      <w:pPr>
        <w:ind w:left="4372" w:hanging="258"/>
      </w:pPr>
      <w:rPr>
        <w:rFonts w:hint="default"/>
      </w:rPr>
    </w:lvl>
    <w:lvl w:ilvl="5">
      <w:start w:val="0"/>
      <w:numFmt w:val="bullet"/>
      <w:lvlText w:val="•"/>
      <w:lvlJc w:val="left"/>
      <w:pPr>
        <w:ind w:left="5110" w:hanging="258"/>
      </w:pPr>
      <w:rPr>
        <w:rFonts w:hint="default"/>
      </w:rPr>
    </w:lvl>
    <w:lvl w:ilvl="6">
      <w:start w:val="0"/>
      <w:numFmt w:val="bullet"/>
      <w:lvlText w:val="•"/>
      <w:lvlJc w:val="left"/>
      <w:pPr>
        <w:ind w:left="5848" w:hanging="258"/>
      </w:pPr>
      <w:rPr>
        <w:rFonts w:hint="default"/>
      </w:rPr>
    </w:lvl>
    <w:lvl w:ilvl="7">
      <w:start w:val="0"/>
      <w:numFmt w:val="bullet"/>
      <w:lvlText w:val="•"/>
      <w:lvlJc w:val="left"/>
      <w:pPr>
        <w:ind w:left="6586" w:hanging="258"/>
      </w:pPr>
      <w:rPr>
        <w:rFonts w:hint="default"/>
      </w:rPr>
    </w:lvl>
    <w:lvl w:ilvl="8">
      <w:start w:val="0"/>
      <w:numFmt w:val="bullet"/>
      <w:lvlText w:val="•"/>
      <w:lvlJc w:val="left"/>
      <w:pPr>
        <w:ind w:left="7324" w:hanging="258"/>
      </w:pPr>
      <w:rPr>
        <w:rFonts w:hint="default"/>
      </w:rPr>
    </w:lvl>
  </w:abstractNum>
  <w:abstractNum w:abstractNumId="3">
    <w:multiLevelType w:val="hybridMultilevel"/>
    <w:lvl w:ilvl="0">
      <w:start w:val="826"/>
      <w:numFmt w:val="decimal"/>
      <w:lvlText w:val="%1"/>
      <w:lvlJc w:val="left"/>
      <w:pPr>
        <w:ind w:left="1160" w:hanging="297"/>
        <w:jc w:val="left"/>
      </w:pPr>
      <w:rPr>
        <w:rFonts w:hint="default"/>
        <w:spacing w:val="0"/>
        <w:w w:val="99"/>
        <w:position w:val="10"/>
      </w:rPr>
    </w:lvl>
    <w:lvl w:ilvl="1">
      <w:start w:val="0"/>
      <w:numFmt w:val="bullet"/>
      <w:lvlText w:val="•"/>
      <w:lvlJc w:val="left"/>
      <w:pPr>
        <w:ind w:left="1924" w:hanging="297"/>
      </w:pPr>
      <w:rPr>
        <w:rFonts w:hint="default"/>
      </w:rPr>
    </w:lvl>
    <w:lvl w:ilvl="2">
      <w:start w:val="0"/>
      <w:numFmt w:val="bullet"/>
      <w:lvlText w:val="•"/>
      <w:lvlJc w:val="left"/>
      <w:pPr>
        <w:ind w:left="2688" w:hanging="297"/>
      </w:pPr>
      <w:rPr>
        <w:rFonts w:hint="default"/>
      </w:rPr>
    </w:lvl>
    <w:lvl w:ilvl="3">
      <w:start w:val="0"/>
      <w:numFmt w:val="bullet"/>
      <w:lvlText w:val="•"/>
      <w:lvlJc w:val="left"/>
      <w:pPr>
        <w:ind w:left="3452" w:hanging="297"/>
      </w:pPr>
      <w:rPr>
        <w:rFonts w:hint="default"/>
      </w:rPr>
    </w:lvl>
    <w:lvl w:ilvl="4">
      <w:start w:val="0"/>
      <w:numFmt w:val="bullet"/>
      <w:lvlText w:val="•"/>
      <w:lvlJc w:val="left"/>
      <w:pPr>
        <w:ind w:left="4216" w:hanging="297"/>
      </w:pPr>
      <w:rPr>
        <w:rFonts w:hint="default"/>
      </w:rPr>
    </w:lvl>
    <w:lvl w:ilvl="5">
      <w:start w:val="0"/>
      <w:numFmt w:val="bullet"/>
      <w:lvlText w:val="•"/>
      <w:lvlJc w:val="left"/>
      <w:pPr>
        <w:ind w:left="4980" w:hanging="297"/>
      </w:pPr>
      <w:rPr>
        <w:rFonts w:hint="default"/>
      </w:rPr>
    </w:lvl>
    <w:lvl w:ilvl="6">
      <w:start w:val="0"/>
      <w:numFmt w:val="bullet"/>
      <w:lvlText w:val="•"/>
      <w:lvlJc w:val="left"/>
      <w:pPr>
        <w:ind w:left="5744" w:hanging="297"/>
      </w:pPr>
      <w:rPr>
        <w:rFonts w:hint="default"/>
      </w:rPr>
    </w:lvl>
    <w:lvl w:ilvl="7">
      <w:start w:val="0"/>
      <w:numFmt w:val="bullet"/>
      <w:lvlText w:val="•"/>
      <w:lvlJc w:val="left"/>
      <w:pPr>
        <w:ind w:left="6508" w:hanging="297"/>
      </w:pPr>
      <w:rPr>
        <w:rFonts w:hint="default"/>
      </w:rPr>
    </w:lvl>
    <w:lvl w:ilvl="8">
      <w:start w:val="0"/>
      <w:numFmt w:val="bullet"/>
      <w:lvlText w:val="•"/>
      <w:lvlJc w:val="left"/>
      <w:pPr>
        <w:ind w:left="7272" w:hanging="297"/>
      </w:pPr>
      <w:rPr>
        <w:rFonts w:hint="default"/>
      </w:rPr>
    </w:lvl>
  </w:abstractNum>
  <w:abstractNum w:abstractNumId="2">
    <w:multiLevelType w:val="hybridMultilevel"/>
    <w:lvl w:ilvl="0">
      <w:start w:val="817"/>
      <w:numFmt w:val="decimal"/>
      <w:lvlText w:val="%1"/>
      <w:lvlJc w:val="left"/>
      <w:pPr>
        <w:ind w:left="1160" w:hanging="330"/>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330"/>
      </w:pPr>
      <w:rPr>
        <w:rFonts w:hint="default"/>
      </w:rPr>
    </w:lvl>
    <w:lvl w:ilvl="2">
      <w:start w:val="0"/>
      <w:numFmt w:val="bullet"/>
      <w:lvlText w:val="•"/>
      <w:lvlJc w:val="left"/>
      <w:pPr>
        <w:ind w:left="2328" w:hanging="330"/>
      </w:pPr>
      <w:rPr>
        <w:rFonts w:hint="default"/>
      </w:rPr>
    </w:lvl>
    <w:lvl w:ilvl="3">
      <w:start w:val="0"/>
      <w:numFmt w:val="bullet"/>
      <w:lvlText w:val="•"/>
      <w:lvlJc w:val="left"/>
      <w:pPr>
        <w:ind w:left="3137" w:hanging="330"/>
      </w:pPr>
      <w:rPr>
        <w:rFonts w:hint="default"/>
      </w:rPr>
    </w:lvl>
    <w:lvl w:ilvl="4">
      <w:start w:val="0"/>
      <w:numFmt w:val="bullet"/>
      <w:lvlText w:val="•"/>
      <w:lvlJc w:val="left"/>
      <w:pPr>
        <w:ind w:left="3946" w:hanging="330"/>
      </w:pPr>
      <w:rPr>
        <w:rFonts w:hint="default"/>
      </w:rPr>
    </w:lvl>
    <w:lvl w:ilvl="5">
      <w:start w:val="0"/>
      <w:numFmt w:val="bullet"/>
      <w:lvlText w:val="•"/>
      <w:lvlJc w:val="left"/>
      <w:pPr>
        <w:ind w:left="4755" w:hanging="330"/>
      </w:pPr>
      <w:rPr>
        <w:rFonts w:hint="default"/>
      </w:rPr>
    </w:lvl>
    <w:lvl w:ilvl="6">
      <w:start w:val="0"/>
      <w:numFmt w:val="bullet"/>
      <w:lvlText w:val="•"/>
      <w:lvlJc w:val="left"/>
      <w:pPr>
        <w:ind w:left="5564" w:hanging="330"/>
      </w:pPr>
      <w:rPr>
        <w:rFonts w:hint="default"/>
      </w:rPr>
    </w:lvl>
    <w:lvl w:ilvl="7">
      <w:start w:val="0"/>
      <w:numFmt w:val="bullet"/>
      <w:lvlText w:val="•"/>
      <w:lvlJc w:val="left"/>
      <w:pPr>
        <w:ind w:left="6373" w:hanging="330"/>
      </w:pPr>
      <w:rPr>
        <w:rFonts w:hint="default"/>
      </w:rPr>
    </w:lvl>
    <w:lvl w:ilvl="8">
      <w:start w:val="0"/>
      <w:numFmt w:val="bullet"/>
      <w:lvlText w:val="•"/>
      <w:lvlJc w:val="left"/>
      <w:pPr>
        <w:ind w:left="7182" w:hanging="330"/>
      </w:pPr>
      <w:rPr>
        <w:rFonts w:hint="default"/>
      </w:rPr>
    </w:lvl>
  </w:abstractNum>
  <w:abstractNum w:abstractNumId="1">
    <w:multiLevelType w:val="hybridMultilevel"/>
    <w:lvl w:ilvl="0">
      <w:start w:val="809"/>
      <w:numFmt w:val="decimal"/>
      <w:lvlText w:val="%1"/>
      <w:lvlJc w:val="left"/>
      <w:pPr>
        <w:ind w:left="1410" w:hanging="251"/>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58" w:hanging="251"/>
      </w:pPr>
      <w:rPr>
        <w:rFonts w:hint="default"/>
      </w:rPr>
    </w:lvl>
    <w:lvl w:ilvl="2">
      <w:start w:val="0"/>
      <w:numFmt w:val="bullet"/>
      <w:lvlText w:val="•"/>
      <w:lvlJc w:val="left"/>
      <w:pPr>
        <w:ind w:left="2896" w:hanging="251"/>
      </w:pPr>
      <w:rPr>
        <w:rFonts w:hint="default"/>
      </w:rPr>
    </w:lvl>
    <w:lvl w:ilvl="3">
      <w:start w:val="0"/>
      <w:numFmt w:val="bullet"/>
      <w:lvlText w:val="•"/>
      <w:lvlJc w:val="left"/>
      <w:pPr>
        <w:ind w:left="3634" w:hanging="251"/>
      </w:pPr>
      <w:rPr>
        <w:rFonts w:hint="default"/>
      </w:rPr>
    </w:lvl>
    <w:lvl w:ilvl="4">
      <w:start w:val="0"/>
      <w:numFmt w:val="bullet"/>
      <w:lvlText w:val="•"/>
      <w:lvlJc w:val="left"/>
      <w:pPr>
        <w:ind w:left="4372" w:hanging="251"/>
      </w:pPr>
      <w:rPr>
        <w:rFonts w:hint="default"/>
      </w:rPr>
    </w:lvl>
    <w:lvl w:ilvl="5">
      <w:start w:val="0"/>
      <w:numFmt w:val="bullet"/>
      <w:lvlText w:val="•"/>
      <w:lvlJc w:val="left"/>
      <w:pPr>
        <w:ind w:left="5110" w:hanging="251"/>
      </w:pPr>
      <w:rPr>
        <w:rFonts w:hint="default"/>
      </w:rPr>
    </w:lvl>
    <w:lvl w:ilvl="6">
      <w:start w:val="0"/>
      <w:numFmt w:val="bullet"/>
      <w:lvlText w:val="•"/>
      <w:lvlJc w:val="left"/>
      <w:pPr>
        <w:ind w:left="5848" w:hanging="251"/>
      </w:pPr>
      <w:rPr>
        <w:rFonts w:hint="default"/>
      </w:rPr>
    </w:lvl>
    <w:lvl w:ilvl="7">
      <w:start w:val="0"/>
      <w:numFmt w:val="bullet"/>
      <w:lvlText w:val="•"/>
      <w:lvlJc w:val="left"/>
      <w:pPr>
        <w:ind w:left="6586" w:hanging="251"/>
      </w:pPr>
      <w:rPr>
        <w:rFonts w:hint="default"/>
      </w:rPr>
    </w:lvl>
    <w:lvl w:ilvl="8">
      <w:start w:val="0"/>
      <w:numFmt w:val="bullet"/>
      <w:lvlText w:val="•"/>
      <w:lvlJc w:val="left"/>
      <w:pPr>
        <w:ind w:left="7324" w:hanging="251"/>
      </w:pPr>
      <w:rPr>
        <w:rFonts w:hint="default"/>
      </w:rPr>
    </w:lvl>
  </w:abstractNum>
  <w:abstractNum w:abstractNumId="0">
    <w:multiLevelType w:val="hybridMultilevel"/>
    <w:lvl w:ilvl="0">
      <w:start w:val="1"/>
      <w:numFmt w:val="decimal"/>
      <w:lvlText w:val="%1."/>
      <w:lvlJc w:val="left"/>
      <w:pPr>
        <w:ind w:left="1877" w:hanging="358"/>
        <w:jc w:val="left"/>
      </w:pPr>
      <w:rPr>
        <w:rFonts w:hint="default" w:ascii="Century Gothic" w:hAnsi="Century Gothic" w:eastAsia="Century Gothic" w:cs="Century Gothic"/>
        <w:w w:val="99"/>
        <w:sz w:val="26"/>
        <w:szCs w:val="26"/>
      </w:rPr>
    </w:lvl>
    <w:lvl w:ilvl="1">
      <w:start w:val="0"/>
      <w:numFmt w:val="bullet"/>
      <w:lvlText w:val="•"/>
      <w:lvlJc w:val="left"/>
      <w:pPr>
        <w:ind w:left="2572" w:hanging="358"/>
      </w:pPr>
      <w:rPr>
        <w:rFonts w:hint="default"/>
      </w:rPr>
    </w:lvl>
    <w:lvl w:ilvl="2">
      <w:start w:val="0"/>
      <w:numFmt w:val="bullet"/>
      <w:lvlText w:val="•"/>
      <w:lvlJc w:val="left"/>
      <w:pPr>
        <w:ind w:left="3264" w:hanging="358"/>
      </w:pPr>
      <w:rPr>
        <w:rFonts w:hint="default"/>
      </w:rPr>
    </w:lvl>
    <w:lvl w:ilvl="3">
      <w:start w:val="0"/>
      <w:numFmt w:val="bullet"/>
      <w:lvlText w:val="•"/>
      <w:lvlJc w:val="left"/>
      <w:pPr>
        <w:ind w:left="3956" w:hanging="358"/>
      </w:pPr>
      <w:rPr>
        <w:rFonts w:hint="default"/>
      </w:rPr>
    </w:lvl>
    <w:lvl w:ilvl="4">
      <w:start w:val="0"/>
      <w:numFmt w:val="bullet"/>
      <w:lvlText w:val="•"/>
      <w:lvlJc w:val="left"/>
      <w:pPr>
        <w:ind w:left="4648" w:hanging="358"/>
      </w:pPr>
      <w:rPr>
        <w:rFonts w:hint="default"/>
      </w:rPr>
    </w:lvl>
    <w:lvl w:ilvl="5">
      <w:start w:val="0"/>
      <w:numFmt w:val="bullet"/>
      <w:lvlText w:val="•"/>
      <w:lvlJc w:val="left"/>
      <w:pPr>
        <w:ind w:left="5340" w:hanging="358"/>
      </w:pPr>
      <w:rPr>
        <w:rFonts w:hint="default"/>
      </w:rPr>
    </w:lvl>
    <w:lvl w:ilvl="6">
      <w:start w:val="0"/>
      <w:numFmt w:val="bullet"/>
      <w:lvlText w:val="•"/>
      <w:lvlJc w:val="left"/>
      <w:pPr>
        <w:ind w:left="6032" w:hanging="358"/>
      </w:pPr>
      <w:rPr>
        <w:rFonts w:hint="default"/>
      </w:rPr>
    </w:lvl>
    <w:lvl w:ilvl="7">
      <w:start w:val="0"/>
      <w:numFmt w:val="bullet"/>
      <w:lvlText w:val="•"/>
      <w:lvlJc w:val="left"/>
      <w:pPr>
        <w:ind w:left="6724" w:hanging="358"/>
      </w:pPr>
      <w:rPr>
        <w:rFonts w:hint="default"/>
      </w:rPr>
    </w:lvl>
    <w:lvl w:ilvl="8">
      <w:start w:val="0"/>
      <w:numFmt w:val="bullet"/>
      <w:lvlText w:val="•"/>
      <w:lvlJc w:val="left"/>
      <w:pPr>
        <w:ind w:left="7416" w:hanging="358"/>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6"/>
      <w:szCs w:val="26"/>
    </w:rPr>
  </w:style>
  <w:style w:styleId="ListParagraph" w:type="paragraph">
    <w:name w:val="List Paragraph"/>
    <w:basedOn w:val="Normal"/>
    <w:uiPriority w:val="1"/>
    <w:qFormat/>
    <w:pPr>
      <w:ind w:left="1160"/>
    </w:pPr>
    <w:rPr>
      <w:rFonts w:ascii="Times New Roman" w:hAnsi="Times New Roman" w:eastAsia="Times New Roman" w:cs="Times New Roman"/>
    </w:rPr>
  </w:style>
  <w:style w:styleId="TableParagraph" w:type="paragraph">
    <w:name w:val="Table Paragraph"/>
    <w:basedOn w:val="Normal"/>
    <w:uiPriority w:val="1"/>
    <w:qFormat/>
    <w:pPr>
      <w:spacing w:line="223" w:lineRule="exact"/>
    </w:pPr>
    <w:rPr>
      <w:rFonts w:ascii="Century Gothic" w:hAnsi="Century Gothic" w:eastAsia="Century Gothic" w:cs="Century Gothic"/>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2024-05-06T07:12:21Z</dcterms:created>
  <dcterms:modified xsi:type="dcterms:W3CDTF">2024-05-06T07:12:21Z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Acrobat Pro DC 20.6.20034</vt:lpwstr>
  </property>
  <property fmtid="{D5CDD505-2E9C-101B-9397-08002B2CF9AE}" pid="4" name="LastSaved">
    <vt:filetime>2024-05-06T00:00:00Z</vt:filetime>
  </property>
</Properties>
</file>