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
        <w:rPr>
          <w:rFonts w:ascii="Times New Roman"/>
          <w:sz w:val="25"/>
        </w:rPr>
      </w:pPr>
    </w:p>
    <w:p>
      <w:pPr>
        <w:spacing w:before="33"/>
        <w:ind w:left="1103" w:right="1103" w:firstLine="0"/>
        <w:jc w:val="center"/>
        <w:rPr>
          <w:b/>
          <w:sz w:val="30"/>
        </w:rPr>
      </w:pPr>
      <w:bookmarkStart w:name="Law and Procedure 425" w:id="1"/>
      <w:bookmarkEnd w:id="1"/>
      <w:r>
        <w:rPr/>
      </w:r>
      <w:r>
        <w:rPr>
          <w:b/>
          <w:sz w:val="30"/>
        </w:rPr>
        <w:t>CHAPTER IX</w:t>
      </w:r>
    </w:p>
    <w:p>
      <w:pPr>
        <w:pStyle w:val="BodyText"/>
        <w:spacing w:before="4"/>
        <w:rPr>
          <w:b/>
          <w:sz w:val="29"/>
        </w:rPr>
      </w:pPr>
    </w:p>
    <w:p>
      <w:pPr>
        <w:spacing w:before="0"/>
        <w:ind w:left="948" w:right="1112" w:firstLine="0"/>
        <w:jc w:val="center"/>
        <w:rPr>
          <w:b/>
          <w:sz w:val="30"/>
        </w:rPr>
      </w:pPr>
      <w:r>
        <w:rPr>
          <w:b/>
          <w:sz w:val="30"/>
        </w:rPr>
        <w:t>THE APPRAISAL</w:t>
      </w:r>
    </w:p>
    <w:p>
      <w:pPr>
        <w:pStyle w:val="BodyText"/>
        <w:spacing w:before="3"/>
        <w:rPr>
          <w:b/>
          <w:sz w:val="15"/>
        </w:rPr>
      </w:pPr>
    </w:p>
    <w:p>
      <w:pPr>
        <w:spacing w:before="55"/>
        <w:ind w:left="0" w:right="1520" w:firstLine="0"/>
        <w:jc w:val="right"/>
        <w:rPr>
          <w:sz w:val="20"/>
        </w:rPr>
      </w:pPr>
      <w:r>
        <w:rPr>
          <w:w w:val="95"/>
          <w:sz w:val="20"/>
        </w:rPr>
        <w:t>Pages</w:t>
      </w:r>
    </w:p>
    <w:p>
      <w:pPr>
        <w:pStyle w:val="ListParagraph"/>
        <w:numPr>
          <w:ilvl w:val="0"/>
          <w:numId w:val="1"/>
        </w:numPr>
        <w:tabs>
          <w:tab w:pos="1842" w:val="left" w:leader="none"/>
          <w:tab w:pos="7052" w:val="right" w:leader="none"/>
        </w:tabs>
        <w:spacing w:line="245" w:lineRule="exact" w:before="244" w:after="0"/>
        <w:ind w:left="1841" w:right="0" w:hanging="322"/>
        <w:jc w:val="left"/>
        <w:rPr>
          <w:rFonts w:ascii="Century Gothic"/>
          <w:sz w:val="20"/>
        </w:rPr>
      </w:pPr>
      <w:r>
        <w:rPr>
          <w:rFonts w:ascii="Century Gothic"/>
          <w:sz w:val="20"/>
        </w:rPr>
        <w:t>Generally</w:t>
        <w:tab/>
        <w:t>464</w:t>
      </w:r>
    </w:p>
    <w:p>
      <w:pPr>
        <w:pStyle w:val="ListParagraph"/>
        <w:numPr>
          <w:ilvl w:val="0"/>
          <w:numId w:val="1"/>
        </w:numPr>
        <w:tabs>
          <w:tab w:pos="1817" w:val="left" w:leader="none"/>
          <w:tab w:pos="7051" w:val="right" w:leader="none"/>
        </w:tabs>
        <w:spacing w:line="245" w:lineRule="exact" w:before="0" w:after="0"/>
        <w:ind w:left="1816" w:right="0" w:hanging="297"/>
        <w:jc w:val="left"/>
        <w:rPr>
          <w:rFonts w:ascii="Century Gothic"/>
          <w:sz w:val="20"/>
        </w:rPr>
      </w:pPr>
      <w:r>
        <w:rPr>
          <w:rFonts w:ascii="Century Gothic"/>
          <w:sz w:val="20"/>
        </w:rPr>
        <w:t>Consultation</w:t>
      </w:r>
      <w:r>
        <w:rPr>
          <w:rFonts w:ascii="Century Gothic"/>
          <w:spacing w:val="-2"/>
          <w:sz w:val="20"/>
        </w:rPr>
        <w:t> </w:t>
      </w:r>
      <w:r>
        <w:rPr>
          <w:rFonts w:ascii="Century Gothic"/>
          <w:sz w:val="20"/>
        </w:rPr>
        <w:t>Necessary</w:t>
        <w:tab/>
        <w:t>469</w:t>
      </w:r>
    </w:p>
    <w:p>
      <w:pPr>
        <w:pStyle w:val="ListParagraph"/>
        <w:numPr>
          <w:ilvl w:val="0"/>
          <w:numId w:val="1"/>
        </w:numPr>
        <w:tabs>
          <w:tab w:pos="1864" w:val="left" w:leader="none"/>
          <w:tab w:pos="7053" w:val="right" w:leader="none"/>
        </w:tabs>
        <w:spacing w:line="245" w:lineRule="exact" w:before="0" w:after="0"/>
        <w:ind w:left="1863" w:right="0" w:hanging="344"/>
        <w:jc w:val="left"/>
        <w:rPr>
          <w:rFonts w:ascii="Century Gothic"/>
          <w:sz w:val="20"/>
        </w:rPr>
      </w:pPr>
      <w:r>
        <w:rPr>
          <w:rFonts w:ascii="Century Gothic"/>
          <w:sz w:val="20"/>
        </w:rPr>
        <w:t>Determining</w:t>
      </w:r>
      <w:r>
        <w:rPr>
          <w:rFonts w:ascii="Century Gothic"/>
          <w:spacing w:val="-1"/>
          <w:sz w:val="20"/>
        </w:rPr>
        <w:t> </w:t>
      </w:r>
      <w:r>
        <w:rPr>
          <w:rFonts w:ascii="Century Gothic"/>
          <w:sz w:val="20"/>
        </w:rPr>
        <w:t>Value</w:t>
        <w:tab/>
        <w:t>476</w:t>
      </w:r>
    </w:p>
    <w:p>
      <w:pPr>
        <w:pStyle w:val="ListParagraph"/>
        <w:numPr>
          <w:ilvl w:val="1"/>
          <w:numId w:val="1"/>
        </w:numPr>
        <w:tabs>
          <w:tab w:pos="2291" w:val="left" w:leader="none"/>
        </w:tabs>
        <w:spacing w:line="245" w:lineRule="exact" w:before="0" w:after="0"/>
        <w:ind w:left="2290" w:right="0" w:hanging="220"/>
        <w:jc w:val="left"/>
        <w:rPr>
          <w:rFonts w:ascii="Century Gothic"/>
          <w:sz w:val="20"/>
        </w:rPr>
      </w:pPr>
      <w:r>
        <w:rPr>
          <w:rFonts w:ascii="Century Gothic"/>
          <w:sz w:val="20"/>
        </w:rPr>
        <w:t>Actual Cash Value: The Broad</w:t>
      </w:r>
      <w:r>
        <w:rPr>
          <w:rFonts w:ascii="Century Gothic"/>
          <w:spacing w:val="-9"/>
          <w:sz w:val="20"/>
        </w:rPr>
        <w:t> </w:t>
      </w:r>
      <w:r>
        <w:rPr>
          <w:rFonts w:ascii="Century Gothic"/>
          <w:sz w:val="20"/>
        </w:rPr>
        <w:t>Evidence</w:t>
      </w:r>
    </w:p>
    <w:p>
      <w:pPr>
        <w:tabs>
          <w:tab w:pos="7072" w:val="right" w:leader="none"/>
        </w:tabs>
        <w:spacing w:line="245" w:lineRule="exact" w:before="0"/>
        <w:ind w:left="2460" w:right="0" w:firstLine="0"/>
        <w:jc w:val="left"/>
        <w:rPr>
          <w:sz w:val="20"/>
        </w:rPr>
      </w:pPr>
      <w:r>
        <w:rPr>
          <w:sz w:val="20"/>
        </w:rPr>
        <w:t>Rule and</w:t>
      </w:r>
      <w:r>
        <w:rPr>
          <w:spacing w:val="-3"/>
          <w:sz w:val="20"/>
        </w:rPr>
        <w:t> </w:t>
      </w:r>
      <w:r>
        <w:rPr>
          <w:sz w:val="20"/>
        </w:rPr>
        <w:t>Other</w:t>
      </w:r>
      <w:r>
        <w:rPr>
          <w:spacing w:val="54"/>
          <w:sz w:val="20"/>
        </w:rPr>
        <w:t> </w:t>
      </w:r>
      <w:r>
        <w:rPr>
          <w:sz w:val="20"/>
        </w:rPr>
        <w:t>Formulations</w:t>
        <w:tab/>
        <w:t>476</w:t>
      </w:r>
    </w:p>
    <w:p>
      <w:pPr>
        <w:pStyle w:val="ListParagraph"/>
        <w:numPr>
          <w:ilvl w:val="1"/>
          <w:numId w:val="1"/>
        </w:numPr>
        <w:tabs>
          <w:tab w:pos="2291" w:val="left" w:leader="none"/>
          <w:tab w:pos="7051" w:val="right" w:leader="none"/>
        </w:tabs>
        <w:spacing w:line="245" w:lineRule="exact" w:before="0" w:after="0"/>
        <w:ind w:left="2290" w:right="0" w:hanging="220"/>
        <w:jc w:val="left"/>
        <w:rPr>
          <w:rFonts w:ascii="Century Gothic"/>
          <w:sz w:val="20"/>
        </w:rPr>
      </w:pPr>
      <w:r>
        <w:rPr>
          <w:rFonts w:ascii="Century Gothic"/>
          <w:sz w:val="20"/>
        </w:rPr>
        <w:t>Replacement</w:t>
      </w:r>
      <w:r>
        <w:rPr>
          <w:rFonts w:ascii="Century Gothic"/>
          <w:spacing w:val="4"/>
          <w:sz w:val="20"/>
        </w:rPr>
        <w:t> </w:t>
      </w:r>
      <w:r>
        <w:rPr>
          <w:rFonts w:ascii="Century Gothic"/>
          <w:sz w:val="20"/>
        </w:rPr>
        <w:t>Value</w:t>
      </w:r>
      <w:r>
        <w:rPr>
          <w:rFonts w:ascii="Century Gothic"/>
          <w:spacing w:val="-1"/>
          <w:sz w:val="20"/>
        </w:rPr>
        <w:t> </w:t>
      </w:r>
      <w:r>
        <w:rPr>
          <w:rFonts w:ascii="Century Gothic"/>
          <w:sz w:val="20"/>
        </w:rPr>
        <w:t>Policies</w:t>
        <w:tab/>
        <w:t>487</w:t>
      </w:r>
    </w:p>
    <w:p>
      <w:pPr>
        <w:pStyle w:val="ListParagraph"/>
        <w:numPr>
          <w:ilvl w:val="0"/>
          <w:numId w:val="1"/>
        </w:numPr>
        <w:tabs>
          <w:tab w:pos="1852" w:val="left" w:leader="none"/>
          <w:tab w:pos="7052" w:val="right" w:leader="none"/>
        </w:tabs>
        <w:spacing w:line="245" w:lineRule="exact" w:before="0" w:after="0"/>
        <w:ind w:left="1851" w:right="0" w:hanging="332"/>
        <w:jc w:val="left"/>
        <w:rPr>
          <w:rFonts w:ascii="Century Gothic"/>
          <w:sz w:val="20"/>
        </w:rPr>
      </w:pPr>
      <w:r>
        <w:rPr>
          <w:rFonts w:ascii="Century Gothic"/>
          <w:sz w:val="20"/>
        </w:rPr>
        <w:t>Outside</w:t>
      </w:r>
      <w:r>
        <w:rPr>
          <w:rFonts w:ascii="Century Gothic"/>
          <w:spacing w:val="-2"/>
          <w:sz w:val="20"/>
        </w:rPr>
        <w:t> </w:t>
      </w:r>
      <w:r>
        <w:rPr>
          <w:rFonts w:ascii="Century Gothic"/>
          <w:sz w:val="20"/>
        </w:rPr>
        <w:t>Experts</w:t>
        <w:tab/>
        <w:t>495</w:t>
      </w:r>
    </w:p>
    <w:p>
      <w:pPr>
        <w:pStyle w:val="ListParagraph"/>
        <w:numPr>
          <w:ilvl w:val="0"/>
          <w:numId w:val="1"/>
        </w:numPr>
        <w:tabs>
          <w:tab w:pos="1866" w:val="left" w:leader="none"/>
          <w:tab w:pos="7067" w:val="right" w:leader="none"/>
        </w:tabs>
        <w:spacing w:line="245" w:lineRule="exact" w:before="0" w:after="0"/>
        <w:ind w:left="1865" w:right="0" w:hanging="346"/>
        <w:jc w:val="left"/>
        <w:rPr>
          <w:rFonts w:ascii="Century Gothic"/>
          <w:sz w:val="20"/>
        </w:rPr>
      </w:pPr>
      <w:r>
        <w:rPr>
          <w:rFonts w:ascii="Century Gothic"/>
          <w:sz w:val="20"/>
        </w:rPr>
        <w:t>Notice, Adjournments</w:t>
      </w:r>
      <w:r>
        <w:rPr>
          <w:rFonts w:ascii="Century Gothic"/>
          <w:spacing w:val="-4"/>
          <w:sz w:val="20"/>
        </w:rPr>
        <w:t> </w:t>
      </w:r>
      <w:r>
        <w:rPr>
          <w:rFonts w:ascii="Century Gothic"/>
          <w:sz w:val="20"/>
        </w:rPr>
        <w:t>and</w:t>
      </w:r>
      <w:r>
        <w:rPr>
          <w:rFonts w:ascii="Century Gothic"/>
          <w:spacing w:val="-1"/>
          <w:sz w:val="20"/>
        </w:rPr>
        <w:t> </w:t>
      </w:r>
      <w:r>
        <w:rPr>
          <w:rFonts w:ascii="Century Gothic"/>
          <w:sz w:val="20"/>
        </w:rPr>
        <w:t>Cancellations</w:t>
        <w:tab/>
        <w:t>498</w:t>
      </w:r>
    </w:p>
    <w:p>
      <w:pPr>
        <w:pStyle w:val="ListParagraph"/>
        <w:numPr>
          <w:ilvl w:val="0"/>
          <w:numId w:val="1"/>
        </w:numPr>
        <w:tabs>
          <w:tab w:pos="1854" w:val="left" w:leader="none"/>
          <w:tab w:pos="7053" w:val="right" w:leader="none"/>
        </w:tabs>
        <w:spacing w:line="245" w:lineRule="exact" w:before="0" w:after="0"/>
        <w:ind w:left="1853" w:right="0" w:hanging="334"/>
        <w:jc w:val="left"/>
        <w:rPr>
          <w:rFonts w:ascii="Century Gothic"/>
          <w:sz w:val="20"/>
        </w:rPr>
      </w:pPr>
      <w:r>
        <w:rPr>
          <w:rFonts w:ascii="Century Gothic"/>
          <w:sz w:val="20"/>
        </w:rPr>
        <w:t>Hearings</w:t>
      </w:r>
      <w:r>
        <w:rPr>
          <w:rFonts w:ascii="Century Gothic"/>
          <w:spacing w:val="-1"/>
          <w:sz w:val="20"/>
        </w:rPr>
        <w:t> </w:t>
      </w:r>
      <w:r>
        <w:rPr>
          <w:rFonts w:ascii="Century Gothic"/>
          <w:sz w:val="20"/>
        </w:rPr>
        <w:t>and</w:t>
      </w:r>
      <w:r>
        <w:rPr>
          <w:rFonts w:ascii="Century Gothic"/>
          <w:spacing w:val="-1"/>
          <w:sz w:val="20"/>
        </w:rPr>
        <w:t> </w:t>
      </w:r>
      <w:r>
        <w:rPr>
          <w:rFonts w:ascii="Century Gothic"/>
          <w:sz w:val="20"/>
        </w:rPr>
        <w:t>Inspections</w:t>
        <w:tab/>
        <w:t>500</w:t>
      </w:r>
    </w:p>
    <w:p>
      <w:pPr>
        <w:pStyle w:val="ListParagraph"/>
        <w:numPr>
          <w:ilvl w:val="0"/>
          <w:numId w:val="2"/>
        </w:numPr>
        <w:tabs>
          <w:tab w:pos="2311" w:val="left" w:leader="none"/>
          <w:tab w:pos="2312" w:val="left" w:leader="none"/>
        </w:tabs>
        <w:spacing w:line="240" w:lineRule="auto" w:before="249" w:after="0"/>
        <w:ind w:left="2311" w:right="0" w:hanging="792"/>
        <w:jc w:val="left"/>
        <w:rPr>
          <w:rFonts w:ascii="Century Gothic"/>
          <w:sz w:val="26"/>
        </w:rPr>
      </w:pPr>
      <w:r>
        <w:rPr>
          <w:rFonts w:ascii="Century Gothic"/>
          <w:sz w:val="26"/>
        </w:rPr>
        <w:t>GENERALLY</w:t>
      </w:r>
    </w:p>
    <w:p>
      <w:pPr>
        <w:pStyle w:val="BodyText"/>
        <w:spacing w:line="242" w:lineRule="auto" w:before="324"/>
        <w:ind w:left="1520" w:right="1517" w:firstLine="720"/>
        <w:jc w:val="both"/>
      </w:pPr>
      <w:r>
        <w:rPr>
          <w:spacing w:val="2"/>
        </w:rPr>
        <w:t>As </w:t>
      </w:r>
      <w:r>
        <w:rPr/>
        <w:t>very little specific guidance is</w:t>
      </w:r>
      <w:r>
        <w:rPr>
          <w:spacing w:val="-24"/>
        </w:rPr>
        <w:t> </w:t>
      </w:r>
      <w:r>
        <w:rPr/>
        <w:t>offered by</w:t>
      </w:r>
      <w:r>
        <w:rPr>
          <w:spacing w:val="-17"/>
        </w:rPr>
        <w:t> </w:t>
      </w:r>
      <w:r>
        <w:rPr/>
        <w:t>most</w:t>
      </w:r>
      <w:r>
        <w:rPr>
          <w:spacing w:val="-13"/>
        </w:rPr>
        <w:t> </w:t>
      </w:r>
      <w:r>
        <w:rPr/>
        <w:t>insurance</w:t>
      </w:r>
      <w:r>
        <w:rPr>
          <w:spacing w:val="-14"/>
        </w:rPr>
        <w:t> </w:t>
      </w:r>
      <w:r>
        <w:rPr/>
        <w:t>policies</w:t>
      </w:r>
      <w:r>
        <w:rPr>
          <w:spacing w:val="-16"/>
        </w:rPr>
        <w:t> </w:t>
      </w:r>
      <w:r>
        <w:rPr/>
        <w:t>with</w:t>
      </w:r>
      <w:r>
        <w:rPr>
          <w:spacing w:val="-14"/>
        </w:rPr>
        <w:t> </w:t>
      </w:r>
      <w:r>
        <w:rPr/>
        <w:t>respect</w:t>
      </w:r>
      <w:r>
        <w:rPr>
          <w:spacing w:val="-15"/>
        </w:rPr>
        <w:t> </w:t>
      </w:r>
      <w:r>
        <w:rPr/>
        <w:t>to</w:t>
      </w:r>
      <w:r>
        <w:rPr>
          <w:spacing w:val="-14"/>
        </w:rPr>
        <w:t> </w:t>
      </w:r>
      <w:r>
        <w:rPr/>
        <w:t>how the appraisal should actually proceed once the principals are in place, the methodology utilized has been developed in practice and by trial and error. One of the basic tenets of the appraisal process, is the ability of the appraisers and the umpire to exercise discretion under the circumstances of the particular</w:t>
      </w:r>
      <w:r>
        <w:rPr>
          <w:spacing w:val="-8"/>
        </w:rPr>
        <w:t> </w:t>
      </w:r>
      <w:r>
        <w:rPr/>
        <w:t>claim</w:t>
      </w:r>
      <w:r>
        <w:rPr>
          <w:spacing w:val="-9"/>
        </w:rPr>
        <w:t> </w:t>
      </w:r>
      <w:r>
        <w:rPr/>
        <w:t>in</w:t>
      </w:r>
      <w:r>
        <w:rPr>
          <w:spacing w:val="-9"/>
        </w:rPr>
        <w:t> </w:t>
      </w:r>
      <w:r>
        <w:rPr/>
        <w:t>an</w:t>
      </w:r>
      <w:r>
        <w:rPr>
          <w:spacing w:val="-8"/>
        </w:rPr>
        <w:t> </w:t>
      </w:r>
      <w:r>
        <w:rPr/>
        <w:t>effort</w:t>
      </w:r>
      <w:r>
        <w:rPr>
          <w:spacing w:val="-14"/>
        </w:rPr>
        <w:t> </w:t>
      </w:r>
      <w:r>
        <w:rPr/>
        <w:t>to</w:t>
      </w:r>
      <w:r>
        <w:rPr>
          <w:spacing w:val="-10"/>
        </w:rPr>
        <w:t> </w:t>
      </w:r>
      <w:r>
        <w:rPr/>
        <w:t>do</w:t>
      </w:r>
      <w:r>
        <w:rPr>
          <w:spacing w:val="-11"/>
        </w:rPr>
        <w:t> </w:t>
      </w:r>
      <w:r>
        <w:rPr/>
        <w:t>justice</w:t>
      </w:r>
      <w:r>
        <w:rPr>
          <w:spacing w:val="-9"/>
        </w:rPr>
        <w:t> </w:t>
      </w:r>
      <w:r>
        <w:rPr/>
        <w:t>to</w:t>
      </w:r>
      <w:r>
        <w:rPr>
          <w:spacing w:val="-10"/>
        </w:rPr>
        <w:t> </w:t>
      </w:r>
      <w:r>
        <w:rPr/>
        <w:t>the parties under the terms of the policy. </w:t>
      </w:r>
      <w:r>
        <w:rPr>
          <w:spacing w:val="3"/>
        </w:rPr>
        <w:t>It </w:t>
      </w:r>
      <w:r>
        <w:rPr/>
        <w:t>is generally</w:t>
      </w:r>
      <w:r>
        <w:rPr>
          <w:spacing w:val="-11"/>
        </w:rPr>
        <w:t> </w:t>
      </w:r>
      <w:r>
        <w:rPr/>
        <w:t>accepted</w:t>
      </w:r>
      <w:r>
        <w:rPr>
          <w:spacing w:val="-10"/>
        </w:rPr>
        <w:t> </w:t>
      </w:r>
      <w:r>
        <w:rPr/>
        <w:t>that</w:t>
      </w:r>
      <w:r>
        <w:rPr>
          <w:spacing w:val="-12"/>
        </w:rPr>
        <w:t> </w:t>
      </w:r>
      <w:r>
        <w:rPr/>
        <w:t>the</w:t>
      </w:r>
      <w:r>
        <w:rPr>
          <w:spacing w:val="-12"/>
        </w:rPr>
        <w:t> </w:t>
      </w:r>
      <w:r>
        <w:rPr/>
        <w:t>participants</w:t>
      </w:r>
      <w:r>
        <w:rPr>
          <w:spacing w:val="-11"/>
        </w:rPr>
        <w:t> </w:t>
      </w:r>
      <w:r>
        <w:rPr>
          <w:spacing w:val="-4"/>
        </w:rPr>
        <w:t>may </w:t>
      </w:r>
      <w:r>
        <w:rPr/>
        <w:t>proceed </w:t>
      </w:r>
      <w:r>
        <w:rPr>
          <w:spacing w:val="2"/>
        </w:rPr>
        <w:t>in </w:t>
      </w:r>
      <w:r>
        <w:rPr/>
        <w:t>such a manner that they think proper</w:t>
      </w:r>
      <w:r>
        <w:rPr>
          <w:spacing w:val="-9"/>
        </w:rPr>
        <w:t> </w:t>
      </w:r>
      <w:r>
        <w:rPr/>
        <w:t>and</w:t>
      </w:r>
      <w:r>
        <w:rPr>
          <w:spacing w:val="-6"/>
        </w:rPr>
        <w:t> </w:t>
      </w:r>
      <w:r>
        <w:rPr/>
        <w:t>are</w:t>
      </w:r>
      <w:r>
        <w:rPr>
          <w:spacing w:val="-9"/>
        </w:rPr>
        <w:t> </w:t>
      </w:r>
      <w:r>
        <w:rPr/>
        <w:t>not</w:t>
      </w:r>
      <w:r>
        <w:rPr>
          <w:spacing w:val="-8"/>
        </w:rPr>
        <w:t> </w:t>
      </w:r>
      <w:r>
        <w:rPr/>
        <w:t>bound</w:t>
      </w:r>
      <w:r>
        <w:rPr>
          <w:spacing w:val="-6"/>
        </w:rPr>
        <w:t> </w:t>
      </w:r>
      <w:r>
        <w:rPr/>
        <w:t>by</w:t>
      </w:r>
      <w:r>
        <w:rPr>
          <w:spacing w:val="-9"/>
        </w:rPr>
        <w:t> </w:t>
      </w:r>
      <w:r>
        <w:rPr/>
        <w:t>the</w:t>
      </w:r>
      <w:r>
        <w:rPr>
          <w:spacing w:val="-7"/>
        </w:rPr>
        <w:t> </w:t>
      </w:r>
      <w:r>
        <w:rPr/>
        <w:t>strict</w:t>
      </w:r>
      <w:r>
        <w:rPr>
          <w:spacing w:val="-7"/>
        </w:rPr>
        <w:t> </w:t>
      </w:r>
      <w:r>
        <w:rPr/>
        <w:t>rules</w:t>
      </w:r>
      <w:r>
        <w:rPr>
          <w:spacing w:val="-3"/>
        </w:rPr>
        <w:t> </w:t>
      </w:r>
      <w:r>
        <w:rPr/>
        <w:t>of</w:t>
      </w:r>
    </w:p>
    <w:p>
      <w:pPr>
        <w:spacing w:after="0" w:line="242" w:lineRule="auto"/>
        <w:jc w:val="both"/>
        <w:sectPr>
          <w:footerReference w:type="default" r:id="rId5"/>
          <w:type w:val="continuous"/>
          <w:pgSz w:w="12240" w:h="15840"/>
          <w:pgMar w:footer="2273" w:top="1500" w:bottom="2460" w:left="1720" w:right="1720"/>
          <w:pgNumType w:start="464"/>
        </w:sectPr>
      </w:pPr>
    </w:p>
    <w:p>
      <w:pPr>
        <w:pStyle w:val="BodyText"/>
        <w:rPr>
          <w:sz w:val="28"/>
        </w:rPr>
      </w:pPr>
    </w:p>
    <w:p>
      <w:pPr>
        <w:pStyle w:val="BodyText"/>
        <w:rPr>
          <w:sz w:val="28"/>
        </w:rPr>
      </w:pPr>
    </w:p>
    <w:p>
      <w:pPr>
        <w:pStyle w:val="BodyText"/>
        <w:spacing w:before="9"/>
        <w:rPr>
          <w:sz w:val="27"/>
        </w:rPr>
      </w:pPr>
    </w:p>
    <w:p>
      <w:pPr>
        <w:pStyle w:val="BodyText"/>
        <w:ind w:left="1520"/>
      </w:pPr>
      <w:bookmarkStart w:name="Law and Procedure 426" w:id="2"/>
      <w:bookmarkEnd w:id="2"/>
      <w:r>
        <w:rPr/>
      </w:r>
      <w:r>
        <w:rPr/>
        <w:t>judicial inquiry and issue resolution.</w:t>
      </w:r>
      <w:r>
        <w:rPr>
          <w:vertAlign w:val="superscript"/>
        </w:rPr>
        <w:t>883</w:t>
      </w:r>
    </w:p>
    <w:p>
      <w:pPr>
        <w:pStyle w:val="BodyText"/>
        <w:spacing w:before="1"/>
        <w:rPr>
          <w:sz w:val="23"/>
        </w:rPr>
      </w:pPr>
    </w:p>
    <w:p>
      <w:pPr>
        <w:pStyle w:val="BodyText"/>
        <w:spacing w:line="242" w:lineRule="auto" w:before="42"/>
        <w:ind w:left="1520" w:right="1517" w:firstLine="720"/>
        <w:jc w:val="both"/>
      </w:pPr>
      <w:r>
        <w:rPr/>
        <w:t>The court in </w:t>
      </w:r>
      <w:r>
        <w:rPr>
          <w:u w:val="single"/>
        </w:rPr>
        <w:t>American Central Ins. Co.</w:t>
      </w:r>
      <w:r>
        <w:rPr>
          <w:spacing w:val="-19"/>
          <w:u w:val="single"/>
        </w:rPr>
        <w:t> </w:t>
      </w:r>
      <w:r>
        <w:rPr>
          <w:u w:val="single"/>
        </w:rPr>
        <w:t>v.</w:t>
      </w:r>
      <w:r>
        <w:rPr/>
        <w:t> </w:t>
      </w:r>
      <w:r>
        <w:rPr>
          <w:u w:val="single"/>
        </w:rPr>
        <w:t>Landau</w:t>
      </w:r>
      <w:r>
        <w:rPr/>
        <w:t>,</w:t>
      </w:r>
      <w:r>
        <w:rPr>
          <w:vertAlign w:val="superscript"/>
        </w:rPr>
        <w:t>884</w:t>
      </w:r>
      <w:r>
        <w:rPr>
          <w:vertAlign w:val="baseline"/>
        </w:rPr>
        <w:t> described the process of </w:t>
      </w:r>
      <w:r>
        <w:rPr>
          <w:spacing w:val="-4"/>
          <w:vertAlign w:val="baseline"/>
        </w:rPr>
        <w:t>appraisal </w:t>
      </w:r>
      <w:r>
        <w:rPr>
          <w:vertAlign w:val="baseline"/>
        </w:rPr>
        <w:t>very plainly and succinctly in an often</w:t>
      </w:r>
      <w:r>
        <w:rPr>
          <w:spacing w:val="-23"/>
          <w:vertAlign w:val="baseline"/>
        </w:rPr>
        <w:t> </w:t>
      </w:r>
      <w:r>
        <w:rPr>
          <w:vertAlign w:val="baseline"/>
        </w:rPr>
        <w:t>quoted excerpt from its</w:t>
      </w:r>
      <w:r>
        <w:rPr>
          <w:spacing w:val="-6"/>
          <w:vertAlign w:val="baseline"/>
        </w:rPr>
        <w:t> </w:t>
      </w:r>
      <w:r>
        <w:rPr>
          <w:vertAlign w:val="baseline"/>
        </w:rPr>
        <w:t>decision.</w:t>
      </w:r>
    </w:p>
    <w:p>
      <w:pPr>
        <w:pStyle w:val="BodyText"/>
        <w:spacing w:before="1"/>
      </w:pPr>
    </w:p>
    <w:p>
      <w:pPr>
        <w:pStyle w:val="BodyText"/>
        <w:ind w:left="2240"/>
        <w:jc w:val="both"/>
      </w:pPr>
      <w:r>
        <w:rPr/>
        <w:t>The court stated:</w:t>
      </w:r>
    </w:p>
    <w:p>
      <w:pPr>
        <w:pStyle w:val="BodyText"/>
        <w:spacing w:before="6"/>
      </w:pPr>
    </w:p>
    <w:p>
      <w:pPr>
        <w:pStyle w:val="BodyText"/>
        <w:spacing w:line="242" w:lineRule="auto"/>
        <w:ind w:left="2240" w:right="2237"/>
        <w:jc w:val="both"/>
      </w:pPr>
      <w:r>
        <w:rPr/>
        <w:t>The proceeding here is not </w:t>
      </w:r>
      <w:r>
        <w:rPr>
          <w:spacing w:val="-6"/>
        </w:rPr>
        <w:t>an </w:t>
      </w:r>
      <w:r>
        <w:rPr/>
        <w:t>ordinary arbitration where the parties hear witnesses and</w:t>
      </w:r>
      <w:r>
        <w:rPr>
          <w:spacing w:val="-37"/>
        </w:rPr>
        <w:t> </w:t>
      </w:r>
      <w:r>
        <w:rPr/>
        <w:t>appear by counsel and act upon </w:t>
      </w:r>
      <w:r>
        <w:rPr>
          <w:spacing w:val="-4"/>
        </w:rPr>
        <w:t>sworn </w:t>
      </w:r>
      <w:r>
        <w:rPr/>
        <w:t>evidence only; but it is strictly an appraisal and ascertainment in a particular</w:t>
      </w:r>
      <w:r>
        <w:rPr>
          <w:spacing w:val="-28"/>
        </w:rPr>
        <w:t> </w:t>
      </w:r>
      <w:r>
        <w:rPr/>
        <w:t>manner</w:t>
      </w:r>
      <w:r>
        <w:rPr>
          <w:spacing w:val="-30"/>
        </w:rPr>
        <w:t> </w:t>
      </w:r>
      <w:r>
        <w:rPr/>
        <w:t>of</w:t>
      </w:r>
      <w:r>
        <w:rPr>
          <w:spacing w:val="-30"/>
        </w:rPr>
        <w:t> </w:t>
      </w:r>
      <w:r>
        <w:rPr/>
        <w:t>the</w:t>
      </w:r>
      <w:r>
        <w:rPr>
          <w:spacing w:val="-31"/>
        </w:rPr>
        <w:t> </w:t>
      </w:r>
      <w:r>
        <w:rPr/>
        <w:t>amount</w:t>
      </w:r>
      <w:r>
        <w:rPr>
          <w:spacing w:val="-33"/>
        </w:rPr>
        <w:t> </w:t>
      </w:r>
      <w:r>
        <w:rPr>
          <w:spacing w:val="-7"/>
        </w:rPr>
        <w:t>of </w:t>
      </w:r>
      <w:r>
        <w:rPr/>
        <w:t>the loss, made by </w:t>
      </w:r>
      <w:r>
        <w:rPr>
          <w:spacing w:val="-3"/>
        </w:rPr>
        <w:t>two </w:t>
      </w:r>
      <w:r>
        <w:rPr/>
        <w:t>or </w:t>
      </w:r>
      <w:r>
        <w:rPr>
          <w:spacing w:val="-4"/>
        </w:rPr>
        <w:t>three </w:t>
      </w:r>
      <w:r>
        <w:rPr/>
        <w:t>parties, as the case may be, in which they act on their own </w:t>
      </w:r>
      <w:r>
        <w:rPr>
          <w:spacing w:val="23"/>
        </w:rPr>
        <w:t>judgment, </w:t>
      </w:r>
      <w:r>
        <w:rPr>
          <w:spacing w:val="16"/>
        </w:rPr>
        <w:t>and </w:t>
      </w:r>
      <w:r>
        <w:rPr>
          <w:spacing w:val="17"/>
        </w:rPr>
        <w:t>with such </w:t>
      </w:r>
      <w:r>
        <w:rPr/>
        <w:t>information as they may obtain in an informal way, and in which the appraiser chosen by each party </w:t>
      </w:r>
      <w:r>
        <w:rPr>
          <w:spacing w:val="-6"/>
        </w:rPr>
        <w:t>is </w:t>
      </w:r>
      <w:r>
        <w:rPr/>
        <w:t>supposed and expected, in </w:t>
      </w:r>
      <w:r>
        <w:rPr>
          <w:spacing w:val="-12"/>
        </w:rPr>
        <w:t>a </w:t>
      </w:r>
      <w:r>
        <w:rPr/>
        <w:t>restricted sense, to represent the party appointing him and within reasonable</w:t>
      </w:r>
      <w:r>
        <w:rPr>
          <w:spacing w:val="-20"/>
        </w:rPr>
        <w:t> </w:t>
      </w:r>
      <w:r>
        <w:rPr/>
        <w:t>limits</w:t>
      </w:r>
      <w:r>
        <w:rPr>
          <w:spacing w:val="-20"/>
        </w:rPr>
        <w:t> </w:t>
      </w:r>
      <w:r>
        <w:rPr/>
        <w:t>to</w:t>
      </w:r>
      <w:r>
        <w:rPr>
          <w:spacing w:val="-21"/>
        </w:rPr>
        <w:t> </w:t>
      </w:r>
      <w:r>
        <w:rPr/>
        <w:t>see</w:t>
      </w:r>
      <w:r>
        <w:rPr>
          <w:spacing w:val="-22"/>
        </w:rPr>
        <w:t> </w:t>
      </w:r>
      <w:r>
        <w:rPr/>
        <w:t>to</w:t>
      </w:r>
      <w:r>
        <w:rPr>
          <w:spacing w:val="-21"/>
        </w:rPr>
        <w:t> </w:t>
      </w:r>
      <w:r>
        <w:rPr/>
        <w:t>it</w:t>
      </w:r>
      <w:r>
        <w:rPr>
          <w:spacing w:val="-23"/>
        </w:rPr>
        <w:t> </w:t>
      </w:r>
      <w:r>
        <w:rPr/>
        <w:t>that</w:t>
      </w:r>
      <w:r>
        <w:rPr>
          <w:spacing w:val="-22"/>
        </w:rPr>
        <w:t> </w:t>
      </w:r>
      <w:r>
        <w:rPr/>
        <w:t>no</w:t>
      </w:r>
    </w:p>
    <w:p>
      <w:pPr>
        <w:pStyle w:val="BodyText"/>
        <w:rPr>
          <w:sz w:val="20"/>
        </w:rPr>
      </w:pPr>
    </w:p>
    <w:p>
      <w:pPr>
        <w:pStyle w:val="BodyText"/>
        <w:spacing w:before="10"/>
        <w:rPr>
          <w:sz w:val="10"/>
        </w:rPr>
      </w:pPr>
      <w:r>
        <w:rPr/>
        <w:pict>
          <v:shape style="position:absolute;margin-left:162pt;margin-top:9.067666pt;width:143.9pt;height:.1pt;mso-position-horizontal-relative:page;mso-position-vertical-relative:paragraph;z-index:-251658240;mso-wrap-distance-left:0;mso-wrap-distance-right:0" coordorigin="3240,181" coordsize="2878,0" path="m3240,181l6118,181e" filled="false" stroked="true" strokeweight=".84pt" strokecolor="#000000">
            <v:path arrowok="t"/>
            <v:stroke dashstyle="solid"/>
            <w10:wrap type="topAndBottom"/>
          </v:shape>
        </w:pict>
      </w:r>
    </w:p>
    <w:p>
      <w:pPr>
        <w:pStyle w:val="BodyText"/>
        <w:spacing w:before="4"/>
        <w:rPr>
          <w:sz w:val="10"/>
        </w:rPr>
      </w:pPr>
    </w:p>
    <w:p>
      <w:pPr>
        <w:spacing w:line="261" w:lineRule="auto" w:before="71"/>
        <w:ind w:left="1160" w:right="1026" w:firstLine="0"/>
        <w:jc w:val="left"/>
        <w:rPr>
          <w:rFonts w:ascii="Times New Roman"/>
          <w:sz w:val="18"/>
        </w:rPr>
      </w:pPr>
      <w:r>
        <w:rPr>
          <w:rFonts w:ascii="Times New Roman"/>
          <w:position w:val="10"/>
          <w:sz w:val="14"/>
        </w:rPr>
        <w:t>883</w:t>
      </w:r>
      <w:r>
        <w:rPr>
          <w:rFonts w:ascii="Times New Roman"/>
          <w:sz w:val="14"/>
        </w:rPr>
        <w:t> </w:t>
      </w:r>
      <w:r>
        <w:rPr>
          <w:rFonts w:ascii="Times New Roman"/>
          <w:sz w:val="18"/>
          <w:u w:val="single"/>
        </w:rPr>
        <w:t>American Steel Co. v. German-American Fire Ins. Co.</w:t>
      </w:r>
      <w:r>
        <w:rPr>
          <w:rFonts w:ascii="Times New Roman"/>
          <w:sz w:val="18"/>
        </w:rPr>
        <w:t>, 187 F.730 (3d Cir. 1911); </w:t>
      </w:r>
      <w:r>
        <w:rPr>
          <w:rFonts w:ascii="Times New Roman"/>
          <w:i/>
          <w:sz w:val="18"/>
        </w:rPr>
        <w:t>See </w:t>
      </w:r>
      <w:r>
        <w:rPr>
          <w:rFonts w:ascii="Times New Roman"/>
          <w:i/>
          <w:sz w:val="18"/>
        </w:rPr>
        <w:t>also</w:t>
      </w:r>
      <w:r>
        <w:rPr>
          <w:rFonts w:ascii="Times New Roman"/>
          <w:sz w:val="18"/>
        </w:rPr>
        <w:t>,</w:t>
      </w:r>
      <w:r>
        <w:rPr>
          <w:rFonts w:ascii="Times New Roman"/>
          <w:spacing w:val="34"/>
          <w:sz w:val="18"/>
        </w:rPr>
        <w:t> </w:t>
      </w:r>
      <w:r>
        <w:rPr>
          <w:rFonts w:ascii="Times New Roman"/>
          <w:sz w:val="18"/>
          <w:u w:val="single"/>
        </w:rPr>
        <w:t>Hall</w:t>
      </w:r>
      <w:r>
        <w:rPr>
          <w:rFonts w:ascii="Times New Roman"/>
          <w:spacing w:val="34"/>
          <w:sz w:val="18"/>
          <w:u w:val="single"/>
        </w:rPr>
        <w:t> </w:t>
      </w:r>
      <w:r>
        <w:rPr>
          <w:rFonts w:ascii="Times New Roman"/>
          <w:sz w:val="18"/>
          <w:u w:val="single"/>
        </w:rPr>
        <w:t>v.</w:t>
      </w:r>
      <w:r>
        <w:rPr>
          <w:rFonts w:ascii="Times New Roman"/>
          <w:spacing w:val="35"/>
          <w:sz w:val="18"/>
          <w:u w:val="single"/>
        </w:rPr>
        <w:t> </w:t>
      </w:r>
      <w:r>
        <w:rPr>
          <w:rFonts w:ascii="Times New Roman"/>
          <w:sz w:val="18"/>
          <w:u w:val="single"/>
        </w:rPr>
        <w:t>Norwalk</w:t>
      </w:r>
      <w:r>
        <w:rPr>
          <w:rFonts w:ascii="Times New Roman"/>
          <w:spacing w:val="37"/>
          <w:sz w:val="18"/>
          <w:u w:val="single"/>
        </w:rPr>
        <w:t> </w:t>
      </w:r>
      <w:r>
        <w:rPr>
          <w:rFonts w:ascii="Times New Roman"/>
          <w:sz w:val="18"/>
          <w:u w:val="single"/>
        </w:rPr>
        <w:t>Fire</w:t>
      </w:r>
      <w:r>
        <w:rPr>
          <w:rFonts w:ascii="Times New Roman"/>
          <w:spacing w:val="39"/>
          <w:sz w:val="18"/>
          <w:u w:val="single"/>
        </w:rPr>
        <w:t> </w:t>
      </w:r>
      <w:r>
        <w:rPr>
          <w:rFonts w:ascii="Times New Roman"/>
          <w:sz w:val="18"/>
          <w:u w:val="single"/>
        </w:rPr>
        <w:t>Ins.</w:t>
      </w:r>
      <w:r>
        <w:rPr>
          <w:rFonts w:ascii="Times New Roman"/>
          <w:spacing w:val="38"/>
          <w:sz w:val="18"/>
          <w:u w:val="single"/>
        </w:rPr>
        <w:t> </w:t>
      </w:r>
      <w:r>
        <w:rPr>
          <w:rFonts w:ascii="Times New Roman"/>
          <w:sz w:val="18"/>
          <w:u w:val="single"/>
        </w:rPr>
        <w:t>Co.</w:t>
      </w:r>
      <w:r>
        <w:rPr>
          <w:rFonts w:ascii="Times New Roman"/>
          <w:sz w:val="18"/>
        </w:rPr>
        <w:t>,</w:t>
      </w:r>
      <w:r>
        <w:rPr>
          <w:rFonts w:ascii="Times New Roman"/>
          <w:spacing w:val="36"/>
          <w:sz w:val="18"/>
        </w:rPr>
        <w:t> </w:t>
      </w:r>
      <w:r>
        <w:rPr>
          <w:rFonts w:ascii="Times New Roman"/>
          <w:sz w:val="18"/>
        </w:rPr>
        <w:t>57</w:t>
      </w:r>
      <w:r>
        <w:rPr>
          <w:rFonts w:ascii="Times New Roman"/>
          <w:spacing w:val="34"/>
          <w:sz w:val="18"/>
        </w:rPr>
        <w:t> </w:t>
      </w:r>
      <w:r>
        <w:rPr>
          <w:rFonts w:ascii="Times New Roman"/>
          <w:sz w:val="18"/>
        </w:rPr>
        <w:t>Conn.</w:t>
      </w:r>
      <w:r>
        <w:rPr>
          <w:rFonts w:ascii="Times New Roman"/>
          <w:spacing w:val="34"/>
          <w:sz w:val="18"/>
        </w:rPr>
        <w:t> </w:t>
      </w:r>
      <w:r>
        <w:rPr>
          <w:rFonts w:ascii="Times New Roman"/>
          <w:sz w:val="18"/>
        </w:rPr>
        <w:t>105,</w:t>
      </w:r>
      <w:r>
        <w:rPr>
          <w:rFonts w:ascii="Times New Roman"/>
          <w:spacing w:val="35"/>
          <w:sz w:val="18"/>
        </w:rPr>
        <w:t> </w:t>
      </w:r>
      <w:r>
        <w:rPr>
          <w:rFonts w:ascii="Times New Roman"/>
          <w:sz w:val="18"/>
        </w:rPr>
        <w:t>17</w:t>
      </w:r>
      <w:r>
        <w:rPr>
          <w:rFonts w:ascii="Times New Roman"/>
          <w:spacing w:val="36"/>
          <w:sz w:val="18"/>
        </w:rPr>
        <w:t> </w:t>
      </w:r>
      <w:r>
        <w:rPr>
          <w:rFonts w:ascii="Times New Roman"/>
          <w:sz w:val="18"/>
        </w:rPr>
        <w:t>A.</w:t>
      </w:r>
      <w:r>
        <w:rPr>
          <w:rFonts w:ascii="Times New Roman"/>
          <w:spacing w:val="34"/>
          <w:sz w:val="18"/>
        </w:rPr>
        <w:t> </w:t>
      </w:r>
      <w:r>
        <w:rPr>
          <w:rFonts w:ascii="Times New Roman"/>
          <w:sz w:val="18"/>
        </w:rPr>
        <w:t>356</w:t>
      </w:r>
      <w:r>
        <w:rPr>
          <w:rFonts w:ascii="Times New Roman"/>
          <w:spacing w:val="36"/>
          <w:sz w:val="18"/>
        </w:rPr>
        <w:t> </w:t>
      </w:r>
      <w:r>
        <w:rPr>
          <w:rFonts w:ascii="Times New Roman"/>
          <w:sz w:val="18"/>
        </w:rPr>
        <w:t>(1988);</w:t>
      </w:r>
      <w:r>
        <w:rPr>
          <w:rFonts w:ascii="Times New Roman"/>
          <w:spacing w:val="35"/>
          <w:sz w:val="18"/>
        </w:rPr>
        <w:t> </w:t>
      </w:r>
      <w:r>
        <w:rPr>
          <w:rFonts w:ascii="Times New Roman"/>
          <w:sz w:val="18"/>
          <w:u w:val="single"/>
        </w:rPr>
        <w:t>Townsend</w:t>
      </w:r>
      <w:r>
        <w:rPr>
          <w:rFonts w:ascii="Times New Roman"/>
          <w:spacing w:val="36"/>
          <w:sz w:val="18"/>
          <w:u w:val="single"/>
        </w:rPr>
        <w:t> </w:t>
      </w:r>
      <w:r>
        <w:rPr>
          <w:rFonts w:ascii="Times New Roman"/>
          <w:sz w:val="18"/>
          <w:u w:val="single"/>
        </w:rPr>
        <w:t>v.</w:t>
      </w:r>
    </w:p>
    <w:p>
      <w:pPr>
        <w:spacing w:line="193" w:lineRule="exact" w:before="0"/>
        <w:ind w:left="1160" w:right="0" w:firstLine="0"/>
        <w:jc w:val="left"/>
        <w:rPr>
          <w:rFonts w:ascii="Times New Roman" w:hAnsi="Times New Roman"/>
          <w:sz w:val="18"/>
        </w:rPr>
      </w:pPr>
      <w:r>
        <w:rPr>
          <w:rFonts w:ascii="Times New Roman" w:hAnsi="Times New Roman"/>
          <w:sz w:val="18"/>
          <w:u w:val="single"/>
        </w:rPr>
        <w:t>Greenwich Ins. Co.</w:t>
      </w:r>
      <w:r>
        <w:rPr>
          <w:rFonts w:ascii="Times New Roman" w:hAnsi="Times New Roman"/>
          <w:sz w:val="18"/>
        </w:rPr>
        <w:t>, 86 A.D. 323, 83 N.Y.S. 909 (2d Dept. 1903), </w:t>
      </w:r>
      <w:r>
        <w:rPr>
          <w:rFonts w:ascii="Times New Roman" w:hAnsi="Times New Roman"/>
          <w:i/>
          <w:sz w:val="18"/>
        </w:rPr>
        <w:t>aff’d, </w:t>
      </w:r>
      <w:r>
        <w:rPr>
          <w:rFonts w:ascii="Times New Roman" w:hAnsi="Times New Roman"/>
          <w:sz w:val="18"/>
        </w:rPr>
        <w:t>178 N.Y. 634,</w:t>
      </w:r>
      <w:r>
        <w:rPr>
          <w:rFonts w:ascii="Times New Roman" w:hAnsi="Times New Roman"/>
          <w:spacing w:val="-4"/>
          <w:sz w:val="18"/>
        </w:rPr>
        <w:t> </w:t>
      </w:r>
      <w:r>
        <w:rPr>
          <w:rFonts w:ascii="Times New Roman" w:hAnsi="Times New Roman"/>
          <w:sz w:val="18"/>
        </w:rPr>
        <w:t>71</w:t>
      </w:r>
    </w:p>
    <w:p>
      <w:pPr>
        <w:spacing w:line="207" w:lineRule="exact" w:before="4"/>
        <w:ind w:left="1160" w:right="0" w:firstLine="0"/>
        <w:jc w:val="left"/>
        <w:rPr>
          <w:rFonts w:ascii="Times New Roman"/>
          <w:sz w:val="18"/>
        </w:rPr>
      </w:pPr>
      <w:r>
        <w:rPr>
          <w:rFonts w:ascii="Times New Roman"/>
          <w:sz w:val="18"/>
        </w:rPr>
        <w:t>N.E. 1140 (1904).</w:t>
      </w:r>
    </w:p>
    <w:p>
      <w:pPr>
        <w:spacing w:line="269" w:lineRule="exact" w:before="0"/>
        <w:ind w:left="1160" w:right="0" w:firstLine="0"/>
        <w:jc w:val="left"/>
        <w:rPr>
          <w:rFonts w:ascii="Times New Roman"/>
          <w:sz w:val="18"/>
        </w:rPr>
      </w:pPr>
      <w:r>
        <w:rPr>
          <w:rFonts w:ascii="Times New Roman"/>
          <w:position w:val="10"/>
          <w:sz w:val="14"/>
        </w:rPr>
        <w:t>884 </w:t>
      </w:r>
      <w:r>
        <w:rPr>
          <w:rFonts w:ascii="Times New Roman"/>
          <w:sz w:val="18"/>
        </w:rPr>
        <w:t>62 N.J. Eq. 73, 49 A. 738 (1901).</w:t>
      </w:r>
    </w:p>
    <w:p>
      <w:pPr>
        <w:spacing w:after="0" w:line="269" w:lineRule="exact"/>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2240" w:right="2238"/>
        <w:jc w:val="both"/>
      </w:pPr>
      <w:bookmarkStart w:name="Law and Procedure 427" w:id="3"/>
      <w:bookmarkEnd w:id="3"/>
      <w:r>
        <w:rPr/>
      </w:r>
      <w:r>
        <w:rPr/>
        <w:t>legitimate consideration</w:t>
      </w:r>
      <w:r>
        <w:rPr>
          <w:spacing w:val="-49"/>
        </w:rPr>
        <w:t> </w:t>
      </w:r>
      <w:r>
        <w:rPr/>
        <w:t>favorable to the party so appointing him is overlooked</w:t>
      </w:r>
      <w:r>
        <w:rPr>
          <w:spacing w:val="-17"/>
        </w:rPr>
        <w:t> </w:t>
      </w:r>
      <w:r>
        <w:rPr/>
        <w:t>by</w:t>
      </w:r>
      <w:r>
        <w:rPr>
          <w:spacing w:val="-19"/>
        </w:rPr>
        <w:t> </w:t>
      </w:r>
      <w:r>
        <w:rPr/>
        <w:t>the</w:t>
      </w:r>
      <w:r>
        <w:rPr>
          <w:spacing w:val="-18"/>
        </w:rPr>
        <w:t> </w:t>
      </w:r>
      <w:r>
        <w:rPr/>
        <w:t>other</w:t>
      </w:r>
      <w:r>
        <w:rPr>
          <w:spacing w:val="-18"/>
        </w:rPr>
        <w:t> </w:t>
      </w:r>
      <w:r>
        <w:rPr/>
        <w:t>appraiser.</w:t>
      </w:r>
    </w:p>
    <w:p>
      <w:pPr>
        <w:pStyle w:val="BodyText"/>
        <w:spacing w:before="1"/>
      </w:pPr>
    </w:p>
    <w:p>
      <w:pPr>
        <w:pStyle w:val="BodyText"/>
        <w:spacing w:line="242" w:lineRule="auto"/>
        <w:ind w:left="1520" w:right="1518" w:firstLine="720"/>
        <w:jc w:val="both"/>
      </w:pPr>
      <w:r>
        <w:rPr/>
        <w:t>Max J. Gwertzman, a respected</w:t>
      </w:r>
      <w:r>
        <w:rPr>
          <w:spacing w:val="-21"/>
        </w:rPr>
        <w:t> </w:t>
      </w:r>
      <w:r>
        <w:rPr/>
        <w:t>litigator on behalf of insurers and author of “A Legal Analysis</w:t>
      </w:r>
      <w:r>
        <w:rPr>
          <w:spacing w:val="-36"/>
        </w:rPr>
        <w:t> </w:t>
      </w:r>
      <w:r>
        <w:rPr/>
        <w:t>of</w:t>
      </w:r>
      <w:r>
        <w:rPr>
          <w:spacing w:val="-36"/>
        </w:rPr>
        <w:t> </w:t>
      </w:r>
      <w:r>
        <w:rPr>
          <w:spacing w:val="-3"/>
        </w:rPr>
        <w:t>the</w:t>
      </w:r>
      <w:r>
        <w:rPr>
          <w:spacing w:val="-37"/>
        </w:rPr>
        <w:t> </w:t>
      </w:r>
      <w:r>
        <w:rPr/>
        <w:t>Appraisal</w:t>
      </w:r>
      <w:r>
        <w:rPr>
          <w:spacing w:val="-36"/>
        </w:rPr>
        <w:t> </w:t>
      </w:r>
      <w:r>
        <w:rPr/>
        <w:t>Agreement”</w:t>
      </w:r>
      <w:r>
        <w:rPr>
          <w:vertAlign w:val="superscript"/>
        </w:rPr>
        <w:t>885</w:t>
      </w:r>
      <w:r>
        <w:rPr>
          <w:spacing w:val="-37"/>
          <w:vertAlign w:val="baseline"/>
        </w:rPr>
        <w:t> </w:t>
      </w:r>
      <w:r>
        <w:rPr>
          <w:spacing w:val="-7"/>
          <w:vertAlign w:val="baseline"/>
        </w:rPr>
        <w:t>quoted </w:t>
      </w:r>
      <w:r>
        <w:rPr>
          <w:vertAlign w:val="baseline"/>
        </w:rPr>
        <w:t>a Federal Court decision which further delineates the duties of the umpire and appraisers.</w:t>
      </w:r>
    </w:p>
    <w:p>
      <w:pPr>
        <w:pStyle w:val="BodyText"/>
        <w:spacing w:before="1"/>
      </w:pPr>
    </w:p>
    <w:p>
      <w:pPr>
        <w:pStyle w:val="BodyText"/>
        <w:ind w:left="2240"/>
        <w:jc w:val="both"/>
      </w:pPr>
      <w:r>
        <w:rPr/>
        <w:t>He quotes the following:</w:t>
      </w:r>
    </w:p>
    <w:p>
      <w:pPr>
        <w:pStyle w:val="BodyText"/>
        <w:spacing w:before="5"/>
      </w:pPr>
    </w:p>
    <w:p>
      <w:pPr>
        <w:pStyle w:val="ListParagraph"/>
        <w:numPr>
          <w:ilvl w:val="0"/>
          <w:numId w:val="3"/>
        </w:numPr>
        <w:tabs>
          <w:tab w:pos="2668" w:val="left" w:leader="none"/>
        </w:tabs>
        <w:spacing w:line="242" w:lineRule="auto" w:before="1" w:after="0"/>
        <w:ind w:left="2240" w:right="2238" w:firstLine="0"/>
        <w:jc w:val="both"/>
        <w:rPr>
          <w:rFonts w:ascii="Century Gothic"/>
          <w:sz w:val="26"/>
        </w:rPr>
      </w:pPr>
      <w:r>
        <w:rPr>
          <w:rFonts w:ascii="Century Gothic"/>
          <w:spacing w:val="3"/>
          <w:sz w:val="26"/>
        </w:rPr>
        <w:t>It </w:t>
      </w:r>
      <w:r>
        <w:rPr>
          <w:rFonts w:ascii="Century Gothic"/>
          <w:sz w:val="26"/>
        </w:rPr>
        <w:t>is true that such proceeding by appraisers and an umpire </w:t>
      </w:r>
      <w:r>
        <w:rPr>
          <w:rFonts w:ascii="Century Gothic"/>
          <w:spacing w:val="-4"/>
          <w:sz w:val="26"/>
        </w:rPr>
        <w:t>does </w:t>
      </w:r>
      <w:r>
        <w:rPr>
          <w:rFonts w:ascii="Century Gothic"/>
          <w:sz w:val="26"/>
        </w:rPr>
        <w:t>not demand the formalities of </w:t>
      </w:r>
      <w:r>
        <w:rPr>
          <w:rFonts w:ascii="Century Gothic"/>
          <w:spacing w:val="-11"/>
          <w:sz w:val="26"/>
        </w:rPr>
        <w:t>a </w:t>
      </w:r>
      <w:r>
        <w:rPr>
          <w:rFonts w:ascii="Century Gothic"/>
          <w:sz w:val="26"/>
        </w:rPr>
        <w:t>trial in a court of law or equity, but it does demand a fair effort </w:t>
      </w:r>
      <w:r>
        <w:rPr>
          <w:rFonts w:ascii="Century Gothic"/>
          <w:spacing w:val="-8"/>
          <w:sz w:val="26"/>
        </w:rPr>
        <w:t>to </w:t>
      </w:r>
      <w:r>
        <w:rPr>
          <w:rFonts w:ascii="Century Gothic"/>
          <w:sz w:val="26"/>
        </w:rPr>
        <w:t>ascertain the </w:t>
      </w:r>
      <w:r>
        <w:rPr>
          <w:rFonts w:ascii="Century Gothic"/>
          <w:spacing w:val="2"/>
          <w:sz w:val="26"/>
        </w:rPr>
        <w:t>truth </w:t>
      </w:r>
      <w:r>
        <w:rPr>
          <w:rFonts w:ascii="Century Gothic"/>
          <w:spacing w:val="3"/>
          <w:sz w:val="26"/>
        </w:rPr>
        <w:t>and </w:t>
      </w:r>
      <w:r>
        <w:rPr>
          <w:rFonts w:ascii="Century Gothic"/>
          <w:spacing w:val="2"/>
          <w:sz w:val="26"/>
        </w:rPr>
        <w:t>the </w:t>
      </w:r>
      <w:r>
        <w:rPr>
          <w:rFonts w:ascii="Century Gothic"/>
          <w:spacing w:val="21"/>
          <w:sz w:val="26"/>
        </w:rPr>
        <w:t>consideration </w:t>
      </w:r>
      <w:r>
        <w:rPr>
          <w:rFonts w:ascii="Century Gothic"/>
          <w:spacing w:val="12"/>
          <w:sz w:val="26"/>
        </w:rPr>
        <w:t>of </w:t>
      </w:r>
      <w:r>
        <w:rPr>
          <w:rFonts w:ascii="Century Gothic"/>
          <w:spacing w:val="20"/>
          <w:sz w:val="26"/>
        </w:rPr>
        <w:t>available </w:t>
      </w:r>
      <w:r>
        <w:rPr>
          <w:rFonts w:ascii="Century Gothic"/>
          <w:sz w:val="26"/>
        </w:rPr>
        <w:t>evidence</w:t>
      </w:r>
      <w:r>
        <w:rPr>
          <w:rFonts w:ascii="Century Gothic"/>
          <w:spacing w:val="-33"/>
          <w:sz w:val="26"/>
        </w:rPr>
        <w:t> </w:t>
      </w:r>
      <w:r>
        <w:rPr>
          <w:rFonts w:ascii="Century Gothic"/>
          <w:sz w:val="26"/>
        </w:rPr>
        <w:t>and</w:t>
      </w:r>
      <w:r>
        <w:rPr>
          <w:rFonts w:ascii="Century Gothic"/>
          <w:spacing w:val="-30"/>
          <w:sz w:val="26"/>
        </w:rPr>
        <w:t> </w:t>
      </w:r>
      <w:r>
        <w:rPr>
          <w:rFonts w:ascii="Century Gothic"/>
          <w:sz w:val="26"/>
        </w:rPr>
        <w:t>information,</w:t>
      </w:r>
      <w:r>
        <w:rPr>
          <w:rFonts w:ascii="Century Gothic"/>
          <w:spacing w:val="-33"/>
          <w:sz w:val="26"/>
        </w:rPr>
        <w:t> </w:t>
      </w:r>
      <w:r>
        <w:rPr>
          <w:rFonts w:ascii="Century Gothic"/>
          <w:sz w:val="26"/>
        </w:rPr>
        <w:t>and</w:t>
      </w:r>
      <w:r>
        <w:rPr>
          <w:rFonts w:ascii="Century Gothic"/>
          <w:spacing w:val="-30"/>
          <w:sz w:val="26"/>
        </w:rPr>
        <w:t> </w:t>
      </w:r>
      <w:r>
        <w:rPr>
          <w:rFonts w:ascii="Century Gothic"/>
          <w:spacing w:val="-5"/>
          <w:sz w:val="26"/>
        </w:rPr>
        <w:t>the </w:t>
      </w:r>
      <w:r>
        <w:rPr>
          <w:rFonts w:ascii="Century Gothic"/>
          <w:sz w:val="26"/>
        </w:rPr>
        <w:t>deliberate judgment of the </w:t>
      </w:r>
      <w:r>
        <w:rPr>
          <w:rFonts w:ascii="Century Gothic"/>
          <w:spacing w:val="-3"/>
          <w:sz w:val="26"/>
        </w:rPr>
        <w:t>ones </w:t>
      </w:r>
      <w:r>
        <w:rPr>
          <w:rFonts w:ascii="Century Gothic"/>
          <w:sz w:val="26"/>
        </w:rPr>
        <w:t>making the award, after </w:t>
      </w:r>
      <w:r>
        <w:rPr>
          <w:rFonts w:ascii="Century Gothic"/>
          <w:spacing w:val="-4"/>
          <w:sz w:val="26"/>
        </w:rPr>
        <w:t>due </w:t>
      </w:r>
      <w:r>
        <w:rPr>
          <w:rFonts w:ascii="Century Gothic"/>
          <w:sz w:val="26"/>
        </w:rPr>
        <w:t>consideration and</w:t>
      </w:r>
      <w:r>
        <w:rPr>
          <w:rFonts w:ascii="Century Gothic"/>
          <w:spacing w:val="-3"/>
          <w:sz w:val="26"/>
        </w:rPr>
        <w:t> </w:t>
      </w:r>
      <w:r>
        <w:rPr>
          <w:rFonts w:ascii="Century Gothic"/>
          <w:sz w:val="26"/>
        </w:rPr>
        <w:t>deliberation.</w:t>
      </w:r>
    </w:p>
    <w:p>
      <w:pPr>
        <w:pStyle w:val="BodyText"/>
        <w:spacing w:before="10"/>
        <w:rPr>
          <w:sz w:val="25"/>
        </w:rPr>
      </w:pPr>
    </w:p>
    <w:p>
      <w:pPr>
        <w:pStyle w:val="ListParagraph"/>
        <w:numPr>
          <w:ilvl w:val="0"/>
          <w:numId w:val="3"/>
        </w:numPr>
        <w:tabs>
          <w:tab w:pos="2675" w:val="left" w:leader="none"/>
        </w:tabs>
        <w:spacing w:line="242" w:lineRule="auto" w:before="1" w:after="0"/>
        <w:ind w:left="2240" w:right="2238" w:firstLine="0"/>
        <w:jc w:val="both"/>
        <w:rPr>
          <w:rFonts w:ascii="Century Gothic"/>
          <w:sz w:val="26"/>
        </w:rPr>
      </w:pPr>
      <w:r>
        <w:rPr>
          <w:rFonts w:ascii="Century Gothic"/>
          <w:sz w:val="26"/>
        </w:rPr>
        <w:t>I take it that the appraiser, as well as the umpire should be </w:t>
      </w:r>
      <w:r>
        <w:rPr>
          <w:rFonts w:ascii="Century Gothic"/>
          <w:spacing w:val="-4"/>
          <w:sz w:val="26"/>
        </w:rPr>
        <w:t>not</w:t>
      </w:r>
      <w:r>
        <w:rPr>
          <w:rFonts w:ascii="Century Gothic"/>
          <w:spacing w:val="63"/>
          <w:sz w:val="26"/>
        </w:rPr>
        <w:t> </w:t>
      </w:r>
      <w:r>
        <w:rPr>
          <w:rFonts w:ascii="Century Gothic"/>
          <w:sz w:val="26"/>
        </w:rPr>
        <w:t>only competent, but fair </w:t>
      </w:r>
      <w:r>
        <w:rPr>
          <w:rFonts w:ascii="Century Gothic"/>
          <w:spacing w:val="-5"/>
          <w:sz w:val="26"/>
        </w:rPr>
        <w:t>and </w:t>
      </w:r>
      <w:r>
        <w:rPr>
          <w:rFonts w:ascii="Century Gothic"/>
          <w:sz w:val="26"/>
        </w:rPr>
        <w:t>unprejudiced as between </w:t>
      </w:r>
      <w:r>
        <w:rPr>
          <w:rFonts w:ascii="Century Gothic"/>
          <w:spacing w:val="-5"/>
          <w:sz w:val="26"/>
        </w:rPr>
        <w:t>the </w:t>
      </w:r>
      <w:r>
        <w:rPr>
          <w:rFonts w:ascii="Century Gothic"/>
          <w:sz w:val="26"/>
        </w:rPr>
        <w:t>parties</w:t>
      </w:r>
      <w:r>
        <w:rPr>
          <w:rFonts w:ascii="Century Gothic"/>
          <w:spacing w:val="25"/>
          <w:sz w:val="26"/>
        </w:rPr>
        <w:t> </w:t>
      </w:r>
      <w:r>
        <w:rPr>
          <w:rFonts w:ascii="Century Gothic"/>
          <w:sz w:val="26"/>
        </w:rPr>
        <w:t>to</w:t>
      </w:r>
      <w:r>
        <w:rPr>
          <w:rFonts w:ascii="Century Gothic"/>
          <w:spacing w:val="25"/>
          <w:sz w:val="26"/>
        </w:rPr>
        <w:t> </w:t>
      </w:r>
      <w:r>
        <w:rPr>
          <w:rFonts w:ascii="Century Gothic"/>
          <w:sz w:val="26"/>
        </w:rPr>
        <w:t>the</w:t>
      </w:r>
      <w:r>
        <w:rPr>
          <w:rFonts w:ascii="Century Gothic"/>
          <w:spacing w:val="24"/>
          <w:sz w:val="26"/>
        </w:rPr>
        <w:t> </w:t>
      </w:r>
      <w:r>
        <w:rPr>
          <w:rFonts w:ascii="Century Gothic"/>
          <w:sz w:val="26"/>
        </w:rPr>
        <w:t>award,</w:t>
      </w:r>
      <w:r>
        <w:rPr>
          <w:rFonts w:ascii="Century Gothic"/>
          <w:spacing w:val="22"/>
          <w:sz w:val="26"/>
        </w:rPr>
        <w:t> </w:t>
      </w:r>
      <w:r>
        <w:rPr>
          <w:rFonts w:ascii="Century Gothic"/>
          <w:sz w:val="26"/>
        </w:rPr>
        <w:t>and</w:t>
      </w:r>
      <w:r>
        <w:rPr>
          <w:rFonts w:ascii="Century Gothic"/>
          <w:spacing w:val="25"/>
          <w:sz w:val="26"/>
        </w:rPr>
        <w:t> </w:t>
      </w:r>
      <w:r>
        <w:rPr>
          <w:rFonts w:ascii="Century Gothic"/>
          <w:sz w:val="26"/>
        </w:rPr>
        <w:t>a</w:t>
      </w:r>
    </w:p>
    <w:p>
      <w:pPr>
        <w:pStyle w:val="BodyText"/>
        <w:spacing w:before="12"/>
        <w:rPr>
          <w:sz w:val="15"/>
        </w:rPr>
      </w:pPr>
      <w:r>
        <w:rPr/>
        <w:pict>
          <v:shape style="position:absolute;margin-left:162pt;margin-top:12.198501pt;width:143.9pt;height:.1pt;mso-position-horizontal-relative:page;mso-position-vertical-relative:paragraph;z-index:-251657216;mso-wrap-distance-left:0;mso-wrap-distance-right:0" coordorigin="3240,244" coordsize="2878,0" path="m3240,244l6118,244e" filled="false" stroked="true" strokeweight=".84pt" strokecolor="#000000">
            <v:path arrowok="t"/>
            <v:stroke dashstyle="solid"/>
            <w10:wrap type="topAndBottom"/>
          </v:shape>
        </w:pict>
      </w:r>
    </w:p>
    <w:p>
      <w:pPr>
        <w:pStyle w:val="ListParagraph"/>
        <w:numPr>
          <w:ilvl w:val="0"/>
          <w:numId w:val="4"/>
        </w:numPr>
        <w:tabs>
          <w:tab w:pos="1433" w:val="left" w:leader="none"/>
        </w:tabs>
        <w:spacing w:line="240" w:lineRule="auto" w:before="140" w:after="0"/>
        <w:ind w:left="1432" w:right="8" w:hanging="1433"/>
        <w:jc w:val="left"/>
        <w:rPr>
          <w:sz w:val="18"/>
        </w:rPr>
      </w:pPr>
      <w:r>
        <w:rPr>
          <w:sz w:val="18"/>
        </w:rPr>
        <w:t>Max</w:t>
      </w:r>
      <w:r>
        <w:rPr>
          <w:spacing w:val="-18"/>
          <w:sz w:val="18"/>
        </w:rPr>
        <w:t> </w:t>
      </w:r>
      <w:r>
        <w:rPr>
          <w:sz w:val="18"/>
        </w:rPr>
        <w:t>Gwertzman,</w:t>
      </w:r>
      <w:r>
        <w:rPr>
          <w:spacing w:val="18"/>
          <w:sz w:val="18"/>
        </w:rPr>
        <w:t> </w:t>
      </w:r>
      <w:r>
        <w:rPr>
          <w:i/>
          <w:sz w:val="18"/>
        </w:rPr>
        <w:t>The</w:t>
      </w:r>
      <w:r>
        <w:rPr>
          <w:i/>
          <w:spacing w:val="-16"/>
          <w:sz w:val="18"/>
        </w:rPr>
        <w:t> </w:t>
      </w:r>
      <w:r>
        <w:rPr>
          <w:i/>
          <w:sz w:val="18"/>
        </w:rPr>
        <w:t>Insurance</w:t>
      </w:r>
      <w:r>
        <w:rPr>
          <w:i/>
          <w:spacing w:val="-15"/>
          <w:sz w:val="18"/>
        </w:rPr>
        <w:t> </w:t>
      </w:r>
      <w:r>
        <w:rPr>
          <w:i/>
          <w:sz w:val="18"/>
        </w:rPr>
        <w:t>Advocate,</w:t>
      </w:r>
      <w:r>
        <w:rPr>
          <w:i/>
          <w:spacing w:val="-16"/>
          <w:sz w:val="18"/>
        </w:rPr>
        <w:t> </w:t>
      </w:r>
      <w:r>
        <w:rPr>
          <w:sz w:val="18"/>
        </w:rPr>
        <w:t>4</w:t>
      </w:r>
      <w:r>
        <w:rPr>
          <w:position w:val="7"/>
          <w:sz w:val="10"/>
        </w:rPr>
        <w:t>th</w:t>
      </w:r>
      <w:r>
        <w:rPr>
          <w:spacing w:val="5"/>
          <w:position w:val="7"/>
          <w:sz w:val="10"/>
        </w:rPr>
        <w:t> </w:t>
      </w:r>
      <w:r>
        <w:rPr>
          <w:sz w:val="18"/>
        </w:rPr>
        <w:t>Printing,</w:t>
      </w:r>
      <w:r>
        <w:rPr>
          <w:spacing w:val="-16"/>
          <w:sz w:val="18"/>
        </w:rPr>
        <w:t> </w:t>
      </w:r>
      <w:r>
        <w:rPr>
          <w:sz w:val="18"/>
        </w:rPr>
        <w:t>Roberts</w:t>
      </w:r>
      <w:r>
        <w:rPr>
          <w:spacing w:val="-17"/>
          <w:sz w:val="18"/>
        </w:rPr>
        <w:t> </w:t>
      </w:r>
      <w:r>
        <w:rPr>
          <w:sz w:val="18"/>
        </w:rPr>
        <w:t>Publishing</w:t>
      </w:r>
      <w:r>
        <w:rPr>
          <w:spacing w:val="-17"/>
          <w:sz w:val="18"/>
        </w:rPr>
        <w:t> </w:t>
      </w:r>
      <w:r>
        <w:rPr>
          <w:sz w:val="18"/>
        </w:rPr>
        <w:t>Corp.</w:t>
      </w:r>
      <w:r>
        <w:rPr>
          <w:spacing w:val="-16"/>
          <w:sz w:val="18"/>
        </w:rPr>
        <w:t> </w:t>
      </w:r>
      <w:r>
        <w:rPr>
          <w:sz w:val="18"/>
        </w:rPr>
        <w:t>1972.</w:t>
      </w:r>
    </w:p>
    <w:p>
      <w:pPr>
        <w:spacing w:after="0" w:line="240"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2240" w:right="2240"/>
        <w:jc w:val="both"/>
      </w:pPr>
      <w:bookmarkStart w:name="Law and Procedure 428" w:id="4"/>
      <w:bookmarkEnd w:id="4"/>
      <w:r>
        <w:rPr/>
      </w:r>
      <w:r>
        <w:rPr/>
        <w:t>determination of whose interests are confided to them. </w:t>
      </w:r>
      <w:r>
        <w:rPr>
          <w:spacing w:val="3"/>
        </w:rPr>
        <w:t>In </w:t>
      </w:r>
      <w:r>
        <w:rPr/>
        <w:t>the </w:t>
      </w:r>
      <w:r>
        <w:rPr>
          <w:spacing w:val="9"/>
        </w:rPr>
        <w:t>language </w:t>
      </w:r>
      <w:r>
        <w:rPr>
          <w:spacing w:val="6"/>
        </w:rPr>
        <w:t>of </w:t>
      </w:r>
      <w:r>
        <w:rPr>
          <w:spacing w:val="5"/>
        </w:rPr>
        <w:t>the </w:t>
      </w:r>
      <w:r>
        <w:rPr>
          <w:spacing w:val="8"/>
        </w:rPr>
        <w:t>policy </w:t>
      </w:r>
      <w:r>
        <w:rPr>
          <w:spacing w:val="5"/>
        </w:rPr>
        <w:t>of </w:t>
      </w:r>
      <w:r>
        <w:rPr/>
        <w:t>insurance, the appraiser is to be “disinterested”</w:t>
      </w:r>
      <w:r>
        <w:rPr>
          <w:spacing w:val="-26"/>
        </w:rPr>
        <w:t> </w:t>
      </w:r>
      <w:r>
        <w:rPr/>
        <w:t>and</w:t>
      </w:r>
      <w:r>
        <w:rPr>
          <w:spacing w:val="-23"/>
        </w:rPr>
        <w:t> </w:t>
      </w:r>
      <w:r>
        <w:rPr/>
        <w:t>this</w:t>
      </w:r>
      <w:r>
        <w:rPr>
          <w:spacing w:val="-24"/>
        </w:rPr>
        <w:t> </w:t>
      </w:r>
      <w:r>
        <w:rPr/>
        <w:t>means</w:t>
      </w:r>
      <w:r>
        <w:rPr>
          <w:spacing w:val="-22"/>
        </w:rPr>
        <w:t> </w:t>
      </w:r>
      <w:r>
        <w:rPr>
          <w:spacing w:val="-3"/>
        </w:rPr>
        <w:t>“fair </w:t>
      </w:r>
      <w:r>
        <w:rPr/>
        <w:t>and</w:t>
      </w:r>
      <w:r>
        <w:rPr>
          <w:spacing w:val="-2"/>
        </w:rPr>
        <w:t> </w:t>
      </w:r>
      <w:r>
        <w:rPr/>
        <w:t>unprejudiced.”</w:t>
      </w:r>
    </w:p>
    <w:p>
      <w:pPr>
        <w:pStyle w:val="BodyText"/>
      </w:pPr>
    </w:p>
    <w:p>
      <w:pPr>
        <w:pStyle w:val="ListParagraph"/>
        <w:numPr>
          <w:ilvl w:val="0"/>
          <w:numId w:val="3"/>
        </w:numPr>
        <w:tabs>
          <w:tab w:pos="2699" w:val="left" w:leader="none"/>
        </w:tabs>
        <w:spacing w:line="242" w:lineRule="auto" w:before="0" w:after="0"/>
        <w:ind w:left="2240" w:right="2237" w:firstLine="0"/>
        <w:jc w:val="both"/>
        <w:rPr>
          <w:rFonts w:ascii="Century Gothic"/>
          <w:sz w:val="26"/>
        </w:rPr>
      </w:pPr>
      <w:r>
        <w:rPr>
          <w:rFonts w:ascii="Century Gothic"/>
          <w:sz w:val="26"/>
        </w:rPr>
        <w:t>And it was the duty of these appraisers</w:t>
      </w:r>
      <w:r>
        <w:rPr>
          <w:rFonts w:ascii="Century Gothic"/>
          <w:spacing w:val="-25"/>
          <w:sz w:val="26"/>
        </w:rPr>
        <w:t> </w:t>
      </w:r>
      <w:r>
        <w:rPr>
          <w:rFonts w:ascii="Century Gothic"/>
          <w:sz w:val="26"/>
        </w:rPr>
        <w:t>to</w:t>
      </w:r>
      <w:r>
        <w:rPr>
          <w:rFonts w:ascii="Century Gothic"/>
          <w:spacing w:val="-24"/>
          <w:sz w:val="26"/>
        </w:rPr>
        <w:t> </w:t>
      </w:r>
      <w:r>
        <w:rPr>
          <w:rFonts w:ascii="Century Gothic"/>
          <w:sz w:val="26"/>
        </w:rPr>
        <w:t>consult</w:t>
      </w:r>
      <w:r>
        <w:rPr>
          <w:rFonts w:ascii="Century Gothic"/>
          <w:spacing w:val="-21"/>
          <w:sz w:val="26"/>
        </w:rPr>
        <w:t> </w:t>
      </w:r>
      <w:r>
        <w:rPr>
          <w:rFonts w:ascii="Century Gothic"/>
          <w:sz w:val="26"/>
        </w:rPr>
        <w:t>together</w:t>
      </w:r>
      <w:r>
        <w:rPr>
          <w:rFonts w:ascii="Century Gothic"/>
          <w:spacing w:val="-24"/>
          <w:sz w:val="26"/>
        </w:rPr>
        <w:t> </w:t>
      </w:r>
      <w:r>
        <w:rPr>
          <w:rFonts w:ascii="Century Gothic"/>
          <w:spacing w:val="-4"/>
          <w:sz w:val="26"/>
        </w:rPr>
        <w:t>and, </w:t>
      </w:r>
      <w:r>
        <w:rPr>
          <w:rFonts w:ascii="Century Gothic"/>
          <w:sz w:val="26"/>
        </w:rPr>
        <w:t>if they do not agree, to call in the umpire whose function it was to deliberate with them. </w:t>
      </w:r>
      <w:r>
        <w:rPr>
          <w:rFonts w:ascii="Century Gothic"/>
          <w:spacing w:val="4"/>
          <w:sz w:val="26"/>
        </w:rPr>
        <w:t>It </w:t>
      </w:r>
      <w:r>
        <w:rPr>
          <w:rFonts w:ascii="Century Gothic"/>
          <w:sz w:val="26"/>
        </w:rPr>
        <w:t>was improper</w:t>
      </w:r>
      <w:r>
        <w:rPr>
          <w:rFonts w:ascii="Century Gothic"/>
          <w:spacing w:val="-26"/>
          <w:sz w:val="26"/>
        </w:rPr>
        <w:t> </w:t>
      </w:r>
      <w:r>
        <w:rPr>
          <w:rFonts w:ascii="Century Gothic"/>
          <w:sz w:val="26"/>
        </w:rPr>
        <w:t>for</w:t>
      </w:r>
      <w:r>
        <w:rPr>
          <w:rFonts w:ascii="Century Gothic"/>
          <w:spacing w:val="-25"/>
          <w:sz w:val="26"/>
        </w:rPr>
        <w:t> </w:t>
      </w:r>
      <w:r>
        <w:rPr>
          <w:rFonts w:ascii="Century Gothic"/>
          <w:sz w:val="26"/>
        </w:rPr>
        <w:t>one</w:t>
      </w:r>
      <w:r>
        <w:rPr>
          <w:rFonts w:ascii="Century Gothic"/>
          <w:spacing w:val="-25"/>
          <w:sz w:val="26"/>
        </w:rPr>
        <w:t> </w:t>
      </w:r>
      <w:r>
        <w:rPr>
          <w:rFonts w:ascii="Century Gothic"/>
          <w:sz w:val="26"/>
        </w:rPr>
        <w:t>or</w:t>
      </w:r>
      <w:r>
        <w:rPr>
          <w:rFonts w:ascii="Century Gothic"/>
          <w:spacing w:val="-26"/>
          <w:sz w:val="26"/>
        </w:rPr>
        <w:t> </w:t>
      </w:r>
      <w:r>
        <w:rPr>
          <w:rFonts w:ascii="Century Gothic"/>
          <w:spacing w:val="-3"/>
          <w:sz w:val="26"/>
        </w:rPr>
        <w:t>two</w:t>
      </w:r>
      <w:r>
        <w:rPr>
          <w:rFonts w:ascii="Century Gothic"/>
          <w:spacing w:val="-24"/>
          <w:sz w:val="26"/>
        </w:rPr>
        <w:t> </w:t>
      </w:r>
      <w:r>
        <w:rPr>
          <w:rFonts w:ascii="Century Gothic"/>
          <w:sz w:val="26"/>
        </w:rPr>
        <w:t>to</w:t>
      </w:r>
      <w:r>
        <w:rPr>
          <w:rFonts w:ascii="Century Gothic"/>
          <w:spacing w:val="-24"/>
          <w:sz w:val="26"/>
        </w:rPr>
        <w:t> </w:t>
      </w:r>
      <w:r>
        <w:rPr>
          <w:rFonts w:ascii="Century Gothic"/>
          <w:sz w:val="26"/>
        </w:rPr>
        <w:t>consider </w:t>
      </w:r>
      <w:r>
        <w:rPr>
          <w:rFonts w:ascii="Century Gothic"/>
          <w:spacing w:val="5"/>
          <w:sz w:val="26"/>
        </w:rPr>
        <w:t>evidence </w:t>
      </w:r>
      <w:r>
        <w:rPr>
          <w:rFonts w:ascii="Century Gothic"/>
          <w:spacing w:val="2"/>
          <w:sz w:val="26"/>
        </w:rPr>
        <w:t>or </w:t>
      </w:r>
      <w:r>
        <w:rPr>
          <w:rFonts w:ascii="Century Gothic"/>
          <w:spacing w:val="5"/>
          <w:sz w:val="26"/>
        </w:rPr>
        <w:t>information </w:t>
      </w:r>
      <w:r>
        <w:rPr>
          <w:rFonts w:ascii="Century Gothic"/>
          <w:spacing w:val="4"/>
          <w:sz w:val="26"/>
        </w:rPr>
        <w:t>not </w:t>
      </w:r>
      <w:r>
        <w:rPr>
          <w:rFonts w:ascii="Century Gothic"/>
          <w:sz w:val="26"/>
        </w:rPr>
        <w:t>submitted to the other, or the others.</w:t>
      </w:r>
      <w:r>
        <w:rPr>
          <w:rFonts w:ascii="Century Gothic"/>
          <w:sz w:val="26"/>
          <w:vertAlign w:val="superscript"/>
        </w:rPr>
        <w:t>886</w:t>
      </w:r>
    </w:p>
    <w:p>
      <w:pPr>
        <w:pStyle w:val="BodyText"/>
        <w:spacing w:before="12"/>
        <w:rPr>
          <w:sz w:val="25"/>
        </w:rPr>
      </w:pPr>
    </w:p>
    <w:p>
      <w:pPr>
        <w:pStyle w:val="BodyText"/>
        <w:spacing w:line="242" w:lineRule="auto"/>
        <w:ind w:left="1520" w:right="1517" w:firstLine="720"/>
        <w:jc w:val="both"/>
      </w:pPr>
      <w:r>
        <w:rPr>
          <w:spacing w:val="3"/>
        </w:rPr>
        <w:t>In</w:t>
      </w:r>
      <w:r>
        <w:rPr>
          <w:spacing w:val="-16"/>
        </w:rPr>
        <w:t> </w:t>
      </w:r>
      <w:r>
        <w:rPr/>
        <w:t>some</w:t>
      </w:r>
      <w:r>
        <w:rPr>
          <w:spacing w:val="-15"/>
        </w:rPr>
        <w:t> </w:t>
      </w:r>
      <w:r>
        <w:rPr/>
        <w:t>states,</w:t>
      </w:r>
      <w:r>
        <w:rPr>
          <w:spacing w:val="-22"/>
        </w:rPr>
        <w:t> </w:t>
      </w:r>
      <w:r>
        <w:rPr/>
        <w:t>the</w:t>
      </w:r>
      <w:r>
        <w:rPr>
          <w:spacing w:val="-18"/>
        </w:rPr>
        <w:t> </w:t>
      </w:r>
      <w:r>
        <w:rPr/>
        <w:t>process</w:t>
      </w:r>
      <w:r>
        <w:rPr>
          <w:spacing w:val="-17"/>
        </w:rPr>
        <w:t> </w:t>
      </w:r>
      <w:r>
        <w:rPr/>
        <w:t>can</w:t>
      </w:r>
      <w:r>
        <w:rPr>
          <w:spacing w:val="-17"/>
        </w:rPr>
        <w:t> </w:t>
      </w:r>
      <w:r>
        <w:rPr/>
        <w:t>be</w:t>
      </w:r>
      <w:r>
        <w:rPr>
          <w:spacing w:val="-18"/>
        </w:rPr>
        <w:t> </w:t>
      </w:r>
      <w:r>
        <w:rPr/>
        <w:t>either as</w:t>
      </w:r>
      <w:r>
        <w:rPr>
          <w:spacing w:val="-13"/>
        </w:rPr>
        <w:t> </w:t>
      </w:r>
      <w:r>
        <w:rPr/>
        <w:t>formal</w:t>
      </w:r>
      <w:r>
        <w:rPr>
          <w:spacing w:val="-12"/>
        </w:rPr>
        <w:t> </w:t>
      </w:r>
      <w:r>
        <w:rPr/>
        <w:t>or</w:t>
      </w:r>
      <w:r>
        <w:rPr>
          <w:spacing w:val="-15"/>
        </w:rPr>
        <w:t> </w:t>
      </w:r>
      <w:r>
        <w:rPr/>
        <w:t>informal</w:t>
      </w:r>
      <w:r>
        <w:rPr>
          <w:spacing w:val="-13"/>
        </w:rPr>
        <w:t> </w:t>
      </w:r>
      <w:r>
        <w:rPr/>
        <w:t>as</w:t>
      </w:r>
      <w:r>
        <w:rPr>
          <w:spacing w:val="-16"/>
        </w:rPr>
        <w:t> </w:t>
      </w:r>
      <w:r>
        <w:rPr/>
        <w:t>the</w:t>
      </w:r>
      <w:r>
        <w:rPr>
          <w:spacing w:val="-16"/>
        </w:rPr>
        <w:t> </w:t>
      </w:r>
      <w:r>
        <w:rPr/>
        <w:t>parties</w:t>
      </w:r>
      <w:r>
        <w:rPr>
          <w:spacing w:val="-16"/>
        </w:rPr>
        <w:t> </w:t>
      </w:r>
      <w:r>
        <w:rPr/>
        <w:t>may</w:t>
      </w:r>
      <w:r>
        <w:rPr>
          <w:spacing w:val="-15"/>
        </w:rPr>
        <w:t> </w:t>
      </w:r>
      <w:r>
        <w:rPr/>
        <w:t>agree. </w:t>
      </w:r>
      <w:r>
        <w:rPr>
          <w:spacing w:val="3"/>
        </w:rPr>
        <w:t>In</w:t>
      </w:r>
      <w:r>
        <w:rPr>
          <w:spacing w:val="-34"/>
        </w:rPr>
        <w:t> </w:t>
      </w:r>
      <w:r>
        <w:rPr/>
        <w:t>this</w:t>
      </w:r>
      <w:r>
        <w:rPr>
          <w:spacing w:val="-34"/>
        </w:rPr>
        <w:t> </w:t>
      </w:r>
      <w:r>
        <w:rPr>
          <w:spacing w:val="-3"/>
        </w:rPr>
        <w:t>context,</w:t>
      </w:r>
      <w:r>
        <w:rPr>
          <w:spacing w:val="-39"/>
        </w:rPr>
        <w:t> </w:t>
      </w:r>
      <w:r>
        <w:rPr/>
        <w:t>informal</w:t>
      </w:r>
      <w:r>
        <w:rPr>
          <w:spacing w:val="-33"/>
        </w:rPr>
        <w:t> </w:t>
      </w:r>
      <w:r>
        <w:rPr/>
        <w:t>appraisals</w:t>
      </w:r>
      <w:r>
        <w:rPr>
          <w:spacing w:val="-32"/>
        </w:rPr>
        <w:t> </w:t>
      </w:r>
      <w:r>
        <w:rPr/>
        <w:t>are</w:t>
      </w:r>
      <w:r>
        <w:rPr>
          <w:spacing w:val="-35"/>
        </w:rPr>
        <w:t> </w:t>
      </w:r>
      <w:r>
        <w:rPr/>
        <w:t>generally faster</w:t>
      </w:r>
      <w:r>
        <w:rPr>
          <w:spacing w:val="-27"/>
        </w:rPr>
        <w:t> </w:t>
      </w:r>
      <w:r>
        <w:rPr/>
        <w:t>and</w:t>
      </w:r>
      <w:r>
        <w:rPr>
          <w:spacing w:val="-24"/>
        </w:rPr>
        <w:t> </w:t>
      </w:r>
      <w:r>
        <w:rPr/>
        <w:t>less</w:t>
      </w:r>
      <w:r>
        <w:rPr>
          <w:spacing w:val="-24"/>
        </w:rPr>
        <w:t> </w:t>
      </w:r>
      <w:r>
        <w:rPr/>
        <w:t>expensive</w:t>
      </w:r>
      <w:r>
        <w:rPr>
          <w:spacing w:val="-22"/>
        </w:rPr>
        <w:t> </w:t>
      </w:r>
      <w:r>
        <w:rPr/>
        <w:t>then</w:t>
      </w:r>
      <w:r>
        <w:rPr>
          <w:spacing w:val="-23"/>
        </w:rPr>
        <w:t> </w:t>
      </w:r>
      <w:r>
        <w:rPr/>
        <w:t>a</w:t>
      </w:r>
      <w:r>
        <w:rPr>
          <w:spacing w:val="-25"/>
        </w:rPr>
        <w:t> </w:t>
      </w:r>
      <w:r>
        <w:rPr/>
        <w:t>formal</w:t>
      </w:r>
      <w:r>
        <w:rPr>
          <w:spacing w:val="-24"/>
        </w:rPr>
        <w:t> </w:t>
      </w:r>
      <w:r>
        <w:rPr/>
        <w:t>process which</w:t>
      </w:r>
      <w:r>
        <w:rPr>
          <w:spacing w:val="-22"/>
        </w:rPr>
        <w:t> </w:t>
      </w:r>
      <w:r>
        <w:rPr/>
        <w:t>might</w:t>
      </w:r>
      <w:r>
        <w:rPr>
          <w:spacing w:val="-22"/>
        </w:rPr>
        <w:t> </w:t>
      </w:r>
      <w:r>
        <w:rPr/>
        <w:t>include</w:t>
      </w:r>
      <w:r>
        <w:rPr>
          <w:spacing w:val="-21"/>
        </w:rPr>
        <w:t> </w:t>
      </w:r>
      <w:r>
        <w:rPr/>
        <w:t>the</w:t>
      </w:r>
      <w:r>
        <w:rPr>
          <w:spacing w:val="-22"/>
        </w:rPr>
        <w:t> </w:t>
      </w:r>
      <w:r>
        <w:rPr/>
        <w:t>use</w:t>
      </w:r>
      <w:r>
        <w:rPr>
          <w:spacing w:val="-23"/>
        </w:rPr>
        <w:t> </w:t>
      </w:r>
      <w:r>
        <w:rPr/>
        <w:t>of</w:t>
      </w:r>
      <w:r>
        <w:rPr>
          <w:spacing w:val="-21"/>
        </w:rPr>
        <w:t> </w:t>
      </w:r>
      <w:r>
        <w:rPr/>
        <w:t>a</w:t>
      </w:r>
      <w:r>
        <w:rPr>
          <w:spacing w:val="-21"/>
        </w:rPr>
        <w:t> </w:t>
      </w:r>
      <w:r>
        <w:rPr/>
        <w:t>court</w:t>
      </w:r>
      <w:r>
        <w:rPr>
          <w:spacing w:val="-24"/>
        </w:rPr>
        <w:t> </w:t>
      </w:r>
      <w:r>
        <w:rPr/>
        <w:t>reporter and the formal taking of evidence and testimony. However, California has codified this rule to the extent of limiting appraisals to informal affairs without discovery, court reporters, and the formal taking of evidence unless the parties agree</w:t>
      </w:r>
      <w:r>
        <w:rPr>
          <w:spacing w:val="-7"/>
        </w:rPr>
        <w:t> </w:t>
      </w:r>
      <w:r>
        <w:rPr/>
        <w:t>otherwise.</w:t>
      </w:r>
    </w:p>
    <w:p>
      <w:pPr>
        <w:pStyle w:val="BodyText"/>
        <w:spacing w:before="11"/>
        <w:rPr>
          <w:sz w:val="25"/>
        </w:rPr>
      </w:pPr>
    </w:p>
    <w:p>
      <w:pPr>
        <w:pStyle w:val="BodyText"/>
        <w:ind w:left="2240"/>
      </w:pPr>
      <w:r>
        <w:rPr/>
        <w:t>On one hand the California legislature</w:t>
      </w:r>
    </w:p>
    <w:p>
      <w:pPr>
        <w:pStyle w:val="BodyText"/>
        <w:rPr>
          <w:sz w:val="20"/>
        </w:rPr>
      </w:pPr>
    </w:p>
    <w:p>
      <w:pPr>
        <w:pStyle w:val="BodyText"/>
        <w:spacing w:before="7"/>
        <w:rPr>
          <w:sz w:val="13"/>
        </w:rPr>
      </w:pPr>
      <w:r>
        <w:rPr/>
        <w:pict>
          <v:shape style="position:absolute;margin-left:162pt;margin-top:10.751407pt;width:143.9pt;height:.1pt;mso-position-horizontal-relative:page;mso-position-vertical-relative:paragraph;z-index:-251656192;mso-wrap-distance-left:0;mso-wrap-distance-right:0" coordorigin="3240,215" coordsize="2878,0" path="m3240,215l6118,215e" filled="false" stroked="true" strokeweight=".84pt" strokecolor="#000000">
            <v:path arrowok="t"/>
            <v:stroke dashstyle="solid"/>
            <w10:wrap type="topAndBottom"/>
          </v:shape>
        </w:pict>
      </w:r>
    </w:p>
    <w:p>
      <w:pPr>
        <w:pStyle w:val="ListParagraph"/>
        <w:numPr>
          <w:ilvl w:val="0"/>
          <w:numId w:val="4"/>
        </w:numPr>
        <w:tabs>
          <w:tab w:pos="1421" w:val="left" w:leader="none"/>
        </w:tabs>
        <w:spacing w:line="240" w:lineRule="auto" w:before="149" w:after="0"/>
        <w:ind w:left="1421" w:right="0" w:hanging="261"/>
        <w:jc w:val="left"/>
        <w:rPr>
          <w:sz w:val="18"/>
        </w:rPr>
      </w:pPr>
      <w:r>
        <w:rPr>
          <w:sz w:val="18"/>
          <w:u w:val="single"/>
        </w:rPr>
        <w:t>Phoenix Ins. Co. v. Everfresh Food Co.</w:t>
      </w:r>
      <w:r>
        <w:rPr>
          <w:sz w:val="18"/>
        </w:rPr>
        <w:t>, 294 F. 51</w:t>
      </w:r>
      <w:r>
        <w:rPr>
          <w:spacing w:val="3"/>
          <w:sz w:val="18"/>
        </w:rPr>
        <w:t> </w:t>
      </w:r>
      <w:r>
        <w:rPr>
          <w:sz w:val="18"/>
        </w:rPr>
        <w:t>(1923).</w:t>
      </w:r>
    </w:p>
    <w:p>
      <w:pPr>
        <w:spacing w:after="0" w:line="240"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429" w:id="5"/>
      <w:bookmarkEnd w:id="5"/>
      <w:r>
        <w:rPr/>
      </w:r>
      <w:r>
        <w:rPr/>
        <w:t>added</w:t>
      </w:r>
      <w:r>
        <w:rPr>
          <w:spacing w:val="-31"/>
        </w:rPr>
        <w:t> </w:t>
      </w:r>
      <w:r>
        <w:rPr/>
        <w:t>language</w:t>
      </w:r>
      <w:r>
        <w:rPr>
          <w:spacing w:val="-26"/>
        </w:rPr>
        <w:t> </w:t>
      </w:r>
      <w:r>
        <w:rPr/>
        <w:t>that</w:t>
      </w:r>
      <w:r>
        <w:rPr>
          <w:spacing w:val="-28"/>
        </w:rPr>
        <w:t> </w:t>
      </w:r>
      <w:r>
        <w:rPr/>
        <w:t>makes</w:t>
      </w:r>
      <w:r>
        <w:rPr>
          <w:spacing w:val="-28"/>
        </w:rPr>
        <w:t> </w:t>
      </w:r>
      <w:r>
        <w:rPr/>
        <w:t>the</w:t>
      </w:r>
      <w:r>
        <w:rPr>
          <w:spacing w:val="-31"/>
        </w:rPr>
        <w:t> </w:t>
      </w:r>
      <w:r>
        <w:rPr/>
        <w:t>process</w:t>
      </w:r>
      <w:r>
        <w:rPr>
          <w:spacing w:val="-29"/>
        </w:rPr>
        <w:t> </w:t>
      </w:r>
      <w:r>
        <w:rPr>
          <w:spacing w:val="-4"/>
        </w:rPr>
        <w:t>more </w:t>
      </w:r>
      <w:r>
        <w:rPr/>
        <w:t>efficient defining the meaning of “informal,” precluding formal discovery like depositions, interrogatories, requests for admissions as well as formal rules of evidence and a court reporter.</w:t>
      </w:r>
    </w:p>
    <w:p>
      <w:pPr>
        <w:pStyle w:val="BodyText"/>
      </w:pPr>
    </w:p>
    <w:p>
      <w:pPr>
        <w:pStyle w:val="BodyText"/>
        <w:spacing w:line="242" w:lineRule="auto"/>
        <w:ind w:left="1520" w:right="1515" w:firstLine="720"/>
        <w:jc w:val="both"/>
      </w:pPr>
      <w:r>
        <w:rPr/>
        <w:t>On the other hand in the event of a government declared disaster, either party may request appraisal but it cannot be compelled.</w:t>
      </w:r>
      <w:r>
        <w:rPr>
          <w:vertAlign w:val="superscript"/>
        </w:rPr>
        <w:t>887</w:t>
      </w:r>
    </w:p>
    <w:p>
      <w:pPr>
        <w:pStyle w:val="BodyText"/>
        <w:spacing w:before="1"/>
      </w:pPr>
    </w:p>
    <w:p>
      <w:pPr>
        <w:pStyle w:val="BodyText"/>
        <w:spacing w:line="242" w:lineRule="auto" w:before="1"/>
        <w:ind w:left="1520" w:right="1518" w:firstLine="720"/>
        <w:jc w:val="both"/>
      </w:pPr>
      <w:r>
        <w:rPr/>
        <w:t>Generally, the methodology to be used at arriving at an award is for the appraisal panel to determine. Courts will properly decline</w:t>
      </w:r>
      <w:r>
        <w:rPr>
          <w:spacing w:val="-32"/>
        </w:rPr>
        <w:t> </w:t>
      </w:r>
      <w:r>
        <w:rPr/>
        <w:t>to</w:t>
      </w:r>
      <w:r>
        <w:rPr>
          <w:spacing w:val="-31"/>
        </w:rPr>
        <w:t> </w:t>
      </w:r>
      <w:r>
        <w:rPr/>
        <w:t>exercise</w:t>
      </w:r>
      <w:r>
        <w:rPr>
          <w:spacing w:val="-35"/>
        </w:rPr>
        <w:t> </w:t>
      </w:r>
      <w:r>
        <w:rPr>
          <w:spacing w:val="-3"/>
        </w:rPr>
        <w:t>discretion</w:t>
      </w:r>
      <w:r>
        <w:rPr>
          <w:spacing w:val="-33"/>
        </w:rPr>
        <w:t> </w:t>
      </w:r>
      <w:r>
        <w:rPr/>
        <w:t>to</w:t>
      </w:r>
      <w:r>
        <w:rPr>
          <w:spacing w:val="-34"/>
        </w:rPr>
        <w:t> </w:t>
      </w:r>
      <w:r>
        <w:rPr>
          <w:spacing w:val="-3"/>
        </w:rPr>
        <w:t>micro-manage </w:t>
      </w:r>
      <w:r>
        <w:rPr/>
        <w:t>an appraisal or conclude that no case </w:t>
      </w:r>
      <w:r>
        <w:rPr>
          <w:spacing w:val="-7"/>
        </w:rPr>
        <w:t>or </w:t>
      </w:r>
      <w:r>
        <w:rPr>
          <w:spacing w:val="3"/>
        </w:rPr>
        <w:t>controversy </w:t>
      </w:r>
      <w:r>
        <w:rPr>
          <w:spacing w:val="4"/>
        </w:rPr>
        <w:t>exists sufficient </w:t>
      </w:r>
      <w:r>
        <w:rPr/>
        <w:t>to </w:t>
      </w:r>
      <w:r>
        <w:rPr>
          <w:spacing w:val="3"/>
        </w:rPr>
        <w:t>warrant </w:t>
      </w:r>
      <w:r>
        <w:rPr/>
        <w:t>declaratory</w:t>
      </w:r>
      <w:r>
        <w:rPr>
          <w:spacing w:val="-36"/>
        </w:rPr>
        <w:t> </w:t>
      </w:r>
      <w:r>
        <w:rPr/>
        <w:t>relief</w:t>
      </w:r>
      <w:r>
        <w:rPr>
          <w:spacing w:val="-35"/>
        </w:rPr>
        <w:t> </w:t>
      </w:r>
      <w:r>
        <w:rPr/>
        <w:t>unless</w:t>
      </w:r>
      <w:r>
        <w:rPr>
          <w:spacing w:val="-31"/>
        </w:rPr>
        <w:t> </w:t>
      </w:r>
      <w:r>
        <w:rPr/>
        <w:t>the</w:t>
      </w:r>
      <w:r>
        <w:rPr>
          <w:spacing w:val="-34"/>
        </w:rPr>
        <w:t> </w:t>
      </w:r>
      <w:r>
        <w:rPr/>
        <w:t>issues</w:t>
      </w:r>
      <w:r>
        <w:rPr>
          <w:spacing w:val="-33"/>
        </w:rPr>
        <w:t> </w:t>
      </w:r>
      <w:r>
        <w:rPr/>
        <w:t>raised</w:t>
      </w:r>
      <w:r>
        <w:rPr>
          <w:spacing w:val="-37"/>
        </w:rPr>
        <w:t> </w:t>
      </w:r>
      <w:r>
        <w:rPr/>
        <w:t>prior</w:t>
      </w:r>
      <w:r>
        <w:rPr>
          <w:spacing w:val="-35"/>
        </w:rPr>
        <w:t> </w:t>
      </w:r>
      <w:r>
        <w:rPr/>
        <w:t>to the award suggest a denial of due process or breach of the</w:t>
      </w:r>
      <w:r>
        <w:rPr>
          <w:spacing w:val="-4"/>
        </w:rPr>
        <w:t> </w:t>
      </w:r>
      <w:r>
        <w:rPr/>
        <w:t>policy.</w:t>
      </w:r>
      <w:r>
        <w:rPr>
          <w:vertAlign w:val="superscript"/>
        </w:rPr>
        <w:t>888</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4"/>
        </w:rPr>
      </w:pPr>
      <w:r>
        <w:rPr/>
        <w:pict>
          <v:shape style="position:absolute;margin-left:162pt;margin-top:11.01729pt;width:143.9pt;height:.1pt;mso-position-horizontal-relative:page;mso-position-vertical-relative:paragraph;z-index:-251655168;mso-wrap-distance-left:0;mso-wrap-distance-right:0" coordorigin="3240,220" coordsize="2878,0" path="m3240,220l6118,220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4"/>
        </w:numPr>
        <w:tabs>
          <w:tab w:pos="1435" w:val="left" w:leader="none"/>
        </w:tabs>
        <w:spacing w:line="240" w:lineRule="auto" w:before="71" w:after="0"/>
        <w:ind w:left="1434" w:right="0" w:hanging="275"/>
        <w:jc w:val="both"/>
        <w:rPr>
          <w:sz w:val="18"/>
        </w:rPr>
      </w:pPr>
      <w:r>
        <w:rPr>
          <w:sz w:val="18"/>
        </w:rPr>
        <w:t>Cal. Ins. Code </w:t>
      </w:r>
      <w:r>
        <w:rPr>
          <w:rFonts w:ascii="Century Gothic" w:hAnsi="Century Gothic"/>
          <w:sz w:val="18"/>
        </w:rPr>
        <w:t>§ </w:t>
      </w:r>
      <w:r>
        <w:rPr>
          <w:sz w:val="18"/>
        </w:rPr>
        <w:t>10082.3, Loss Requirements, Appraisals and</w:t>
      </w:r>
      <w:r>
        <w:rPr>
          <w:spacing w:val="-8"/>
          <w:sz w:val="18"/>
        </w:rPr>
        <w:t> </w:t>
      </w:r>
      <w:r>
        <w:rPr>
          <w:sz w:val="18"/>
        </w:rPr>
        <w:t>Adjusters.</w:t>
      </w:r>
    </w:p>
    <w:p>
      <w:pPr>
        <w:pStyle w:val="ListParagraph"/>
        <w:numPr>
          <w:ilvl w:val="0"/>
          <w:numId w:val="4"/>
        </w:numPr>
        <w:tabs>
          <w:tab w:pos="1418" w:val="left" w:leader="none"/>
        </w:tabs>
        <w:spacing w:line="247" w:lineRule="auto" w:before="13" w:after="0"/>
        <w:ind w:left="1160" w:right="1159" w:firstLine="0"/>
        <w:jc w:val="both"/>
        <w:rPr>
          <w:sz w:val="18"/>
        </w:rPr>
      </w:pPr>
      <w:r>
        <w:rPr>
          <w:sz w:val="18"/>
          <w:u w:val="single"/>
        </w:rPr>
        <w:t>Federal</w:t>
      </w:r>
      <w:r>
        <w:rPr>
          <w:spacing w:val="-16"/>
          <w:sz w:val="18"/>
          <w:u w:val="single"/>
        </w:rPr>
        <w:t> </w:t>
      </w:r>
      <w:r>
        <w:rPr>
          <w:sz w:val="18"/>
          <w:u w:val="single"/>
        </w:rPr>
        <w:t>Ins.</w:t>
      </w:r>
      <w:r>
        <w:rPr>
          <w:spacing w:val="-15"/>
          <w:sz w:val="18"/>
          <w:u w:val="single"/>
        </w:rPr>
        <w:t> </w:t>
      </w:r>
      <w:r>
        <w:rPr>
          <w:sz w:val="18"/>
          <w:u w:val="single"/>
        </w:rPr>
        <w:t>Co.</w:t>
      </w:r>
      <w:r>
        <w:rPr>
          <w:spacing w:val="-15"/>
          <w:sz w:val="18"/>
          <w:u w:val="single"/>
        </w:rPr>
        <w:t> </w:t>
      </w:r>
      <w:r>
        <w:rPr>
          <w:sz w:val="18"/>
          <w:u w:val="single"/>
        </w:rPr>
        <w:t>v.</w:t>
      </w:r>
      <w:r>
        <w:rPr>
          <w:spacing w:val="-14"/>
          <w:sz w:val="18"/>
          <w:u w:val="single"/>
        </w:rPr>
        <w:t> </w:t>
      </w:r>
      <w:r>
        <w:rPr>
          <w:sz w:val="18"/>
          <w:u w:val="single"/>
        </w:rPr>
        <w:t>Newby</w:t>
      </w:r>
      <w:r>
        <w:rPr>
          <w:sz w:val="18"/>
        </w:rPr>
        <w:t>,</w:t>
      </w:r>
      <w:r>
        <w:rPr>
          <w:spacing w:val="-15"/>
          <w:sz w:val="18"/>
        </w:rPr>
        <w:t> </w:t>
      </w:r>
      <w:r>
        <w:rPr>
          <w:sz w:val="18"/>
        </w:rPr>
        <w:t>2013</w:t>
      </w:r>
      <w:r>
        <w:rPr>
          <w:spacing w:val="-14"/>
          <w:sz w:val="18"/>
        </w:rPr>
        <w:t> </w:t>
      </w:r>
      <w:r>
        <w:rPr>
          <w:sz w:val="18"/>
        </w:rPr>
        <w:t>WL</w:t>
      </w:r>
      <w:r>
        <w:rPr>
          <w:spacing w:val="-17"/>
          <w:sz w:val="18"/>
        </w:rPr>
        <w:t> </w:t>
      </w:r>
      <w:r>
        <w:rPr>
          <w:sz w:val="18"/>
        </w:rPr>
        <w:t>1285140</w:t>
      </w:r>
      <w:r>
        <w:rPr>
          <w:spacing w:val="-14"/>
          <w:sz w:val="18"/>
        </w:rPr>
        <w:t> </w:t>
      </w:r>
      <w:r>
        <w:rPr>
          <w:sz w:val="18"/>
        </w:rPr>
        <w:t>(N.D.</w:t>
      </w:r>
      <w:r>
        <w:rPr>
          <w:spacing w:val="-15"/>
          <w:sz w:val="18"/>
        </w:rPr>
        <w:t> </w:t>
      </w:r>
      <w:r>
        <w:rPr>
          <w:sz w:val="18"/>
        </w:rPr>
        <w:t>Cal.</w:t>
      </w:r>
      <w:r>
        <w:rPr>
          <w:spacing w:val="-15"/>
          <w:sz w:val="18"/>
        </w:rPr>
        <w:t> </w:t>
      </w:r>
      <w:r>
        <w:rPr>
          <w:sz w:val="18"/>
        </w:rPr>
        <w:t>2013)</w:t>
      </w:r>
      <w:r>
        <w:rPr>
          <w:spacing w:val="-14"/>
          <w:sz w:val="18"/>
        </w:rPr>
        <w:t> </w:t>
      </w:r>
      <w:r>
        <w:rPr>
          <w:sz w:val="18"/>
        </w:rPr>
        <w:t>(Disagreement</w:t>
      </w:r>
      <w:r>
        <w:rPr>
          <w:spacing w:val="-16"/>
          <w:sz w:val="18"/>
        </w:rPr>
        <w:t> </w:t>
      </w:r>
      <w:r>
        <w:rPr>
          <w:sz w:val="18"/>
        </w:rPr>
        <w:t>was</w:t>
      </w:r>
      <w:r>
        <w:rPr>
          <w:spacing w:val="-16"/>
          <w:sz w:val="18"/>
        </w:rPr>
        <w:t> </w:t>
      </w:r>
      <w:r>
        <w:rPr>
          <w:sz w:val="18"/>
        </w:rPr>
        <w:t>only whether the appraisers should consider the full cost to remodel while deducting unrelated work</w:t>
      </w:r>
      <w:r>
        <w:rPr>
          <w:spacing w:val="-13"/>
          <w:sz w:val="18"/>
        </w:rPr>
        <w:t> </w:t>
      </w:r>
      <w:r>
        <w:rPr>
          <w:sz w:val="18"/>
        </w:rPr>
        <w:t>or,</w:t>
      </w:r>
      <w:r>
        <w:rPr>
          <w:spacing w:val="-10"/>
          <w:sz w:val="18"/>
        </w:rPr>
        <w:t> </w:t>
      </w:r>
      <w:r>
        <w:rPr>
          <w:sz w:val="18"/>
        </w:rPr>
        <w:t>as</w:t>
      </w:r>
      <w:r>
        <w:rPr>
          <w:spacing w:val="-10"/>
          <w:sz w:val="18"/>
        </w:rPr>
        <w:t> </w:t>
      </w:r>
      <w:r>
        <w:rPr>
          <w:sz w:val="18"/>
        </w:rPr>
        <w:t>the</w:t>
      </w:r>
      <w:r>
        <w:rPr>
          <w:spacing w:val="-11"/>
          <w:sz w:val="18"/>
        </w:rPr>
        <w:t> </w:t>
      </w:r>
      <w:r>
        <w:rPr>
          <w:sz w:val="18"/>
        </w:rPr>
        <w:t>insured’s</w:t>
      </w:r>
      <w:r>
        <w:rPr>
          <w:spacing w:val="-10"/>
          <w:sz w:val="18"/>
        </w:rPr>
        <w:t> </w:t>
      </w:r>
      <w:r>
        <w:rPr>
          <w:sz w:val="18"/>
        </w:rPr>
        <w:t>appraiser</w:t>
      </w:r>
      <w:r>
        <w:rPr>
          <w:spacing w:val="-12"/>
          <w:sz w:val="18"/>
        </w:rPr>
        <w:t> </w:t>
      </w:r>
      <w:r>
        <w:rPr>
          <w:sz w:val="18"/>
        </w:rPr>
        <w:t>urged,</w:t>
      </w:r>
      <w:r>
        <w:rPr>
          <w:spacing w:val="-9"/>
          <w:sz w:val="18"/>
        </w:rPr>
        <w:t> </w:t>
      </w:r>
      <w:r>
        <w:rPr>
          <w:sz w:val="18"/>
        </w:rPr>
        <w:t>a</w:t>
      </w:r>
      <w:r>
        <w:rPr>
          <w:spacing w:val="-11"/>
          <w:sz w:val="18"/>
        </w:rPr>
        <w:t> </w:t>
      </w:r>
      <w:r>
        <w:rPr>
          <w:sz w:val="18"/>
        </w:rPr>
        <w:t>comparison</w:t>
      </w:r>
      <w:r>
        <w:rPr>
          <w:spacing w:val="-9"/>
          <w:sz w:val="18"/>
        </w:rPr>
        <w:t> </w:t>
      </w:r>
      <w:r>
        <w:rPr>
          <w:sz w:val="18"/>
        </w:rPr>
        <w:t>of</w:t>
      </w:r>
      <w:r>
        <w:rPr>
          <w:spacing w:val="-12"/>
          <w:sz w:val="18"/>
        </w:rPr>
        <w:t> </w:t>
      </w:r>
      <w:r>
        <w:rPr>
          <w:sz w:val="18"/>
        </w:rPr>
        <w:t>unit</w:t>
      </w:r>
      <w:r>
        <w:rPr>
          <w:spacing w:val="-10"/>
          <w:sz w:val="18"/>
        </w:rPr>
        <w:t> </w:t>
      </w:r>
      <w:r>
        <w:rPr>
          <w:sz w:val="18"/>
        </w:rPr>
        <w:t>costs</w:t>
      </w:r>
      <w:r>
        <w:rPr>
          <w:spacing w:val="-10"/>
          <w:sz w:val="18"/>
        </w:rPr>
        <w:t> </w:t>
      </w:r>
      <w:r>
        <w:rPr>
          <w:sz w:val="18"/>
        </w:rPr>
        <w:t>by</w:t>
      </w:r>
      <w:r>
        <w:rPr>
          <w:spacing w:val="-14"/>
          <w:sz w:val="18"/>
        </w:rPr>
        <w:t> </w:t>
      </w:r>
      <w:r>
        <w:rPr>
          <w:sz w:val="18"/>
        </w:rPr>
        <w:t>type</w:t>
      </w:r>
      <w:r>
        <w:rPr>
          <w:spacing w:val="-10"/>
          <w:sz w:val="18"/>
        </w:rPr>
        <w:t> </w:t>
      </w:r>
      <w:r>
        <w:rPr>
          <w:sz w:val="18"/>
        </w:rPr>
        <w:t>of</w:t>
      </w:r>
      <w:r>
        <w:rPr>
          <w:spacing w:val="-14"/>
          <w:sz w:val="18"/>
        </w:rPr>
        <w:t> </w:t>
      </w:r>
      <w:r>
        <w:rPr>
          <w:sz w:val="18"/>
        </w:rPr>
        <w:t>material</w:t>
      </w:r>
      <w:r>
        <w:rPr>
          <w:spacing w:val="-11"/>
          <w:sz w:val="18"/>
        </w:rPr>
        <w:t> </w:t>
      </w:r>
      <w:r>
        <w:rPr>
          <w:sz w:val="18"/>
        </w:rPr>
        <w:t>and labor.</w:t>
      </w:r>
      <w:r>
        <w:rPr>
          <w:spacing w:val="27"/>
          <w:sz w:val="18"/>
        </w:rPr>
        <w:t> </w:t>
      </w:r>
      <w:r>
        <w:rPr>
          <w:sz w:val="18"/>
        </w:rPr>
        <w:t>The</w:t>
      </w:r>
      <w:r>
        <w:rPr>
          <w:spacing w:val="-10"/>
          <w:sz w:val="18"/>
        </w:rPr>
        <w:t> </w:t>
      </w:r>
      <w:r>
        <w:rPr>
          <w:sz w:val="18"/>
        </w:rPr>
        <w:t>court</w:t>
      </w:r>
      <w:r>
        <w:rPr>
          <w:spacing w:val="-9"/>
          <w:sz w:val="18"/>
        </w:rPr>
        <w:t> </w:t>
      </w:r>
      <w:r>
        <w:rPr>
          <w:sz w:val="18"/>
        </w:rPr>
        <w:t>stated:</w:t>
      </w:r>
      <w:r>
        <w:rPr>
          <w:spacing w:val="-9"/>
          <w:sz w:val="18"/>
        </w:rPr>
        <w:t> </w:t>
      </w:r>
      <w:r>
        <w:rPr>
          <w:sz w:val="18"/>
        </w:rPr>
        <w:t>“Nothing</w:t>
      </w:r>
      <w:r>
        <w:rPr>
          <w:spacing w:val="-11"/>
          <w:sz w:val="18"/>
        </w:rPr>
        <w:t> </w:t>
      </w:r>
      <w:r>
        <w:rPr>
          <w:sz w:val="18"/>
        </w:rPr>
        <w:t>in</w:t>
      </w:r>
      <w:r>
        <w:rPr>
          <w:spacing w:val="-8"/>
          <w:sz w:val="18"/>
        </w:rPr>
        <w:t> </w:t>
      </w:r>
      <w:r>
        <w:rPr>
          <w:sz w:val="18"/>
        </w:rPr>
        <w:t>the</w:t>
      </w:r>
      <w:r>
        <w:rPr>
          <w:spacing w:val="-8"/>
          <w:sz w:val="18"/>
        </w:rPr>
        <w:t> </w:t>
      </w:r>
      <w:r>
        <w:rPr>
          <w:sz w:val="18"/>
        </w:rPr>
        <w:t>record</w:t>
      </w:r>
      <w:r>
        <w:rPr>
          <w:spacing w:val="-8"/>
          <w:sz w:val="18"/>
        </w:rPr>
        <w:t> </w:t>
      </w:r>
      <w:r>
        <w:rPr>
          <w:sz w:val="18"/>
        </w:rPr>
        <w:t>suggest</w:t>
      </w:r>
      <w:r>
        <w:rPr>
          <w:spacing w:val="-10"/>
          <w:sz w:val="18"/>
        </w:rPr>
        <w:t> </w:t>
      </w:r>
      <w:r>
        <w:rPr>
          <w:sz w:val="18"/>
        </w:rPr>
        <w:t>the</w:t>
      </w:r>
      <w:r>
        <w:rPr>
          <w:spacing w:val="-10"/>
          <w:sz w:val="18"/>
        </w:rPr>
        <w:t> </w:t>
      </w:r>
      <w:r>
        <w:rPr>
          <w:sz w:val="18"/>
        </w:rPr>
        <w:t>appraisal</w:t>
      </w:r>
      <w:r>
        <w:rPr>
          <w:spacing w:val="-11"/>
          <w:sz w:val="18"/>
        </w:rPr>
        <w:t> </w:t>
      </w:r>
      <w:r>
        <w:rPr>
          <w:sz w:val="18"/>
        </w:rPr>
        <w:t>panel</w:t>
      </w:r>
      <w:r>
        <w:rPr>
          <w:spacing w:val="-10"/>
          <w:sz w:val="18"/>
        </w:rPr>
        <w:t> </w:t>
      </w:r>
      <w:r>
        <w:rPr>
          <w:sz w:val="18"/>
        </w:rPr>
        <w:t>would</w:t>
      </w:r>
      <w:r>
        <w:rPr>
          <w:spacing w:val="-8"/>
          <w:sz w:val="18"/>
        </w:rPr>
        <w:t> </w:t>
      </w:r>
      <w:r>
        <w:rPr>
          <w:sz w:val="18"/>
        </w:rPr>
        <w:t>be</w:t>
      </w:r>
      <w:r>
        <w:rPr>
          <w:spacing w:val="-10"/>
          <w:sz w:val="18"/>
        </w:rPr>
        <w:t> </w:t>
      </w:r>
      <w:r>
        <w:rPr>
          <w:sz w:val="18"/>
        </w:rPr>
        <w:t>unable or unwilling to resolve the issues presented...if [the insured] were to present them to the panel.</w:t>
      </w:r>
    </w:p>
    <w:p>
      <w:pPr>
        <w:spacing w:after="0" w:line="247" w:lineRule="auto"/>
        <w:jc w:val="both"/>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ListParagraph"/>
        <w:numPr>
          <w:ilvl w:val="0"/>
          <w:numId w:val="2"/>
        </w:numPr>
        <w:tabs>
          <w:tab w:pos="2239" w:val="left" w:leader="none"/>
          <w:tab w:pos="2240" w:val="left" w:leader="none"/>
        </w:tabs>
        <w:spacing w:line="240" w:lineRule="auto" w:before="42" w:after="0"/>
        <w:ind w:left="2240" w:right="0" w:hanging="720"/>
        <w:jc w:val="left"/>
        <w:rPr>
          <w:rFonts w:ascii="Century Gothic"/>
          <w:sz w:val="26"/>
        </w:rPr>
      </w:pPr>
      <w:bookmarkStart w:name="Law and Procedure 430" w:id="6"/>
      <w:bookmarkEnd w:id="6"/>
      <w:r>
        <w:rPr/>
      </w:r>
      <w:bookmarkStart w:name="Law and Procedure 430" w:id="7"/>
      <w:bookmarkEnd w:id="7"/>
      <w:r>
        <w:rPr>
          <w:rFonts w:ascii="Century Gothic"/>
          <w:sz w:val="26"/>
        </w:rPr>
        <w:t>CONS</w:t>
      </w:r>
      <w:r>
        <w:rPr>
          <w:rFonts w:ascii="Century Gothic"/>
          <w:sz w:val="26"/>
        </w:rPr>
        <w:t>ULTATION</w:t>
      </w:r>
      <w:r>
        <w:rPr>
          <w:rFonts w:ascii="Century Gothic"/>
          <w:spacing w:val="-2"/>
          <w:sz w:val="26"/>
        </w:rPr>
        <w:t> </w:t>
      </w:r>
      <w:r>
        <w:rPr>
          <w:rFonts w:ascii="Century Gothic"/>
          <w:sz w:val="26"/>
        </w:rPr>
        <w:t>NECESSARY</w:t>
      </w:r>
    </w:p>
    <w:p>
      <w:pPr>
        <w:pStyle w:val="BodyText"/>
        <w:spacing w:before="5"/>
      </w:pPr>
    </w:p>
    <w:p>
      <w:pPr>
        <w:pStyle w:val="BodyText"/>
        <w:spacing w:line="242" w:lineRule="auto"/>
        <w:ind w:left="1520" w:right="1517" w:firstLine="720"/>
        <w:jc w:val="both"/>
      </w:pPr>
      <w:r>
        <w:rPr/>
        <w:t>Consultation between the appraisers is necessary</w:t>
      </w:r>
      <w:r>
        <w:rPr>
          <w:spacing w:val="-32"/>
        </w:rPr>
        <w:t> </w:t>
      </w:r>
      <w:r>
        <w:rPr/>
        <w:t>for</w:t>
      </w:r>
      <w:r>
        <w:rPr>
          <w:spacing w:val="-29"/>
        </w:rPr>
        <w:t> </w:t>
      </w:r>
      <w:r>
        <w:rPr/>
        <w:t>an</w:t>
      </w:r>
      <w:r>
        <w:rPr>
          <w:spacing w:val="-29"/>
        </w:rPr>
        <w:t> </w:t>
      </w:r>
      <w:r>
        <w:rPr/>
        <w:t>award</w:t>
      </w:r>
      <w:r>
        <w:rPr>
          <w:spacing w:val="-30"/>
        </w:rPr>
        <w:t> </w:t>
      </w:r>
      <w:r>
        <w:rPr/>
        <w:t>to</w:t>
      </w:r>
      <w:r>
        <w:rPr>
          <w:spacing w:val="-29"/>
        </w:rPr>
        <w:t> </w:t>
      </w:r>
      <w:r>
        <w:rPr/>
        <w:t>be</w:t>
      </w:r>
      <w:r>
        <w:rPr>
          <w:spacing w:val="-30"/>
        </w:rPr>
        <w:t> </w:t>
      </w:r>
      <w:r>
        <w:rPr/>
        <w:t>considered</w:t>
      </w:r>
      <w:r>
        <w:rPr>
          <w:spacing w:val="-30"/>
        </w:rPr>
        <w:t> </w:t>
      </w:r>
      <w:r>
        <w:rPr/>
        <w:t>valid. However, the appraisers are not required to observe or inspect the property at the same time.</w:t>
      </w:r>
      <w:r>
        <w:rPr>
          <w:vertAlign w:val="superscript"/>
        </w:rPr>
        <w:t>889</w:t>
      </w:r>
    </w:p>
    <w:p>
      <w:pPr>
        <w:pStyle w:val="BodyText"/>
        <w:spacing w:before="1"/>
      </w:pPr>
    </w:p>
    <w:p>
      <w:pPr>
        <w:pStyle w:val="BodyText"/>
        <w:spacing w:line="242" w:lineRule="auto"/>
        <w:ind w:left="1520" w:right="1517" w:firstLine="720"/>
        <w:jc w:val="both"/>
      </w:pPr>
      <w:r>
        <w:rPr/>
        <w:t>The umpire and one appraiser may </w:t>
      </w:r>
      <w:r>
        <w:rPr>
          <w:spacing w:val="-4"/>
        </w:rPr>
        <w:t>not </w:t>
      </w:r>
      <w:r>
        <w:rPr/>
        <w:t>ignore the second appraiser and make an award between them. This rule applies even</w:t>
      </w:r>
      <w:r>
        <w:rPr>
          <w:spacing w:val="-21"/>
        </w:rPr>
        <w:t> </w:t>
      </w:r>
      <w:r>
        <w:rPr/>
        <w:t>if all three parties met on several occasions</w:t>
      </w:r>
      <w:r>
        <w:rPr>
          <w:spacing w:val="-45"/>
        </w:rPr>
        <w:t> </w:t>
      </w:r>
      <w:r>
        <w:rPr/>
        <w:t>and failed to agree.</w:t>
      </w:r>
      <w:r>
        <w:rPr>
          <w:vertAlign w:val="superscript"/>
        </w:rPr>
        <w:t>890</w:t>
      </w:r>
      <w:r>
        <w:rPr>
          <w:vertAlign w:val="baseline"/>
        </w:rPr>
        <w:t> </w:t>
      </w:r>
      <w:r>
        <w:rPr>
          <w:spacing w:val="3"/>
          <w:vertAlign w:val="baseline"/>
        </w:rPr>
        <w:t>It </w:t>
      </w:r>
      <w:r>
        <w:rPr>
          <w:vertAlign w:val="baseline"/>
        </w:rPr>
        <w:t>is the duty of </w:t>
      </w:r>
      <w:r>
        <w:rPr>
          <w:spacing w:val="-13"/>
          <w:vertAlign w:val="baseline"/>
        </w:rPr>
        <w:t>the</w:t>
      </w:r>
      <w:r>
        <w:rPr>
          <w:spacing w:val="45"/>
          <w:vertAlign w:val="baseline"/>
        </w:rPr>
        <w:t> </w:t>
      </w:r>
      <w:r>
        <w:rPr>
          <w:vertAlign w:val="baseline"/>
        </w:rPr>
        <w:t>appraisers, if they cannot agree, to call in the umpire.</w:t>
      </w:r>
      <w:r>
        <w:rPr>
          <w:spacing w:val="40"/>
          <w:vertAlign w:val="baseline"/>
        </w:rPr>
        <w:t> </w:t>
      </w:r>
      <w:r>
        <w:rPr>
          <w:spacing w:val="2"/>
          <w:vertAlign w:val="baseline"/>
        </w:rPr>
        <w:t>It</w:t>
      </w:r>
      <w:r>
        <w:rPr>
          <w:spacing w:val="-16"/>
          <w:vertAlign w:val="baseline"/>
        </w:rPr>
        <w:t> </w:t>
      </w:r>
      <w:r>
        <w:rPr>
          <w:vertAlign w:val="baseline"/>
        </w:rPr>
        <w:t>is</w:t>
      </w:r>
      <w:r>
        <w:rPr>
          <w:spacing w:val="-13"/>
          <w:vertAlign w:val="baseline"/>
        </w:rPr>
        <w:t> </w:t>
      </w:r>
      <w:r>
        <w:rPr>
          <w:vertAlign w:val="baseline"/>
        </w:rPr>
        <w:t>improper</w:t>
      </w:r>
      <w:r>
        <w:rPr>
          <w:spacing w:val="-14"/>
          <w:vertAlign w:val="baseline"/>
        </w:rPr>
        <w:t> </w:t>
      </w:r>
      <w:r>
        <w:rPr>
          <w:vertAlign w:val="baseline"/>
        </w:rPr>
        <w:t>for</w:t>
      </w:r>
      <w:r>
        <w:rPr>
          <w:spacing w:val="-14"/>
          <w:vertAlign w:val="baseline"/>
        </w:rPr>
        <w:t> </w:t>
      </w:r>
      <w:r>
        <w:rPr>
          <w:vertAlign w:val="baseline"/>
        </w:rPr>
        <w:t>one</w:t>
      </w:r>
      <w:r>
        <w:rPr>
          <w:spacing w:val="-14"/>
          <w:vertAlign w:val="baseline"/>
        </w:rPr>
        <w:t> </w:t>
      </w:r>
      <w:r>
        <w:rPr>
          <w:vertAlign w:val="baseline"/>
        </w:rPr>
        <w:t>or</w:t>
      </w:r>
      <w:r>
        <w:rPr>
          <w:spacing w:val="-14"/>
          <w:vertAlign w:val="baseline"/>
        </w:rPr>
        <w:t> </w:t>
      </w:r>
      <w:r>
        <w:rPr>
          <w:spacing w:val="-3"/>
          <w:vertAlign w:val="baseline"/>
        </w:rPr>
        <w:t>two</w:t>
      </w:r>
      <w:r>
        <w:rPr>
          <w:spacing w:val="-13"/>
          <w:vertAlign w:val="baseline"/>
        </w:rPr>
        <w:t> </w:t>
      </w:r>
      <w:r>
        <w:rPr>
          <w:vertAlign w:val="baseline"/>
        </w:rPr>
        <w:t>of</w:t>
      </w:r>
      <w:r>
        <w:rPr>
          <w:spacing w:val="-13"/>
          <w:vertAlign w:val="baseline"/>
        </w:rPr>
        <w:t> </w:t>
      </w:r>
      <w:r>
        <w:rPr>
          <w:vertAlign w:val="baseline"/>
        </w:rPr>
        <w:t>them</w:t>
      </w:r>
      <w:r>
        <w:rPr>
          <w:spacing w:val="-17"/>
          <w:vertAlign w:val="baseline"/>
        </w:rPr>
        <w:t> </w:t>
      </w:r>
      <w:r>
        <w:rPr>
          <w:vertAlign w:val="baseline"/>
        </w:rPr>
        <w:t>to consider evidence not submitted to the others.</w:t>
      </w:r>
      <w:r>
        <w:rPr>
          <w:vertAlign w:val="superscript"/>
        </w:rPr>
        <w:t>891</w:t>
      </w:r>
      <w:r>
        <w:rPr>
          <w:vertAlign w:val="baseline"/>
        </w:rPr>
        <w:t> </w:t>
      </w:r>
      <w:r>
        <w:rPr>
          <w:spacing w:val="-3"/>
          <w:vertAlign w:val="baseline"/>
        </w:rPr>
        <w:t>The </w:t>
      </w:r>
      <w:r>
        <w:rPr>
          <w:vertAlign w:val="baseline"/>
        </w:rPr>
        <w:t>courts have held that </w:t>
      </w:r>
      <w:r>
        <w:rPr>
          <w:spacing w:val="-14"/>
          <w:vertAlign w:val="baseline"/>
        </w:rPr>
        <w:t>two  </w:t>
      </w:r>
      <w:r>
        <w:rPr>
          <w:vertAlign w:val="baseline"/>
        </w:rPr>
        <w:t>participants</w:t>
      </w:r>
      <w:r>
        <w:rPr>
          <w:spacing w:val="-16"/>
          <w:vertAlign w:val="baseline"/>
        </w:rPr>
        <w:t> </w:t>
      </w:r>
      <w:r>
        <w:rPr>
          <w:vertAlign w:val="baseline"/>
        </w:rPr>
        <w:t>acting</w:t>
      </w:r>
      <w:r>
        <w:rPr>
          <w:spacing w:val="-14"/>
          <w:vertAlign w:val="baseline"/>
        </w:rPr>
        <w:t> </w:t>
      </w:r>
      <w:r>
        <w:rPr>
          <w:vertAlign w:val="baseline"/>
        </w:rPr>
        <w:t>together</w:t>
      </w:r>
      <w:r>
        <w:rPr>
          <w:spacing w:val="-17"/>
          <w:vertAlign w:val="baseline"/>
        </w:rPr>
        <w:t> </w:t>
      </w:r>
      <w:r>
        <w:rPr>
          <w:vertAlign w:val="baseline"/>
        </w:rPr>
        <w:t>without</w:t>
      </w:r>
      <w:r>
        <w:rPr>
          <w:spacing w:val="-12"/>
          <w:vertAlign w:val="baseline"/>
        </w:rPr>
        <w:t> </w:t>
      </w:r>
      <w:r>
        <w:rPr>
          <w:vertAlign w:val="baseline"/>
        </w:rPr>
        <w:t>regard</w:t>
      </w:r>
      <w:r>
        <w:rPr>
          <w:spacing w:val="-13"/>
          <w:vertAlign w:val="baseline"/>
        </w:rPr>
        <w:t> </w:t>
      </w:r>
      <w:r>
        <w:rPr>
          <w:vertAlign w:val="baseline"/>
        </w:rPr>
        <w:t>to the third, privately collecting information and examining witnesses, renders an award invalid.</w:t>
      </w:r>
      <w:r>
        <w:rPr>
          <w:vertAlign w:val="superscript"/>
        </w:rPr>
        <w:t>892</w:t>
      </w:r>
    </w:p>
    <w:p>
      <w:pPr>
        <w:pStyle w:val="BodyText"/>
        <w:spacing w:before="10"/>
        <w:rPr>
          <w:sz w:val="25"/>
        </w:rPr>
      </w:pPr>
    </w:p>
    <w:p>
      <w:pPr>
        <w:pStyle w:val="BodyText"/>
        <w:spacing w:line="242" w:lineRule="auto"/>
        <w:ind w:left="1520" w:right="1520" w:firstLine="720"/>
        <w:jc w:val="both"/>
      </w:pPr>
      <w:r>
        <w:rPr/>
        <w:t>Each</w:t>
      </w:r>
      <w:r>
        <w:rPr>
          <w:spacing w:val="-14"/>
        </w:rPr>
        <w:t> </w:t>
      </w:r>
      <w:r>
        <w:rPr/>
        <w:t>party</w:t>
      </w:r>
      <w:r>
        <w:rPr>
          <w:spacing w:val="-17"/>
        </w:rPr>
        <w:t> </w:t>
      </w:r>
      <w:r>
        <w:rPr/>
        <w:t>must</w:t>
      </w:r>
      <w:r>
        <w:rPr>
          <w:spacing w:val="-15"/>
        </w:rPr>
        <w:t> </w:t>
      </w:r>
      <w:r>
        <w:rPr/>
        <w:t>be</w:t>
      </w:r>
      <w:r>
        <w:rPr>
          <w:spacing w:val="-16"/>
        </w:rPr>
        <w:t> </w:t>
      </w:r>
      <w:r>
        <w:rPr/>
        <w:t>permitted</w:t>
      </w:r>
      <w:r>
        <w:rPr>
          <w:spacing w:val="-15"/>
        </w:rPr>
        <w:t> </w:t>
      </w:r>
      <w:r>
        <w:rPr/>
        <w:t>to</w:t>
      </w:r>
      <w:r>
        <w:rPr>
          <w:spacing w:val="-12"/>
        </w:rPr>
        <w:t> </w:t>
      </w:r>
      <w:r>
        <w:rPr/>
        <w:t>present its views to the appraisal team.</w:t>
      </w:r>
      <w:r>
        <w:rPr>
          <w:vertAlign w:val="superscript"/>
        </w:rPr>
        <w:t>893</w:t>
      </w:r>
      <w:r>
        <w:rPr>
          <w:vertAlign w:val="baseline"/>
        </w:rPr>
        <w:t> </w:t>
      </w:r>
      <w:r>
        <w:rPr>
          <w:spacing w:val="-3"/>
          <w:vertAlign w:val="baseline"/>
        </w:rPr>
        <w:t>Where </w:t>
      </w:r>
      <w:r>
        <w:rPr>
          <w:spacing w:val="-10"/>
          <w:vertAlign w:val="baseline"/>
        </w:rPr>
        <w:t>each </w:t>
      </w:r>
      <w:r>
        <w:rPr>
          <w:vertAlign w:val="baseline"/>
        </w:rPr>
        <w:t>party had the same opportunity to see the damaged</w:t>
      </w:r>
      <w:r>
        <w:rPr>
          <w:spacing w:val="-36"/>
          <w:vertAlign w:val="baseline"/>
        </w:rPr>
        <w:t> </w:t>
      </w:r>
      <w:r>
        <w:rPr>
          <w:vertAlign w:val="baseline"/>
        </w:rPr>
        <w:t>property</w:t>
      </w:r>
      <w:r>
        <w:rPr>
          <w:spacing w:val="-37"/>
          <w:vertAlign w:val="baseline"/>
        </w:rPr>
        <w:t> </w:t>
      </w:r>
      <w:r>
        <w:rPr>
          <w:vertAlign w:val="baseline"/>
        </w:rPr>
        <w:t>and</w:t>
      </w:r>
      <w:r>
        <w:rPr>
          <w:spacing w:val="-34"/>
          <w:vertAlign w:val="baseline"/>
        </w:rPr>
        <w:t> </w:t>
      </w:r>
      <w:r>
        <w:rPr>
          <w:vertAlign w:val="baseline"/>
        </w:rPr>
        <w:t>the</w:t>
      </w:r>
      <w:r>
        <w:rPr>
          <w:spacing w:val="-36"/>
          <w:vertAlign w:val="baseline"/>
        </w:rPr>
        <w:t> </w:t>
      </w:r>
      <w:r>
        <w:rPr>
          <w:spacing w:val="-2"/>
          <w:vertAlign w:val="baseline"/>
        </w:rPr>
        <w:t>umpire</w:t>
      </w:r>
      <w:r>
        <w:rPr>
          <w:spacing w:val="-38"/>
          <w:vertAlign w:val="baseline"/>
        </w:rPr>
        <w:t> </w:t>
      </w:r>
      <w:r>
        <w:rPr>
          <w:spacing w:val="-3"/>
          <w:vertAlign w:val="baseline"/>
        </w:rPr>
        <w:t>considered </w:t>
      </w:r>
      <w:r>
        <w:rPr>
          <w:vertAlign w:val="baseline"/>
        </w:rPr>
        <w:t>each</w:t>
      </w:r>
      <w:r>
        <w:rPr>
          <w:spacing w:val="-26"/>
          <w:vertAlign w:val="baseline"/>
        </w:rPr>
        <w:t> </w:t>
      </w:r>
      <w:r>
        <w:rPr>
          <w:vertAlign w:val="baseline"/>
        </w:rPr>
        <w:t>side’s</w:t>
      </w:r>
      <w:r>
        <w:rPr>
          <w:spacing w:val="-26"/>
          <w:vertAlign w:val="baseline"/>
        </w:rPr>
        <w:t> </w:t>
      </w:r>
      <w:r>
        <w:rPr>
          <w:vertAlign w:val="baseline"/>
        </w:rPr>
        <w:t>submission,</w:t>
      </w:r>
      <w:r>
        <w:rPr>
          <w:spacing w:val="-31"/>
          <w:vertAlign w:val="baseline"/>
        </w:rPr>
        <w:t> </w:t>
      </w:r>
      <w:r>
        <w:rPr>
          <w:vertAlign w:val="baseline"/>
        </w:rPr>
        <w:t>a</w:t>
      </w:r>
      <w:r>
        <w:rPr>
          <w:spacing w:val="-28"/>
          <w:vertAlign w:val="baseline"/>
        </w:rPr>
        <w:t> </w:t>
      </w:r>
      <w:r>
        <w:rPr>
          <w:vertAlign w:val="baseline"/>
        </w:rPr>
        <w:t>claim</w:t>
      </w:r>
      <w:r>
        <w:rPr>
          <w:spacing w:val="-30"/>
          <w:vertAlign w:val="baseline"/>
        </w:rPr>
        <w:t> </w:t>
      </w:r>
      <w:r>
        <w:rPr>
          <w:vertAlign w:val="baseline"/>
        </w:rPr>
        <w:t>of</w:t>
      </w:r>
      <w:r>
        <w:rPr>
          <w:spacing w:val="-26"/>
          <w:vertAlign w:val="baseline"/>
        </w:rPr>
        <w:t> </w:t>
      </w:r>
      <w:r>
        <w:rPr>
          <w:vertAlign w:val="baseline"/>
        </w:rPr>
        <w:t>misfeasance</w:t>
      </w:r>
    </w:p>
    <w:p>
      <w:pPr>
        <w:pStyle w:val="BodyText"/>
        <w:spacing w:before="7"/>
        <w:rPr>
          <w:sz w:val="19"/>
        </w:rPr>
      </w:pPr>
      <w:r>
        <w:rPr/>
        <w:pict>
          <v:shape style="position:absolute;margin-left:162pt;margin-top:14.404175pt;width:143.9pt;height:.1pt;mso-position-horizontal-relative:page;mso-position-vertical-relative:paragraph;z-index:-251654144;mso-wrap-distance-left:0;mso-wrap-distance-right:0" coordorigin="3240,288" coordsize="2878,0" path="m3240,288l6118,288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4"/>
        </w:numPr>
        <w:tabs>
          <w:tab w:pos="1428" w:val="left" w:leader="none"/>
        </w:tabs>
        <w:spacing w:line="240" w:lineRule="auto" w:before="77" w:after="0"/>
        <w:ind w:left="1160" w:right="1483" w:firstLine="0"/>
        <w:jc w:val="left"/>
        <w:rPr>
          <w:sz w:val="24"/>
        </w:rPr>
      </w:pPr>
      <w:r>
        <w:rPr>
          <w:sz w:val="18"/>
          <w:u w:val="single"/>
        </w:rPr>
        <w:t>Kent &amp; Purdy Paint Co. v. Aetna Ins. Co.</w:t>
      </w:r>
      <w:r>
        <w:rPr>
          <w:sz w:val="18"/>
        </w:rPr>
        <w:t>, 165 Mo. App. 30, 146 S.W.78 (1912)</w:t>
      </w:r>
      <w:r>
        <w:rPr>
          <w:sz w:val="24"/>
        </w:rPr>
        <w:t>.</w:t>
      </w:r>
      <w:r>
        <w:rPr>
          <w:position w:val="10"/>
          <w:sz w:val="24"/>
        </w:rPr>
        <w:t> </w:t>
      </w:r>
      <w:r>
        <w:rPr>
          <w:position w:val="10"/>
          <w:sz w:val="14"/>
        </w:rPr>
        <w:t>890</w:t>
      </w:r>
      <w:r>
        <w:rPr>
          <w:sz w:val="14"/>
        </w:rPr>
        <w:t> </w:t>
      </w:r>
      <w:r>
        <w:rPr>
          <w:sz w:val="18"/>
          <w:u w:val="single"/>
        </w:rPr>
        <w:t>Providence Washington Ins. Co. v. Gulinson</w:t>
      </w:r>
      <w:r>
        <w:rPr>
          <w:sz w:val="18"/>
        </w:rPr>
        <w:t>, 73 Colo. 282, 215 P.154 (1923)</w:t>
      </w:r>
      <w:r>
        <w:rPr>
          <w:sz w:val="24"/>
        </w:rPr>
        <w:t>.</w:t>
      </w:r>
      <w:r>
        <w:rPr>
          <w:position w:val="10"/>
          <w:sz w:val="24"/>
        </w:rPr>
        <w:t> </w:t>
      </w:r>
      <w:r>
        <w:rPr>
          <w:position w:val="10"/>
          <w:sz w:val="14"/>
        </w:rPr>
        <w:t>891</w:t>
      </w:r>
      <w:r>
        <w:rPr>
          <w:sz w:val="14"/>
        </w:rPr>
        <w:t> </w:t>
      </w:r>
      <w:r>
        <w:rPr>
          <w:sz w:val="18"/>
          <w:u w:val="single"/>
        </w:rPr>
        <w:t>J.E. Davis Mfg. Co. v. Fireman’s Fund Ins. Co.</w:t>
      </w:r>
      <w:r>
        <w:rPr>
          <w:sz w:val="18"/>
        </w:rPr>
        <w:t>, 210 F. 653 (N.D.N.Y.</w:t>
      </w:r>
      <w:r>
        <w:rPr>
          <w:spacing w:val="17"/>
          <w:sz w:val="18"/>
        </w:rPr>
        <w:t> </w:t>
      </w:r>
      <w:r>
        <w:rPr>
          <w:sz w:val="18"/>
        </w:rPr>
        <w:t>1914)</w:t>
      </w:r>
      <w:r>
        <w:rPr>
          <w:sz w:val="24"/>
        </w:rPr>
        <w:t>.</w:t>
      </w:r>
    </w:p>
    <w:p>
      <w:pPr>
        <w:spacing w:line="215" w:lineRule="exact" w:before="0"/>
        <w:ind w:left="1160" w:right="0" w:firstLine="0"/>
        <w:jc w:val="left"/>
        <w:rPr>
          <w:rFonts w:ascii="Times New Roman"/>
          <w:sz w:val="18"/>
        </w:rPr>
      </w:pPr>
      <w:r>
        <w:rPr>
          <w:rFonts w:ascii="Times New Roman"/>
          <w:position w:val="10"/>
          <w:sz w:val="14"/>
        </w:rPr>
        <w:t>892</w:t>
      </w:r>
      <w:r>
        <w:rPr>
          <w:rFonts w:ascii="Times New Roman"/>
          <w:sz w:val="14"/>
        </w:rPr>
        <w:t> </w:t>
      </w:r>
      <w:r>
        <w:rPr>
          <w:rFonts w:ascii="Times New Roman"/>
          <w:sz w:val="18"/>
          <w:u w:val="single"/>
        </w:rPr>
        <w:t>Christianson v. Norwich Union Fire Ins. Society</w:t>
      </w:r>
      <w:r>
        <w:rPr>
          <w:rFonts w:ascii="Times New Roman"/>
          <w:sz w:val="18"/>
        </w:rPr>
        <w:t>, 84 Minn. 526, 88 N.W. 16 (1901).</w:t>
      </w:r>
    </w:p>
    <w:p>
      <w:pPr>
        <w:spacing w:line="269" w:lineRule="exact" w:before="0"/>
        <w:ind w:left="1160" w:right="0" w:firstLine="0"/>
        <w:jc w:val="left"/>
        <w:rPr>
          <w:rFonts w:ascii="Times New Roman"/>
          <w:sz w:val="18"/>
        </w:rPr>
      </w:pPr>
      <w:r>
        <w:rPr>
          <w:rFonts w:ascii="Times New Roman"/>
          <w:position w:val="10"/>
          <w:sz w:val="14"/>
        </w:rPr>
        <w:t>893 </w:t>
      </w:r>
      <w:r>
        <w:rPr>
          <w:rFonts w:ascii="Times New Roman"/>
          <w:sz w:val="18"/>
          <w:u w:val="single"/>
        </w:rPr>
        <w:t>In re Delmar Box Co.</w:t>
      </w:r>
      <w:r>
        <w:rPr>
          <w:rFonts w:ascii="Times New Roman"/>
          <w:sz w:val="18"/>
        </w:rPr>
        <w:t>, 309 N.Y 60, 127 N.E.2d 808 (1955).</w:t>
      </w:r>
    </w:p>
    <w:p>
      <w:pPr>
        <w:spacing w:after="0" w:line="269" w:lineRule="exact"/>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20"/>
        <w:jc w:val="both"/>
      </w:pPr>
      <w:bookmarkStart w:name="Law and Procedure 431" w:id="8"/>
      <w:bookmarkEnd w:id="8"/>
      <w:r>
        <w:rPr/>
      </w:r>
      <w:r>
        <w:rPr/>
        <w:t>was rejected where the insured claimed its appraiser</w:t>
      </w:r>
      <w:r>
        <w:rPr>
          <w:spacing w:val="-18"/>
        </w:rPr>
        <w:t> </w:t>
      </w:r>
      <w:r>
        <w:rPr/>
        <w:t>“did</w:t>
      </w:r>
      <w:r>
        <w:rPr>
          <w:spacing w:val="-16"/>
        </w:rPr>
        <w:t> </w:t>
      </w:r>
      <w:r>
        <w:rPr/>
        <w:t>not</w:t>
      </w:r>
      <w:r>
        <w:rPr>
          <w:spacing w:val="-16"/>
        </w:rPr>
        <w:t> </w:t>
      </w:r>
      <w:r>
        <w:rPr/>
        <w:t>have</w:t>
      </w:r>
      <w:r>
        <w:rPr>
          <w:spacing w:val="-18"/>
        </w:rPr>
        <w:t> </w:t>
      </w:r>
      <w:r>
        <w:rPr/>
        <w:t>any</w:t>
      </w:r>
      <w:r>
        <w:rPr>
          <w:spacing w:val="-19"/>
        </w:rPr>
        <w:t> </w:t>
      </w:r>
      <w:r>
        <w:rPr/>
        <w:t>input</w:t>
      </w:r>
      <w:r>
        <w:rPr>
          <w:spacing w:val="-14"/>
        </w:rPr>
        <w:t> </w:t>
      </w:r>
      <w:r>
        <w:rPr/>
        <w:t>except</w:t>
      </w:r>
      <w:r>
        <w:rPr>
          <w:spacing w:val="-17"/>
        </w:rPr>
        <w:t> </w:t>
      </w:r>
      <w:r>
        <w:rPr/>
        <w:t>for</w:t>
      </w:r>
      <w:r>
        <w:rPr>
          <w:spacing w:val="-16"/>
        </w:rPr>
        <w:t> </w:t>
      </w:r>
      <w:r>
        <w:rPr/>
        <w:t>a 30 minute call with the</w:t>
      </w:r>
      <w:r>
        <w:rPr>
          <w:spacing w:val="-6"/>
        </w:rPr>
        <w:t> </w:t>
      </w:r>
      <w:r>
        <w:rPr/>
        <w:t>umpire.”</w:t>
      </w:r>
      <w:r>
        <w:rPr>
          <w:vertAlign w:val="superscript"/>
        </w:rPr>
        <w:t>894</w:t>
      </w:r>
    </w:p>
    <w:p>
      <w:pPr>
        <w:pStyle w:val="BodyText"/>
        <w:spacing w:before="1"/>
      </w:pPr>
    </w:p>
    <w:p>
      <w:pPr>
        <w:pStyle w:val="BodyText"/>
        <w:spacing w:line="242" w:lineRule="auto"/>
        <w:ind w:left="1520" w:right="1518" w:firstLine="720"/>
        <w:jc w:val="both"/>
      </w:pPr>
      <w:r>
        <w:rPr/>
        <w:t>The insured is not bound by an </w:t>
      </w:r>
      <w:r>
        <w:rPr>
          <w:spacing w:val="-4"/>
        </w:rPr>
        <w:t>award </w:t>
      </w:r>
      <w:r>
        <w:rPr/>
        <w:t>made by the company's appraiser and the umpire, without notice to the insured's appraiser or the insured.</w:t>
      </w:r>
      <w:r>
        <w:rPr>
          <w:vertAlign w:val="superscript"/>
        </w:rPr>
        <w:t>895</w:t>
      </w:r>
      <w:r>
        <w:rPr>
          <w:vertAlign w:val="baseline"/>
        </w:rPr>
        <w:t> </w:t>
      </w:r>
      <w:r>
        <w:rPr>
          <w:spacing w:val="3"/>
          <w:vertAlign w:val="baseline"/>
        </w:rPr>
        <w:t>In </w:t>
      </w:r>
      <w:r>
        <w:rPr>
          <w:vertAlign w:val="baseline"/>
        </w:rPr>
        <w:t>the case of </w:t>
      </w:r>
      <w:r>
        <w:rPr>
          <w:spacing w:val="-8"/>
          <w:u w:val="single"/>
          <w:vertAlign w:val="baseline"/>
        </w:rPr>
        <w:t>Zoni</w:t>
      </w:r>
      <w:r>
        <w:rPr>
          <w:spacing w:val="-8"/>
          <w:vertAlign w:val="baseline"/>
        </w:rPr>
        <w:t> </w:t>
      </w:r>
      <w:r>
        <w:rPr>
          <w:u w:val="single"/>
          <w:vertAlign w:val="baseline"/>
        </w:rPr>
        <w:t>v. Importers and Exporters Ins. Co. of New</w:t>
      </w:r>
      <w:r>
        <w:rPr>
          <w:vertAlign w:val="baseline"/>
        </w:rPr>
        <w:t> </w:t>
      </w:r>
      <w:r>
        <w:rPr>
          <w:u w:val="single"/>
          <w:vertAlign w:val="baseline"/>
        </w:rPr>
        <w:t>York</w:t>
      </w:r>
      <w:r>
        <w:rPr>
          <w:vertAlign w:val="baseline"/>
        </w:rPr>
        <w:t>,</w:t>
      </w:r>
      <w:r>
        <w:rPr>
          <w:vertAlign w:val="superscript"/>
        </w:rPr>
        <w:t>896</w:t>
      </w:r>
      <w:r>
        <w:rPr>
          <w:vertAlign w:val="baseline"/>
        </w:rPr>
        <w:t> the court held that an award </w:t>
      </w:r>
      <w:r>
        <w:rPr>
          <w:spacing w:val="-7"/>
          <w:vertAlign w:val="baseline"/>
        </w:rPr>
        <w:t>reached </w:t>
      </w:r>
      <w:r>
        <w:rPr>
          <w:vertAlign w:val="baseline"/>
        </w:rPr>
        <w:t>by the umpire and one appraiser without conference with the other appraiser was invalid because it amounted to a deprivation of any representation in the appraisal proceedings. </w:t>
      </w:r>
      <w:r>
        <w:rPr>
          <w:spacing w:val="3"/>
          <w:vertAlign w:val="baseline"/>
        </w:rPr>
        <w:t>It </w:t>
      </w:r>
      <w:r>
        <w:rPr>
          <w:vertAlign w:val="baseline"/>
        </w:rPr>
        <w:t>should be noted that </w:t>
      </w:r>
      <w:r>
        <w:rPr>
          <w:spacing w:val="-6"/>
          <w:vertAlign w:val="baseline"/>
        </w:rPr>
        <w:t>an </w:t>
      </w:r>
      <w:r>
        <w:rPr>
          <w:vertAlign w:val="baseline"/>
        </w:rPr>
        <w:t>insurance policy may declare that an </w:t>
      </w:r>
      <w:r>
        <w:rPr>
          <w:spacing w:val="-4"/>
          <w:vertAlign w:val="baseline"/>
        </w:rPr>
        <w:t>award </w:t>
      </w:r>
      <w:r>
        <w:rPr>
          <w:vertAlign w:val="baseline"/>
        </w:rPr>
        <w:t>signed by the umpire and only one of </w:t>
      </w:r>
      <w:r>
        <w:rPr>
          <w:spacing w:val="-5"/>
          <w:vertAlign w:val="baseline"/>
        </w:rPr>
        <w:t>the </w:t>
      </w:r>
      <w:r>
        <w:rPr>
          <w:vertAlign w:val="baseline"/>
        </w:rPr>
        <w:t>appraisers is valid although made in the absence of the other appraiser. Such provisions have been held to be valid,</w:t>
      </w:r>
      <w:r>
        <w:rPr>
          <w:vertAlign w:val="superscript"/>
        </w:rPr>
        <w:t>897</w:t>
      </w:r>
      <w:r>
        <w:rPr>
          <w:vertAlign w:val="baseline"/>
        </w:rPr>
        <w:t> </w:t>
      </w:r>
      <w:r>
        <w:rPr>
          <w:spacing w:val="-12"/>
          <w:vertAlign w:val="baseline"/>
        </w:rPr>
        <w:t>but </w:t>
      </w:r>
      <w:r>
        <w:rPr>
          <w:vertAlign w:val="baseline"/>
        </w:rPr>
        <w:t>are permissible only if the process has </w:t>
      </w:r>
      <w:r>
        <w:rPr>
          <w:spacing w:val="-3"/>
          <w:vertAlign w:val="baseline"/>
        </w:rPr>
        <w:t>been </w:t>
      </w:r>
      <w:r>
        <w:rPr>
          <w:vertAlign w:val="baseline"/>
        </w:rPr>
        <w:t>consistent with the requirements of the statutory Standard Fire Policy in the local jurisdiction as to the necessary consultation.</w:t>
      </w:r>
    </w:p>
    <w:p>
      <w:pPr>
        <w:pStyle w:val="BodyText"/>
        <w:spacing w:before="8"/>
        <w:rPr>
          <w:sz w:val="25"/>
        </w:rPr>
      </w:pPr>
    </w:p>
    <w:p>
      <w:pPr>
        <w:pStyle w:val="BodyText"/>
        <w:spacing w:line="242" w:lineRule="auto"/>
        <w:ind w:left="1520" w:right="1518" w:firstLine="720"/>
        <w:jc w:val="both"/>
      </w:pPr>
      <w:r>
        <w:rPr/>
        <w:t>The above stated rule does not </w:t>
      </w:r>
      <w:r>
        <w:rPr>
          <w:spacing w:val="-3"/>
        </w:rPr>
        <w:t>mean </w:t>
      </w:r>
      <w:r>
        <w:rPr/>
        <w:t>that all parties to the appraisal must act in concert</w:t>
      </w:r>
      <w:r>
        <w:rPr>
          <w:spacing w:val="-18"/>
        </w:rPr>
        <w:t> </w:t>
      </w:r>
      <w:r>
        <w:rPr/>
        <w:t>at</w:t>
      </w:r>
      <w:r>
        <w:rPr>
          <w:spacing w:val="-15"/>
        </w:rPr>
        <w:t> </w:t>
      </w:r>
      <w:r>
        <w:rPr/>
        <w:t>all</w:t>
      </w:r>
      <w:r>
        <w:rPr>
          <w:spacing w:val="-14"/>
        </w:rPr>
        <w:t> </w:t>
      </w:r>
      <w:r>
        <w:rPr/>
        <w:t>times.</w:t>
      </w:r>
      <w:r>
        <w:rPr>
          <w:spacing w:val="34"/>
        </w:rPr>
        <w:t> </w:t>
      </w:r>
      <w:r>
        <w:rPr>
          <w:spacing w:val="-3"/>
        </w:rPr>
        <w:t>The</w:t>
      </w:r>
      <w:r>
        <w:rPr>
          <w:spacing w:val="-18"/>
        </w:rPr>
        <w:t> </w:t>
      </w:r>
      <w:r>
        <w:rPr/>
        <w:t>courts</w:t>
      </w:r>
      <w:r>
        <w:rPr>
          <w:spacing w:val="-14"/>
        </w:rPr>
        <w:t> </w:t>
      </w:r>
      <w:r>
        <w:rPr/>
        <w:t>generally</w:t>
      </w:r>
      <w:r>
        <w:rPr>
          <w:spacing w:val="-14"/>
        </w:rPr>
        <w:t> </w:t>
      </w:r>
      <w:r>
        <w:rPr/>
        <w:t>allow</w:t>
      </w:r>
    </w:p>
    <w:p>
      <w:pPr>
        <w:pStyle w:val="BodyText"/>
        <w:spacing w:before="4"/>
        <w:rPr>
          <w:sz w:val="22"/>
        </w:rPr>
      </w:pPr>
      <w:r>
        <w:rPr/>
        <w:pict>
          <v:shape style="position:absolute;margin-left:162pt;margin-top:16.09704pt;width:143.9pt;height:.1pt;mso-position-horizontal-relative:page;mso-position-vertical-relative:paragraph;z-index:-251653120;mso-wrap-distance-left:0;mso-wrap-distance-right:0" coordorigin="3240,322" coordsize="2878,0" path="m3240,322l6118,322e" filled="false" stroked="true" strokeweight=".84pt" strokecolor="#000000">
            <v:path arrowok="t"/>
            <v:stroke dashstyle="solid"/>
            <w10:wrap type="topAndBottom"/>
          </v:shape>
        </w:pict>
      </w:r>
    </w:p>
    <w:p>
      <w:pPr>
        <w:pStyle w:val="BodyText"/>
        <w:spacing w:before="4"/>
        <w:rPr>
          <w:sz w:val="10"/>
        </w:rPr>
      </w:pPr>
    </w:p>
    <w:p>
      <w:pPr>
        <w:spacing w:line="238" w:lineRule="exact" w:before="80"/>
        <w:ind w:left="1160" w:right="0" w:firstLine="0"/>
        <w:jc w:val="left"/>
        <w:rPr>
          <w:rFonts w:ascii="Times New Roman"/>
          <w:sz w:val="18"/>
        </w:rPr>
      </w:pPr>
      <w:r>
        <w:rPr>
          <w:rFonts w:ascii="Times New Roman"/>
          <w:position w:val="9"/>
          <w:sz w:val="14"/>
        </w:rPr>
        <w:t>894</w:t>
      </w:r>
      <w:r>
        <w:rPr>
          <w:rFonts w:ascii="Times New Roman"/>
          <w:sz w:val="14"/>
        </w:rPr>
        <w:t> </w:t>
      </w:r>
      <w:r>
        <w:rPr>
          <w:rFonts w:ascii="Times New Roman"/>
          <w:sz w:val="18"/>
          <w:u w:val="single"/>
        </w:rPr>
        <w:t>Transcapital Bank v. Merchants Mut. Ins. Co.</w:t>
      </w:r>
      <w:r>
        <w:rPr>
          <w:rFonts w:ascii="Times New Roman"/>
          <w:sz w:val="18"/>
        </w:rPr>
        <w:t>, 2013 WL 322156 (N.D. Ohio 2013).</w:t>
      </w:r>
    </w:p>
    <w:p>
      <w:pPr>
        <w:spacing w:line="219" w:lineRule="exact" w:before="0"/>
        <w:ind w:left="1160" w:right="0" w:firstLine="0"/>
        <w:jc w:val="left"/>
        <w:rPr>
          <w:rFonts w:ascii="Times New Roman"/>
          <w:sz w:val="18"/>
        </w:rPr>
      </w:pPr>
      <w:r>
        <w:rPr>
          <w:rFonts w:ascii="Times New Roman"/>
          <w:position w:val="10"/>
          <w:sz w:val="14"/>
        </w:rPr>
        <w:t>895</w:t>
      </w:r>
      <w:r>
        <w:rPr>
          <w:rFonts w:ascii="Times New Roman"/>
          <w:sz w:val="14"/>
        </w:rPr>
        <w:t> </w:t>
      </w:r>
      <w:r>
        <w:rPr>
          <w:rFonts w:ascii="Times New Roman"/>
          <w:sz w:val="18"/>
          <w:u w:val="single"/>
        </w:rPr>
        <w:t>Schmitt Bros. v. Boston Ins. Co.</w:t>
      </w:r>
      <w:r>
        <w:rPr>
          <w:rFonts w:ascii="Times New Roman"/>
          <w:sz w:val="18"/>
        </w:rPr>
        <w:t>, 82 A.D. 234, 81 N.Y.S.767 (1903).</w:t>
      </w:r>
    </w:p>
    <w:p>
      <w:pPr>
        <w:spacing w:line="240" w:lineRule="exact" w:before="0"/>
        <w:ind w:left="1160" w:right="0" w:firstLine="0"/>
        <w:jc w:val="left"/>
        <w:rPr>
          <w:rFonts w:ascii="Times New Roman"/>
          <w:sz w:val="18"/>
        </w:rPr>
      </w:pPr>
      <w:r>
        <w:rPr>
          <w:rFonts w:ascii="Times New Roman"/>
          <w:position w:val="10"/>
          <w:sz w:val="14"/>
        </w:rPr>
        <w:t>896 </w:t>
      </w:r>
      <w:r>
        <w:rPr>
          <w:rFonts w:ascii="Times New Roman"/>
          <w:sz w:val="18"/>
        </w:rPr>
        <w:t>338 Pa. 165, 12 A.2d 575 (1940).</w:t>
      </w:r>
    </w:p>
    <w:p>
      <w:pPr>
        <w:spacing w:line="282" w:lineRule="exact" w:before="0"/>
        <w:ind w:left="1160" w:right="0" w:firstLine="0"/>
        <w:jc w:val="left"/>
        <w:rPr>
          <w:rFonts w:ascii="Times New Roman"/>
          <w:sz w:val="24"/>
        </w:rPr>
      </w:pPr>
      <w:r>
        <w:rPr>
          <w:rFonts w:ascii="Times New Roman"/>
          <w:position w:val="10"/>
          <w:sz w:val="14"/>
        </w:rPr>
        <w:t>897 </w:t>
      </w:r>
      <w:r>
        <w:rPr>
          <w:rFonts w:ascii="Times New Roman"/>
          <w:sz w:val="18"/>
          <w:u w:val="single"/>
        </w:rPr>
        <w:t>German Ins. Co. v. Hazard Bank</w:t>
      </w:r>
      <w:r>
        <w:rPr>
          <w:rFonts w:ascii="Times New Roman"/>
          <w:sz w:val="18"/>
        </w:rPr>
        <w:t>, 126 Ky. 730, 104 S.W.725 (1907)</w:t>
      </w:r>
      <w:r>
        <w:rPr>
          <w:rFonts w:ascii="Times New Roman"/>
          <w:sz w:val="24"/>
        </w:rPr>
        <w:t>.</w:t>
      </w:r>
    </w:p>
    <w:p>
      <w:pPr>
        <w:spacing w:after="0" w:line="282" w:lineRule="exact"/>
        <w:jc w:val="left"/>
        <w:rPr>
          <w:rFonts w:ascii="Times New Roman"/>
          <w:sz w:val="24"/>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432" w:id="9"/>
      <w:bookmarkEnd w:id="9"/>
      <w:r>
        <w:rPr/>
      </w:r>
      <w:r>
        <w:rPr/>
        <w:t>the appraisers to act privately, so long as no conclusions are drawn until the parties meet. For example, it has been held that where</w:t>
      </w:r>
      <w:r>
        <w:rPr>
          <w:spacing w:val="-38"/>
        </w:rPr>
        <w:t> </w:t>
      </w:r>
      <w:r>
        <w:rPr>
          <w:spacing w:val="-3"/>
        </w:rPr>
        <w:t>two </w:t>
      </w:r>
      <w:r>
        <w:rPr/>
        <w:t>of</w:t>
      </w:r>
      <w:r>
        <w:rPr>
          <w:spacing w:val="-24"/>
        </w:rPr>
        <w:t> </w:t>
      </w:r>
      <w:r>
        <w:rPr/>
        <w:t>the</w:t>
      </w:r>
      <w:r>
        <w:rPr>
          <w:spacing w:val="-25"/>
        </w:rPr>
        <w:t> </w:t>
      </w:r>
      <w:r>
        <w:rPr/>
        <w:t>appraisers</w:t>
      </w:r>
      <w:r>
        <w:rPr>
          <w:spacing w:val="-25"/>
        </w:rPr>
        <w:t> </w:t>
      </w:r>
      <w:r>
        <w:rPr/>
        <w:t>privately</w:t>
      </w:r>
      <w:r>
        <w:rPr>
          <w:spacing w:val="-24"/>
        </w:rPr>
        <w:t> </w:t>
      </w:r>
      <w:r>
        <w:rPr/>
        <w:t>ascertain</w:t>
      </w:r>
      <w:r>
        <w:rPr>
          <w:spacing w:val="-25"/>
        </w:rPr>
        <w:t> </w:t>
      </w:r>
      <w:r>
        <w:rPr/>
        <w:t>prices</w:t>
      </w:r>
      <w:r>
        <w:rPr>
          <w:spacing w:val="-25"/>
        </w:rPr>
        <w:t> </w:t>
      </w:r>
      <w:r>
        <w:rPr/>
        <w:t>and discuss the amount of the award but did not come to a conclusion until the final meeting, when all three were together, the award was held to be valid. Similarly, the fact that an </w:t>
      </w:r>
      <w:r>
        <w:rPr>
          <w:spacing w:val="11"/>
        </w:rPr>
        <w:t>appraiser appointed </w:t>
      </w:r>
      <w:r>
        <w:rPr>
          <w:spacing w:val="7"/>
        </w:rPr>
        <w:t>by </w:t>
      </w:r>
      <w:r>
        <w:rPr>
          <w:spacing w:val="8"/>
        </w:rPr>
        <w:t>the </w:t>
      </w:r>
      <w:r>
        <w:rPr>
          <w:spacing w:val="12"/>
        </w:rPr>
        <w:t>insured </w:t>
      </w:r>
      <w:r>
        <w:rPr/>
        <w:t>immediately went to work to determine the value of the articles destroyed, did not render the appraiser</w:t>
      </w:r>
      <w:r>
        <w:rPr>
          <w:spacing w:val="-3"/>
        </w:rPr>
        <w:t> </w:t>
      </w:r>
      <w:r>
        <w:rPr/>
        <w:t>ineligible.</w:t>
      </w:r>
      <w:r>
        <w:rPr>
          <w:vertAlign w:val="superscript"/>
        </w:rPr>
        <w:t>898</w:t>
      </w:r>
    </w:p>
    <w:p>
      <w:pPr>
        <w:pStyle w:val="BodyText"/>
        <w:spacing w:before="10"/>
        <w:rPr>
          <w:sz w:val="25"/>
        </w:rPr>
      </w:pPr>
    </w:p>
    <w:p>
      <w:pPr>
        <w:pStyle w:val="BodyText"/>
        <w:spacing w:line="242" w:lineRule="auto"/>
        <w:ind w:left="1520" w:right="1517" w:firstLine="720"/>
        <w:jc w:val="both"/>
      </w:pPr>
      <w:r>
        <w:rPr>
          <w:spacing w:val="3"/>
        </w:rPr>
        <w:t>It </w:t>
      </w:r>
      <w:r>
        <w:rPr/>
        <w:t>has been stated that absent fraud or conniving actions, an umpire’s </w:t>
      </w:r>
      <w:r>
        <w:rPr>
          <w:i/>
        </w:rPr>
        <w:t>ex parte </w:t>
      </w:r>
      <w:r>
        <w:rPr/>
        <w:t>communications with an insured’s appraiser </w:t>
      </w:r>
      <w:r>
        <w:rPr>
          <w:spacing w:val="14"/>
        </w:rPr>
        <w:t>did not </w:t>
      </w:r>
      <w:r>
        <w:rPr>
          <w:spacing w:val="19"/>
        </w:rPr>
        <w:t>constitute </w:t>
      </w:r>
      <w:r>
        <w:rPr>
          <w:spacing w:val="11"/>
        </w:rPr>
        <w:t>an </w:t>
      </w:r>
      <w:r>
        <w:rPr>
          <w:spacing w:val="19"/>
        </w:rPr>
        <w:t>impeaching </w:t>
      </w:r>
      <w:r>
        <w:rPr/>
        <w:t>circumstance</w:t>
      </w:r>
      <w:r>
        <w:rPr>
          <w:spacing w:val="-24"/>
        </w:rPr>
        <w:t> </w:t>
      </w:r>
      <w:r>
        <w:rPr/>
        <w:t>requiring</w:t>
      </w:r>
      <w:r>
        <w:rPr>
          <w:spacing w:val="-23"/>
        </w:rPr>
        <w:t> </w:t>
      </w:r>
      <w:r>
        <w:rPr/>
        <w:t>the</w:t>
      </w:r>
      <w:r>
        <w:rPr>
          <w:spacing w:val="-24"/>
        </w:rPr>
        <w:t> </w:t>
      </w:r>
      <w:r>
        <w:rPr/>
        <w:t>appraisal</w:t>
      </w:r>
      <w:r>
        <w:rPr>
          <w:spacing w:val="-23"/>
        </w:rPr>
        <w:t> </w:t>
      </w:r>
      <w:r>
        <w:rPr/>
        <w:t>award</w:t>
      </w:r>
      <w:r>
        <w:rPr>
          <w:spacing w:val="-22"/>
        </w:rPr>
        <w:t> </w:t>
      </w:r>
      <w:r>
        <w:rPr/>
        <w:t>to be</w:t>
      </w:r>
      <w:r>
        <w:rPr>
          <w:spacing w:val="-2"/>
        </w:rPr>
        <w:t> </w:t>
      </w:r>
      <w:r>
        <w:rPr/>
        <w:t>overturned.</w:t>
      </w:r>
      <w:r>
        <w:rPr>
          <w:vertAlign w:val="superscript"/>
        </w:rPr>
        <w:t>899</w:t>
      </w:r>
    </w:p>
    <w:p>
      <w:pPr>
        <w:pStyle w:val="BodyText"/>
        <w:spacing w:before="1"/>
      </w:pPr>
    </w:p>
    <w:p>
      <w:pPr>
        <w:pStyle w:val="BodyText"/>
        <w:spacing w:line="242" w:lineRule="auto"/>
        <w:ind w:left="1520" w:right="1518" w:firstLine="720"/>
        <w:jc w:val="both"/>
      </w:pPr>
      <w:r>
        <w:rPr/>
        <w:t>One court declined to invalidate an award despite the fact that the umpire and appraiser</w:t>
      </w:r>
      <w:r>
        <w:rPr>
          <w:spacing w:val="-35"/>
        </w:rPr>
        <w:t> </w:t>
      </w:r>
      <w:r>
        <w:rPr/>
        <w:t>met</w:t>
      </w:r>
      <w:r>
        <w:rPr>
          <w:spacing w:val="-36"/>
        </w:rPr>
        <w:t> </w:t>
      </w:r>
      <w:r>
        <w:rPr/>
        <w:t>without</w:t>
      </w:r>
      <w:r>
        <w:rPr>
          <w:spacing w:val="-33"/>
        </w:rPr>
        <w:t> </w:t>
      </w:r>
      <w:r>
        <w:rPr/>
        <w:t>the</w:t>
      </w:r>
      <w:r>
        <w:rPr>
          <w:spacing w:val="-34"/>
        </w:rPr>
        <w:t> </w:t>
      </w:r>
      <w:r>
        <w:rPr/>
        <w:t>insured’s</w:t>
      </w:r>
      <w:r>
        <w:rPr>
          <w:spacing w:val="-33"/>
        </w:rPr>
        <w:t> </w:t>
      </w:r>
      <w:r>
        <w:rPr/>
        <w:t>appraiser</w:t>
      </w:r>
      <w:r>
        <w:rPr>
          <w:spacing w:val="-36"/>
        </w:rPr>
        <w:t> </w:t>
      </w:r>
      <w:r>
        <w:rPr/>
        <w:t>in order to sign the award. The insured admitted that its appraiser had submitted its position to the</w:t>
      </w:r>
      <w:r>
        <w:rPr>
          <w:spacing w:val="-25"/>
        </w:rPr>
        <w:t> </w:t>
      </w:r>
      <w:r>
        <w:rPr/>
        <w:t>other</w:t>
      </w:r>
      <w:r>
        <w:rPr>
          <w:spacing w:val="-25"/>
        </w:rPr>
        <w:t> </w:t>
      </w:r>
      <w:r>
        <w:rPr>
          <w:spacing w:val="-3"/>
        </w:rPr>
        <w:t>two</w:t>
      </w:r>
      <w:r>
        <w:rPr>
          <w:spacing w:val="-21"/>
        </w:rPr>
        <w:t> </w:t>
      </w:r>
      <w:r>
        <w:rPr/>
        <w:t>and</w:t>
      </w:r>
      <w:r>
        <w:rPr>
          <w:spacing w:val="-21"/>
        </w:rPr>
        <w:t> </w:t>
      </w:r>
      <w:r>
        <w:rPr/>
        <w:t>the</w:t>
      </w:r>
      <w:r>
        <w:rPr>
          <w:spacing w:val="-22"/>
        </w:rPr>
        <w:t> </w:t>
      </w:r>
      <w:r>
        <w:rPr/>
        <w:t>umpire</w:t>
      </w:r>
      <w:r>
        <w:rPr>
          <w:spacing w:val="-23"/>
        </w:rPr>
        <w:t> </w:t>
      </w:r>
      <w:r>
        <w:rPr/>
        <w:t>had</w:t>
      </w:r>
      <w:r>
        <w:rPr>
          <w:spacing w:val="-23"/>
        </w:rPr>
        <w:t> </w:t>
      </w:r>
      <w:r>
        <w:rPr/>
        <w:t>testified</w:t>
      </w:r>
      <w:r>
        <w:rPr>
          <w:spacing w:val="-25"/>
        </w:rPr>
        <w:t> </w:t>
      </w:r>
      <w:r>
        <w:rPr/>
        <w:t>that he “fully considered all submissions” before </w:t>
      </w:r>
      <w:r>
        <w:rPr>
          <w:spacing w:val="22"/>
        </w:rPr>
        <w:t>rendering </w:t>
      </w:r>
      <w:r>
        <w:rPr>
          <w:spacing w:val="16"/>
        </w:rPr>
        <w:t>the </w:t>
      </w:r>
      <w:r>
        <w:rPr>
          <w:spacing w:val="21"/>
        </w:rPr>
        <w:t>award. </w:t>
      </w:r>
      <w:r>
        <w:rPr>
          <w:spacing w:val="15"/>
        </w:rPr>
        <w:t>The</w:t>
      </w:r>
      <w:r>
        <w:rPr>
          <w:spacing w:val="55"/>
        </w:rPr>
        <w:t> </w:t>
      </w:r>
      <w:r>
        <w:rPr/>
        <w:t>l </w:t>
      </w:r>
      <w:r>
        <w:rPr>
          <w:spacing w:val="22"/>
        </w:rPr>
        <w:t>imited</w:t>
      </w:r>
    </w:p>
    <w:p>
      <w:pPr>
        <w:pStyle w:val="BodyText"/>
        <w:rPr>
          <w:sz w:val="20"/>
        </w:rPr>
      </w:pPr>
    </w:p>
    <w:p>
      <w:pPr>
        <w:pStyle w:val="BodyText"/>
        <w:spacing w:before="4"/>
        <w:rPr>
          <w:sz w:val="19"/>
        </w:rPr>
      </w:pPr>
      <w:r>
        <w:rPr/>
        <w:pict>
          <v:shape style="position:absolute;margin-left:162pt;margin-top:14.296299pt;width:143.9pt;height:.1pt;mso-position-horizontal-relative:page;mso-position-vertical-relative:paragraph;z-index:-251652096;mso-wrap-distance-left:0;mso-wrap-distance-right:0" coordorigin="3240,286" coordsize="2878,0" path="m3240,286l6118,286e" filled="false" stroked="true" strokeweight=".84pt" strokecolor="#000000">
            <v:path arrowok="t"/>
            <v:stroke dashstyle="solid"/>
            <w10:wrap type="topAndBottom"/>
          </v:shape>
        </w:pict>
      </w:r>
    </w:p>
    <w:p>
      <w:pPr>
        <w:pStyle w:val="BodyText"/>
        <w:spacing w:before="4"/>
        <w:rPr>
          <w:sz w:val="10"/>
        </w:rPr>
      </w:pPr>
    </w:p>
    <w:p>
      <w:pPr>
        <w:spacing w:before="71"/>
        <w:ind w:left="1160" w:right="0" w:firstLine="0"/>
        <w:jc w:val="left"/>
        <w:rPr>
          <w:rFonts w:ascii="Times New Roman"/>
          <w:sz w:val="24"/>
        </w:rPr>
      </w:pPr>
      <w:r>
        <w:rPr>
          <w:rFonts w:ascii="Times New Roman"/>
          <w:position w:val="10"/>
          <w:sz w:val="14"/>
        </w:rPr>
        <w:t>898 </w:t>
      </w:r>
      <w:r>
        <w:rPr>
          <w:rFonts w:ascii="Times New Roman"/>
          <w:sz w:val="18"/>
          <w:u w:val="single"/>
        </w:rPr>
        <w:t>Hurst v. Hope</w:t>
      </w:r>
      <w:r>
        <w:rPr>
          <w:rFonts w:ascii="Times New Roman"/>
          <w:sz w:val="18"/>
        </w:rPr>
        <w:t>, 152 Va. 405, 147 S.E. 222 (1929)</w:t>
      </w:r>
      <w:r>
        <w:rPr>
          <w:rFonts w:ascii="Times New Roman"/>
          <w:sz w:val="24"/>
        </w:rPr>
        <w:t>.</w:t>
      </w:r>
    </w:p>
    <w:p>
      <w:pPr>
        <w:spacing w:before="1"/>
        <w:ind w:left="1160" w:right="0" w:firstLine="0"/>
        <w:jc w:val="left"/>
        <w:rPr>
          <w:rFonts w:ascii="Times New Roman"/>
          <w:sz w:val="18"/>
        </w:rPr>
      </w:pPr>
      <w:r>
        <w:rPr>
          <w:rFonts w:ascii="Times New Roman"/>
          <w:position w:val="10"/>
          <w:sz w:val="14"/>
        </w:rPr>
        <w:t>899</w:t>
      </w:r>
      <w:r>
        <w:rPr>
          <w:rFonts w:ascii="Times New Roman"/>
          <w:sz w:val="14"/>
        </w:rPr>
        <w:t> </w:t>
      </w:r>
      <w:r>
        <w:rPr>
          <w:rFonts w:ascii="Times New Roman"/>
          <w:sz w:val="18"/>
          <w:u w:val="single"/>
        </w:rPr>
        <w:t>Harleysville Mut. Ins. Co. v. Narron</w:t>
      </w:r>
      <w:r>
        <w:rPr>
          <w:rFonts w:ascii="Times New Roman"/>
          <w:sz w:val="18"/>
        </w:rPr>
        <w:t>, 155 N.C. App. 362, 574 S.E.2d 490 (N.C. App.</w:t>
      </w:r>
    </w:p>
    <w:p>
      <w:pPr>
        <w:spacing w:before="18"/>
        <w:ind w:left="1160" w:right="0" w:firstLine="0"/>
        <w:jc w:val="left"/>
        <w:rPr>
          <w:rFonts w:ascii="Times New Roman"/>
          <w:sz w:val="18"/>
        </w:rPr>
      </w:pPr>
      <w:r>
        <w:rPr>
          <w:rFonts w:ascii="Times New Roman"/>
          <w:sz w:val="18"/>
        </w:rPr>
        <w:t>2002).</w:t>
      </w:r>
    </w:p>
    <w:p>
      <w:pPr>
        <w:spacing w:after="0"/>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9"/>
        <w:jc w:val="both"/>
      </w:pPr>
      <w:bookmarkStart w:name="Law and Procedure 433" w:id="10"/>
      <w:bookmarkEnd w:id="10"/>
      <w:r>
        <w:rPr/>
      </w:r>
      <w:r>
        <w:rPr/>
        <w:t>communication was not deemed sufficient to invalidate</w:t>
      </w:r>
      <w:r>
        <w:rPr>
          <w:spacing w:val="-19"/>
        </w:rPr>
        <w:t> </w:t>
      </w:r>
      <w:r>
        <w:rPr/>
        <w:t>the</w:t>
      </w:r>
      <w:r>
        <w:rPr>
          <w:spacing w:val="-17"/>
        </w:rPr>
        <w:t> </w:t>
      </w:r>
      <w:r>
        <w:rPr/>
        <w:t>award,</w:t>
      </w:r>
      <w:r>
        <w:rPr>
          <w:spacing w:val="-15"/>
        </w:rPr>
        <w:t> </w:t>
      </w:r>
      <w:r>
        <w:rPr/>
        <w:t>as</w:t>
      </w:r>
      <w:r>
        <w:rPr>
          <w:spacing w:val="-13"/>
        </w:rPr>
        <w:t> </w:t>
      </w:r>
      <w:r>
        <w:rPr/>
        <w:t>the</w:t>
      </w:r>
      <w:r>
        <w:rPr>
          <w:spacing w:val="-14"/>
        </w:rPr>
        <w:t> </w:t>
      </w:r>
      <w:r>
        <w:rPr/>
        <w:t>insured</w:t>
      </w:r>
      <w:r>
        <w:rPr>
          <w:spacing w:val="-15"/>
        </w:rPr>
        <w:t> </w:t>
      </w:r>
      <w:r>
        <w:rPr/>
        <w:t>was</w:t>
      </w:r>
      <w:r>
        <w:rPr>
          <w:spacing w:val="-12"/>
        </w:rPr>
        <w:t> </w:t>
      </w:r>
      <w:r>
        <w:rPr/>
        <w:t>given both</w:t>
      </w:r>
      <w:r>
        <w:rPr>
          <w:spacing w:val="-27"/>
        </w:rPr>
        <w:t> </w:t>
      </w:r>
      <w:r>
        <w:rPr/>
        <w:t>notice</w:t>
      </w:r>
      <w:r>
        <w:rPr>
          <w:spacing w:val="-27"/>
        </w:rPr>
        <w:t> </w:t>
      </w:r>
      <w:r>
        <w:rPr/>
        <w:t>and</w:t>
      </w:r>
      <w:r>
        <w:rPr>
          <w:spacing w:val="-27"/>
        </w:rPr>
        <w:t> </w:t>
      </w:r>
      <w:r>
        <w:rPr/>
        <w:t>an</w:t>
      </w:r>
      <w:r>
        <w:rPr>
          <w:spacing w:val="-26"/>
        </w:rPr>
        <w:t> </w:t>
      </w:r>
      <w:r>
        <w:rPr/>
        <w:t>opportunity</w:t>
      </w:r>
      <w:r>
        <w:rPr>
          <w:spacing w:val="-31"/>
        </w:rPr>
        <w:t> </w:t>
      </w:r>
      <w:r>
        <w:rPr/>
        <w:t>to</w:t>
      </w:r>
      <w:r>
        <w:rPr>
          <w:spacing w:val="-26"/>
        </w:rPr>
        <w:t> </w:t>
      </w:r>
      <w:r>
        <w:rPr/>
        <w:t>be</w:t>
      </w:r>
      <w:r>
        <w:rPr>
          <w:spacing w:val="-27"/>
        </w:rPr>
        <w:t> </w:t>
      </w:r>
      <w:r>
        <w:rPr/>
        <w:t>heard</w:t>
      </w:r>
      <w:r>
        <w:rPr>
          <w:spacing w:val="-26"/>
        </w:rPr>
        <w:t> </w:t>
      </w:r>
      <w:r>
        <w:rPr/>
        <w:t>by both and did not show fraudulent</w:t>
      </w:r>
      <w:r>
        <w:rPr>
          <w:spacing w:val="-11"/>
        </w:rPr>
        <w:t> </w:t>
      </w:r>
      <w:r>
        <w:rPr/>
        <w:t>intent.</w:t>
      </w:r>
      <w:r>
        <w:rPr>
          <w:vertAlign w:val="superscript"/>
        </w:rPr>
        <w:t>900</w:t>
      </w:r>
    </w:p>
    <w:p>
      <w:pPr>
        <w:pStyle w:val="BodyText"/>
        <w:spacing w:before="1"/>
      </w:pPr>
    </w:p>
    <w:p>
      <w:pPr>
        <w:pStyle w:val="BodyText"/>
        <w:spacing w:line="242" w:lineRule="auto"/>
        <w:ind w:left="1520" w:right="1516" w:firstLine="720"/>
        <w:jc w:val="both"/>
      </w:pPr>
      <w:r>
        <w:rPr/>
        <w:t>While some older decisions had left </w:t>
      </w:r>
      <w:r>
        <w:rPr>
          <w:spacing w:val="-5"/>
        </w:rPr>
        <w:t>it </w:t>
      </w:r>
      <w:r>
        <w:rPr/>
        <w:t>unclear</w:t>
      </w:r>
      <w:r>
        <w:rPr>
          <w:spacing w:val="-15"/>
        </w:rPr>
        <w:t> </w:t>
      </w:r>
      <w:r>
        <w:rPr/>
        <w:t>as</w:t>
      </w:r>
      <w:r>
        <w:rPr>
          <w:spacing w:val="-13"/>
        </w:rPr>
        <w:t> </w:t>
      </w:r>
      <w:r>
        <w:rPr/>
        <w:t>to</w:t>
      </w:r>
      <w:r>
        <w:rPr>
          <w:spacing w:val="-14"/>
        </w:rPr>
        <w:t> </w:t>
      </w:r>
      <w:r>
        <w:rPr/>
        <w:t>whether</w:t>
      </w:r>
      <w:r>
        <w:rPr>
          <w:spacing w:val="-15"/>
        </w:rPr>
        <w:t> </w:t>
      </w:r>
      <w:r>
        <w:rPr/>
        <w:t>an</w:t>
      </w:r>
      <w:r>
        <w:rPr>
          <w:spacing w:val="-13"/>
        </w:rPr>
        <w:t> </w:t>
      </w:r>
      <w:r>
        <w:rPr/>
        <w:t>umpire</w:t>
      </w:r>
      <w:r>
        <w:rPr>
          <w:spacing w:val="-17"/>
        </w:rPr>
        <w:t> </w:t>
      </w:r>
      <w:r>
        <w:rPr/>
        <w:t>may</w:t>
      </w:r>
      <w:r>
        <w:rPr>
          <w:spacing w:val="-18"/>
        </w:rPr>
        <w:t> </w:t>
      </w:r>
      <w:r>
        <w:rPr/>
        <w:t>properly have </w:t>
      </w:r>
      <w:r>
        <w:rPr>
          <w:i/>
        </w:rPr>
        <w:t>ex parte </w:t>
      </w:r>
      <w:r>
        <w:rPr/>
        <w:t>communications with either party</w:t>
      </w:r>
      <w:r>
        <w:rPr>
          <w:spacing w:val="-17"/>
        </w:rPr>
        <w:t> </w:t>
      </w:r>
      <w:r>
        <w:rPr/>
        <w:t>during</w:t>
      </w:r>
      <w:r>
        <w:rPr>
          <w:spacing w:val="-12"/>
        </w:rPr>
        <w:t> </w:t>
      </w:r>
      <w:r>
        <w:rPr/>
        <w:t>the</w:t>
      </w:r>
      <w:r>
        <w:rPr>
          <w:spacing w:val="-12"/>
        </w:rPr>
        <w:t> </w:t>
      </w:r>
      <w:r>
        <w:rPr/>
        <w:t>appraisal</w:t>
      </w:r>
      <w:r>
        <w:rPr>
          <w:spacing w:val="-10"/>
        </w:rPr>
        <w:t> </w:t>
      </w:r>
      <w:r>
        <w:rPr/>
        <w:t>in</w:t>
      </w:r>
      <w:r>
        <w:rPr>
          <w:spacing w:val="-12"/>
        </w:rPr>
        <w:t> </w:t>
      </w:r>
      <w:r>
        <w:rPr/>
        <w:t>an</w:t>
      </w:r>
      <w:r>
        <w:rPr>
          <w:spacing w:val="-11"/>
        </w:rPr>
        <w:t> </w:t>
      </w:r>
      <w:r>
        <w:rPr/>
        <w:t>effort</w:t>
      </w:r>
      <w:r>
        <w:rPr>
          <w:spacing w:val="-14"/>
        </w:rPr>
        <w:t> </w:t>
      </w:r>
      <w:r>
        <w:rPr/>
        <w:t>to</w:t>
      </w:r>
      <w:r>
        <w:rPr>
          <w:spacing w:val="-11"/>
        </w:rPr>
        <w:t> </w:t>
      </w:r>
      <w:r>
        <w:rPr/>
        <w:t>clarify a party’s position or for the umpire to obtain information, more recent cases generally</w:t>
      </w:r>
      <w:r>
        <w:rPr>
          <w:spacing w:val="-53"/>
        </w:rPr>
        <w:t> </w:t>
      </w:r>
      <w:r>
        <w:rPr/>
        <w:t>hold that an umpire did not lose </w:t>
      </w:r>
      <w:r>
        <w:rPr>
          <w:spacing w:val="2"/>
        </w:rPr>
        <w:t>his </w:t>
      </w:r>
      <w:r>
        <w:rPr/>
        <w:t>neutrality by conducting an </w:t>
      </w:r>
      <w:r>
        <w:rPr>
          <w:i/>
        </w:rPr>
        <w:t>ex parte </w:t>
      </w:r>
      <w:r>
        <w:rPr/>
        <w:t>communication with representatives of the insured where</w:t>
      </w:r>
      <w:r>
        <w:rPr>
          <w:spacing w:val="56"/>
        </w:rPr>
        <w:t> </w:t>
      </w:r>
      <w:r>
        <w:rPr/>
        <w:t>the purpose was to clarify the insured’s position with respect to the claim. However, while this appears to be the majority view, it </w:t>
      </w:r>
      <w:r>
        <w:rPr>
          <w:spacing w:val="2"/>
        </w:rPr>
        <w:t>is </w:t>
      </w:r>
      <w:r>
        <w:rPr/>
        <w:t>not universal</w:t>
      </w:r>
      <w:r>
        <w:rPr>
          <w:spacing w:val="-32"/>
        </w:rPr>
        <w:t> </w:t>
      </w:r>
      <w:r>
        <w:rPr/>
        <w:t>and</w:t>
      </w:r>
      <w:r>
        <w:rPr>
          <w:spacing w:val="-32"/>
        </w:rPr>
        <w:t> </w:t>
      </w:r>
      <w:r>
        <w:rPr/>
        <w:t>prudence</w:t>
      </w:r>
      <w:r>
        <w:rPr>
          <w:spacing w:val="-37"/>
        </w:rPr>
        <w:t> </w:t>
      </w:r>
      <w:r>
        <w:rPr>
          <w:spacing w:val="-3"/>
        </w:rPr>
        <w:t>would</w:t>
      </w:r>
      <w:r>
        <w:rPr>
          <w:spacing w:val="-32"/>
        </w:rPr>
        <w:t> </w:t>
      </w:r>
      <w:r>
        <w:rPr/>
        <w:t>suggest</w:t>
      </w:r>
      <w:r>
        <w:rPr>
          <w:spacing w:val="-34"/>
        </w:rPr>
        <w:t> </w:t>
      </w:r>
      <w:r>
        <w:rPr/>
        <w:t>that</w:t>
      </w:r>
      <w:r>
        <w:rPr>
          <w:spacing w:val="-34"/>
        </w:rPr>
        <w:t> </w:t>
      </w:r>
      <w:r>
        <w:rPr/>
        <w:t>the </w:t>
      </w:r>
      <w:r>
        <w:rPr>
          <w:spacing w:val="6"/>
        </w:rPr>
        <w:t>umpire endeavor </w:t>
      </w:r>
      <w:r>
        <w:rPr>
          <w:spacing w:val="2"/>
        </w:rPr>
        <w:t>to </w:t>
      </w:r>
      <w:r>
        <w:rPr>
          <w:spacing w:val="5"/>
        </w:rPr>
        <w:t>avoid </w:t>
      </w:r>
      <w:r>
        <w:rPr>
          <w:i/>
          <w:spacing w:val="3"/>
        </w:rPr>
        <w:t>ex </w:t>
      </w:r>
      <w:r>
        <w:rPr>
          <w:i/>
          <w:spacing w:val="5"/>
        </w:rPr>
        <w:t>parte </w:t>
      </w:r>
      <w:r>
        <w:rPr>
          <w:spacing w:val="-3"/>
        </w:rPr>
        <w:t>communications</w:t>
      </w:r>
      <w:r>
        <w:rPr>
          <w:spacing w:val="-38"/>
        </w:rPr>
        <w:t> </w:t>
      </w:r>
      <w:r>
        <w:rPr>
          <w:spacing w:val="-3"/>
        </w:rPr>
        <w:t>without</w:t>
      </w:r>
      <w:r>
        <w:rPr>
          <w:spacing w:val="-40"/>
        </w:rPr>
        <w:t> </w:t>
      </w:r>
      <w:r>
        <w:rPr/>
        <w:t>obtaining</w:t>
      </w:r>
      <w:r>
        <w:rPr>
          <w:spacing w:val="-38"/>
        </w:rPr>
        <w:t> </w:t>
      </w:r>
      <w:r>
        <w:rPr>
          <w:spacing w:val="-3"/>
        </w:rPr>
        <w:t>the</w:t>
      </w:r>
      <w:r>
        <w:rPr>
          <w:spacing w:val="-38"/>
        </w:rPr>
        <w:t> </w:t>
      </w:r>
      <w:r>
        <w:rPr/>
        <w:t>consent of</w:t>
      </w:r>
      <w:r>
        <w:rPr>
          <w:spacing w:val="-13"/>
        </w:rPr>
        <w:t> </w:t>
      </w:r>
      <w:r>
        <w:rPr/>
        <w:t>the</w:t>
      </w:r>
      <w:r>
        <w:rPr>
          <w:spacing w:val="-13"/>
        </w:rPr>
        <w:t> </w:t>
      </w:r>
      <w:r>
        <w:rPr/>
        <w:t>other</w:t>
      </w:r>
      <w:r>
        <w:rPr>
          <w:spacing w:val="-17"/>
        </w:rPr>
        <w:t> </w:t>
      </w:r>
      <w:r>
        <w:rPr/>
        <w:t>party.</w:t>
      </w:r>
      <w:r>
        <w:rPr>
          <w:spacing w:val="38"/>
        </w:rPr>
        <w:t> </w:t>
      </w:r>
      <w:r>
        <w:rPr/>
        <w:t>This</w:t>
      </w:r>
      <w:r>
        <w:rPr>
          <w:spacing w:val="-16"/>
        </w:rPr>
        <w:t> </w:t>
      </w:r>
      <w:r>
        <w:rPr/>
        <w:t>would</w:t>
      </w:r>
      <w:r>
        <w:rPr>
          <w:spacing w:val="-11"/>
        </w:rPr>
        <w:t> </w:t>
      </w:r>
      <w:r>
        <w:rPr/>
        <w:t>tend</w:t>
      </w:r>
      <w:r>
        <w:rPr>
          <w:spacing w:val="-13"/>
        </w:rPr>
        <w:t> </w:t>
      </w:r>
      <w:r>
        <w:rPr/>
        <w:t>to</w:t>
      </w:r>
      <w:r>
        <w:rPr>
          <w:spacing w:val="-13"/>
        </w:rPr>
        <w:t> </w:t>
      </w:r>
      <w:r>
        <w:rPr/>
        <w:t>avoid</w:t>
      </w:r>
      <w:r>
        <w:rPr>
          <w:spacing w:val="-13"/>
        </w:rPr>
        <w:t> </w:t>
      </w:r>
      <w:r>
        <w:rPr/>
        <w:t>an appearance of impropriety and potential challenge to the umpire’s</w:t>
      </w:r>
      <w:r>
        <w:rPr>
          <w:spacing w:val="-6"/>
        </w:rPr>
        <w:t> </w:t>
      </w:r>
      <w:r>
        <w:rPr/>
        <w:t>neutrality.</w:t>
      </w:r>
      <w:r>
        <w:rPr>
          <w:vertAlign w:val="superscript"/>
        </w:rPr>
        <w:t>901</w:t>
      </w:r>
    </w:p>
    <w:p>
      <w:pPr>
        <w:pStyle w:val="BodyText"/>
        <w:spacing w:before="8"/>
        <w:rPr>
          <w:sz w:val="25"/>
        </w:rPr>
      </w:pPr>
    </w:p>
    <w:p>
      <w:pPr>
        <w:pStyle w:val="BodyText"/>
        <w:spacing w:line="242" w:lineRule="auto"/>
        <w:ind w:left="1520" w:right="1518" w:firstLine="720"/>
        <w:jc w:val="both"/>
      </w:pPr>
      <w:r>
        <w:rPr>
          <w:spacing w:val="3"/>
        </w:rPr>
        <w:t>In</w:t>
      </w:r>
      <w:r>
        <w:rPr>
          <w:spacing w:val="-26"/>
        </w:rPr>
        <w:t> </w:t>
      </w:r>
      <w:r>
        <w:rPr/>
        <w:t>California,</w:t>
      </w:r>
      <w:r>
        <w:rPr>
          <w:spacing w:val="-27"/>
        </w:rPr>
        <w:t> </w:t>
      </w:r>
      <w:r>
        <w:rPr/>
        <w:t>it</w:t>
      </w:r>
      <w:r>
        <w:rPr>
          <w:spacing w:val="-31"/>
        </w:rPr>
        <w:t> </w:t>
      </w:r>
      <w:r>
        <w:rPr/>
        <w:t>has</w:t>
      </w:r>
      <w:r>
        <w:rPr>
          <w:spacing w:val="-27"/>
        </w:rPr>
        <w:t> </w:t>
      </w:r>
      <w:r>
        <w:rPr/>
        <w:t>been</w:t>
      </w:r>
      <w:r>
        <w:rPr>
          <w:spacing w:val="-25"/>
        </w:rPr>
        <w:t> </w:t>
      </w:r>
      <w:r>
        <w:rPr/>
        <w:t>held</w:t>
      </w:r>
      <w:r>
        <w:rPr>
          <w:spacing w:val="-25"/>
        </w:rPr>
        <w:t> </w:t>
      </w:r>
      <w:r>
        <w:rPr/>
        <w:t>that</w:t>
      </w:r>
      <w:r>
        <w:rPr>
          <w:spacing w:val="-26"/>
        </w:rPr>
        <w:t> </w:t>
      </w:r>
      <w:r>
        <w:rPr/>
        <w:t>private dealings between the appraisers selected by the parties while the appraisal procedure is pending may be grounds for vacating an appraisal award. The burden was said to</w:t>
      </w:r>
      <w:r>
        <w:rPr>
          <w:spacing w:val="-8"/>
        </w:rPr>
        <w:t> </w:t>
      </w:r>
      <w:r>
        <w:rPr/>
        <w:t>be</w:t>
      </w:r>
    </w:p>
    <w:p>
      <w:pPr>
        <w:pStyle w:val="BodyText"/>
        <w:rPr>
          <w:sz w:val="20"/>
        </w:rPr>
      </w:pPr>
    </w:p>
    <w:p>
      <w:pPr>
        <w:pStyle w:val="BodyText"/>
        <w:spacing w:before="8"/>
        <w:rPr>
          <w:sz w:val="17"/>
        </w:rPr>
      </w:pPr>
    </w:p>
    <w:p>
      <w:pPr>
        <w:spacing w:line="269" w:lineRule="exact" w:before="0"/>
        <w:ind w:left="1160" w:right="0" w:firstLine="0"/>
        <w:jc w:val="left"/>
        <w:rPr>
          <w:rFonts w:ascii="Times New Roman"/>
          <w:sz w:val="18"/>
        </w:rPr>
      </w:pPr>
      <w:r>
        <w:rPr>
          <w:rFonts w:ascii="Times New Roman"/>
          <w:position w:val="10"/>
          <w:sz w:val="14"/>
        </w:rPr>
        <w:t>900</w:t>
      </w:r>
      <w:r>
        <w:rPr>
          <w:rFonts w:ascii="Times New Roman"/>
          <w:sz w:val="18"/>
          <w:u w:val="single"/>
        </w:rPr>
        <w:t>Glendale LLC v. Amco Ins. Co.</w:t>
      </w:r>
      <w:r>
        <w:rPr>
          <w:rFonts w:ascii="Times New Roman"/>
          <w:sz w:val="18"/>
        </w:rPr>
        <w:t>, 2012 WL 2917920 (W.D.N.C. 2012).</w:t>
      </w:r>
    </w:p>
    <w:p>
      <w:pPr>
        <w:pStyle w:val="ListParagraph"/>
        <w:numPr>
          <w:ilvl w:val="0"/>
          <w:numId w:val="5"/>
        </w:numPr>
        <w:tabs>
          <w:tab w:pos="1433" w:val="left" w:leader="none"/>
        </w:tabs>
        <w:spacing w:line="261" w:lineRule="auto" w:before="0" w:after="0"/>
        <w:ind w:left="1160" w:right="1164" w:firstLine="0"/>
        <w:jc w:val="left"/>
        <w:rPr>
          <w:sz w:val="18"/>
        </w:rPr>
      </w:pPr>
      <w:r>
        <w:rPr>
          <w:sz w:val="18"/>
          <w:u w:val="single"/>
        </w:rPr>
        <w:t>Hartford Lloyds Ins. Co. v. Teachworth</w:t>
      </w:r>
      <w:r>
        <w:rPr>
          <w:sz w:val="18"/>
        </w:rPr>
        <w:t>, 898 F.2d 1058 (5</w:t>
      </w:r>
      <w:r>
        <w:rPr>
          <w:position w:val="7"/>
          <w:sz w:val="10"/>
        </w:rPr>
        <w:t>th </w:t>
      </w:r>
      <w:r>
        <w:rPr>
          <w:sz w:val="18"/>
        </w:rPr>
        <w:t>Cir. 1990); </w:t>
      </w:r>
      <w:r>
        <w:rPr>
          <w:sz w:val="18"/>
          <w:u w:val="single"/>
        </w:rPr>
        <w:t>Columbia Cas. Co. v. Southern Flapjacks, Inc.</w:t>
      </w:r>
      <w:r>
        <w:rPr>
          <w:sz w:val="18"/>
        </w:rPr>
        <w:t>, 868 F.2d 1217 (11</w:t>
      </w:r>
      <w:r>
        <w:rPr>
          <w:position w:val="7"/>
          <w:sz w:val="10"/>
        </w:rPr>
        <w:t>th </w:t>
      </w:r>
      <w:r>
        <w:rPr>
          <w:sz w:val="18"/>
        </w:rPr>
        <w:t>Cir.</w:t>
      </w:r>
      <w:r>
        <w:rPr>
          <w:spacing w:val="6"/>
          <w:sz w:val="18"/>
        </w:rPr>
        <w:t> </w:t>
      </w:r>
      <w:r>
        <w:rPr>
          <w:sz w:val="18"/>
        </w:rPr>
        <w:t>1989).</w:t>
      </w:r>
    </w:p>
    <w:p>
      <w:pPr>
        <w:spacing w:after="0" w:line="261" w:lineRule="auto"/>
        <w:jc w:val="left"/>
        <w:rPr>
          <w:sz w:val="18"/>
        </w:rPr>
        <w:sectPr>
          <w:footerReference w:type="default" r:id="rId6"/>
          <w:pgSz w:w="12240" w:h="15840"/>
          <w:pgMar w:footer="2476" w:header="0" w:top="1500" w:bottom="26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20"/>
        <w:jc w:val="both"/>
      </w:pPr>
      <w:bookmarkStart w:name="Law and Procedure 434" w:id="11"/>
      <w:bookmarkEnd w:id="11"/>
      <w:r>
        <w:rPr/>
      </w:r>
      <w:r>
        <w:rPr/>
        <w:t>on the appraisers to show the significance of the business conducted and that the parties' interests were not prejudiced.</w:t>
      </w:r>
      <w:r>
        <w:rPr>
          <w:vertAlign w:val="superscript"/>
        </w:rPr>
        <w:t>902</w:t>
      </w:r>
    </w:p>
    <w:p>
      <w:pPr>
        <w:pStyle w:val="BodyText"/>
        <w:spacing w:before="1"/>
      </w:pPr>
    </w:p>
    <w:p>
      <w:pPr>
        <w:pStyle w:val="BodyText"/>
        <w:spacing w:line="242" w:lineRule="auto"/>
        <w:ind w:left="1520" w:right="1518" w:firstLine="720"/>
        <w:jc w:val="both"/>
      </w:pPr>
      <w:r>
        <w:rPr/>
        <w:t>Appraisers without knowledge of essential facts must give the parties an opportunity</w:t>
      </w:r>
      <w:r>
        <w:rPr>
          <w:spacing w:val="-27"/>
        </w:rPr>
        <w:t> </w:t>
      </w:r>
      <w:r>
        <w:rPr/>
        <w:t>to</w:t>
      </w:r>
      <w:r>
        <w:rPr>
          <w:spacing w:val="-24"/>
        </w:rPr>
        <w:t> </w:t>
      </w:r>
      <w:r>
        <w:rPr/>
        <w:t>produce</w:t>
      </w:r>
      <w:r>
        <w:rPr>
          <w:spacing w:val="-24"/>
        </w:rPr>
        <w:t> </w:t>
      </w:r>
      <w:r>
        <w:rPr/>
        <w:t>available</w:t>
      </w:r>
      <w:r>
        <w:rPr>
          <w:spacing w:val="-23"/>
        </w:rPr>
        <w:t> </w:t>
      </w:r>
      <w:r>
        <w:rPr/>
        <w:t>evidence.</w:t>
      </w:r>
      <w:r>
        <w:rPr>
          <w:spacing w:val="18"/>
        </w:rPr>
        <w:t> </w:t>
      </w:r>
      <w:r>
        <w:rPr/>
        <w:t>A </w:t>
      </w:r>
      <w:r>
        <w:rPr>
          <w:spacing w:val="2"/>
        </w:rPr>
        <w:t>failure </w:t>
      </w:r>
      <w:r>
        <w:rPr/>
        <w:t>in this respect may result in an award made</w:t>
      </w:r>
      <w:r>
        <w:rPr>
          <w:spacing w:val="-27"/>
        </w:rPr>
        <w:t> </w:t>
      </w:r>
      <w:r>
        <w:rPr/>
        <w:t>in</w:t>
      </w:r>
      <w:r>
        <w:rPr>
          <w:spacing w:val="-26"/>
        </w:rPr>
        <w:t> </w:t>
      </w:r>
      <w:r>
        <w:rPr/>
        <w:t>disregard</w:t>
      </w:r>
      <w:r>
        <w:rPr>
          <w:spacing w:val="-27"/>
        </w:rPr>
        <w:t> </w:t>
      </w:r>
      <w:r>
        <w:rPr/>
        <w:t>of</w:t>
      </w:r>
      <w:r>
        <w:rPr>
          <w:spacing w:val="-26"/>
        </w:rPr>
        <w:t> </w:t>
      </w:r>
      <w:r>
        <w:rPr/>
        <w:t>some</w:t>
      </w:r>
      <w:r>
        <w:rPr>
          <w:spacing w:val="-27"/>
        </w:rPr>
        <w:t> </w:t>
      </w:r>
      <w:r>
        <w:rPr/>
        <w:t>relevant</w:t>
      </w:r>
      <w:r>
        <w:rPr>
          <w:spacing w:val="-24"/>
        </w:rPr>
        <w:t> </w:t>
      </w:r>
      <w:r>
        <w:rPr/>
        <w:t>fact</w:t>
      </w:r>
      <w:r>
        <w:rPr>
          <w:spacing w:val="-26"/>
        </w:rPr>
        <w:t> </w:t>
      </w:r>
      <w:r>
        <w:rPr/>
        <w:t>and</w:t>
      </w:r>
      <w:r>
        <w:rPr>
          <w:spacing w:val="-23"/>
        </w:rPr>
        <w:t> </w:t>
      </w:r>
      <w:r>
        <w:rPr/>
        <w:t>in ignorance of others. Such a circumstance</w:t>
      </w:r>
      <w:r>
        <w:rPr>
          <w:spacing w:val="-38"/>
        </w:rPr>
        <w:t> </w:t>
      </w:r>
      <w:r>
        <w:rPr/>
        <w:t>has been held to justify the setting aside of an appraisal</w:t>
      </w:r>
      <w:r>
        <w:rPr>
          <w:spacing w:val="-1"/>
        </w:rPr>
        <w:t> </w:t>
      </w:r>
      <w:r>
        <w:rPr/>
        <w:t>award.</w:t>
      </w:r>
      <w:r>
        <w:rPr>
          <w:vertAlign w:val="superscript"/>
        </w:rPr>
        <w:t>903</w:t>
      </w:r>
    </w:p>
    <w:p>
      <w:pPr>
        <w:pStyle w:val="BodyText"/>
      </w:pPr>
    </w:p>
    <w:p>
      <w:pPr>
        <w:pStyle w:val="BodyText"/>
        <w:spacing w:line="242" w:lineRule="auto"/>
        <w:ind w:left="1520" w:right="1520" w:firstLine="720"/>
        <w:jc w:val="both"/>
      </w:pPr>
      <w:r>
        <w:rPr>
          <w:spacing w:val="3"/>
        </w:rPr>
        <w:t>In</w:t>
      </w:r>
      <w:r>
        <w:rPr>
          <w:spacing w:val="-27"/>
        </w:rPr>
        <w:t> </w:t>
      </w:r>
      <w:r>
        <w:rPr/>
        <w:t>order</w:t>
      </w:r>
      <w:r>
        <w:rPr>
          <w:spacing w:val="-28"/>
        </w:rPr>
        <w:t> </w:t>
      </w:r>
      <w:r>
        <w:rPr/>
        <w:t>to</w:t>
      </w:r>
      <w:r>
        <w:rPr>
          <w:spacing w:val="-27"/>
        </w:rPr>
        <w:t> </w:t>
      </w:r>
      <w:r>
        <w:rPr/>
        <w:t>avoid</w:t>
      </w:r>
      <w:r>
        <w:rPr>
          <w:spacing w:val="-28"/>
        </w:rPr>
        <w:t> </w:t>
      </w:r>
      <w:r>
        <w:rPr/>
        <w:t>such</w:t>
      </w:r>
      <w:r>
        <w:rPr>
          <w:spacing w:val="-26"/>
        </w:rPr>
        <w:t> </w:t>
      </w:r>
      <w:r>
        <w:rPr/>
        <w:t>a</w:t>
      </w:r>
      <w:r>
        <w:rPr>
          <w:spacing w:val="-26"/>
        </w:rPr>
        <w:t> </w:t>
      </w:r>
      <w:r>
        <w:rPr/>
        <w:t>result,</w:t>
      </w:r>
      <w:r>
        <w:rPr>
          <w:spacing w:val="-29"/>
        </w:rPr>
        <w:t> </w:t>
      </w:r>
      <w:r>
        <w:rPr/>
        <w:t>the</w:t>
      </w:r>
      <w:r>
        <w:rPr>
          <w:spacing w:val="-28"/>
        </w:rPr>
        <w:t> </w:t>
      </w:r>
      <w:r>
        <w:rPr/>
        <w:t>insured is</w:t>
      </w:r>
      <w:r>
        <w:rPr>
          <w:spacing w:val="-27"/>
        </w:rPr>
        <w:t> </w:t>
      </w:r>
      <w:r>
        <w:rPr/>
        <w:t>entitled</w:t>
      </w:r>
      <w:r>
        <w:rPr>
          <w:spacing w:val="-26"/>
        </w:rPr>
        <w:t> </w:t>
      </w:r>
      <w:r>
        <w:rPr/>
        <w:t>to</w:t>
      </w:r>
      <w:r>
        <w:rPr>
          <w:spacing w:val="-26"/>
        </w:rPr>
        <w:t> </w:t>
      </w:r>
      <w:r>
        <w:rPr/>
        <w:t>timely</w:t>
      </w:r>
      <w:r>
        <w:rPr>
          <w:spacing w:val="-29"/>
        </w:rPr>
        <w:t> </w:t>
      </w:r>
      <w:r>
        <w:rPr/>
        <w:t>and</w:t>
      </w:r>
      <w:r>
        <w:rPr>
          <w:spacing w:val="-28"/>
        </w:rPr>
        <w:t> </w:t>
      </w:r>
      <w:r>
        <w:rPr/>
        <w:t>adequate</w:t>
      </w:r>
      <w:r>
        <w:rPr>
          <w:spacing w:val="-29"/>
        </w:rPr>
        <w:t> </w:t>
      </w:r>
      <w:r>
        <w:rPr/>
        <w:t>notice</w:t>
      </w:r>
      <w:r>
        <w:rPr>
          <w:spacing w:val="-29"/>
        </w:rPr>
        <w:t> </w:t>
      </w:r>
      <w:r>
        <w:rPr/>
        <w:t>of</w:t>
      </w:r>
      <w:r>
        <w:rPr>
          <w:spacing w:val="-26"/>
        </w:rPr>
        <w:t> </w:t>
      </w:r>
      <w:r>
        <w:rPr/>
        <w:t>the specifics of the dispute by the insurer so that the insured can contest a denial of coverage prior to</w:t>
      </w:r>
      <w:r>
        <w:rPr>
          <w:spacing w:val="-2"/>
        </w:rPr>
        <w:t> </w:t>
      </w:r>
      <w:r>
        <w:rPr/>
        <w:t>appraisal.</w:t>
      </w:r>
      <w:r>
        <w:rPr>
          <w:vertAlign w:val="superscript"/>
        </w:rPr>
        <w:t>904</w:t>
      </w:r>
    </w:p>
    <w:p>
      <w:pPr>
        <w:pStyle w:val="BodyText"/>
        <w:spacing w:before="1"/>
      </w:pPr>
    </w:p>
    <w:p>
      <w:pPr>
        <w:pStyle w:val="BodyText"/>
        <w:spacing w:line="242" w:lineRule="auto"/>
        <w:ind w:left="1520" w:right="1518" w:firstLine="720"/>
        <w:jc w:val="both"/>
      </w:pPr>
      <w:r>
        <w:rPr/>
        <w:t>An appraiser’s denial of an insured’s request to be heard regarding the value of stock before the loss constituted conduct sufficient to invalidate the award. </w:t>
      </w:r>
      <w:r>
        <w:rPr>
          <w:vertAlign w:val="superscript"/>
        </w:rPr>
        <w:t>905</w:t>
      </w:r>
    </w:p>
    <w:p>
      <w:pPr>
        <w:pStyle w:val="BodyText"/>
        <w:spacing w:before="1"/>
      </w:pPr>
    </w:p>
    <w:p>
      <w:pPr>
        <w:pStyle w:val="BodyText"/>
        <w:spacing w:line="242" w:lineRule="auto" w:before="1"/>
        <w:ind w:left="1520" w:right="1520" w:firstLine="720"/>
        <w:jc w:val="both"/>
      </w:pPr>
      <w:r>
        <w:rPr/>
        <w:t>Conversely, an award of the insured's appraiser and the umpire was determined to be</w:t>
      </w:r>
      <w:r>
        <w:rPr>
          <w:spacing w:val="-13"/>
        </w:rPr>
        <w:t> </w:t>
      </w:r>
      <w:r>
        <w:rPr/>
        <w:t>valid,</w:t>
      </w:r>
      <w:r>
        <w:rPr>
          <w:spacing w:val="-14"/>
        </w:rPr>
        <w:t> </w:t>
      </w:r>
      <w:r>
        <w:rPr/>
        <w:t>where</w:t>
      </w:r>
      <w:r>
        <w:rPr>
          <w:spacing w:val="-11"/>
        </w:rPr>
        <w:t> </w:t>
      </w:r>
      <w:r>
        <w:rPr/>
        <w:t>the</w:t>
      </w:r>
      <w:r>
        <w:rPr>
          <w:spacing w:val="-11"/>
        </w:rPr>
        <w:t> </w:t>
      </w:r>
      <w:r>
        <w:rPr/>
        <w:t>appraisers</w:t>
      </w:r>
      <w:r>
        <w:rPr>
          <w:spacing w:val="-13"/>
        </w:rPr>
        <w:t> </w:t>
      </w:r>
      <w:r>
        <w:rPr/>
        <w:t>disagreed</w:t>
      </w:r>
      <w:r>
        <w:rPr>
          <w:spacing w:val="-14"/>
        </w:rPr>
        <w:t> </w:t>
      </w:r>
      <w:r>
        <w:rPr/>
        <w:t>as</w:t>
      </w:r>
      <w:r>
        <w:rPr>
          <w:spacing w:val="-12"/>
        </w:rPr>
        <w:t> </w:t>
      </w:r>
      <w:r>
        <w:rPr/>
        <w:t>to</w:t>
      </w:r>
    </w:p>
    <w:p>
      <w:pPr>
        <w:pStyle w:val="BodyText"/>
        <w:rPr>
          <w:sz w:val="20"/>
        </w:rPr>
      </w:pPr>
    </w:p>
    <w:p>
      <w:pPr>
        <w:pStyle w:val="BodyText"/>
        <w:spacing w:before="3"/>
        <w:rPr>
          <w:sz w:val="11"/>
        </w:rPr>
      </w:pPr>
      <w:r>
        <w:rPr/>
        <w:pict>
          <v:shape style="position:absolute;margin-left:162pt;margin-top:9.330396pt;width:143.9pt;height:.1pt;mso-position-horizontal-relative:page;mso-position-vertical-relative:paragraph;z-index:-251651072;mso-wrap-distance-left:0;mso-wrap-distance-right:0" coordorigin="3240,187" coordsize="2878,0" path="m3240,187l6118,187e" filled="false" stroked="true" strokeweight=".84pt" strokecolor="#000000">
            <v:path arrowok="t"/>
            <v:stroke dashstyle="solid"/>
            <w10:wrap type="topAndBottom"/>
          </v:shape>
        </w:pict>
      </w:r>
    </w:p>
    <w:p>
      <w:pPr>
        <w:pStyle w:val="ListParagraph"/>
        <w:numPr>
          <w:ilvl w:val="0"/>
          <w:numId w:val="5"/>
        </w:numPr>
        <w:tabs>
          <w:tab w:pos="1402" w:val="left" w:leader="none"/>
        </w:tabs>
        <w:spacing w:line="240" w:lineRule="exact" w:before="140" w:after="0"/>
        <w:ind w:left="1401" w:right="0" w:hanging="242"/>
        <w:jc w:val="left"/>
        <w:rPr>
          <w:sz w:val="18"/>
        </w:rPr>
      </w:pPr>
      <w:r>
        <w:rPr>
          <w:sz w:val="18"/>
          <w:u w:val="single"/>
        </w:rPr>
        <w:t>Figi v. New Hampshire Ins. Co.</w:t>
      </w:r>
      <w:r>
        <w:rPr>
          <w:sz w:val="18"/>
        </w:rPr>
        <w:t>, 108 Cal. App.3d 772, 166 Cal. Rptr. 774</w:t>
      </w:r>
      <w:r>
        <w:rPr>
          <w:spacing w:val="4"/>
          <w:sz w:val="18"/>
        </w:rPr>
        <w:t> </w:t>
      </w:r>
      <w:r>
        <w:rPr>
          <w:sz w:val="18"/>
        </w:rPr>
        <w:t>(1980).</w:t>
      </w:r>
    </w:p>
    <w:p>
      <w:pPr>
        <w:pStyle w:val="ListParagraph"/>
        <w:numPr>
          <w:ilvl w:val="0"/>
          <w:numId w:val="5"/>
        </w:numPr>
        <w:tabs>
          <w:tab w:pos="1418" w:val="left" w:leader="none"/>
        </w:tabs>
        <w:spacing w:line="240" w:lineRule="exact" w:before="0" w:after="0"/>
        <w:ind w:left="1418" w:right="0" w:hanging="258"/>
        <w:jc w:val="left"/>
        <w:rPr>
          <w:sz w:val="10"/>
        </w:rPr>
      </w:pPr>
      <w:r>
        <w:rPr>
          <w:sz w:val="18"/>
          <w:u w:val="single"/>
        </w:rPr>
        <w:t>St. Paul Fire &amp; Marine Ins. Co. v. The Tire Clearing House, Inc., etc.</w:t>
      </w:r>
      <w:r>
        <w:rPr>
          <w:sz w:val="18"/>
        </w:rPr>
        <w:t>, 58 F.2d 610</w:t>
      </w:r>
      <w:r>
        <w:rPr>
          <w:spacing w:val="-19"/>
          <w:sz w:val="18"/>
        </w:rPr>
        <w:t> </w:t>
      </w:r>
      <w:r>
        <w:rPr>
          <w:sz w:val="18"/>
        </w:rPr>
        <w:t>(8</w:t>
      </w:r>
      <w:r>
        <w:rPr>
          <w:position w:val="7"/>
          <w:sz w:val="10"/>
        </w:rPr>
        <w:t>th</w:t>
      </w:r>
    </w:p>
    <w:p>
      <w:pPr>
        <w:spacing w:before="6"/>
        <w:ind w:left="1160" w:right="0" w:firstLine="0"/>
        <w:jc w:val="left"/>
        <w:rPr>
          <w:rFonts w:ascii="Times New Roman"/>
          <w:sz w:val="24"/>
        </w:rPr>
      </w:pPr>
      <w:r>
        <w:rPr>
          <w:rFonts w:ascii="Times New Roman"/>
          <w:sz w:val="18"/>
        </w:rPr>
        <w:t>Cir. 1932)</w:t>
      </w:r>
      <w:r>
        <w:rPr>
          <w:rFonts w:ascii="Times New Roman"/>
          <w:sz w:val="24"/>
        </w:rPr>
        <w:t>.</w:t>
      </w:r>
    </w:p>
    <w:p>
      <w:pPr>
        <w:pStyle w:val="ListParagraph"/>
        <w:numPr>
          <w:ilvl w:val="0"/>
          <w:numId w:val="5"/>
        </w:numPr>
        <w:tabs>
          <w:tab w:pos="1421" w:val="left" w:leader="none"/>
        </w:tabs>
        <w:spacing w:line="259" w:lineRule="exact" w:before="1" w:after="0"/>
        <w:ind w:left="1420" w:right="0" w:hanging="261"/>
        <w:jc w:val="left"/>
        <w:rPr>
          <w:sz w:val="24"/>
        </w:rPr>
      </w:pPr>
      <w:r>
        <w:rPr>
          <w:i/>
          <w:sz w:val="18"/>
        </w:rPr>
        <w:t>See </w:t>
      </w:r>
      <w:r>
        <w:rPr>
          <w:sz w:val="18"/>
          <w:u w:val="single"/>
        </w:rPr>
        <w:t>Hahn v. Allstate Ins. Co.</w:t>
      </w:r>
      <w:r>
        <w:rPr>
          <w:sz w:val="18"/>
        </w:rPr>
        <w:t>, 15 A.3d 1026 (R.I.</w:t>
      </w:r>
      <w:r>
        <w:rPr>
          <w:spacing w:val="11"/>
          <w:sz w:val="18"/>
        </w:rPr>
        <w:t> </w:t>
      </w:r>
      <w:r>
        <w:rPr>
          <w:sz w:val="18"/>
        </w:rPr>
        <w:t>2011</w:t>
      </w:r>
      <w:r>
        <w:rPr>
          <w:sz w:val="24"/>
        </w:rPr>
        <w:t>).</w:t>
      </w:r>
    </w:p>
    <w:p>
      <w:pPr>
        <w:pStyle w:val="ListParagraph"/>
        <w:numPr>
          <w:ilvl w:val="0"/>
          <w:numId w:val="5"/>
        </w:numPr>
        <w:tabs>
          <w:tab w:pos="1421" w:val="left" w:leader="none"/>
        </w:tabs>
        <w:spacing w:line="236" w:lineRule="exact" w:before="0" w:after="0"/>
        <w:ind w:left="1421" w:right="0" w:hanging="261"/>
        <w:jc w:val="left"/>
        <w:rPr>
          <w:sz w:val="18"/>
        </w:rPr>
      </w:pPr>
      <w:r>
        <w:rPr>
          <w:sz w:val="18"/>
          <w:u w:val="single"/>
        </w:rPr>
        <w:t>Aetna Ins. Co. v. Murray</w:t>
      </w:r>
      <w:r>
        <w:rPr>
          <w:sz w:val="18"/>
        </w:rPr>
        <w:t>, 66 F.2d 289 (10</w:t>
      </w:r>
      <w:r>
        <w:rPr>
          <w:position w:val="7"/>
          <w:sz w:val="10"/>
        </w:rPr>
        <w:t>th  </w:t>
      </w:r>
      <w:r>
        <w:rPr>
          <w:sz w:val="18"/>
        </w:rPr>
        <w:t>Cir.</w:t>
      </w:r>
      <w:r>
        <w:rPr>
          <w:spacing w:val="12"/>
          <w:sz w:val="18"/>
        </w:rPr>
        <w:t> </w:t>
      </w:r>
      <w:r>
        <w:rPr>
          <w:sz w:val="18"/>
        </w:rPr>
        <w:t>1933).</w:t>
      </w:r>
    </w:p>
    <w:p>
      <w:pPr>
        <w:spacing w:after="0" w:line="236" w:lineRule="exact"/>
        <w:jc w:val="left"/>
        <w:rPr>
          <w:sz w:val="18"/>
        </w:rPr>
        <w:sectPr>
          <w:footerReference w:type="default" r:id="rId7"/>
          <w:pgSz w:w="12240" w:h="15840"/>
          <w:pgMar w:footer="2273" w:header="0" w:top="1500" w:bottom="2460" w:left="1720" w:right="1720"/>
          <w:pgNumType w:start="473"/>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tabs>
          <w:tab w:pos="2767" w:val="left" w:leader="none"/>
          <w:tab w:pos="3401" w:val="left" w:leader="none"/>
          <w:tab w:pos="4567" w:val="left" w:leader="none"/>
          <w:tab w:pos="5976" w:val="left" w:leader="none"/>
          <w:tab w:pos="6965" w:val="left" w:leader="none"/>
        </w:tabs>
        <w:spacing w:line="242" w:lineRule="auto" w:before="42"/>
        <w:ind w:left="1520" w:right="1518"/>
      </w:pPr>
      <w:bookmarkStart w:name="Law and Procedure 435" w:id="12"/>
      <w:bookmarkEnd w:id="12"/>
      <w:r>
        <w:rPr/>
      </w:r>
      <w:r>
        <w:rPr/>
        <w:t>whether</w:t>
        <w:tab/>
        <w:t>the</w:t>
        <w:tab/>
        <w:t>insurer's</w:t>
        <w:tab/>
        <w:t>appraiser</w:t>
        <w:tab/>
        <w:t>made</w:t>
        <w:tab/>
      </w:r>
      <w:r>
        <w:rPr>
          <w:spacing w:val="-5"/>
        </w:rPr>
        <w:t>his </w:t>
      </w:r>
      <w:r>
        <w:rPr/>
        <w:t>position</w:t>
      </w:r>
      <w:r>
        <w:rPr>
          <w:spacing w:val="-1"/>
        </w:rPr>
        <w:t> </w:t>
      </w:r>
      <w:r>
        <w:rPr/>
        <w:t>known.</w:t>
      </w:r>
      <w:r>
        <w:rPr>
          <w:vertAlign w:val="superscript"/>
        </w:rPr>
        <w:t>906</w:t>
      </w:r>
    </w:p>
    <w:p>
      <w:pPr>
        <w:pStyle w:val="BodyText"/>
        <w:spacing w:before="1"/>
      </w:pPr>
    </w:p>
    <w:p>
      <w:pPr>
        <w:pStyle w:val="BodyText"/>
        <w:spacing w:line="242" w:lineRule="auto" w:before="1"/>
        <w:ind w:left="1520" w:right="1518" w:firstLine="720"/>
        <w:jc w:val="both"/>
      </w:pPr>
      <w:r>
        <w:rPr/>
        <w:t>Even in cases of total loss and</w:t>
      </w:r>
      <w:r>
        <w:rPr>
          <w:spacing w:val="-36"/>
        </w:rPr>
        <w:t> </w:t>
      </w:r>
      <w:r>
        <w:rPr>
          <w:spacing w:val="-3"/>
        </w:rPr>
        <w:t>regardless </w:t>
      </w:r>
      <w:r>
        <w:rPr/>
        <w:t>of whether any property remains to be inspected, the parties have the right</w:t>
      </w:r>
      <w:r>
        <w:rPr>
          <w:spacing w:val="57"/>
        </w:rPr>
        <w:t> </w:t>
      </w:r>
      <w:r>
        <w:rPr/>
        <w:t>to appraisal including the presentation of evidence</w:t>
      </w:r>
      <w:r>
        <w:rPr>
          <w:spacing w:val="-29"/>
        </w:rPr>
        <w:t> </w:t>
      </w:r>
      <w:r>
        <w:rPr/>
        <w:t>by</w:t>
      </w:r>
      <w:r>
        <w:rPr>
          <w:spacing w:val="-26"/>
        </w:rPr>
        <w:t> </w:t>
      </w:r>
      <w:r>
        <w:rPr/>
        <w:t>witnesses</w:t>
      </w:r>
      <w:r>
        <w:rPr>
          <w:spacing w:val="-26"/>
        </w:rPr>
        <w:t> </w:t>
      </w:r>
      <w:r>
        <w:rPr/>
        <w:t>as</w:t>
      </w:r>
      <w:r>
        <w:rPr>
          <w:spacing w:val="-25"/>
        </w:rPr>
        <w:t> </w:t>
      </w:r>
      <w:r>
        <w:rPr/>
        <w:t>to</w:t>
      </w:r>
      <w:r>
        <w:rPr>
          <w:spacing w:val="-24"/>
        </w:rPr>
        <w:t> </w:t>
      </w:r>
      <w:r>
        <w:rPr/>
        <w:t>their</w:t>
      </w:r>
      <w:r>
        <w:rPr>
          <w:spacing w:val="-28"/>
        </w:rPr>
        <w:t> </w:t>
      </w:r>
      <w:r>
        <w:rPr/>
        <w:t>knowledge</w:t>
      </w:r>
      <w:r>
        <w:rPr>
          <w:spacing w:val="-28"/>
        </w:rPr>
        <w:t> </w:t>
      </w:r>
      <w:r>
        <w:rPr/>
        <w:t>of the value of what was destroyed as well as </w:t>
      </w:r>
      <w:r>
        <w:rPr>
          <w:spacing w:val="5"/>
        </w:rPr>
        <w:t>other </w:t>
      </w:r>
      <w:r>
        <w:rPr>
          <w:spacing w:val="6"/>
        </w:rPr>
        <w:t>documentary </w:t>
      </w:r>
      <w:r>
        <w:rPr>
          <w:spacing w:val="4"/>
        </w:rPr>
        <w:t>and </w:t>
      </w:r>
      <w:r>
        <w:rPr>
          <w:spacing w:val="6"/>
        </w:rPr>
        <w:t>photographic </w:t>
      </w:r>
      <w:r>
        <w:rPr/>
        <w:t>evidence. Anything else that might be available which tends to establish the condition and value of the property both pre and post loss should be considered in</w:t>
      </w:r>
      <w:r>
        <w:rPr>
          <w:spacing w:val="-53"/>
        </w:rPr>
        <w:t> </w:t>
      </w:r>
      <w:r>
        <w:rPr/>
        <w:t>bringing the</w:t>
      </w:r>
      <w:r>
        <w:rPr>
          <w:spacing w:val="-30"/>
        </w:rPr>
        <w:t> </w:t>
      </w:r>
      <w:r>
        <w:rPr/>
        <w:t>appraisal</w:t>
      </w:r>
      <w:r>
        <w:rPr>
          <w:spacing w:val="-28"/>
        </w:rPr>
        <w:t> </w:t>
      </w:r>
      <w:r>
        <w:rPr/>
        <w:t>process</w:t>
      </w:r>
      <w:r>
        <w:rPr>
          <w:spacing w:val="-31"/>
        </w:rPr>
        <w:t> </w:t>
      </w:r>
      <w:r>
        <w:rPr/>
        <w:t>to</w:t>
      </w:r>
      <w:r>
        <w:rPr>
          <w:spacing w:val="-31"/>
        </w:rPr>
        <w:t> </w:t>
      </w:r>
      <w:r>
        <w:rPr/>
        <w:t>a</w:t>
      </w:r>
      <w:r>
        <w:rPr>
          <w:spacing w:val="-31"/>
        </w:rPr>
        <w:t> </w:t>
      </w:r>
      <w:r>
        <w:rPr/>
        <w:t>proper</w:t>
      </w:r>
      <w:r>
        <w:rPr>
          <w:spacing w:val="-31"/>
        </w:rPr>
        <w:t> </w:t>
      </w:r>
      <w:r>
        <w:rPr>
          <w:spacing w:val="-4"/>
        </w:rPr>
        <w:t>conclusion.</w:t>
      </w:r>
      <w:r>
        <w:rPr>
          <w:spacing w:val="-4"/>
          <w:vertAlign w:val="superscript"/>
        </w:rPr>
        <w:t>907</w:t>
      </w:r>
    </w:p>
    <w:p>
      <w:pPr>
        <w:pStyle w:val="BodyText"/>
        <w:spacing w:before="10"/>
        <w:rPr>
          <w:sz w:val="25"/>
        </w:rPr>
      </w:pPr>
    </w:p>
    <w:p>
      <w:pPr>
        <w:pStyle w:val="BodyText"/>
        <w:spacing w:line="242" w:lineRule="auto"/>
        <w:ind w:left="1520" w:right="1517" w:firstLine="720"/>
        <w:jc w:val="both"/>
      </w:pPr>
      <w:r>
        <w:rPr>
          <w:spacing w:val="3"/>
        </w:rPr>
        <w:t>In </w:t>
      </w:r>
      <w:r>
        <w:rPr/>
        <w:t>case of total destruction, where the property is unavailable for inspection, the appraisers</w:t>
      </w:r>
      <w:r>
        <w:rPr>
          <w:spacing w:val="-32"/>
        </w:rPr>
        <w:t> </w:t>
      </w:r>
      <w:r>
        <w:rPr/>
        <w:t>should</w:t>
      </w:r>
      <w:r>
        <w:rPr>
          <w:spacing w:val="-29"/>
        </w:rPr>
        <w:t> </w:t>
      </w:r>
      <w:r>
        <w:rPr/>
        <w:t>give</w:t>
      </w:r>
      <w:r>
        <w:rPr>
          <w:spacing w:val="-33"/>
        </w:rPr>
        <w:t> </w:t>
      </w:r>
      <w:r>
        <w:rPr/>
        <w:t>notice</w:t>
      </w:r>
      <w:r>
        <w:rPr>
          <w:spacing w:val="-36"/>
        </w:rPr>
        <w:t> </w:t>
      </w:r>
      <w:r>
        <w:rPr/>
        <w:t>to</w:t>
      </w:r>
      <w:r>
        <w:rPr>
          <w:spacing w:val="-34"/>
        </w:rPr>
        <w:t> </w:t>
      </w:r>
      <w:r>
        <w:rPr>
          <w:spacing w:val="-3"/>
        </w:rPr>
        <w:t>the</w:t>
      </w:r>
      <w:r>
        <w:rPr>
          <w:spacing w:val="-35"/>
        </w:rPr>
        <w:t> </w:t>
      </w:r>
      <w:r>
        <w:rPr/>
        <w:t>parties</w:t>
      </w:r>
      <w:r>
        <w:rPr>
          <w:spacing w:val="-33"/>
        </w:rPr>
        <w:t> </w:t>
      </w:r>
      <w:r>
        <w:rPr/>
        <w:t>and let each in the other’s presence, present their respective evidence and</w:t>
      </w:r>
      <w:r>
        <w:rPr>
          <w:spacing w:val="-4"/>
        </w:rPr>
        <w:t> </w:t>
      </w:r>
      <w:r>
        <w:rPr/>
        <w:t>positions.</w:t>
      </w:r>
      <w:r>
        <w:rPr>
          <w:vertAlign w:val="superscript"/>
        </w:rPr>
        <w:t>908</w:t>
      </w:r>
    </w:p>
    <w:p>
      <w:pPr>
        <w:pStyle w:val="BodyText"/>
        <w:spacing w:before="1"/>
      </w:pPr>
    </w:p>
    <w:p>
      <w:pPr>
        <w:pStyle w:val="BodyText"/>
        <w:spacing w:line="242" w:lineRule="auto"/>
        <w:ind w:left="1520" w:right="1519" w:firstLine="720"/>
        <w:jc w:val="both"/>
      </w:pPr>
      <w:r>
        <w:rPr>
          <w:spacing w:val="2"/>
        </w:rPr>
        <w:t>As</w:t>
      </w:r>
      <w:r>
        <w:rPr>
          <w:spacing w:val="-22"/>
        </w:rPr>
        <w:t> </w:t>
      </w:r>
      <w:r>
        <w:rPr/>
        <w:t>ever</w:t>
      </w:r>
      <w:r>
        <w:rPr>
          <w:spacing w:val="-23"/>
        </w:rPr>
        <w:t> </w:t>
      </w:r>
      <w:r>
        <w:rPr/>
        <w:t>greater</w:t>
      </w:r>
      <w:r>
        <w:rPr>
          <w:spacing w:val="-23"/>
        </w:rPr>
        <w:t> </w:t>
      </w:r>
      <w:r>
        <w:rPr/>
        <w:t>amounts</w:t>
      </w:r>
      <w:r>
        <w:rPr>
          <w:spacing w:val="-20"/>
        </w:rPr>
        <w:t> </w:t>
      </w:r>
      <w:r>
        <w:rPr/>
        <w:t>of</w:t>
      </w:r>
      <w:r>
        <w:rPr>
          <w:spacing w:val="-18"/>
        </w:rPr>
        <w:t> </w:t>
      </w:r>
      <w:r>
        <w:rPr/>
        <w:t>information</w:t>
      </w:r>
      <w:r>
        <w:rPr>
          <w:spacing w:val="-18"/>
        </w:rPr>
        <w:t> </w:t>
      </w:r>
      <w:r>
        <w:rPr>
          <w:spacing w:val="-6"/>
        </w:rPr>
        <w:t>is </w:t>
      </w:r>
      <w:r>
        <w:rPr/>
        <w:t>stored and shared digitally, the use of these efficient methods may obviate the need for meetings and inspections. </w:t>
      </w:r>
      <w:r>
        <w:rPr>
          <w:spacing w:val="3"/>
        </w:rPr>
        <w:t>As </w:t>
      </w:r>
      <w:r>
        <w:rPr/>
        <w:t>long as each appraiser has an opportunity to share</w:t>
      </w:r>
      <w:r>
        <w:rPr>
          <w:spacing w:val="56"/>
        </w:rPr>
        <w:t> </w:t>
      </w:r>
      <w:r>
        <w:rPr>
          <w:spacing w:val="-3"/>
        </w:rPr>
        <w:t>their</w:t>
      </w:r>
    </w:p>
    <w:p>
      <w:pPr>
        <w:pStyle w:val="BodyText"/>
        <w:spacing w:before="11"/>
        <w:rPr>
          <w:sz w:val="19"/>
        </w:rPr>
      </w:pPr>
      <w:r>
        <w:rPr/>
        <w:pict>
          <v:shape style="position:absolute;margin-left:162pt;margin-top:14.634785pt;width:143.9pt;height:.1pt;mso-position-horizontal-relative:page;mso-position-vertical-relative:paragraph;z-index:-251650048;mso-wrap-distance-left:0;mso-wrap-distance-right:0" coordorigin="3240,293" coordsize="2878,0" path="m3240,293l6118,293e" filled="false" stroked="true" strokeweight=".84pt" strokecolor="#000000">
            <v:path arrowok="t"/>
            <v:stroke dashstyle="solid"/>
            <w10:wrap type="topAndBottom"/>
          </v:shape>
        </w:pict>
      </w:r>
    </w:p>
    <w:p>
      <w:pPr>
        <w:pStyle w:val="ListParagraph"/>
        <w:numPr>
          <w:ilvl w:val="0"/>
          <w:numId w:val="5"/>
        </w:numPr>
        <w:tabs>
          <w:tab w:pos="1411" w:val="left" w:leader="none"/>
        </w:tabs>
        <w:spacing w:line="249" w:lineRule="auto" w:before="140" w:after="0"/>
        <w:ind w:left="1160" w:right="1160" w:firstLine="0"/>
        <w:jc w:val="both"/>
        <w:rPr>
          <w:sz w:val="18"/>
        </w:rPr>
      </w:pPr>
      <w:r>
        <w:rPr>
          <w:sz w:val="18"/>
          <w:u w:val="single"/>
        </w:rPr>
        <w:t>Twait v. Farmer’s Mut. Hail Ins. Co. of Iowa</w:t>
      </w:r>
      <w:r>
        <w:rPr>
          <w:sz w:val="18"/>
        </w:rPr>
        <w:t>, 249 Iowa 1239, 91 N.W.2d 575 (1958).</w:t>
      </w:r>
      <w:r>
        <w:rPr>
          <w:position w:val="10"/>
          <w:sz w:val="18"/>
        </w:rPr>
        <w:t> </w:t>
      </w:r>
      <w:r>
        <w:rPr>
          <w:position w:val="10"/>
          <w:sz w:val="14"/>
        </w:rPr>
        <w:t>907</w:t>
      </w:r>
      <w:r>
        <w:rPr>
          <w:spacing w:val="12"/>
          <w:sz w:val="14"/>
        </w:rPr>
        <w:t> </w:t>
      </w:r>
      <w:r>
        <w:rPr>
          <w:sz w:val="18"/>
          <w:u w:val="single"/>
        </w:rPr>
        <w:t>Drescher</w:t>
      </w:r>
      <w:r>
        <w:rPr>
          <w:spacing w:val="-14"/>
          <w:sz w:val="18"/>
          <w:u w:val="single"/>
        </w:rPr>
        <w:t> </w:t>
      </w:r>
      <w:r>
        <w:rPr>
          <w:sz w:val="18"/>
          <w:u w:val="single"/>
        </w:rPr>
        <w:t>v.</w:t>
      </w:r>
      <w:r>
        <w:rPr>
          <w:spacing w:val="-13"/>
          <w:sz w:val="18"/>
          <w:u w:val="single"/>
        </w:rPr>
        <w:t> </w:t>
      </w:r>
      <w:r>
        <w:rPr>
          <w:sz w:val="18"/>
          <w:u w:val="single"/>
        </w:rPr>
        <w:t>Excelsior</w:t>
      </w:r>
      <w:r>
        <w:rPr>
          <w:spacing w:val="-13"/>
          <w:sz w:val="18"/>
          <w:u w:val="single"/>
        </w:rPr>
        <w:t> </w:t>
      </w:r>
      <w:r>
        <w:rPr>
          <w:sz w:val="18"/>
          <w:u w:val="single"/>
        </w:rPr>
        <w:t>Ins.</w:t>
      </w:r>
      <w:r>
        <w:rPr>
          <w:spacing w:val="-16"/>
          <w:sz w:val="18"/>
          <w:u w:val="single"/>
        </w:rPr>
        <w:t> </w:t>
      </w:r>
      <w:r>
        <w:rPr>
          <w:sz w:val="18"/>
          <w:u w:val="single"/>
        </w:rPr>
        <w:t>Co.</w:t>
      </w:r>
      <w:r>
        <w:rPr>
          <w:spacing w:val="-16"/>
          <w:sz w:val="18"/>
          <w:u w:val="single"/>
        </w:rPr>
        <w:t> </w:t>
      </w:r>
      <w:r>
        <w:rPr>
          <w:sz w:val="18"/>
          <w:u w:val="single"/>
        </w:rPr>
        <w:t>of</w:t>
      </w:r>
      <w:r>
        <w:rPr>
          <w:spacing w:val="-18"/>
          <w:sz w:val="18"/>
          <w:u w:val="single"/>
        </w:rPr>
        <w:t> </w:t>
      </w:r>
      <w:r>
        <w:rPr>
          <w:sz w:val="18"/>
          <w:u w:val="single"/>
        </w:rPr>
        <w:t>N.Y.</w:t>
      </w:r>
      <w:r>
        <w:rPr>
          <w:sz w:val="18"/>
        </w:rPr>
        <w:t>,</w:t>
      </w:r>
      <w:r>
        <w:rPr>
          <w:spacing w:val="-11"/>
          <w:sz w:val="18"/>
        </w:rPr>
        <w:t> </w:t>
      </w:r>
      <w:r>
        <w:rPr>
          <w:sz w:val="18"/>
        </w:rPr>
        <w:t>188</w:t>
      </w:r>
      <w:r>
        <w:rPr>
          <w:spacing w:val="-12"/>
          <w:sz w:val="18"/>
        </w:rPr>
        <w:t> </w:t>
      </w:r>
      <w:r>
        <w:rPr>
          <w:sz w:val="18"/>
        </w:rPr>
        <w:t>F.</w:t>
      </w:r>
      <w:r>
        <w:rPr>
          <w:spacing w:val="-12"/>
          <w:sz w:val="18"/>
        </w:rPr>
        <w:t> </w:t>
      </w:r>
      <w:r>
        <w:rPr>
          <w:sz w:val="18"/>
        </w:rPr>
        <w:t>Supp.</w:t>
      </w:r>
      <w:r>
        <w:rPr>
          <w:spacing w:val="-13"/>
          <w:sz w:val="18"/>
        </w:rPr>
        <w:t> </w:t>
      </w:r>
      <w:r>
        <w:rPr>
          <w:sz w:val="18"/>
        </w:rPr>
        <w:t>158</w:t>
      </w:r>
      <w:r>
        <w:rPr>
          <w:spacing w:val="-13"/>
          <w:sz w:val="18"/>
        </w:rPr>
        <w:t> </w:t>
      </w:r>
      <w:r>
        <w:rPr>
          <w:sz w:val="18"/>
        </w:rPr>
        <w:t>(D.N.J.</w:t>
      </w:r>
      <w:r>
        <w:rPr>
          <w:spacing w:val="-13"/>
          <w:sz w:val="18"/>
        </w:rPr>
        <w:t> </w:t>
      </w:r>
      <w:r>
        <w:rPr>
          <w:sz w:val="18"/>
        </w:rPr>
        <w:t>1960);</w:t>
      </w:r>
      <w:r>
        <w:rPr>
          <w:spacing w:val="-13"/>
          <w:sz w:val="18"/>
        </w:rPr>
        <w:t> </w:t>
      </w:r>
      <w:r>
        <w:rPr>
          <w:sz w:val="18"/>
          <w:u w:val="single"/>
        </w:rPr>
        <w:t>Stout</w:t>
      </w:r>
      <w:r>
        <w:rPr>
          <w:spacing w:val="-13"/>
          <w:sz w:val="18"/>
          <w:u w:val="single"/>
        </w:rPr>
        <w:t> </w:t>
      </w:r>
      <w:r>
        <w:rPr>
          <w:sz w:val="18"/>
          <w:u w:val="single"/>
        </w:rPr>
        <w:t>v.</w:t>
      </w:r>
      <w:r>
        <w:rPr>
          <w:spacing w:val="-12"/>
          <w:sz w:val="18"/>
          <w:u w:val="single"/>
        </w:rPr>
        <w:t> </w:t>
      </w:r>
      <w:r>
        <w:rPr>
          <w:sz w:val="18"/>
          <w:u w:val="single"/>
        </w:rPr>
        <w:t>Phoenix Assur. Co. of London</w:t>
      </w:r>
      <w:r>
        <w:rPr>
          <w:sz w:val="18"/>
        </w:rPr>
        <w:t>, 65 N.J. Eq. 566, 56 A. 691</w:t>
      </w:r>
      <w:r>
        <w:rPr>
          <w:spacing w:val="1"/>
          <w:sz w:val="18"/>
        </w:rPr>
        <w:t> </w:t>
      </w:r>
      <w:r>
        <w:rPr>
          <w:sz w:val="18"/>
        </w:rPr>
        <w:t>(1904).</w:t>
      </w:r>
    </w:p>
    <w:p>
      <w:pPr>
        <w:spacing w:line="204" w:lineRule="exact" w:before="0"/>
        <w:ind w:left="1160" w:right="0" w:firstLine="0"/>
        <w:jc w:val="both"/>
        <w:rPr>
          <w:rFonts w:ascii="Times New Roman"/>
          <w:sz w:val="18"/>
        </w:rPr>
      </w:pPr>
      <w:r>
        <w:rPr>
          <w:rFonts w:ascii="Times New Roman"/>
          <w:position w:val="10"/>
          <w:sz w:val="14"/>
        </w:rPr>
        <w:t>908</w:t>
      </w:r>
      <w:r>
        <w:rPr>
          <w:rFonts w:ascii="Times New Roman"/>
          <w:sz w:val="14"/>
        </w:rPr>
        <w:t> </w:t>
      </w:r>
      <w:r>
        <w:rPr>
          <w:rFonts w:ascii="Times New Roman"/>
          <w:sz w:val="18"/>
          <w:u w:val="single"/>
        </w:rPr>
        <w:t>Drescher</w:t>
      </w:r>
      <w:r>
        <w:rPr>
          <w:rFonts w:ascii="Times New Roman"/>
          <w:sz w:val="18"/>
        </w:rPr>
        <w:t>, 188 F.Supp at 159; Standard Provisions, N.J. Stat. Ann. 17:36-5.20 (West</w:t>
      </w:r>
    </w:p>
    <w:p>
      <w:pPr>
        <w:spacing w:line="244" w:lineRule="auto" w:before="4"/>
        <w:ind w:left="1160" w:right="1163" w:firstLine="0"/>
        <w:jc w:val="both"/>
        <w:rPr>
          <w:rFonts w:ascii="Times New Roman" w:hAnsi="Times New Roman"/>
          <w:sz w:val="18"/>
        </w:rPr>
      </w:pPr>
      <w:r>
        <w:rPr>
          <w:rFonts w:ascii="Times New Roman" w:hAnsi="Times New Roman"/>
          <w:sz w:val="18"/>
        </w:rPr>
        <w:t>2003);</w:t>
      </w:r>
      <w:r>
        <w:rPr>
          <w:rFonts w:ascii="Times New Roman" w:hAnsi="Times New Roman"/>
          <w:spacing w:val="-13"/>
          <w:sz w:val="18"/>
        </w:rPr>
        <w:t> </w:t>
      </w:r>
      <w:r>
        <w:rPr>
          <w:rFonts w:ascii="Times New Roman" w:hAnsi="Times New Roman"/>
          <w:sz w:val="18"/>
          <w:u w:val="single"/>
        </w:rPr>
        <w:t>Carlston</w:t>
      </w:r>
      <w:r>
        <w:rPr>
          <w:rFonts w:ascii="Times New Roman" w:hAnsi="Times New Roman"/>
          <w:spacing w:val="-14"/>
          <w:sz w:val="18"/>
          <w:u w:val="single"/>
        </w:rPr>
        <w:t> </w:t>
      </w:r>
      <w:r>
        <w:rPr>
          <w:rFonts w:ascii="Times New Roman" w:hAnsi="Times New Roman"/>
          <w:sz w:val="18"/>
          <w:u w:val="single"/>
        </w:rPr>
        <w:t>v.</w:t>
      </w:r>
      <w:r>
        <w:rPr>
          <w:rFonts w:ascii="Times New Roman" w:hAnsi="Times New Roman"/>
          <w:spacing w:val="-15"/>
          <w:sz w:val="18"/>
          <w:u w:val="single"/>
        </w:rPr>
        <w:t> </w:t>
      </w:r>
      <w:r>
        <w:rPr>
          <w:rFonts w:ascii="Times New Roman" w:hAnsi="Times New Roman"/>
          <w:sz w:val="18"/>
          <w:u w:val="single"/>
        </w:rPr>
        <w:t>St.</w:t>
      </w:r>
      <w:r>
        <w:rPr>
          <w:rFonts w:ascii="Times New Roman" w:hAnsi="Times New Roman"/>
          <w:spacing w:val="-12"/>
          <w:sz w:val="18"/>
          <w:u w:val="single"/>
        </w:rPr>
        <w:t> </w:t>
      </w:r>
      <w:r>
        <w:rPr>
          <w:rFonts w:ascii="Times New Roman" w:hAnsi="Times New Roman"/>
          <w:sz w:val="18"/>
          <w:u w:val="single"/>
        </w:rPr>
        <w:t>Paul</w:t>
      </w:r>
      <w:r>
        <w:rPr>
          <w:rFonts w:ascii="Times New Roman" w:hAnsi="Times New Roman"/>
          <w:spacing w:val="-13"/>
          <w:sz w:val="18"/>
          <w:u w:val="single"/>
        </w:rPr>
        <w:t> </w:t>
      </w:r>
      <w:r>
        <w:rPr>
          <w:rFonts w:ascii="Times New Roman" w:hAnsi="Times New Roman"/>
          <w:sz w:val="18"/>
          <w:u w:val="single"/>
        </w:rPr>
        <w:t>Fire</w:t>
      </w:r>
      <w:r>
        <w:rPr>
          <w:rFonts w:ascii="Times New Roman" w:hAnsi="Times New Roman"/>
          <w:spacing w:val="-12"/>
          <w:sz w:val="18"/>
          <w:u w:val="single"/>
        </w:rPr>
        <w:t> </w:t>
      </w:r>
      <w:r>
        <w:rPr>
          <w:rFonts w:ascii="Times New Roman" w:hAnsi="Times New Roman"/>
          <w:sz w:val="18"/>
          <w:u w:val="single"/>
        </w:rPr>
        <w:t>&amp;</w:t>
      </w:r>
      <w:r>
        <w:rPr>
          <w:rFonts w:ascii="Times New Roman" w:hAnsi="Times New Roman"/>
          <w:spacing w:val="-14"/>
          <w:sz w:val="18"/>
          <w:u w:val="single"/>
        </w:rPr>
        <w:t> </w:t>
      </w:r>
      <w:r>
        <w:rPr>
          <w:rFonts w:ascii="Times New Roman" w:hAnsi="Times New Roman"/>
          <w:sz w:val="18"/>
          <w:u w:val="single"/>
        </w:rPr>
        <w:t>Marine</w:t>
      </w:r>
      <w:r>
        <w:rPr>
          <w:rFonts w:ascii="Times New Roman" w:hAnsi="Times New Roman"/>
          <w:spacing w:val="-14"/>
          <w:sz w:val="18"/>
          <w:u w:val="single"/>
        </w:rPr>
        <w:t> </w:t>
      </w:r>
      <w:r>
        <w:rPr>
          <w:rFonts w:ascii="Times New Roman" w:hAnsi="Times New Roman"/>
          <w:sz w:val="18"/>
          <w:u w:val="single"/>
        </w:rPr>
        <w:t>Ins.</w:t>
      </w:r>
      <w:r>
        <w:rPr>
          <w:rFonts w:ascii="Times New Roman" w:hAnsi="Times New Roman"/>
          <w:spacing w:val="-13"/>
          <w:sz w:val="18"/>
          <w:u w:val="single"/>
        </w:rPr>
        <w:t> </w:t>
      </w:r>
      <w:r>
        <w:rPr>
          <w:rFonts w:ascii="Times New Roman" w:hAnsi="Times New Roman"/>
          <w:sz w:val="18"/>
          <w:u w:val="single"/>
        </w:rPr>
        <w:t>Co.</w:t>
      </w:r>
      <w:r>
        <w:rPr>
          <w:rFonts w:ascii="Times New Roman" w:hAnsi="Times New Roman"/>
          <w:sz w:val="18"/>
        </w:rPr>
        <w:t>,</w:t>
      </w:r>
      <w:r>
        <w:rPr>
          <w:rFonts w:ascii="Times New Roman" w:hAnsi="Times New Roman"/>
          <w:spacing w:val="-12"/>
          <w:sz w:val="18"/>
        </w:rPr>
        <w:t> </w:t>
      </w:r>
      <w:r>
        <w:rPr>
          <w:rFonts w:ascii="Times New Roman" w:hAnsi="Times New Roman"/>
          <w:sz w:val="18"/>
        </w:rPr>
        <w:t>37</w:t>
      </w:r>
      <w:r>
        <w:rPr>
          <w:rFonts w:ascii="Times New Roman" w:hAnsi="Times New Roman"/>
          <w:spacing w:val="-12"/>
          <w:sz w:val="18"/>
        </w:rPr>
        <w:t> </w:t>
      </w:r>
      <w:r>
        <w:rPr>
          <w:rFonts w:ascii="Times New Roman" w:hAnsi="Times New Roman"/>
          <w:sz w:val="18"/>
        </w:rPr>
        <w:t>Mont.</w:t>
      </w:r>
      <w:r>
        <w:rPr>
          <w:rFonts w:ascii="Times New Roman" w:hAnsi="Times New Roman"/>
          <w:spacing w:val="-12"/>
          <w:sz w:val="18"/>
        </w:rPr>
        <w:t> </w:t>
      </w:r>
      <w:r>
        <w:rPr>
          <w:rFonts w:ascii="Times New Roman" w:hAnsi="Times New Roman"/>
          <w:sz w:val="18"/>
        </w:rPr>
        <w:t>118,</w:t>
      </w:r>
      <w:r>
        <w:rPr>
          <w:rFonts w:ascii="Times New Roman" w:hAnsi="Times New Roman"/>
          <w:spacing w:val="-13"/>
          <w:sz w:val="18"/>
        </w:rPr>
        <w:t> </w:t>
      </w:r>
      <w:r>
        <w:rPr>
          <w:rFonts w:ascii="Times New Roman" w:hAnsi="Times New Roman"/>
          <w:sz w:val="18"/>
        </w:rPr>
        <w:t>94</w:t>
      </w:r>
      <w:r>
        <w:rPr>
          <w:rFonts w:ascii="Times New Roman" w:hAnsi="Times New Roman"/>
          <w:spacing w:val="-12"/>
          <w:sz w:val="18"/>
        </w:rPr>
        <w:t> </w:t>
      </w:r>
      <w:r>
        <w:rPr>
          <w:rFonts w:ascii="Times New Roman" w:hAnsi="Times New Roman"/>
          <w:sz w:val="18"/>
        </w:rPr>
        <w:t>P.</w:t>
      </w:r>
      <w:r>
        <w:rPr>
          <w:rFonts w:ascii="Times New Roman" w:hAnsi="Times New Roman"/>
          <w:spacing w:val="-12"/>
          <w:sz w:val="18"/>
        </w:rPr>
        <w:t> </w:t>
      </w:r>
      <w:r>
        <w:rPr>
          <w:rFonts w:ascii="Times New Roman" w:hAnsi="Times New Roman"/>
          <w:sz w:val="18"/>
        </w:rPr>
        <w:t>756</w:t>
      </w:r>
      <w:r>
        <w:rPr>
          <w:rFonts w:ascii="Times New Roman" w:hAnsi="Times New Roman"/>
          <w:spacing w:val="-12"/>
          <w:sz w:val="18"/>
        </w:rPr>
        <w:t> </w:t>
      </w:r>
      <w:r>
        <w:rPr>
          <w:rFonts w:ascii="Times New Roman" w:hAnsi="Times New Roman"/>
          <w:sz w:val="18"/>
        </w:rPr>
        <w:t>(1908);</w:t>
      </w:r>
      <w:r>
        <w:rPr>
          <w:rFonts w:ascii="Times New Roman" w:hAnsi="Times New Roman"/>
          <w:spacing w:val="-13"/>
          <w:sz w:val="18"/>
        </w:rPr>
        <w:t> </w:t>
      </w:r>
      <w:r>
        <w:rPr>
          <w:rFonts w:ascii="Times New Roman" w:hAnsi="Times New Roman"/>
          <w:sz w:val="18"/>
          <w:u w:val="single"/>
        </w:rPr>
        <w:t>Franklin</w:t>
      </w:r>
      <w:r>
        <w:rPr>
          <w:rFonts w:ascii="Times New Roman" w:hAnsi="Times New Roman"/>
          <w:sz w:val="18"/>
        </w:rPr>
        <w:t> </w:t>
      </w:r>
      <w:r>
        <w:rPr>
          <w:rFonts w:ascii="Times New Roman" w:hAnsi="Times New Roman"/>
          <w:sz w:val="18"/>
          <w:u w:val="single"/>
        </w:rPr>
        <w:t>v. Fireman’s Fund Ins. Co.</w:t>
      </w:r>
      <w:r>
        <w:rPr>
          <w:rFonts w:ascii="Times New Roman" w:hAnsi="Times New Roman"/>
          <w:sz w:val="18"/>
        </w:rPr>
        <w:t>, 4 Tenn. App. 688</w:t>
      </w:r>
      <w:r>
        <w:rPr>
          <w:rFonts w:ascii="Times New Roman" w:hAnsi="Times New Roman"/>
          <w:spacing w:val="3"/>
          <w:sz w:val="18"/>
        </w:rPr>
        <w:t> </w:t>
      </w:r>
      <w:r>
        <w:rPr>
          <w:rFonts w:ascii="Times New Roman" w:hAnsi="Times New Roman"/>
          <w:sz w:val="18"/>
        </w:rPr>
        <w:t>(1927).</w:t>
      </w:r>
    </w:p>
    <w:p>
      <w:pPr>
        <w:spacing w:after="0" w:line="244" w:lineRule="auto"/>
        <w:jc w:val="both"/>
        <w:rPr>
          <w:rFonts w:ascii="Times New Roman" w:hAns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22"/>
        <w:jc w:val="both"/>
      </w:pPr>
      <w:bookmarkStart w:name="Law and Procedure 436" w:id="13"/>
      <w:bookmarkEnd w:id="13"/>
      <w:r>
        <w:rPr/>
      </w:r>
      <w:r>
        <w:rPr/>
        <w:t>views</w:t>
      </w:r>
      <w:r>
        <w:rPr>
          <w:spacing w:val="-32"/>
        </w:rPr>
        <w:t> </w:t>
      </w:r>
      <w:r>
        <w:rPr/>
        <w:t>and</w:t>
      </w:r>
      <w:r>
        <w:rPr>
          <w:spacing w:val="-30"/>
        </w:rPr>
        <w:t> </w:t>
      </w:r>
      <w:r>
        <w:rPr/>
        <w:t>be</w:t>
      </w:r>
      <w:r>
        <w:rPr>
          <w:spacing w:val="-30"/>
        </w:rPr>
        <w:t> </w:t>
      </w:r>
      <w:r>
        <w:rPr/>
        <w:t>exposed</w:t>
      </w:r>
      <w:r>
        <w:rPr>
          <w:spacing w:val="-29"/>
        </w:rPr>
        <w:t> </w:t>
      </w:r>
      <w:r>
        <w:rPr/>
        <w:t>to</w:t>
      </w:r>
      <w:r>
        <w:rPr>
          <w:spacing w:val="-30"/>
        </w:rPr>
        <w:t> </w:t>
      </w:r>
      <w:r>
        <w:rPr/>
        <w:t>competing</w:t>
      </w:r>
      <w:r>
        <w:rPr>
          <w:spacing w:val="-30"/>
        </w:rPr>
        <w:t> </w:t>
      </w:r>
      <w:r>
        <w:rPr/>
        <w:t>ideas,</w:t>
      </w:r>
      <w:r>
        <w:rPr>
          <w:spacing w:val="-33"/>
        </w:rPr>
        <w:t> </w:t>
      </w:r>
      <w:r>
        <w:rPr/>
        <w:t>the appraisal team is free to determine how the required consultation shall take</w:t>
      </w:r>
      <w:r>
        <w:rPr>
          <w:spacing w:val="-7"/>
        </w:rPr>
        <w:t> </w:t>
      </w:r>
      <w:r>
        <w:rPr/>
        <w:t>place.</w:t>
      </w:r>
    </w:p>
    <w:p>
      <w:pPr>
        <w:spacing w:after="0" w:line="242" w:lineRule="auto"/>
        <w:jc w:val="both"/>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ListParagraph"/>
        <w:numPr>
          <w:ilvl w:val="0"/>
          <w:numId w:val="2"/>
        </w:numPr>
        <w:tabs>
          <w:tab w:pos="2239" w:val="left" w:leader="none"/>
          <w:tab w:pos="2240" w:val="left" w:leader="none"/>
        </w:tabs>
        <w:spacing w:line="240" w:lineRule="auto" w:before="41" w:after="0"/>
        <w:ind w:left="2240" w:right="0" w:hanging="720"/>
        <w:jc w:val="left"/>
        <w:rPr>
          <w:rFonts w:ascii="Century Gothic"/>
          <w:sz w:val="26"/>
        </w:rPr>
      </w:pPr>
      <w:bookmarkStart w:name="Law and Procedure 437" w:id="14"/>
      <w:bookmarkEnd w:id="14"/>
      <w:r>
        <w:rPr/>
      </w:r>
      <w:bookmarkStart w:name="Law and Procedure 437" w:id="15"/>
      <w:bookmarkEnd w:id="15"/>
      <w:r>
        <w:rPr>
          <w:rFonts w:ascii="Century Gothic"/>
          <w:sz w:val="26"/>
        </w:rPr>
        <w:t>DE</w:t>
      </w:r>
      <w:r>
        <w:rPr>
          <w:rFonts w:ascii="Century Gothic"/>
          <w:sz w:val="26"/>
        </w:rPr>
        <w:t>TERMINING</w:t>
      </w:r>
      <w:r>
        <w:rPr>
          <w:rFonts w:ascii="Century Gothic"/>
          <w:spacing w:val="-1"/>
          <w:sz w:val="26"/>
        </w:rPr>
        <w:t> </w:t>
      </w:r>
      <w:r>
        <w:rPr>
          <w:rFonts w:ascii="Century Gothic"/>
          <w:sz w:val="26"/>
        </w:rPr>
        <w:t>VALUE</w:t>
      </w:r>
    </w:p>
    <w:p>
      <w:pPr>
        <w:pStyle w:val="BodyText"/>
        <w:spacing w:before="6"/>
      </w:pPr>
    </w:p>
    <w:p>
      <w:pPr>
        <w:pStyle w:val="ListParagraph"/>
        <w:numPr>
          <w:ilvl w:val="1"/>
          <w:numId w:val="2"/>
        </w:numPr>
        <w:tabs>
          <w:tab w:pos="2901" w:val="left" w:leader="none"/>
          <w:tab w:pos="2902" w:val="left" w:leader="none"/>
          <w:tab w:pos="3964" w:val="left" w:leader="none"/>
          <w:tab w:pos="4835" w:val="left" w:leader="none"/>
          <w:tab w:pos="5865" w:val="left" w:leader="none"/>
          <w:tab w:pos="6520" w:val="left" w:leader="none"/>
        </w:tabs>
        <w:spacing w:line="242" w:lineRule="auto" w:before="0" w:after="0"/>
        <w:ind w:left="2240" w:right="1519" w:firstLine="0"/>
        <w:jc w:val="left"/>
        <w:rPr>
          <w:rFonts w:ascii="Century Gothic"/>
          <w:sz w:val="26"/>
        </w:rPr>
      </w:pPr>
      <w:r>
        <w:rPr>
          <w:rFonts w:ascii="Century Gothic"/>
          <w:sz w:val="26"/>
        </w:rPr>
        <w:t>Actual</w:t>
        <w:tab/>
        <w:t>Cash</w:t>
        <w:tab/>
        <w:t>Value:</w:t>
        <w:tab/>
        <w:t>The</w:t>
        <w:tab/>
      </w:r>
      <w:r>
        <w:rPr>
          <w:rFonts w:ascii="Century Gothic"/>
          <w:spacing w:val="-3"/>
          <w:sz w:val="26"/>
        </w:rPr>
        <w:t>Broad </w:t>
      </w:r>
      <w:r>
        <w:rPr>
          <w:rFonts w:ascii="Century Gothic"/>
          <w:sz w:val="26"/>
        </w:rPr>
        <w:t>Evidence Rule and Other</w:t>
      </w:r>
      <w:r>
        <w:rPr>
          <w:rFonts w:ascii="Century Gothic"/>
          <w:spacing w:val="-11"/>
          <w:sz w:val="26"/>
        </w:rPr>
        <w:t> </w:t>
      </w:r>
      <w:r>
        <w:rPr>
          <w:rFonts w:ascii="Century Gothic"/>
          <w:sz w:val="26"/>
        </w:rPr>
        <w:t>Formulations</w:t>
      </w:r>
    </w:p>
    <w:p>
      <w:pPr>
        <w:pStyle w:val="BodyText"/>
        <w:spacing w:before="2"/>
      </w:pPr>
    </w:p>
    <w:p>
      <w:pPr>
        <w:pStyle w:val="BodyText"/>
        <w:spacing w:line="242" w:lineRule="auto"/>
        <w:ind w:left="1520" w:right="1518" w:firstLine="720"/>
        <w:jc w:val="both"/>
      </w:pPr>
      <w:r>
        <w:rPr/>
        <w:t>The focus of the appraisal provision as contained in the Standard Fire Policy is a determination</w:t>
      </w:r>
      <w:r>
        <w:rPr>
          <w:spacing w:val="-24"/>
        </w:rPr>
        <w:t> </w:t>
      </w:r>
      <w:r>
        <w:rPr/>
        <w:t>of</w:t>
      </w:r>
      <w:r>
        <w:rPr>
          <w:spacing w:val="-24"/>
        </w:rPr>
        <w:t> </w:t>
      </w:r>
      <w:r>
        <w:rPr/>
        <w:t>actual</w:t>
      </w:r>
      <w:r>
        <w:rPr>
          <w:spacing w:val="-21"/>
        </w:rPr>
        <w:t> </w:t>
      </w:r>
      <w:r>
        <w:rPr/>
        <w:t>cash</w:t>
      </w:r>
      <w:r>
        <w:rPr>
          <w:spacing w:val="-23"/>
        </w:rPr>
        <w:t> </w:t>
      </w:r>
      <w:r>
        <w:rPr/>
        <w:t>value</w:t>
      </w:r>
      <w:r>
        <w:rPr>
          <w:spacing w:val="-23"/>
        </w:rPr>
        <w:t> </w:t>
      </w:r>
      <w:r>
        <w:rPr/>
        <w:t>(ACV)</w:t>
      </w:r>
      <w:r>
        <w:rPr>
          <w:spacing w:val="-27"/>
        </w:rPr>
        <w:t> </w:t>
      </w:r>
      <w:r>
        <w:rPr/>
        <w:t>and the</w:t>
      </w:r>
      <w:r>
        <w:rPr>
          <w:spacing w:val="-28"/>
        </w:rPr>
        <w:t> </w:t>
      </w:r>
      <w:r>
        <w:rPr/>
        <w:t>amount</w:t>
      </w:r>
      <w:r>
        <w:rPr>
          <w:spacing w:val="-28"/>
        </w:rPr>
        <w:t> </w:t>
      </w:r>
      <w:r>
        <w:rPr/>
        <w:t>of</w:t>
      </w:r>
      <w:r>
        <w:rPr>
          <w:spacing w:val="-27"/>
        </w:rPr>
        <w:t> </w:t>
      </w:r>
      <w:r>
        <w:rPr/>
        <w:t>loss.</w:t>
      </w:r>
      <w:r>
        <w:rPr>
          <w:spacing w:val="20"/>
        </w:rPr>
        <w:t> </w:t>
      </w:r>
      <w:r>
        <w:rPr/>
        <w:t>However,</w:t>
      </w:r>
      <w:r>
        <w:rPr>
          <w:spacing w:val="-27"/>
        </w:rPr>
        <w:t> </w:t>
      </w:r>
      <w:r>
        <w:rPr/>
        <w:t>many</w:t>
      </w:r>
      <w:r>
        <w:rPr>
          <w:spacing w:val="-27"/>
        </w:rPr>
        <w:t> </w:t>
      </w:r>
      <w:r>
        <w:rPr/>
        <w:t>policies</w:t>
      </w:r>
      <w:r>
        <w:rPr>
          <w:spacing w:val="-25"/>
        </w:rPr>
        <w:t> </w:t>
      </w:r>
      <w:r>
        <w:rPr/>
        <w:t>fail to define what the term actual cash value means and some jurisdictions have taken to defining</w:t>
      </w:r>
      <w:r>
        <w:rPr>
          <w:spacing w:val="-32"/>
        </w:rPr>
        <w:t> </w:t>
      </w:r>
      <w:r>
        <w:rPr/>
        <w:t>the</w:t>
      </w:r>
      <w:r>
        <w:rPr>
          <w:spacing w:val="-32"/>
        </w:rPr>
        <w:t> </w:t>
      </w:r>
      <w:r>
        <w:rPr/>
        <w:t>term</w:t>
      </w:r>
      <w:r>
        <w:rPr>
          <w:spacing w:val="-33"/>
        </w:rPr>
        <w:t> </w:t>
      </w:r>
      <w:r>
        <w:rPr>
          <w:spacing w:val="-3"/>
        </w:rPr>
        <w:t>through</w:t>
      </w:r>
      <w:r>
        <w:rPr>
          <w:spacing w:val="-34"/>
        </w:rPr>
        <w:t> </w:t>
      </w:r>
      <w:r>
        <w:rPr>
          <w:spacing w:val="-3"/>
        </w:rPr>
        <w:t>regulation,</w:t>
      </w:r>
      <w:r>
        <w:rPr>
          <w:spacing w:val="-37"/>
        </w:rPr>
        <w:t> </w:t>
      </w:r>
      <w:r>
        <w:rPr/>
        <w:t>legislation or by judicial</w:t>
      </w:r>
      <w:r>
        <w:rPr>
          <w:spacing w:val="-4"/>
        </w:rPr>
        <w:t> </w:t>
      </w:r>
      <w:r>
        <w:rPr/>
        <w:t>decision.</w:t>
      </w:r>
    </w:p>
    <w:p>
      <w:pPr>
        <w:pStyle w:val="BodyText"/>
      </w:pPr>
    </w:p>
    <w:p>
      <w:pPr>
        <w:pStyle w:val="BodyText"/>
        <w:spacing w:line="242" w:lineRule="auto"/>
        <w:ind w:left="1520" w:right="1517" w:firstLine="720"/>
        <w:jc w:val="both"/>
      </w:pPr>
      <w:r>
        <w:rPr/>
        <w:t>There has been much litigation with regard to the evidence to be considered in determining the actual cash value of the property insured under a first-party fire insurance policy. The New York Court of Appeals has held that in determining actual cash value, the finder of fact should consider all factors which may bear on the issue.</w:t>
      </w:r>
      <w:r>
        <w:rPr>
          <w:spacing w:val="-39"/>
        </w:rPr>
        <w:t> </w:t>
      </w:r>
      <w:r>
        <w:rPr/>
        <w:t>Under the</w:t>
      </w:r>
      <w:r>
        <w:rPr>
          <w:spacing w:val="-10"/>
        </w:rPr>
        <w:t> </w:t>
      </w:r>
      <w:r>
        <w:rPr/>
        <w:t>so-called</w:t>
      </w:r>
      <w:r>
        <w:rPr>
          <w:spacing w:val="-7"/>
        </w:rPr>
        <w:t> </w:t>
      </w:r>
      <w:r>
        <w:rPr/>
        <w:t>Broad</w:t>
      </w:r>
      <w:r>
        <w:rPr>
          <w:spacing w:val="-9"/>
        </w:rPr>
        <w:t> </w:t>
      </w:r>
      <w:r>
        <w:rPr/>
        <w:t>Evidence</w:t>
      </w:r>
      <w:r>
        <w:rPr>
          <w:spacing w:val="-11"/>
        </w:rPr>
        <w:t> </w:t>
      </w:r>
      <w:r>
        <w:rPr/>
        <w:t>Rule,</w:t>
      </w:r>
      <w:r>
        <w:rPr>
          <w:spacing w:val="-11"/>
        </w:rPr>
        <w:t> </w:t>
      </w:r>
      <w:r>
        <w:rPr/>
        <w:t>the</w:t>
      </w:r>
      <w:r>
        <w:rPr>
          <w:spacing w:val="-10"/>
        </w:rPr>
        <w:t> </w:t>
      </w:r>
      <w:r>
        <w:rPr/>
        <w:t>parties should not limit the appraisers’ receipt of </w:t>
      </w:r>
      <w:r>
        <w:rPr>
          <w:spacing w:val="14"/>
        </w:rPr>
        <w:t>evidence </w:t>
      </w:r>
      <w:r>
        <w:rPr>
          <w:spacing w:val="7"/>
        </w:rPr>
        <w:t>to </w:t>
      </w:r>
      <w:r>
        <w:rPr>
          <w:spacing w:val="15"/>
        </w:rPr>
        <w:t>replacement </w:t>
      </w:r>
      <w:r>
        <w:rPr>
          <w:spacing w:val="13"/>
        </w:rPr>
        <w:t>cost </w:t>
      </w:r>
      <w:r>
        <w:rPr>
          <w:spacing w:val="12"/>
        </w:rPr>
        <w:t>less </w:t>
      </w:r>
      <w:r>
        <w:rPr/>
        <w:t>depreciation only, in determining the actual cash value of the damaged property.</w:t>
      </w:r>
      <w:r>
        <w:rPr>
          <w:vertAlign w:val="superscript"/>
        </w:rPr>
        <w:t>909</w:t>
      </w:r>
      <w:r>
        <w:rPr>
          <w:vertAlign w:val="baseline"/>
        </w:rPr>
        <w:t> </w:t>
      </w:r>
      <w:r>
        <w:rPr>
          <w:spacing w:val="-16"/>
          <w:vertAlign w:val="baseline"/>
        </w:rPr>
        <w:t>In </w:t>
      </w:r>
      <w:r>
        <w:rPr>
          <w:u w:val="single"/>
          <w:vertAlign w:val="baseline"/>
        </w:rPr>
        <w:t>McAnarney v. Newark Fire Ins. Co.</w:t>
      </w:r>
      <w:r>
        <w:rPr>
          <w:vertAlign w:val="baseline"/>
        </w:rPr>
        <w:t>, the insurer had agreed “to insure to the extent of the actual cash value." The insurance</w:t>
      </w:r>
      <w:r>
        <w:rPr>
          <w:spacing w:val="1"/>
          <w:vertAlign w:val="baseline"/>
        </w:rPr>
        <w:t> </w:t>
      </w:r>
      <w:r>
        <w:rPr>
          <w:vertAlign w:val="baseline"/>
        </w:rPr>
        <w:t>company</w:t>
      </w:r>
    </w:p>
    <w:p>
      <w:pPr>
        <w:pStyle w:val="BodyText"/>
        <w:rPr>
          <w:sz w:val="20"/>
        </w:rPr>
      </w:pPr>
    </w:p>
    <w:p>
      <w:pPr>
        <w:pStyle w:val="BodyText"/>
        <w:spacing w:before="10"/>
        <w:rPr>
          <w:sz w:val="12"/>
        </w:rPr>
      </w:pPr>
      <w:r>
        <w:rPr/>
        <w:pict>
          <v:shape style="position:absolute;margin-left:162pt;margin-top:10.303213pt;width:143.9pt;height:.1pt;mso-position-horizontal-relative:page;mso-position-vertical-relative:paragraph;z-index:-251649024;mso-wrap-distance-left:0;mso-wrap-distance-right:0" coordorigin="3240,206" coordsize="2878,0" path="m3240,206l6118,206e" filled="false" stroked="true" strokeweight=".84pt" strokecolor="#000000">
            <v:path arrowok="t"/>
            <v:stroke dashstyle="solid"/>
            <w10:wrap type="topAndBottom"/>
          </v:shape>
        </w:pict>
      </w:r>
    </w:p>
    <w:p>
      <w:pPr>
        <w:spacing w:before="149"/>
        <w:ind w:left="1160" w:right="0" w:firstLine="0"/>
        <w:jc w:val="left"/>
        <w:rPr>
          <w:rFonts w:ascii="Times New Roman"/>
          <w:sz w:val="18"/>
        </w:rPr>
      </w:pPr>
      <w:r>
        <w:rPr>
          <w:rFonts w:ascii="Times New Roman"/>
          <w:position w:val="9"/>
          <w:sz w:val="14"/>
        </w:rPr>
        <w:t>909 </w:t>
      </w:r>
      <w:r>
        <w:rPr>
          <w:rFonts w:ascii="Times New Roman"/>
          <w:sz w:val="18"/>
        </w:rPr>
        <w:t>247 N.Y. 176, 159 N.E.902 (1920).</w:t>
      </w:r>
    </w:p>
    <w:p>
      <w:pPr>
        <w:spacing w:after="0"/>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438" w:id="16"/>
      <w:bookmarkEnd w:id="16"/>
      <w:r>
        <w:rPr/>
      </w:r>
      <w:r>
        <w:rPr/>
        <w:t>argued that the only evidence to be considered should be replacement cost less depreciation. The Court of Appeals</w:t>
      </w:r>
      <w:r>
        <w:rPr>
          <w:spacing w:val="-47"/>
        </w:rPr>
        <w:t> </w:t>
      </w:r>
      <w:r>
        <w:rPr/>
        <w:t>disagreed with the insurer and held that those charged with the responsibility of determining actual cash value should consider "every fact and circumstance</w:t>
      </w:r>
      <w:r>
        <w:rPr>
          <w:spacing w:val="-39"/>
        </w:rPr>
        <w:t> </w:t>
      </w:r>
      <w:r>
        <w:rPr>
          <w:spacing w:val="-3"/>
        </w:rPr>
        <w:t>which</w:t>
      </w:r>
      <w:r>
        <w:rPr>
          <w:spacing w:val="-38"/>
        </w:rPr>
        <w:t> </w:t>
      </w:r>
      <w:r>
        <w:rPr>
          <w:spacing w:val="-3"/>
        </w:rPr>
        <w:t>would</w:t>
      </w:r>
      <w:r>
        <w:rPr>
          <w:spacing w:val="-39"/>
        </w:rPr>
        <w:t> </w:t>
      </w:r>
      <w:r>
        <w:rPr/>
        <w:t>logically</w:t>
      </w:r>
      <w:r>
        <w:rPr>
          <w:spacing w:val="-36"/>
        </w:rPr>
        <w:t> </w:t>
      </w:r>
      <w:r>
        <w:rPr/>
        <w:t>tend</w:t>
      </w:r>
      <w:r>
        <w:rPr>
          <w:spacing w:val="-36"/>
        </w:rPr>
        <w:t> </w:t>
      </w:r>
      <w:r>
        <w:rPr/>
        <w:t>to</w:t>
      </w:r>
      <w:r>
        <w:rPr>
          <w:spacing w:val="-37"/>
        </w:rPr>
        <w:t> </w:t>
      </w:r>
      <w:r>
        <w:rPr/>
        <w:t>the formation of a correct estimate of the loss. </w:t>
      </w:r>
      <w:r>
        <w:rPr>
          <w:spacing w:val="3"/>
        </w:rPr>
        <w:t>It </w:t>
      </w:r>
      <w:r>
        <w:rPr/>
        <w:t>may consider actual costs and costs of </w:t>
      </w:r>
      <w:r>
        <w:rPr>
          <w:spacing w:val="-3"/>
        </w:rPr>
        <w:t>reproduction;</w:t>
      </w:r>
      <w:r>
        <w:rPr>
          <w:spacing w:val="-37"/>
        </w:rPr>
        <w:t> </w:t>
      </w:r>
      <w:r>
        <w:rPr/>
        <w:t>the</w:t>
      </w:r>
      <w:r>
        <w:rPr>
          <w:spacing w:val="-33"/>
        </w:rPr>
        <w:t> </w:t>
      </w:r>
      <w:r>
        <w:rPr/>
        <w:t>opinions</w:t>
      </w:r>
      <w:r>
        <w:rPr>
          <w:spacing w:val="-31"/>
        </w:rPr>
        <w:t> </w:t>
      </w:r>
      <w:r>
        <w:rPr/>
        <w:t>upon</w:t>
      </w:r>
      <w:r>
        <w:rPr>
          <w:spacing w:val="-31"/>
        </w:rPr>
        <w:t> </w:t>
      </w:r>
      <w:r>
        <w:rPr/>
        <w:t>value</w:t>
      </w:r>
      <w:r>
        <w:rPr>
          <w:spacing w:val="-30"/>
        </w:rPr>
        <w:t> </w:t>
      </w:r>
      <w:r>
        <w:rPr/>
        <w:t>given</w:t>
      </w:r>
      <w:r>
        <w:rPr>
          <w:spacing w:val="-36"/>
        </w:rPr>
        <w:t> </w:t>
      </w:r>
      <w:r>
        <w:rPr/>
        <w:t>by qualified witnesses; the declarations against interest which may have been made by the insured; the gainful uses to which the</w:t>
      </w:r>
      <w:r>
        <w:rPr>
          <w:spacing w:val="-50"/>
        </w:rPr>
        <w:t> </w:t>
      </w:r>
      <w:r>
        <w:rPr/>
        <w:t>buildings might</w:t>
      </w:r>
      <w:r>
        <w:rPr>
          <w:spacing w:val="-28"/>
        </w:rPr>
        <w:t> </w:t>
      </w:r>
      <w:r>
        <w:rPr/>
        <w:t>have</w:t>
      </w:r>
      <w:r>
        <w:rPr>
          <w:spacing w:val="-25"/>
        </w:rPr>
        <w:t> </w:t>
      </w:r>
      <w:r>
        <w:rPr/>
        <w:t>been</w:t>
      </w:r>
      <w:r>
        <w:rPr>
          <w:spacing w:val="-25"/>
        </w:rPr>
        <w:t> </w:t>
      </w:r>
      <w:r>
        <w:rPr/>
        <w:t>put;</w:t>
      </w:r>
      <w:r>
        <w:rPr>
          <w:spacing w:val="-27"/>
        </w:rPr>
        <w:t> </w:t>
      </w:r>
      <w:r>
        <w:rPr/>
        <w:t>as</w:t>
      </w:r>
      <w:r>
        <w:rPr>
          <w:spacing w:val="-23"/>
        </w:rPr>
        <w:t> </w:t>
      </w:r>
      <w:r>
        <w:rPr/>
        <w:t>well</w:t>
      </w:r>
      <w:r>
        <w:rPr>
          <w:spacing w:val="-24"/>
        </w:rPr>
        <w:t> </w:t>
      </w:r>
      <w:r>
        <w:rPr/>
        <w:t>as</w:t>
      </w:r>
      <w:r>
        <w:rPr>
          <w:spacing w:val="-26"/>
        </w:rPr>
        <w:t> </w:t>
      </w:r>
      <w:r>
        <w:rPr/>
        <w:t>any</w:t>
      </w:r>
      <w:r>
        <w:rPr>
          <w:spacing w:val="-30"/>
        </w:rPr>
        <w:t> </w:t>
      </w:r>
      <w:r>
        <w:rPr/>
        <w:t>other</w:t>
      </w:r>
      <w:r>
        <w:rPr>
          <w:spacing w:val="-29"/>
        </w:rPr>
        <w:t> </w:t>
      </w:r>
      <w:r>
        <w:rPr/>
        <w:t>facts tending to throw light upon the subject." The court noted that this approach “requires the fact-finder to consider all evidence an expert would</w:t>
      </w:r>
      <w:r>
        <w:rPr>
          <w:spacing w:val="-14"/>
        </w:rPr>
        <w:t> </w:t>
      </w:r>
      <w:r>
        <w:rPr/>
        <w:t>consider</w:t>
      </w:r>
      <w:r>
        <w:rPr>
          <w:spacing w:val="-16"/>
        </w:rPr>
        <w:t> </w:t>
      </w:r>
      <w:r>
        <w:rPr/>
        <w:t>relevant</w:t>
      </w:r>
      <w:r>
        <w:rPr>
          <w:spacing w:val="-16"/>
        </w:rPr>
        <w:t> </w:t>
      </w:r>
      <w:r>
        <w:rPr/>
        <w:t>to</w:t>
      </w:r>
      <w:r>
        <w:rPr>
          <w:spacing w:val="-16"/>
        </w:rPr>
        <w:t> </w:t>
      </w:r>
      <w:r>
        <w:rPr/>
        <w:t>an</w:t>
      </w:r>
      <w:r>
        <w:rPr>
          <w:spacing w:val="-16"/>
        </w:rPr>
        <w:t> </w:t>
      </w:r>
      <w:r>
        <w:rPr/>
        <w:t>evaluation,</w:t>
      </w:r>
      <w:r>
        <w:rPr>
          <w:spacing w:val="-17"/>
        </w:rPr>
        <w:t> </w:t>
      </w:r>
      <w:r>
        <w:rPr/>
        <w:t>and particularly both fair market value and replacement cost less depreciation.”</w:t>
      </w:r>
      <w:r>
        <w:rPr>
          <w:spacing w:val="-6"/>
        </w:rPr>
        <w:t> </w:t>
      </w:r>
      <w:r>
        <w:rPr>
          <w:vertAlign w:val="superscript"/>
        </w:rPr>
        <w:t>910</w:t>
      </w:r>
    </w:p>
    <w:p>
      <w:pPr>
        <w:pStyle w:val="BodyText"/>
        <w:spacing w:before="7"/>
        <w:rPr>
          <w:sz w:val="25"/>
        </w:rPr>
      </w:pPr>
    </w:p>
    <w:p>
      <w:pPr>
        <w:pStyle w:val="BodyText"/>
        <w:spacing w:line="242" w:lineRule="auto"/>
        <w:ind w:left="1520" w:right="1517" w:firstLine="720"/>
        <w:jc w:val="both"/>
      </w:pPr>
      <w:r>
        <w:rPr>
          <w:spacing w:val="3"/>
        </w:rPr>
        <w:t>In </w:t>
      </w:r>
      <w:r>
        <w:rPr/>
        <w:t>Michigan, it was held that an insurer acted</w:t>
      </w:r>
      <w:r>
        <w:rPr>
          <w:spacing w:val="-24"/>
        </w:rPr>
        <w:t> </w:t>
      </w:r>
      <w:r>
        <w:rPr/>
        <w:t>pursuant</w:t>
      </w:r>
      <w:r>
        <w:rPr>
          <w:spacing w:val="-23"/>
        </w:rPr>
        <w:t> </w:t>
      </w:r>
      <w:r>
        <w:rPr/>
        <w:t>to</w:t>
      </w:r>
      <w:r>
        <w:rPr>
          <w:spacing w:val="-22"/>
        </w:rPr>
        <w:t> </w:t>
      </w:r>
      <w:r>
        <w:rPr/>
        <w:t>the</w:t>
      </w:r>
      <w:r>
        <w:rPr>
          <w:spacing w:val="-24"/>
        </w:rPr>
        <w:t> </w:t>
      </w:r>
      <w:r>
        <w:rPr/>
        <w:t>subject</w:t>
      </w:r>
      <w:r>
        <w:rPr>
          <w:spacing w:val="-21"/>
        </w:rPr>
        <w:t> </w:t>
      </w:r>
      <w:r>
        <w:rPr/>
        <w:t>insurance</w:t>
      </w:r>
      <w:r>
        <w:rPr>
          <w:spacing w:val="-21"/>
        </w:rPr>
        <w:t> </w:t>
      </w:r>
      <w:r>
        <w:rPr/>
        <w:t>policy and</w:t>
      </w:r>
      <w:r>
        <w:rPr>
          <w:spacing w:val="-25"/>
        </w:rPr>
        <w:t> </w:t>
      </w:r>
      <w:r>
        <w:rPr/>
        <w:t>state</w:t>
      </w:r>
      <w:r>
        <w:rPr>
          <w:spacing w:val="-26"/>
        </w:rPr>
        <w:t> </w:t>
      </w:r>
      <w:r>
        <w:rPr/>
        <w:t>law</w:t>
      </w:r>
      <w:r>
        <w:rPr>
          <w:spacing w:val="-29"/>
        </w:rPr>
        <w:t> </w:t>
      </w:r>
      <w:r>
        <w:rPr/>
        <w:t>when</w:t>
      </w:r>
      <w:r>
        <w:rPr>
          <w:spacing w:val="-25"/>
        </w:rPr>
        <w:t> </w:t>
      </w:r>
      <w:r>
        <w:rPr/>
        <w:t>it</w:t>
      </w:r>
      <w:r>
        <w:rPr>
          <w:spacing w:val="-28"/>
        </w:rPr>
        <w:t> </w:t>
      </w:r>
      <w:r>
        <w:rPr/>
        <w:t>used</w:t>
      </w:r>
      <w:r>
        <w:rPr>
          <w:spacing w:val="-24"/>
        </w:rPr>
        <w:t> </w:t>
      </w:r>
      <w:r>
        <w:rPr/>
        <w:t>the</w:t>
      </w:r>
      <w:r>
        <w:rPr>
          <w:spacing w:val="-25"/>
        </w:rPr>
        <w:t> </w:t>
      </w:r>
      <w:r>
        <w:rPr/>
        <w:t>Broad</w:t>
      </w:r>
      <w:r>
        <w:rPr>
          <w:spacing w:val="-24"/>
        </w:rPr>
        <w:t> </w:t>
      </w:r>
      <w:r>
        <w:rPr/>
        <w:t>Evidence Rule to calculate the actual cash value of</w:t>
      </w:r>
      <w:r>
        <w:rPr>
          <w:spacing w:val="-40"/>
        </w:rPr>
        <w:t> </w:t>
      </w:r>
      <w:r>
        <w:rPr/>
        <w:t>the insured’s building following a loss. The Sixth Circuit and state of Michigan require the application of this rule. Further, “‘Michigan courts recognize that no set method</w:t>
      </w:r>
      <w:r>
        <w:rPr>
          <w:spacing w:val="51"/>
        </w:rPr>
        <w:t> </w:t>
      </w:r>
      <w:r>
        <w:rPr/>
        <w:t>of valuation</w:t>
      </w:r>
      <w:r>
        <w:rPr>
          <w:spacing w:val="25"/>
        </w:rPr>
        <w:t> </w:t>
      </w:r>
      <w:r>
        <w:rPr/>
        <w:t>is</w:t>
      </w:r>
      <w:r>
        <w:rPr>
          <w:spacing w:val="24"/>
        </w:rPr>
        <w:t> </w:t>
      </w:r>
      <w:r>
        <w:rPr/>
        <w:t>necessary</w:t>
      </w:r>
      <w:r>
        <w:rPr>
          <w:spacing w:val="22"/>
        </w:rPr>
        <w:t> </w:t>
      </w:r>
      <w:r>
        <w:rPr/>
        <w:t>within</w:t>
      </w:r>
      <w:r>
        <w:rPr>
          <w:spacing w:val="24"/>
        </w:rPr>
        <w:t> </w:t>
      </w:r>
      <w:r>
        <w:rPr/>
        <w:t>the</w:t>
      </w:r>
      <w:r>
        <w:rPr>
          <w:spacing w:val="24"/>
        </w:rPr>
        <w:t> </w:t>
      </w:r>
      <w:r>
        <w:rPr/>
        <w:t>appraisal</w:t>
      </w:r>
    </w:p>
    <w:p>
      <w:pPr>
        <w:pStyle w:val="BodyText"/>
        <w:spacing w:before="3"/>
        <w:rPr>
          <w:sz w:val="27"/>
        </w:rPr>
      </w:pPr>
      <w:r>
        <w:rPr/>
        <w:pict>
          <v:shape style="position:absolute;margin-left:162pt;margin-top:19.120943pt;width:143.9pt;height:.1pt;mso-position-horizontal-relative:page;mso-position-vertical-relative:paragraph;z-index:-251648000;mso-wrap-distance-left:0;mso-wrap-distance-right:0" coordorigin="3240,382" coordsize="2878,0" path="m3240,382l6118,382e" filled="false" stroked="true" strokeweight=".84pt" strokecolor="#000000">
            <v:path arrowok="t"/>
            <v:stroke dashstyle="solid"/>
            <w10:wrap type="topAndBottom"/>
          </v:shape>
        </w:pict>
      </w:r>
    </w:p>
    <w:p>
      <w:pPr>
        <w:pStyle w:val="BodyText"/>
        <w:spacing w:before="4"/>
        <w:rPr>
          <w:sz w:val="10"/>
        </w:rPr>
      </w:pPr>
    </w:p>
    <w:p>
      <w:pPr>
        <w:spacing w:before="71"/>
        <w:ind w:left="1160" w:right="0" w:firstLine="0"/>
        <w:jc w:val="left"/>
        <w:rPr>
          <w:rFonts w:ascii="Times New Roman"/>
          <w:sz w:val="24"/>
        </w:rPr>
      </w:pPr>
      <w:r>
        <w:rPr>
          <w:rFonts w:ascii="Times New Roman"/>
          <w:position w:val="10"/>
          <w:sz w:val="14"/>
        </w:rPr>
        <w:t>910 </w:t>
      </w:r>
      <w:r>
        <w:rPr>
          <w:rFonts w:ascii="Times New Roman"/>
          <w:sz w:val="18"/>
          <w:u w:val="single"/>
        </w:rPr>
        <w:t>Id</w:t>
      </w:r>
      <w:r>
        <w:rPr>
          <w:rFonts w:ascii="Times New Roman"/>
          <w:sz w:val="24"/>
        </w:rPr>
        <w:t>. </w:t>
      </w:r>
      <w:r>
        <w:rPr>
          <w:rFonts w:ascii="Times New Roman"/>
          <w:sz w:val="18"/>
        </w:rPr>
        <w:t>at 183-84</w:t>
      </w:r>
      <w:r>
        <w:rPr>
          <w:rFonts w:ascii="Times New Roman"/>
          <w:sz w:val="24"/>
        </w:rPr>
        <w:t>.</w:t>
      </w:r>
    </w:p>
    <w:p>
      <w:pPr>
        <w:spacing w:after="0"/>
        <w:jc w:val="left"/>
        <w:rPr>
          <w:rFonts w:ascii="Times New Roman"/>
          <w:sz w:val="24"/>
        </w:rPr>
        <w:sectPr>
          <w:footerReference w:type="default" r:id="rId8"/>
          <w:pgSz w:w="12240" w:h="15840"/>
          <w:pgMar w:footer="2273" w:header="0"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439" w:id="17"/>
      <w:bookmarkEnd w:id="17"/>
      <w:r>
        <w:rPr/>
      </w:r>
      <w:r>
        <w:rPr/>
        <w:t>context…Market value, replacement </w:t>
      </w:r>
      <w:r>
        <w:rPr>
          <w:spacing w:val="-4"/>
        </w:rPr>
        <w:t>value, </w:t>
      </w:r>
      <w:r>
        <w:rPr/>
        <w:t>and other means of valuation are merely guides, rather than shackles compelling </w:t>
      </w:r>
      <w:r>
        <w:rPr>
          <w:spacing w:val="-3"/>
        </w:rPr>
        <w:t>strict </w:t>
      </w:r>
      <w:r>
        <w:rPr/>
        <w:t>adherence.’” Precedent has confirmed </w:t>
      </w:r>
      <w:r>
        <w:rPr>
          <w:spacing w:val="-4"/>
        </w:rPr>
        <w:t>that</w:t>
      </w:r>
      <w:r>
        <w:rPr>
          <w:spacing w:val="63"/>
        </w:rPr>
        <w:t> </w:t>
      </w:r>
      <w:r>
        <w:rPr/>
        <w:t>the application of the Broad Evidence Rule is required</w:t>
      </w:r>
      <w:r>
        <w:rPr>
          <w:spacing w:val="-31"/>
        </w:rPr>
        <w:t> </w:t>
      </w:r>
      <w:r>
        <w:rPr/>
        <w:t>when</w:t>
      </w:r>
      <w:r>
        <w:rPr>
          <w:spacing w:val="-30"/>
        </w:rPr>
        <w:t> </w:t>
      </w:r>
      <w:r>
        <w:rPr/>
        <w:t>actual</w:t>
      </w:r>
      <w:r>
        <w:rPr>
          <w:spacing w:val="-26"/>
        </w:rPr>
        <w:t> </w:t>
      </w:r>
      <w:r>
        <w:rPr/>
        <w:t>cash</w:t>
      </w:r>
      <w:r>
        <w:rPr>
          <w:spacing w:val="-27"/>
        </w:rPr>
        <w:t> </w:t>
      </w:r>
      <w:r>
        <w:rPr/>
        <w:t>value</w:t>
      </w:r>
      <w:r>
        <w:rPr>
          <w:spacing w:val="-28"/>
        </w:rPr>
        <w:t> </w:t>
      </w:r>
      <w:r>
        <w:rPr/>
        <w:t>is</w:t>
      </w:r>
      <w:r>
        <w:rPr>
          <w:spacing w:val="-31"/>
        </w:rPr>
        <w:t> </w:t>
      </w:r>
      <w:r>
        <w:rPr/>
        <w:t>not</w:t>
      </w:r>
      <w:r>
        <w:rPr>
          <w:spacing w:val="-30"/>
        </w:rPr>
        <w:t> </w:t>
      </w:r>
      <w:r>
        <w:rPr/>
        <w:t>defined within an insurance contract. After the court observed</w:t>
      </w:r>
      <w:r>
        <w:rPr>
          <w:spacing w:val="-40"/>
        </w:rPr>
        <w:t> </w:t>
      </w:r>
      <w:r>
        <w:rPr/>
        <w:t>compliance</w:t>
      </w:r>
      <w:r>
        <w:rPr>
          <w:spacing w:val="-41"/>
        </w:rPr>
        <w:t> </w:t>
      </w:r>
      <w:r>
        <w:rPr/>
        <w:t>with</w:t>
      </w:r>
      <w:r>
        <w:rPr>
          <w:spacing w:val="-40"/>
        </w:rPr>
        <w:t> </w:t>
      </w:r>
      <w:r>
        <w:rPr/>
        <w:t>the</w:t>
      </w:r>
      <w:r>
        <w:rPr>
          <w:spacing w:val="-39"/>
        </w:rPr>
        <w:t> </w:t>
      </w:r>
      <w:r>
        <w:rPr/>
        <w:t>Broad</w:t>
      </w:r>
      <w:r>
        <w:rPr>
          <w:spacing w:val="-38"/>
        </w:rPr>
        <w:t> </w:t>
      </w:r>
      <w:r>
        <w:rPr/>
        <w:t>Evidence Rule, the insured was precluded from contesting the valuation through Appraisal as it had waived this right by commencing litigation.</w:t>
      </w:r>
      <w:r>
        <w:rPr>
          <w:vertAlign w:val="superscript"/>
        </w:rPr>
        <w:t>911</w:t>
      </w:r>
    </w:p>
    <w:p>
      <w:pPr>
        <w:pStyle w:val="BodyText"/>
        <w:spacing w:before="10"/>
        <w:rPr>
          <w:sz w:val="25"/>
        </w:rPr>
      </w:pPr>
    </w:p>
    <w:p>
      <w:pPr>
        <w:pStyle w:val="BodyText"/>
        <w:spacing w:line="242" w:lineRule="auto"/>
        <w:ind w:left="1520" w:right="1519" w:firstLine="720"/>
        <w:jc w:val="both"/>
      </w:pPr>
      <w:r>
        <w:rPr>
          <w:spacing w:val="3"/>
        </w:rPr>
        <w:t>It </w:t>
      </w:r>
      <w:r>
        <w:rPr/>
        <w:t>is important to note however, that the Broad Evidence Rule was formulated by the Court of Appeals as a default rule when the policy contains no definition of actual cash value. Thus, analysis of the appropriate definition</w:t>
      </w:r>
      <w:r>
        <w:rPr>
          <w:spacing w:val="-15"/>
        </w:rPr>
        <w:t> </w:t>
      </w:r>
      <w:r>
        <w:rPr/>
        <w:t>of</w:t>
      </w:r>
      <w:r>
        <w:rPr>
          <w:spacing w:val="-14"/>
        </w:rPr>
        <w:t> </w:t>
      </w:r>
      <w:r>
        <w:rPr/>
        <w:t>value</w:t>
      </w:r>
      <w:r>
        <w:rPr>
          <w:spacing w:val="-13"/>
        </w:rPr>
        <w:t> </w:t>
      </w:r>
      <w:r>
        <w:rPr/>
        <w:t>should</w:t>
      </w:r>
      <w:r>
        <w:rPr>
          <w:spacing w:val="-13"/>
        </w:rPr>
        <w:t> </w:t>
      </w:r>
      <w:r>
        <w:rPr/>
        <w:t>begin</w:t>
      </w:r>
      <w:r>
        <w:rPr>
          <w:spacing w:val="-17"/>
        </w:rPr>
        <w:t> </w:t>
      </w:r>
      <w:r>
        <w:rPr/>
        <w:t>in</w:t>
      </w:r>
      <w:r>
        <w:rPr>
          <w:spacing w:val="-17"/>
        </w:rPr>
        <w:t> </w:t>
      </w:r>
      <w:r>
        <w:rPr/>
        <w:t>the</w:t>
      </w:r>
      <w:r>
        <w:rPr>
          <w:spacing w:val="-17"/>
        </w:rPr>
        <w:t> </w:t>
      </w:r>
      <w:r>
        <w:rPr/>
        <w:t>policy</w:t>
      </w:r>
      <w:r>
        <w:rPr>
          <w:spacing w:val="-20"/>
        </w:rPr>
        <w:t> </w:t>
      </w:r>
      <w:r>
        <w:rPr/>
        <w:t>of insurance.</w:t>
      </w:r>
      <w:r>
        <w:rPr>
          <w:vertAlign w:val="superscript"/>
        </w:rPr>
        <w:t>912</w:t>
      </w:r>
    </w:p>
    <w:p>
      <w:pPr>
        <w:pStyle w:val="BodyText"/>
      </w:pPr>
    </w:p>
    <w:p>
      <w:pPr>
        <w:pStyle w:val="BodyText"/>
        <w:spacing w:line="242" w:lineRule="auto"/>
        <w:ind w:left="1520" w:right="1517" w:firstLine="720"/>
        <w:jc w:val="both"/>
      </w:pPr>
      <w:r>
        <w:rPr/>
        <w:t>In a later case, the New York Court of Appeals reaffirmed its decision in </w:t>
      </w:r>
      <w:r>
        <w:rPr>
          <w:u w:val="single"/>
        </w:rPr>
        <w:t>McAnarney</w:t>
      </w:r>
      <w:r>
        <w:rPr/>
        <w:t> by holding that appraisers may not limit their receipt of evidence to reproduction cost less depreciation cost.</w:t>
      </w:r>
      <w:r>
        <w:rPr>
          <w:vertAlign w:val="superscript"/>
        </w:rPr>
        <w:t>913</w:t>
      </w:r>
      <w:r>
        <w:rPr>
          <w:vertAlign w:val="baseline"/>
        </w:rPr>
        <w:t> According to the court,</w:t>
      </w:r>
    </w:p>
    <w:p>
      <w:pPr>
        <w:pStyle w:val="BodyText"/>
        <w:spacing w:before="1"/>
        <w:rPr>
          <w:sz w:val="23"/>
        </w:rPr>
      </w:pPr>
      <w:r>
        <w:rPr/>
        <w:pict>
          <v:shape style="position:absolute;margin-left:162pt;margin-top:16.563749pt;width:143.9pt;height:.1pt;mso-position-horizontal-relative:page;mso-position-vertical-relative:paragraph;z-index:-251646976;mso-wrap-distance-left:0;mso-wrap-distance-right:0" coordorigin="3240,331" coordsize="2878,0" path="m3240,331l6118,331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6"/>
        </w:numPr>
        <w:tabs>
          <w:tab w:pos="1457" w:val="left" w:leader="none"/>
        </w:tabs>
        <w:spacing w:line="249" w:lineRule="auto" w:before="71" w:after="0"/>
        <w:ind w:left="1160" w:right="1161" w:firstLine="0"/>
        <w:jc w:val="both"/>
        <w:rPr>
          <w:sz w:val="18"/>
        </w:rPr>
      </w:pPr>
      <w:r>
        <w:rPr>
          <w:sz w:val="18"/>
          <w:u w:val="single"/>
        </w:rPr>
        <w:t>Commodity Resources, Inc. v. Certain Underwriters at Lloyd’s, London</w:t>
      </w:r>
      <w:r>
        <w:rPr>
          <w:sz w:val="18"/>
        </w:rPr>
        <w:t>, 2013 WL 3716385</w:t>
      </w:r>
      <w:r>
        <w:rPr>
          <w:spacing w:val="-14"/>
          <w:sz w:val="18"/>
        </w:rPr>
        <w:t> </w:t>
      </w:r>
      <w:r>
        <w:rPr>
          <w:sz w:val="18"/>
        </w:rPr>
        <w:t>(E.D.Mich.</w:t>
      </w:r>
      <w:r>
        <w:rPr>
          <w:spacing w:val="-12"/>
          <w:sz w:val="18"/>
        </w:rPr>
        <w:t> </w:t>
      </w:r>
      <w:r>
        <w:rPr>
          <w:sz w:val="18"/>
        </w:rPr>
        <w:t>2013),</w:t>
      </w:r>
      <w:r>
        <w:rPr>
          <w:spacing w:val="-12"/>
          <w:sz w:val="18"/>
        </w:rPr>
        <w:t> </w:t>
      </w:r>
      <w:r>
        <w:rPr>
          <w:i/>
          <w:sz w:val="18"/>
        </w:rPr>
        <w:t>citing</w:t>
      </w:r>
      <w:r>
        <w:rPr>
          <w:i/>
          <w:spacing w:val="-11"/>
          <w:sz w:val="18"/>
        </w:rPr>
        <w:t> </w:t>
      </w:r>
      <w:r>
        <w:rPr>
          <w:sz w:val="18"/>
          <w:u w:val="single"/>
        </w:rPr>
        <w:t>Commodity</w:t>
      </w:r>
      <w:r>
        <w:rPr>
          <w:spacing w:val="-18"/>
          <w:sz w:val="18"/>
          <w:u w:val="single"/>
        </w:rPr>
        <w:t> </w:t>
      </w:r>
      <w:r>
        <w:rPr>
          <w:sz w:val="18"/>
          <w:u w:val="single"/>
        </w:rPr>
        <w:t>Res.</w:t>
      </w:r>
      <w:r>
        <w:rPr>
          <w:spacing w:val="-15"/>
          <w:sz w:val="18"/>
          <w:u w:val="single"/>
        </w:rPr>
        <w:t> </w:t>
      </w:r>
      <w:r>
        <w:rPr>
          <w:sz w:val="18"/>
          <w:u w:val="single"/>
        </w:rPr>
        <w:t>Inc.</w:t>
      </w:r>
      <w:r>
        <w:rPr>
          <w:spacing w:val="-15"/>
          <w:sz w:val="18"/>
          <w:u w:val="single"/>
        </w:rPr>
        <w:t> </w:t>
      </w:r>
      <w:r>
        <w:rPr>
          <w:sz w:val="18"/>
          <w:u w:val="single"/>
        </w:rPr>
        <w:t>v.</w:t>
      </w:r>
      <w:r>
        <w:rPr>
          <w:spacing w:val="-14"/>
          <w:sz w:val="18"/>
          <w:u w:val="single"/>
        </w:rPr>
        <w:t> </w:t>
      </w:r>
      <w:r>
        <w:rPr>
          <w:sz w:val="18"/>
          <w:u w:val="single"/>
        </w:rPr>
        <w:t>Certain</w:t>
      </w:r>
      <w:r>
        <w:rPr>
          <w:spacing w:val="-15"/>
          <w:sz w:val="18"/>
          <w:u w:val="single"/>
        </w:rPr>
        <w:t> </w:t>
      </w:r>
      <w:r>
        <w:rPr>
          <w:sz w:val="18"/>
          <w:u w:val="single"/>
        </w:rPr>
        <w:t>Underwriters</w:t>
      </w:r>
      <w:r>
        <w:rPr>
          <w:spacing w:val="-15"/>
          <w:sz w:val="18"/>
          <w:u w:val="single"/>
        </w:rPr>
        <w:t> </w:t>
      </w:r>
      <w:r>
        <w:rPr>
          <w:sz w:val="18"/>
          <w:u w:val="single"/>
        </w:rPr>
        <w:t>at</w:t>
      </w:r>
      <w:r>
        <w:rPr>
          <w:spacing w:val="-16"/>
          <w:sz w:val="18"/>
          <w:u w:val="single"/>
        </w:rPr>
        <w:t> </w:t>
      </w:r>
      <w:r>
        <w:rPr>
          <w:sz w:val="18"/>
          <w:u w:val="single"/>
        </w:rPr>
        <w:t>Lloyd’s, London</w:t>
      </w:r>
      <w:r>
        <w:rPr>
          <w:sz w:val="18"/>
        </w:rPr>
        <w:t>,</w:t>
      </w:r>
      <w:r>
        <w:rPr>
          <w:spacing w:val="-16"/>
          <w:sz w:val="18"/>
        </w:rPr>
        <w:t> </w:t>
      </w:r>
      <w:r>
        <w:rPr>
          <w:sz w:val="18"/>
        </w:rPr>
        <w:t>2013</w:t>
      </w:r>
      <w:r>
        <w:rPr>
          <w:spacing w:val="-14"/>
          <w:sz w:val="18"/>
        </w:rPr>
        <w:t> </w:t>
      </w:r>
      <w:r>
        <w:rPr>
          <w:sz w:val="18"/>
        </w:rPr>
        <w:t>WL</w:t>
      </w:r>
      <w:r>
        <w:rPr>
          <w:spacing w:val="-18"/>
          <w:sz w:val="18"/>
        </w:rPr>
        <w:t> </w:t>
      </w:r>
      <w:r>
        <w:rPr>
          <w:sz w:val="18"/>
        </w:rPr>
        <w:t>607772</w:t>
      </w:r>
      <w:r>
        <w:rPr>
          <w:spacing w:val="-14"/>
          <w:sz w:val="18"/>
        </w:rPr>
        <w:t> </w:t>
      </w:r>
      <w:r>
        <w:rPr>
          <w:sz w:val="18"/>
        </w:rPr>
        <w:t>(E.D.</w:t>
      </w:r>
      <w:r>
        <w:rPr>
          <w:spacing w:val="-15"/>
          <w:sz w:val="18"/>
        </w:rPr>
        <w:t> </w:t>
      </w:r>
      <w:r>
        <w:rPr>
          <w:sz w:val="18"/>
        </w:rPr>
        <w:t>Mich.</w:t>
      </w:r>
      <w:r>
        <w:rPr>
          <w:spacing w:val="15"/>
          <w:sz w:val="18"/>
        </w:rPr>
        <w:t> </w:t>
      </w:r>
      <w:r>
        <w:rPr>
          <w:sz w:val="18"/>
        </w:rPr>
        <w:t>2013)</w:t>
      </w:r>
      <w:r>
        <w:rPr>
          <w:spacing w:val="-16"/>
          <w:sz w:val="18"/>
        </w:rPr>
        <w:t> </w:t>
      </w:r>
      <w:r>
        <w:rPr>
          <w:sz w:val="18"/>
        </w:rPr>
        <w:t>and</w:t>
      </w:r>
      <w:r>
        <w:rPr>
          <w:spacing w:val="-17"/>
          <w:sz w:val="18"/>
        </w:rPr>
        <w:t> </w:t>
      </w:r>
      <w:r>
        <w:rPr>
          <w:sz w:val="18"/>
          <w:u w:val="single"/>
        </w:rPr>
        <w:t>Evanston</w:t>
      </w:r>
      <w:r>
        <w:rPr>
          <w:spacing w:val="-18"/>
          <w:sz w:val="18"/>
          <w:u w:val="single"/>
        </w:rPr>
        <w:t> </w:t>
      </w:r>
      <w:r>
        <w:rPr>
          <w:sz w:val="18"/>
          <w:u w:val="single"/>
        </w:rPr>
        <w:t>Ins.</w:t>
      </w:r>
      <w:r>
        <w:rPr>
          <w:spacing w:val="-18"/>
          <w:sz w:val="18"/>
          <w:u w:val="single"/>
        </w:rPr>
        <w:t> </w:t>
      </w:r>
      <w:r>
        <w:rPr>
          <w:sz w:val="18"/>
          <w:u w:val="single"/>
        </w:rPr>
        <w:t>Co.</w:t>
      </w:r>
      <w:r>
        <w:rPr>
          <w:spacing w:val="-17"/>
          <w:sz w:val="18"/>
          <w:u w:val="single"/>
        </w:rPr>
        <w:t> </w:t>
      </w:r>
      <w:r>
        <w:rPr>
          <w:sz w:val="18"/>
          <w:u w:val="single"/>
        </w:rPr>
        <w:t>v.</w:t>
      </w:r>
      <w:r>
        <w:rPr>
          <w:spacing w:val="-17"/>
          <w:sz w:val="18"/>
          <w:u w:val="single"/>
        </w:rPr>
        <w:t> </w:t>
      </w:r>
      <w:r>
        <w:rPr>
          <w:sz w:val="18"/>
          <w:u w:val="single"/>
        </w:rPr>
        <w:t>Cogswell</w:t>
      </w:r>
      <w:r>
        <w:rPr>
          <w:spacing w:val="-17"/>
          <w:sz w:val="18"/>
          <w:u w:val="single"/>
        </w:rPr>
        <w:t> </w:t>
      </w:r>
      <w:r>
        <w:rPr>
          <w:sz w:val="18"/>
          <w:u w:val="single"/>
        </w:rPr>
        <w:t>Properties,</w:t>
      </w:r>
      <w:r>
        <w:rPr>
          <w:sz w:val="18"/>
        </w:rPr>
        <w:t> LLC, 683 F.3d 684 (6</w:t>
      </w:r>
      <w:r>
        <w:rPr>
          <w:position w:val="7"/>
          <w:sz w:val="10"/>
        </w:rPr>
        <w:t>th </w:t>
      </w:r>
      <w:r>
        <w:rPr>
          <w:sz w:val="18"/>
        </w:rPr>
        <w:t>Cir.</w:t>
      </w:r>
      <w:r>
        <w:rPr>
          <w:spacing w:val="-1"/>
          <w:sz w:val="18"/>
        </w:rPr>
        <w:t> </w:t>
      </w:r>
      <w:r>
        <w:rPr>
          <w:sz w:val="18"/>
        </w:rPr>
        <w:t>2012).</w:t>
      </w:r>
    </w:p>
    <w:p>
      <w:pPr>
        <w:pStyle w:val="BodyText"/>
        <w:spacing w:line="20" w:lineRule="exact"/>
        <w:ind w:left="1154"/>
        <w:rPr>
          <w:rFonts w:ascii="Times New Roman"/>
          <w:sz w:val="2"/>
        </w:rPr>
      </w:pPr>
      <w:r>
        <w:rPr>
          <w:rFonts w:ascii="Times New Roman"/>
          <w:sz w:val="2"/>
        </w:rPr>
        <w:pict>
          <v:group style="width:16.8pt;height:.550pt;mso-position-horizontal-relative:char;mso-position-vertical-relative:line" coordorigin="0,0" coordsize="336,11">
            <v:line style="position:absolute" from="0,5" to="336,5" stroked="true" strokeweight=".54pt" strokecolor="#000000">
              <v:stroke dashstyle="solid"/>
            </v:line>
          </v:group>
        </w:pict>
      </w:r>
      <w:r>
        <w:rPr>
          <w:rFonts w:ascii="Times New Roman"/>
          <w:sz w:val="2"/>
        </w:rPr>
      </w:r>
    </w:p>
    <w:p>
      <w:pPr>
        <w:pStyle w:val="ListParagraph"/>
        <w:numPr>
          <w:ilvl w:val="0"/>
          <w:numId w:val="6"/>
        </w:numPr>
        <w:tabs>
          <w:tab w:pos="1457" w:val="left" w:leader="none"/>
        </w:tabs>
        <w:spacing w:line="185" w:lineRule="exact" w:before="0" w:after="0"/>
        <w:ind w:left="1456" w:right="0" w:hanging="297"/>
        <w:jc w:val="both"/>
        <w:rPr>
          <w:sz w:val="18"/>
        </w:rPr>
      </w:pPr>
      <w:r>
        <w:rPr>
          <w:sz w:val="18"/>
        </w:rPr>
        <w:t>S.R. Intern. Business Ins. Co., Ltd. v. World Trade Center Properties LLC,</w:t>
      </w:r>
      <w:r>
        <w:rPr>
          <w:spacing w:val="4"/>
          <w:sz w:val="18"/>
        </w:rPr>
        <w:t> </w:t>
      </w:r>
      <w:r>
        <w:rPr>
          <w:sz w:val="18"/>
        </w:rPr>
        <w:t>445</w:t>
      </w:r>
    </w:p>
    <w:p>
      <w:pPr>
        <w:pStyle w:val="BodyText"/>
        <w:spacing w:line="20" w:lineRule="exact"/>
        <w:ind w:left="1451"/>
        <w:rPr>
          <w:rFonts w:ascii="Times New Roman"/>
          <w:sz w:val="2"/>
        </w:rPr>
      </w:pPr>
      <w:r>
        <w:rPr>
          <w:rFonts w:ascii="Times New Roman"/>
          <w:sz w:val="2"/>
        </w:rPr>
        <w:pict>
          <v:group style="width:289.1pt;height:.550pt;mso-position-horizontal-relative:char;mso-position-vertical-relative:line" coordorigin="0,0" coordsize="5782,11">
            <v:line style="position:absolute" from="0,5" to="5782,5" stroked="true" strokeweight=".54pt" strokecolor="#000000">
              <v:stroke dashstyle="solid"/>
            </v:line>
          </v:group>
        </w:pict>
      </w:r>
      <w:r>
        <w:rPr>
          <w:rFonts w:ascii="Times New Roman"/>
          <w:sz w:val="2"/>
        </w:rPr>
      </w:r>
    </w:p>
    <w:p>
      <w:pPr>
        <w:spacing w:line="191" w:lineRule="exact" w:before="0"/>
        <w:ind w:left="1160" w:right="0" w:firstLine="0"/>
        <w:jc w:val="both"/>
        <w:rPr>
          <w:rFonts w:ascii="Times New Roman"/>
          <w:sz w:val="18"/>
        </w:rPr>
      </w:pPr>
      <w:r>
        <w:rPr>
          <w:rFonts w:ascii="Times New Roman"/>
          <w:sz w:val="18"/>
        </w:rPr>
        <w:t>F.Supp.2d 320 (S.D.N.Y. 2006).</w:t>
      </w:r>
    </w:p>
    <w:p>
      <w:pPr>
        <w:pStyle w:val="ListParagraph"/>
        <w:numPr>
          <w:ilvl w:val="0"/>
          <w:numId w:val="6"/>
        </w:numPr>
        <w:tabs>
          <w:tab w:pos="1402" w:val="left" w:leader="none"/>
        </w:tabs>
        <w:spacing w:line="282" w:lineRule="exact" w:before="0" w:after="0"/>
        <w:ind w:left="1401" w:right="0" w:hanging="242"/>
        <w:jc w:val="both"/>
        <w:rPr>
          <w:sz w:val="24"/>
        </w:rPr>
      </w:pPr>
      <w:r>
        <w:rPr>
          <w:sz w:val="18"/>
          <w:u w:val="single"/>
        </w:rPr>
        <w:t>Gervant v. New England Fire Ins. Co.</w:t>
      </w:r>
      <w:r>
        <w:rPr>
          <w:sz w:val="18"/>
        </w:rPr>
        <w:t>, 306 N.Y. 393, 118 N.E.2d 574</w:t>
      </w:r>
      <w:r>
        <w:rPr>
          <w:spacing w:val="1"/>
          <w:sz w:val="18"/>
        </w:rPr>
        <w:t> </w:t>
      </w:r>
      <w:r>
        <w:rPr>
          <w:sz w:val="18"/>
        </w:rPr>
        <w:t>(1954)</w:t>
      </w:r>
      <w:r>
        <w:rPr>
          <w:sz w:val="24"/>
        </w:rPr>
        <w:t>.</w:t>
      </w:r>
    </w:p>
    <w:p>
      <w:pPr>
        <w:spacing w:after="0" w:line="282" w:lineRule="exact"/>
        <w:jc w:val="both"/>
        <w:rPr>
          <w:sz w:val="24"/>
        </w:rPr>
        <w:sectPr>
          <w:footerReference w:type="default" r:id="rId9"/>
          <w:pgSz w:w="12240" w:h="15840"/>
          <w:pgMar w:footer="2273" w:header="0" w:top="1500" w:bottom="2460" w:left="1720" w:right="1720"/>
          <w:pgNumType w:start="478"/>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440" w:id="18"/>
      <w:bookmarkEnd w:id="18"/>
      <w:r>
        <w:rPr/>
      </w:r>
      <w:r>
        <w:rPr/>
        <w:t>the umpire and company appraiser may not arbitrarily refuse to consider evidence of the variety of facts which may enter into the determination of actual cash value, despite the fact that evidence of such factors was presented</w:t>
      </w:r>
      <w:r>
        <w:rPr>
          <w:spacing w:val="-29"/>
        </w:rPr>
        <w:t> </w:t>
      </w:r>
      <w:r>
        <w:rPr/>
        <w:t>to</w:t>
      </w:r>
      <w:r>
        <w:rPr>
          <w:spacing w:val="-29"/>
        </w:rPr>
        <w:t> </w:t>
      </w:r>
      <w:r>
        <w:rPr/>
        <w:t>them</w:t>
      </w:r>
      <w:r>
        <w:rPr>
          <w:spacing w:val="-30"/>
        </w:rPr>
        <w:t> </w:t>
      </w:r>
      <w:r>
        <w:rPr/>
        <w:t>by</w:t>
      </w:r>
      <w:r>
        <w:rPr>
          <w:spacing w:val="-31"/>
        </w:rPr>
        <w:t> </w:t>
      </w:r>
      <w:r>
        <w:rPr/>
        <w:t>the</w:t>
      </w:r>
      <w:r>
        <w:rPr>
          <w:spacing w:val="-29"/>
        </w:rPr>
        <w:t> </w:t>
      </w:r>
      <w:r>
        <w:rPr/>
        <w:t>plaintiff's</w:t>
      </w:r>
      <w:r>
        <w:rPr>
          <w:spacing w:val="-31"/>
        </w:rPr>
        <w:t> </w:t>
      </w:r>
      <w:r>
        <w:rPr>
          <w:spacing w:val="-5"/>
        </w:rPr>
        <w:t>appraiser.</w:t>
      </w:r>
      <w:r>
        <w:rPr>
          <w:spacing w:val="-5"/>
          <w:vertAlign w:val="superscript"/>
        </w:rPr>
        <w:t>914</w:t>
      </w:r>
      <w:r>
        <w:rPr>
          <w:spacing w:val="-5"/>
          <w:vertAlign w:val="baseline"/>
        </w:rPr>
        <w:t> </w:t>
      </w:r>
      <w:r>
        <w:rPr>
          <w:vertAlign w:val="baseline"/>
        </w:rPr>
        <w:t>The right of a party</w:t>
      </w:r>
      <w:r>
        <w:rPr>
          <w:spacing w:val="-54"/>
          <w:vertAlign w:val="baseline"/>
        </w:rPr>
        <w:t> </w:t>
      </w:r>
      <w:r>
        <w:rPr>
          <w:vertAlign w:val="baseline"/>
        </w:rPr>
        <w:t>to have appraisers receive all</w:t>
      </w:r>
      <w:r>
        <w:rPr>
          <w:spacing w:val="-31"/>
          <w:vertAlign w:val="baseline"/>
        </w:rPr>
        <w:t> </w:t>
      </w:r>
      <w:r>
        <w:rPr>
          <w:vertAlign w:val="baseline"/>
        </w:rPr>
        <w:t>pertinent</w:t>
      </w:r>
      <w:r>
        <w:rPr>
          <w:spacing w:val="-35"/>
          <w:vertAlign w:val="baseline"/>
        </w:rPr>
        <w:t> </w:t>
      </w:r>
      <w:r>
        <w:rPr>
          <w:vertAlign w:val="baseline"/>
        </w:rPr>
        <w:t>evidence</w:t>
      </w:r>
      <w:r>
        <w:rPr>
          <w:spacing w:val="-35"/>
          <w:vertAlign w:val="baseline"/>
        </w:rPr>
        <w:t> </w:t>
      </w:r>
      <w:r>
        <w:rPr>
          <w:spacing w:val="-3"/>
          <w:vertAlign w:val="baseline"/>
        </w:rPr>
        <w:t>offered</w:t>
      </w:r>
      <w:r>
        <w:rPr>
          <w:spacing w:val="-32"/>
          <w:vertAlign w:val="baseline"/>
        </w:rPr>
        <w:t> </w:t>
      </w:r>
      <w:r>
        <w:rPr>
          <w:vertAlign w:val="baseline"/>
        </w:rPr>
        <w:t>is</w:t>
      </w:r>
      <w:r>
        <w:rPr>
          <w:spacing w:val="-32"/>
          <w:vertAlign w:val="baseline"/>
        </w:rPr>
        <w:t> </w:t>
      </w:r>
      <w:r>
        <w:rPr>
          <w:vertAlign w:val="baseline"/>
        </w:rPr>
        <w:t>a</w:t>
      </w:r>
      <w:r>
        <w:rPr>
          <w:spacing w:val="-32"/>
          <w:vertAlign w:val="baseline"/>
        </w:rPr>
        <w:t> </w:t>
      </w:r>
      <w:r>
        <w:rPr>
          <w:vertAlign w:val="baseline"/>
        </w:rPr>
        <w:t>fundamental procedural</w:t>
      </w:r>
      <w:r>
        <w:rPr>
          <w:spacing w:val="-21"/>
          <w:vertAlign w:val="baseline"/>
        </w:rPr>
        <w:t> </w:t>
      </w:r>
      <w:r>
        <w:rPr>
          <w:vertAlign w:val="baseline"/>
        </w:rPr>
        <w:t>right</w:t>
      </w:r>
      <w:r>
        <w:rPr>
          <w:spacing w:val="-23"/>
          <w:vertAlign w:val="baseline"/>
        </w:rPr>
        <w:t> </w:t>
      </w:r>
      <w:r>
        <w:rPr>
          <w:vertAlign w:val="baseline"/>
        </w:rPr>
        <w:t>to</w:t>
      </w:r>
      <w:r>
        <w:rPr>
          <w:spacing w:val="-21"/>
          <w:vertAlign w:val="baseline"/>
        </w:rPr>
        <w:t> </w:t>
      </w:r>
      <w:r>
        <w:rPr>
          <w:vertAlign w:val="baseline"/>
        </w:rPr>
        <w:t>which</w:t>
      </w:r>
      <w:r>
        <w:rPr>
          <w:spacing w:val="-20"/>
          <w:vertAlign w:val="baseline"/>
        </w:rPr>
        <w:t> </w:t>
      </w:r>
      <w:r>
        <w:rPr>
          <w:vertAlign w:val="baseline"/>
        </w:rPr>
        <w:t>the</w:t>
      </w:r>
      <w:r>
        <w:rPr>
          <w:spacing w:val="-20"/>
          <w:vertAlign w:val="baseline"/>
        </w:rPr>
        <w:t> </w:t>
      </w:r>
      <w:r>
        <w:rPr>
          <w:vertAlign w:val="baseline"/>
        </w:rPr>
        <w:t>insured</w:t>
      </w:r>
      <w:r>
        <w:rPr>
          <w:spacing w:val="-20"/>
          <w:vertAlign w:val="baseline"/>
        </w:rPr>
        <w:t> </w:t>
      </w:r>
      <w:r>
        <w:rPr>
          <w:vertAlign w:val="baseline"/>
        </w:rPr>
        <w:t>is</w:t>
      </w:r>
      <w:r>
        <w:rPr>
          <w:spacing w:val="-21"/>
          <w:vertAlign w:val="baseline"/>
        </w:rPr>
        <w:t> </w:t>
      </w:r>
      <w:r>
        <w:rPr>
          <w:vertAlign w:val="baseline"/>
        </w:rPr>
        <w:t>entitled and any conduct to the contrary by </w:t>
      </w:r>
      <w:r>
        <w:rPr>
          <w:spacing w:val="-3"/>
          <w:vertAlign w:val="baseline"/>
        </w:rPr>
        <w:t>the </w:t>
      </w:r>
      <w:r>
        <w:rPr>
          <w:vertAlign w:val="baseline"/>
        </w:rPr>
        <w:t>company appraiser or umpire may invalidate an</w:t>
      </w:r>
      <w:r>
        <w:rPr>
          <w:spacing w:val="-2"/>
          <w:vertAlign w:val="baseline"/>
        </w:rPr>
        <w:t> </w:t>
      </w:r>
      <w:r>
        <w:rPr>
          <w:vertAlign w:val="baseline"/>
        </w:rPr>
        <w:t>award.</w:t>
      </w:r>
      <w:r>
        <w:rPr>
          <w:vertAlign w:val="superscript"/>
        </w:rPr>
        <w:t>915</w:t>
      </w:r>
    </w:p>
    <w:p>
      <w:pPr>
        <w:pStyle w:val="BodyText"/>
        <w:spacing w:before="10"/>
        <w:rPr>
          <w:sz w:val="25"/>
        </w:rPr>
      </w:pPr>
    </w:p>
    <w:p>
      <w:pPr>
        <w:pStyle w:val="BodyText"/>
        <w:spacing w:line="242" w:lineRule="auto"/>
        <w:ind w:left="1520" w:right="1517" w:firstLine="720"/>
        <w:jc w:val="both"/>
      </w:pPr>
      <w:r>
        <w:rPr>
          <w:spacing w:val="2"/>
        </w:rPr>
        <w:t>As </w:t>
      </w:r>
      <w:r>
        <w:rPr/>
        <w:t>the Broad Evidence method of ascertaining actual cash value has been adopted in most jurisdictions,</w:t>
      </w:r>
      <w:r>
        <w:rPr>
          <w:vertAlign w:val="superscript"/>
        </w:rPr>
        <w:t>916</w:t>
      </w:r>
      <w:r>
        <w:rPr>
          <w:vertAlign w:val="baseline"/>
        </w:rPr>
        <w:t> it makes </w:t>
      </w:r>
      <w:r>
        <w:rPr>
          <w:spacing w:val="-18"/>
          <w:vertAlign w:val="baseline"/>
        </w:rPr>
        <w:t>an</w:t>
      </w:r>
      <w:r>
        <w:rPr>
          <w:spacing w:val="35"/>
          <w:vertAlign w:val="baseline"/>
        </w:rPr>
        <w:t> </w:t>
      </w:r>
      <w:r>
        <w:rPr>
          <w:vertAlign w:val="baseline"/>
        </w:rPr>
        <w:t>excellent guideline for appraisers in making a determination of actual cash value, except</w:t>
      </w:r>
      <w:r>
        <w:rPr>
          <w:spacing w:val="-24"/>
          <w:vertAlign w:val="baseline"/>
        </w:rPr>
        <w:t> </w:t>
      </w:r>
      <w:r>
        <w:rPr>
          <w:vertAlign w:val="baseline"/>
        </w:rPr>
        <w:t>in those states where another method is mandated. Practitioners are cautioned to consider the issue as the definition of actual cash value as the proper method of calculating</w:t>
      </w:r>
      <w:r>
        <w:rPr>
          <w:spacing w:val="-18"/>
          <w:vertAlign w:val="baseline"/>
        </w:rPr>
        <w:t> </w:t>
      </w:r>
      <w:r>
        <w:rPr>
          <w:vertAlign w:val="baseline"/>
        </w:rPr>
        <w:t>it</w:t>
      </w:r>
      <w:r>
        <w:rPr>
          <w:spacing w:val="-19"/>
          <w:vertAlign w:val="baseline"/>
        </w:rPr>
        <w:t> </w:t>
      </w:r>
      <w:r>
        <w:rPr>
          <w:vertAlign w:val="baseline"/>
        </w:rPr>
        <w:t>does</w:t>
      </w:r>
      <w:r>
        <w:rPr>
          <w:spacing w:val="-17"/>
          <w:vertAlign w:val="baseline"/>
        </w:rPr>
        <w:t> </w:t>
      </w:r>
      <w:r>
        <w:rPr>
          <w:vertAlign w:val="baseline"/>
        </w:rPr>
        <w:t>vary</w:t>
      </w:r>
      <w:r>
        <w:rPr>
          <w:spacing w:val="-21"/>
          <w:vertAlign w:val="baseline"/>
        </w:rPr>
        <w:t> </w:t>
      </w:r>
      <w:r>
        <w:rPr>
          <w:vertAlign w:val="baseline"/>
        </w:rPr>
        <w:t>from</w:t>
      </w:r>
      <w:r>
        <w:rPr>
          <w:spacing w:val="-20"/>
          <w:vertAlign w:val="baseline"/>
        </w:rPr>
        <w:t> </w:t>
      </w:r>
      <w:r>
        <w:rPr>
          <w:vertAlign w:val="baseline"/>
        </w:rPr>
        <w:t>state</w:t>
      </w:r>
      <w:r>
        <w:rPr>
          <w:spacing w:val="-20"/>
          <w:vertAlign w:val="baseline"/>
        </w:rPr>
        <w:t> </w:t>
      </w:r>
      <w:r>
        <w:rPr>
          <w:vertAlign w:val="baseline"/>
        </w:rPr>
        <w:t>to</w:t>
      </w:r>
      <w:r>
        <w:rPr>
          <w:spacing w:val="-17"/>
          <w:vertAlign w:val="baseline"/>
        </w:rPr>
        <w:t> </w:t>
      </w:r>
      <w:r>
        <w:rPr>
          <w:vertAlign w:val="baseline"/>
        </w:rPr>
        <w:t>state</w:t>
      </w:r>
      <w:r>
        <w:rPr>
          <w:spacing w:val="-20"/>
          <w:vertAlign w:val="baseline"/>
        </w:rPr>
        <w:t> </w:t>
      </w:r>
      <w:r>
        <w:rPr>
          <w:vertAlign w:val="baseline"/>
        </w:rPr>
        <w:t>and </w:t>
      </w:r>
      <w:r>
        <w:rPr>
          <w:spacing w:val="2"/>
          <w:vertAlign w:val="baseline"/>
        </w:rPr>
        <w:t>the </w:t>
      </w:r>
      <w:r>
        <w:rPr>
          <w:spacing w:val="3"/>
          <w:vertAlign w:val="baseline"/>
        </w:rPr>
        <w:t>use </w:t>
      </w:r>
      <w:r>
        <w:rPr>
          <w:spacing w:val="2"/>
          <w:vertAlign w:val="baseline"/>
        </w:rPr>
        <w:t>of the </w:t>
      </w:r>
      <w:r>
        <w:rPr>
          <w:spacing w:val="4"/>
          <w:vertAlign w:val="baseline"/>
        </w:rPr>
        <w:t>correct approach is </w:t>
      </w:r>
      <w:r>
        <w:rPr>
          <w:vertAlign w:val="baseline"/>
        </w:rPr>
        <w:t>fundamentally</w:t>
      </w:r>
      <w:r>
        <w:rPr>
          <w:spacing w:val="-39"/>
          <w:vertAlign w:val="baseline"/>
        </w:rPr>
        <w:t> </w:t>
      </w:r>
      <w:r>
        <w:rPr>
          <w:spacing w:val="-3"/>
          <w:vertAlign w:val="baseline"/>
        </w:rPr>
        <w:t>important</w:t>
      </w:r>
      <w:r>
        <w:rPr>
          <w:spacing w:val="-36"/>
          <w:vertAlign w:val="baseline"/>
        </w:rPr>
        <w:t> </w:t>
      </w:r>
      <w:r>
        <w:rPr>
          <w:vertAlign w:val="baseline"/>
        </w:rPr>
        <w:t>to</w:t>
      </w:r>
      <w:r>
        <w:rPr>
          <w:spacing w:val="-34"/>
          <w:vertAlign w:val="baseline"/>
        </w:rPr>
        <w:t> </w:t>
      </w:r>
      <w:r>
        <w:rPr>
          <w:vertAlign w:val="baseline"/>
        </w:rPr>
        <w:t>a</w:t>
      </w:r>
      <w:r>
        <w:rPr>
          <w:spacing w:val="-33"/>
          <w:vertAlign w:val="baseline"/>
        </w:rPr>
        <w:t> </w:t>
      </w:r>
      <w:r>
        <w:rPr>
          <w:vertAlign w:val="baseline"/>
        </w:rPr>
        <w:t>proper</w:t>
      </w:r>
      <w:r>
        <w:rPr>
          <w:spacing w:val="-35"/>
          <w:vertAlign w:val="baseline"/>
        </w:rPr>
        <w:t> </w:t>
      </w:r>
      <w:r>
        <w:rPr>
          <w:vertAlign w:val="baseline"/>
        </w:rPr>
        <w:t>outcome.</w:t>
      </w:r>
    </w:p>
    <w:p>
      <w:pPr>
        <w:pStyle w:val="BodyText"/>
        <w:rPr>
          <w:sz w:val="20"/>
        </w:rPr>
      </w:pPr>
    </w:p>
    <w:p>
      <w:pPr>
        <w:pStyle w:val="BodyText"/>
        <w:rPr>
          <w:sz w:val="20"/>
        </w:rPr>
      </w:pPr>
    </w:p>
    <w:p>
      <w:pPr>
        <w:pStyle w:val="BodyText"/>
        <w:rPr>
          <w:sz w:val="20"/>
        </w:rPr>
      </w:pPr>
    </w:p>
    <w:p>
      <w:pPr>
        <w:pStyle w:val="BodyText"/>
        <w:spacing w:before="2"/>
        <w:rPr>
          <w:sz w:val="12"/>
        </w:rPr>
      </w:pPr>
      <w:r>
        <w:rPr/>
        <w:pict>
          <v:shape style="position:absolute;margin-left:162pt;margin-top:9.880488pt;width:143.9pt;height:.1pt;mso-position-horizontal-relative:page;mso-position-vertical-relative:paragraph;z-index:-251643904;mso-wrap-distance-left:0;mso-wrap-distance-right:0" coordorigin="3240,198" coordsize="2878,0" path="m3240,198l6118,198e" filled="false" stroked="true" strokeweight=".84pt" strokecolor="#000000">
            <v:path arrowok="t"/>
            <v:stroke dashstyle="solid"/>
            <w10:wrap type="topAndBottom"/>
          </v:shape>
        </w:pict>
      </w:r>
    </w:p>
    <w:p>
      <w:pPr>
        <w:pStyle w:val="ListParagraph"/>
        <w:numPr>
          <w:ilvl w:val="0"/>
          <w:numId w:val="6"/>
        </w:numPr>
        <w:tabs>
          <w:tab w:pos="1402" w:val="left" w:leader="none"/>
        </w:tabs>
        <w:spacing w:line="184" w:lineRule="auto" w:before="159" w:after="0"/>
        <w:ind w:left="1401" w:right="0" w:hanging="242"/>
        <w:jc w:val="left"/>
        <w:rPr>
          <w:sz w:val="18"/>
        </w:rPr>
      </w:pPr>
      <w:r>
        <w:rPr>
          <w:position w:val="-9"/>
          <w:sz w:val="18"/>
          <w:u w:val="single"/>
        </w:rPr>
        <w:t>Id</w:t>
      </w:r>
      <w:r>
        <w:rPr>
          <w:position w:val="-9"/>
          <w:sz w:val="18"/>
        </w:rPr>
        <w:t>.</w:t>
      </w:r>
    </w:p>
    <w:p>
      <w:pPr>
        <w:pStyle w:val="ListParagraph"/>
        <w:numPr>
          <w:ilvl w:val="0"/>
          <w:numId w:val="6"/>
        </w:numPr>
        <w:tabs>
          <w:tab w:pos="1402" w:val="left" w:leader="none"/>
        </w:tabs>
        <w:spacing w:line="238" w:lineRule="exact" w:before="0" w:after="0"/>
        <w:ind w:left="1401" w:right="0" w:hanging="242"/>
        <w:jc w:val="left"/>
        <w:rPr>
          <w:sz w:val="18"/>
        </w:rPr>
      </w:pPr>
      <w:r>
        <w:rPr>
          <w:sz w:val="18"/>
          <w:u w:val="single"/>
        </w:rPr>
        <w:t>Strome v. London Assur. Corp.</w:t>
      </w:r>
      <w:r>
        <w:rPr>
          <w:sz w:val="18"/>
        </w:rPr>
        <w:t>, 20 A.D. 571, 47 N.Y.S.481 (2d Dept. 1897),</w:t>
      </w:r>
      <w:r>
        <w:rPr>
          <w:spacing w:val="7"/>
          <w:sz w:val="18"/>
        </w:rPr>
        <w:t> </w:t>
      </w:r>
      <w:r>
        <w:rPr>
          <w:i/>
          <w:sz w:val="18"/>
        </w:rPr>
        <w:t>aff’d</w:t>
      </w:r>
      <w:r>
        <w:rPr>
          <w:sz w:val="18"/>
        </w:rPr>
        <w:t>,</w:t>
      </w:r>
    </w:p>
    <w:p>
      <w:pPr>
        <w:spacing w:before="4"/>
        <w:ind w:left="1160" w:right="0" w:firstLine="0"/>
        <w:jc w:val="left"/>
        <w:rPr>
          <w:rFonts w:ascii="Times New Roman"/>
          <w:sz w:val="18"/>
        </w:rPr>
      </w:pPr>
      <w:r>
        <w:rPr>
          <w:rFonts w:ascii="Times New Roman"/>
          <w:sz w:val="18"/>
        </w:rPr>
        <w:t>162 N.Y. 627, 57 N.E. 1125 (1900); </w:t>
      </w:r>
      <w:r>
        <w:rPr>
          <w:rFonts w:ascii="Times New Roman"/>
          <w:sz w:val="18"/>
          <w:u w:val="single"/>
        </w:rPr>
        <w:t>Kaiser v. Hamburg-Bremen Fire Ins. Co.</w:t>
      </w:r>
      <w:r>
        <w:rPr>
          <w:rFonts w:ascii="Times New Roman"/>
          <w:sz w:val="18"/>
        </w:rPr>
        <w:t>, 59 A.D.</w:t>
      </w:r>
    </w:p>
    <w:p>
      <w:pPr>
        <w:spacing w:line="178" w:lineRule="exact" w:before="5"/>
        <w:ind w:left="1160" w:right="0" w:firstLine="0"/>
        <w:jc w:val="left"/>
        <w:rPr>
          <w:rFonts w:ascii="Times New Roman" w:hAnsi="Times New Roman"/>
          <w:sz w:val="18"/>
        </w:rPr>
      </w:pPr>
      <w:r>
        <w:rPr>
          <w:rFonts w:ascii="Times New Roman" w:hAnsi="Times New Roman"/>
          <w:sz w:val="18"/>
        </w:rPr>
        <w:t>525, 69 N.Y.S. 344 (1901), </w:t>
      </w:r>
      <w:r>
        <w:rPr>
          <w:rFonts w:ascii="Times New Roman" w:hAnsi="Times New Roman"/>
          <w:i/>
          <w:sz w:val="18"/>
        </w:rPr>
        <w:t>aff’d</w:t>
      </w:r>
      <w:r>
        <w:rPr>
          <w:rFonts w:ascii="Times New Roman" w:hAnsi="Times New Roman"/>
          <w:sz w:val="18"/>
        </w:rPr>
        <w:t>, 172 N.Y. 663, 55 N.E. 118 (1902).</w:t>
      </w:r>
    </w:p>
    <w:p>
      <w:pPr>
        <w:spacing w:line="240" w:lineRule="exact" w:before="0"/>
        <w:ind w:left="1160" w:right="0" w:firstLine="0"/>
        <w:jc w:val="left"/>
        <w:rPr>
          <w:rFonts w:ascii="Times New Roman"/>
          <w:sz w:val="18"/>
        </w:rPr>
      </w:pPr>
      <w:r>
        <w:rPr>
          <w:rFonts w:ascii="Times New Roman"/>
          <w:position w:val="10"/>
          <w:sz w:val="14"/>
        </w:rPr>
        <w:t>916</w:t>
      </w:r>
      <w:r>
        <w:rPr>
          <w:rFonts w:ascii="Times New Roman"/>
          <w:sz w:val="14"/>
        </w:rPr>
        <w:t> </w:t>
      </w:r>
      <w:r>
        <w:rPr>
          <w:rFonts w:ascii="Times New Roman"/>
          <w:sz w:val="18"/>
          <w:u w:val="single"/>
        </w:rPr>
        <w:t>Evanston Ins. Co. v. Cogswell Properties, LLC</w:t>
      </w:r>
      <w:r>
        <w:rPr>
          <w:rFonts w:ascii="Times New Roman"/>
          <w:sz w:val="18"/>
        </w:rPr>
        <w:t>, 730 F.Supp.2d 248 (W.D. Mich. 2010)</w:t>
      </w:r>
    </w:p>
    <w:p>
      <w:pPr>
        <w:spacing w:after="0" w:line="240" w:lineRule="exact"/>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firstLine="720"/>
        <w:jc w:val="both"/>
      </w:pPr>
      <w:bookmarkStart w:name="Law and Procedure 441" w:id="19"/>
      <w:bookmarkEnd w:id="19"/>
      <w:r>
        <w:rPr/>
      </w:r>
      <w:r>
        <w:rPr>
          <w:spacing w:val="4"/>
        </w:rPr>
        <w:t>In </w:t>
      </w:r>
      <w:r>
        <w:rPr/>
        <w:t>Pennsylvania it has been held that appraisers acted within the scope of their authority in determining actual cash value when they considered the actual use the property could be put to in the future. The court stated that appraisers have to make a variety of decisions in the course of setting a value for the property. One of these permissible decisions was the recognition that the</w:t>
      </w:r>
      <w:r>
        <w:rPr>
          <w:spacing w:val="-27"/>
        </w:rPr>
        <w:t> </w:t>
      </w:r>
      <w:r>
        <w:rPr/>
        <w:t>subject</w:t>
      </w:r>
      <w:r>
        <w:rPr>
          <w:spacing w:val="-28"/>
        </w:rPr>
        <w:t> </w:t>
      </w:r>
      <w:r>
        <w:rPr/>
        <w:t>property</w:t>
      </w:r>
      <w:r>
        <w:rPr>
          <w:spacing w:val="-29"/>
        </w:rPr>
        <w:t> </w:t>
      </w:r>
      <w:r>
        <w:rPr/>
        <w:t>possessed</w:t>
      </w:r>
      <w:r>
        <w:rPr>
          <w:spacing w:val="-25"/>
        </w:rPr>
        <w:t> </w:t>
      </w:r>
      <w:r>
        <w:rPr/>
        <w:t>a</w:t>
      </w:r>
      <w:r>
        <w:rPr>
          <w:spacing w:val="-27"/>
        </w:rPr>
        <w:t> </w:t>
      </w:r>
      <w:r>
        <w:rPr/>
        <w:t>benefit</w:t>
      </w:r>
      <w:r>
        <w:rPr>
          <w:spacing w:val="-28"/>
        </w:rPr>
        <w:t> </w:t>
      </w:r>
      <w:r>
        <w:rPr>
          <w:spacing w:val="-3"/>
        </w:rPr>
        <w:t>under </w:t>
      </w:r>
      <w:r>
        <w:rPr/>
        <w:t>the pertinent zoning ordinances and that the existence of this benefit was relevant to a determination of</w:t>
      </w:r>
      <w:r>
        <w:rPr>
          <w:spacing w:val="-3"/>
        </w:rPr>
        <w:t> </w:t>
      </w:r>
      <w:r>
        <w:rPr/>
        <w:t>valuation.</w:t>
      </w:r>
      <w:r>
        <w:rPr>
          <w:vertAlign w:val="superscript"/>
        </w:rPr>
        <w:t>917</w:t>
      </w:r>
    </w:p>
    <w:p>
      <w:pPr>
        <w:pStyle w:val="BodyText"/>
        <w:spacing w:before="10"/>
        <w:rPr>
          <w:sz w:val="25"/>
        </w:rPr>
      </w:pPr>
    </w:p>
    <w:p>
      <w:pPr>
        <w:pStyle w:val="BodyText"/>
        <w:spacing w:line="242" w:lineRule="auto"/>
        <w:ind w:left="1520" w:right="1518" w:firstLine="720"/>
        <w:jc w:val="both"/>
      </w:pPr>
      <w:r>
        <w:rPr/>
        <w:t>The Connecticut Supreme Court </w:t>
      </w:r>
      <w:r>
        <w:rPr>
          <w:spacing w:val="-4"/>
        </w:rPr>
        <w:t>has</w:t>
      </w:r>
      <w:r>
        <w:rPr>
          <w:spacing w:val="63"/>
        </w:rPr>
        <w:t> </w:t>
      </w:r>
      <w:r>
        <w:rPr/>
        <w:t>accepted three methods for determining actual cash value. The first is based upon the market</w:t>
      </w:r>
      <w:r>
        <w:rPr>
          <w:spacing w:val="-16"/>
        </w:rPr>
        <w:t> </w:t>
      </w:r>
      <w:r>
        <w:rPr/>
        <w:t>value</w:t>
      </w:r>
      <w:r>
        <w:rPr>
          <w:spacing w:val="-12"/>
        </w:rPr>
        <w:t> </w:t>
      </w:r>
      <w:r>
        <w:rPr/>
        <w:t>of</w:t>
      </w:r>
      <w:r>
        <w:rPr>
          <w:spacing w:val="-15"/>
        </w:rPr>
        <w:t> </w:t>
      </w:r>
      <w:r>
        <w:rPr/>
        <w:t>the</w:t>
      </w:r>
      <w:r>
        <w:rPr>
          <w:spacing w:val="-17"/>
        </w:rPr>
        <w:t> </w:t>
      </w:r>
      <w:r>
        <w:rPr/>
        <w:t>property</w:t>
      </w:r>
      <w:r>
        <w:rPr>
          <w:spacing w:val="-18"/>
        </w:rPr>
        <w:t> </w:t>
      </w:r>
      <w:r>
        <w:rPr/>
        <w:t>at</w:t>
      </w:r>
      <w:r>
        <w:rPr>
          <w:spacing w:val="-18"/>
        </w:rPr>
        <w:t> </w:t>
      </w:r>
      <w:r>
        <w:rPr/>
        <w:t>the</w:t>
      </w:r>
      <w:r>
        <w:rPr>
          <w:spacing w:val="-15"/>
        </w:rPr>
        <w:t> </w:t>
      </w:r>
      <w:r>
        <w:rPr/>
        <w:t>time</w:t>
      </w:r>
      <w:r>
        <w:rPr>
          <w:spacing w:val="-14"/>
        </w:rPr>
        <w:t> </w:t>
      </w:r>
      <w:r>
        <w:rPr/>
        <w:t>of</w:t>
      </w:r>
      <w:r>
        <w:rPr>
          <w:spacing w:val="-13"/>
        </w:rPr>
        <w:t> </w:t>
      </w:r>
      <w:r>
        <w:rPr/>
        <w:t>the loss. The court stated that this method is</w:t>
      </w:r>
      <w:r>
        <w:rPr>
          <w:spacing w:val="-19"/>
        </w:rPr>
        <w:t> </w:t>
      </w:r>
      <w:r>
        <w:rPr/>
        <w:t>useful where “[T]he property is of such nature that</w:t>
      </w:r>
      <w:r>
        <w:rPr>
          <w:spacing w:val="-25"/>
        </w:rPr>
        <w:t> </w:t>
      </w:r>
      <w:r>
        <w:rPr/>
        <w:t>its market</w:t>
      </w:r>
      <w:r>
        <w:rPr>
          <w:spacing w:val="-24"/>
        </w:rPr>
        <w:t> </w:t>
      </w:r>
      <w:r>
        <w:rPr/>
        <w:t>value</w:t>
      </w:r>
      <w:r>
        <w:rPr>
          <w:spacing w:val="-20"/>
        </w:rPr>
        <w:t> </w:t>
      </w:r>
      <w:r>
        <w:rPr/>
        <w:t>can</w:t>
      </w:r>
      <w:r>
        <w:rPr>
          <w:spacing w:val="-21"/>
        </w:rPr>
        <w:t> </w:t>
      </w:r>
      <w:r>
        <w:rPr/>
        <w:t>readily</w:t>
      </w:r>
      <w:r>
        <w:rPr>
          <w:spacing w:val="-22"/>
        </w:rPr>
        <w:t> </w:t>
      </w:r>
      <w:r>
        <w:rPr/>
        <w:t>be</w:t>
      </w:r>
      <w:r>
        <w:rPr>
          <w:spacing w:val="-22"/>
        </w:rPr>
        <w:t> </w:t>
      </w:r>
      <w:r>
        <w:rPr/>
        <w:t>determined.”</w:t>
      </w:r>
      <w:r>
        <w:rPr>
          <w:spacing w:val="23"/>
        </w:rPr>
        <w:t> </w:t>
      </w:r>
      <w:r>
        <w:rPr/>
        <w:t>The second</w:t>
      </w:r>
      <w:r>
        <w:rPr>
          <w:spacing w:val="-24"/>
        </w:rPr>
        <w:t> </w:t>
      </w:r>
      <w:r>
        <w:rPr/>
        <w:t>method</w:t>
      </w:r>
      <w:r>
        <w:rPr>
          <w:spacing w:val="-24"/>
        </w:rPr>
        <w:t> </w:t>
      </w:r>
      <w:r>
        <w:rPr/>
        <w:t>is</w:t>
      </w:r>
      <w:r>
        <w:rPr>
          <w:spacing w:val="-25"/>
        </w:rPr>
        <w:t> </w:t>
      </w:r>
      <w:r>
        <w:rPr/>
        <w:t>based</w:t>
      </w:r>
      <w:r>
        <w:rPr>
          <w:spacing w:val="-24"/>
        </w:rPr>
        <w:t> </w:t>
      </w:r>
      <w:r>
        <w:rPr/>
        <w:t>upon</w:t>
      </w:r>
      <w:r>
        <w:rPr>
          <w:spacing w:val="-25"/>
        </w:rPr>
        <w:t> </w:t>
      </w:r>
      <w:r>
        <w:rPr/>
        <w:t>replacement</w:t>
      </w:r>
      <w:r>
        <w:rPr>
          <w:spacing w:val="-26"/>
        </w:rPr>
        <w:t> </w:t>
      </w:r>
      <w:r>
        <w:rPr>
          <w:spacing w:val="-7"/>
        </w:rPr>
        <w:t>or </w:t>
      </w:r>
      <w:r>
        <w:rPr/>
        <w:t>reproduction cost. </w:t>
      </w:r>
      <w:r>
        <w:rPr>
          <w:spacing w:val="-3"/>
        </w:rPr>
        <w:t>The </w:t>
      </w:r>
      <w:r>
        <w:rPr/>
        <w:t>court said that this measure</w:t>
      </w:r>
      <w:r>
        <w:rPr>
          <w:spacing w:val="-33"/>
        </w:rPr>
        <w:t> </w:t>
      </w:r>
      <w:r>
        <w:rPr/>
        <w:t>“[I]s</w:t>
      </w:r>
      <w:r>
        <w:rPr>
          <w:spacing w:val="-32"/>
        </w:rPr>
        <w:t> </w:t>
      </w:r>
      <w:r>
        <w:rPr/>
        <w:t>merely</w:t>
      </w:r>
      <w:r>
        <w:rPr>
          <w:spacing w:val="-33"/>
        </w:rPr>
        <w:t> </w:t>
      </w:r>
      <w:r>
        <w:rPr/>
        <w:t>a</w:t>
      </w:r>
      <w:r>
        <w:rPr>
          <w:spacing w:val="-32"/>
        </w:rPr>
        <w:t> </w:t>
      </w:r>
      <w:r>
        <w:rPr/>
        <w:t>limitation</w:t>
      </w:r>
      <w:r>
        <w:rPr>
          <w:spacing w:val="-30"/>
        </w:rPr>
        <w:t> </w:t>
      </w:r>
      <w:r>
        <w:rPr/>
        <w:t>on</w:t>
      </w:r>
      <w:r>
        <w:rPr>
          <w:spacing w:val="-31"/>
        </w:rPr>
        <w:t> </w:t>
      </w:r>
      <w:r>
        <w:rPr/>
        <w:t>the</w:t>
      </w:r>
      <w:r>
        <w:rPr>
          <w:spacing w:val="-32"/>
        </w:rPr>
        <w:t> </w:t>
      </w:r>
      <w:r>
        <w:rPr/>
        <w:t>insurer’s liability and not a substantive measure of damages which the insured can invoke.” The third</w:t>
      </w:r>
      <w:r>
        <w:rPr>
          <w:spacing w:val="-25"/>
        </w:rPr>
        <w:t> </w:t>
      </w:r>
      <w:r>
        <w:rPr/>
        <w:t>method</w:t>
      </w:r>
      <w:r>
        <w:rPr>
          <w:spacing w:val="-24"/>
        </w:rPr>
        <w:t> </w:t>
      </w:r>
      <w:r>
        <w:rPr/>
        <w:t>which</w:t>
      </w:r>
      <w:r>
        <w:rPr>
          <w:spacing w:val="-22"/>
        </w:rPr>
        <w:t> </w:t>
      </w:r>
      <w:r>
        <w:rPr/>
        <w:t>the</w:t>
      </w:r>
      <w:r>
        <w:rPr>
          <w:spacing w:val="-23"/>
        </w:rPr>
        <w:t> </w:t>
      </w:r>
      <w:r>
        <w:rPr/>
        <w:t>court</w:t>
      </w:r>
      <w:r>
        <w:rPr>
          <w:spacing w:val="-27"/>
        </w:rPr>
        <w:t> </w:t>
      </w:r>
      <w:r>
        <w:rPr/>
        <w:t>has</w:t>
      </w:r>
      <w:r>
        <w:rPr>
          <w:spacing w:val="-24"/>
        </w:rPr>
        <w:t> </w:t>
      </w:r>
      <w:r>
        <w:rPr/>
        <w:t>recognized</w:t>
      </w:r>
      <w:r>
        <w:rPr>
          <w:spacing w:val="-25"/>
        </w:rPr>
        <w:t> </w:t>
      </w:r>
      <w:r>
        <w:rPr/>
        <w:t>is the “Broad Evidence Rule.” By this standard, the appraisal should consider “any evidence logically tending to the formation of a</w:t>
      </w:r>
      <w:r>
        <w:rPr>
          <w:spacing w:val="-19"/>
        </w:rPr>
        <w:t> </w:t>
      </w:r>
      <w:r>
        <w:rPr/>
        <w:t>correct</w:t>
      </w:r>
    </w:p>
    <w:p>
      <w:pPr>
        <w:pStyle w:val="BodyText"/>
        <w:rPr>
          <w:sz w:val="27"/>
        </w:rPr>
      </w:pPr>
      <w:r>
        <w:rPr/>
        <w:pict>
          <v:shape style="position:absolute;margin-left:162pt;margin-top:18.970942pt;width:143.9pt;height:.1pt;mso-position-horizontal-relative:page;mso-position-vertical-relative:paragraph;z-index:-251642880;mso-wrap-distance-left:0;mso-wrap-distance-right:0" coordorigin="3240,379" coordsize="2878,0" path="m3240,379l6118,379e" filled="false" stroked="true" strokeweight=".84pt" strokecolor="#000000">
            <v:path arrowok="t"/>
            <v:stroke dashstyle="solid"/>
            <w10:wrap type="topAndBottom"/>
          </v:shape>
        </w:pict>
      </w:r>
    </w:p>
    <w:p>
      <w:pPr>
        <w:pStyle w:val="BodyText"/>
        <w:spacing w:before="4"/>
        <w:rPr>
          <w:sz w:val="10"/>
        </w:rPr>
      </w:pPr>
    </w:p>
    <w:p>
      <w:pPr>
        <w:spacing w:before="71"/>
        <w:ind w:left="1103" w:right="1112" w:firstLine="0"/>
        <w:jc w:val="center"/>
        <w:rPr>
          <w:rFonts w:ascii="Times New Roman" w:hAnsi="Times New Roman"/>
          <w:sz w:val="18"/>
        </w:rPr>
      </w:pPr>
      <w:r>
        <w:rPr>
          <w:rFonts w:ascii="Times New Roman" w:hAnsi="Times New Roman"/>
          <w:position w:val="10"/>
          <w:sz w:val="14"/>
        </w:rPr>
        <w:t>917</w:t>
      </w:r>
      <w:r>
        <w:rPr>
          <w:rFonts w:ascii="Times New Roman" w:hAnsi="Times New Roman"/>
          <w:sz w:val="14"/>
        </w:rPr>
        <w:t> </w:t>
      </w:r>
      <w:r>
        <w:rPr>
          <w:rFonts w:ascii="Times New Roman" w:hAnsi="Times New Roman"/>
          <w:sz w:val="18"/>
          <w:u w:val="single"/>
        </w:rPr>
        <w:t>Boulevard Assoc. v. Seltzer P’ship</w:t>
      </w:r>
      <w:r>
        <w:rPr>
          <w:rFonts w:ascii="Times New Roman" w:hAnsi="Times New Roman"/>
          <w:sz w:val="18"/>
        </w:rPr>
        <w:t>, 445 Pa. Super. 10, 664 A.2d 983 (Pa. Super. 1995).</w:t>
      </w:r>
    </w:p>
    <w:p>
      <w:pPr>
        <w:spacing w:after="0"/>
        <w:jc w:val="center"/>
        <w:rPr>
          <w:rFonts w:ascii="Times New Roman" w:hAns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026"/>
      </w:pPr>
      <w:bookmarkStart w:name="Law and Procedure 442" w:id="20"/>
      <w:bookmarkEnd w:id="20"/>
      <w:r>
        <w:rPr/>
      </w:r>
      <w:r>
        <w:rPr/>
        <w:t>estimate of the value of the destroyed or damaged property.”</w:t>
      </w:r>
      <w:r>
        <w:rPr>
          <w:vertAlign w:val="superscript"/>
        </w:rPr>
        <w:t>918</w:t>
      </w:r>
    </w:p>
    <w:p>
      <w:pPr>
        <w:pStyle w:val="BodyText"/>
        <w:spacing w:before="1"/>
      </w:pPr>
    </w:p>
    <w:p>
      <w:pPr>
        <w:pStyle w:val="BodyText"/>
        <w:spacing w:line="242" w:lineRule="auto" w:before="1"/>
        <w:ind w:left="1520" w:right="1516" w:firstLine="720"/>
        <w:jc w:val="both"/>
      </w:pPr>
      <w:r>
        <w:rPr/>
        <w:t>In California, it has been held that appraisal is appropriate to determine actual cash value even when the issue turns on whether the proper valuation method was used.</w:t>
      </w:r>
      <w:r>
        <w:rPr>
          <w:vertAlign w:val="superscript"/>
        </w:rPr>
        <w:t>919</w:t>
      </w:r>
    </w:p>
    <w:p>
      <w:pPr>
        <w:pStyle w:val="BodyText"/>
      </w:pPr>
    </w:p>
    <w:p>
      <w:pPr>
        <w:pStyle w:val="BodyText"/>
        <w:spacing w:line="242" w:lineRule="auto" w:before="1"/>
        <w:ind w:left="1520" w:right="1519" w:firstLine="720"/>
        <w:jc w:val="both"/>
      </w:pPr>
      <w:r>
        <w:rPr/>
        <w:t>The</w:t>
      </w:r>
      <w:r>
        <w:rPr>
          <w:spacing w:val="-32"/>
        </w:rPr>
        <w:t> </w:t>
      </w:r>
      <w:r>
        <w:rPr/>
        <w:t>umpire</w:t>
      </w:r>
      <w:r>
        <w:rPr>
          <w:spacing w:val="-32"/>
        </w:rPr>
        <w:t> </w:t>
      </w:r>
      <w:r>
        <w:rPr/>
        <w:t>may</w:t>
      </w:r>
      <w:r>
        <w:rPr>
          <w:spacing w:val="-37"/>
        </w:rPr>
        <w:t> </w:t>
      </w:r>
      <w:r>
        <w:rPr>
          <w:spacing w:val="-3"/>
        </w:rPr>
        <w:t>make</w:t>
      </w:r>
      <w:r>
        <w:rPr>
          <w:spacing w:val="-32"/>
        </w:rPr>
        <w:t> </w:t>
      </w:r>
      <w:r>
        <w:rPr/>
        <w:t>his</w:t>
      </w:r>
      <w:r>
        <w:rPr>
          <w:spacing w:val="-31"/>
        </w:rPr>
        <w:t> </w:t>
      </w:r>
      <w:r>
        <w:rPr/>
        <w:t>own</w:t>
      </w:r>
      <w:r>
        <w:rPr>
          <w:spacing w:val="-32"/>
        </w:rPr>
        <w:t> </w:t>
      </w:r>
      <w:r>
        <w:rPr/>
        <w:t>election</w:t>
      </w:r>
      <w:r>
        <w:rPr>
          <w:spacing w:val="-32"/>
        </w:rPr>
        <w:t> </w:t>
      </w:r>
      <w:r>
        <w:rPr/>
        <w:t>as to the method to be utilized so long as it is consistent with the Broad Evidence Rule and the insurance</w:t>
      </w:r>
      <w:r>
        <w:rPr>
          <w:spacing w:val="-2"/>
        </w:rPr>
        <w:t> </w:t>
      </w:r>
      <w:r>
        <w:rPr/>
        <w:t>policy.</w:t>
      </w:r>
      <w:r>
        <w:rPr>
          <w:vertAlign w:val="superscript"/>
        </w:rPr>
        <w:t>920</w:t>
      </w:r>
    </w:p>
    <w:p>
      <w:pPr>
        <w:pStyle w:val="BodyText"/>
        <w:spacing w:before="1"/>
      </w:pPr>
    </w:p>
    <w:p>
      <w:pPr>
        <w:pStyle w:val="BodyText"/>
        <w:spacing w:line="242" w:lineRule="auto"/>
        <w:ind w:left="1520" w:right="1515" w:firstLine="720"/>
        <w:jc w:val="both"/>
      </w:pPr>
      <w:r>
        <w:rPr>
          <w:spacing w:val="3"/>
        </w:rPr>
        <w:t>In</w:t>
      </w:r>
      <w:r>
        <w:rPr>
          <w:spacing w:val="-25"/>
        </w:rPr>
        <w:t> </w:t>
      </w:r>
      <w:r>
        <w:rPr/>
        <w:t>Michigan,</w:t>
      </w:r>
      <w:r>
        <w:rPr>
          <w:spacing w:val="-25"/>
        </w:rPr>
        <w:t> </w:t>
      </w:r>
      <w:r>
        <w:rPr/>
        <w:t>it</w:t>
      </w:r>
      <w:r>
        <w:rPr>
          <w:spacing w:val="-23"/>
        </w:rPr>
        <w:t> </w:t>
      </w:r>
      <w:r>
        <w:rPr/>
        <w:t>was</w:t>
      </w:r>
      <w:r>
        <w:rPr>
          <w:spacing w:val="-22"/>
        </w:rPr>
        <w:t> </w:t>
      </w:r>
      <w:r>
        <w:rPr/>
        <w:t>held</w:t>
      </w:r>
      <w:r>
        <w:rPr>
          <w:spacing w:val="-22"/>
        </w:rPr>
        <w:t> </w:t>
      </w:r>
      <w:r>
        <w:rPr/>
        <w:t>to</w:t>
      </w:r>
      <w:r>
        <w:rPr>
          <w:spacing w:val="-23"/>
        </w:rPr>
        <w:t> </w:t>
      </w:r>
      <w:r>
        <w:rPr/>
        <w:t>be</w:t>
      </w:r>
      <w:r>
        <w:rPr>
          <w:spacing w:val="-24"/>
        </w:rPr>
        <w:t> </w:t>
      </w:r>
      <w:r>
        <w:rPr/>
        <w:t>error</w:t>
      </w:r>
      <w:r>
        <w:rPr>
          <w:spacing w:val="-25"/>
        </w:rPr>
        <w:t> </w:t>
      </w:r>
      <w:r>
        <w:rPr/>
        <w:t>for</w:t>
      </w:r>
      <w:r>
        <w:rPr>
          <w:spacing w:val="-24"/>
        </w:rPr>
        <w:t> </w:t>
      </w:r>
      <w:r>
        <w:rPr/>
        <w:t>the appraisal team to utilize different valuation methods on the same claim; market value for the value of the property and replacement value</w:t>
      </w:r>
      <w:r>
        <w:rPr>
          <w:spacing w:val="-33"/>
        </w:rPr>
        <w:t> </w:t>
      </w:r>
      <w:r>
        <w:rPr/>
        <w:t>minus</w:t>
      </w:r>
      <w:r>
        <w:rPr>
          <w:spacing w:val="-32"/>
        </w:rPr>
        <w:t> </w:t>
      </w:r>
      <w:r>
        <w:rPr/>
        <w:t>depreciation</w:t>
      </w:r>
      <w:r>
        <w:rPr>
          <w:spacing w:val="-35"/>
        </w:rPr>
        <w:t> </w:t>
      </w:r>
      <w:r>
        <w:rPr/>
        <w:t>to</w:t>
      </w:r>
      <w:r>
        <w:rPr>
          <w:spacing w:val="-36"/>
        </w:rPr>
        <w:t> </w:t>
      </w:r>
      <w:r>
        <w:rPr/>
        <w:t>calculate</w:t>
      </w:r>
      <w:r>
        <w:rPr>
          <w:spacing w:val="-34"/>
        </w:rPr>
        <w:t> </w:t>
      </w:r>
      <w:r>
        <w:rPr/>
        <w:t>the</w:t>
      </w:r>
      <w:r>
        <w:rPr>
          <w:spacing w:val="-33"/>
        </w:rPr>
        <w:t> </w:t>
      </w:r>
      <w:r>
        <w:rPr/>
        <w:t>ACV of</w:t>
      </w:r>
      <w:r>
        <w:rPr>
          <w:spacing w:val="-23"/>
        </w:rPr>
        <w:t> </w:t>
      </w:r>
      <w:r>
        <w:rPr/>
        <w:t>the</w:t>
      </w:r>
      <w:r>
        <w:rPr>
          <w:spacing w:val="-23"/>
        </w:rPr>
        <w:t> </w:t>
      </w:r>
      <w:r>
        <w:rPr/>
        <w:t>loss.</w:t>
      </w:r>
      <w:r>
        <w:rPr>
          <w:spacing w:val="26"/>
        </w:rPr>
        <w:t> </w:t>
      </w:r>
      <w:r>
        <w:rPr/>
        <w:t>Calling</w:t>
      </w:r>
      <w:r>
        <w:rPr>
          <w:spacing w:val="-20"/>
        </w:rPr>
        <w:t> </w:t>
      </w:r>
      <w:r>
        <w:rPr/>
        <w:t>this</w:t>
      </w:r>
      <w:r>
        <w:rPr>
          <w:spacing w:val="-20"/>
        </w:rPr>
        <w:t> </w:t>
      </w:r>
      <w:r>
        <w:rPr/>
        <w:t>a</w:t>
      </w:r>
      <w:r>
        <w:rPr>
          <w:spacing w:val="-20"/>
        </w:rPr>
        <w:t> </w:t>
      </w:r>
      <w:r>
        <w:rPr/>
        <w:t>“manifest</w:t>
      </w:r>
      <w:r>
        <w:rPr>
          <w:spacing w:val="-23"/>
        </w:rPr>
        <w:t> </w:t>
      </w:r>
      <w:r>
        <w:rPr/>
        <w:t>mistake</w:t>
      </w:r>
      <w:r>
        <w:rPr>
          <w:spacing w:val="-22"/>
        </w:rPr>
        <w:t> </w:t>
      </w:r>
      <w:r>
        <w:rPr/>
        <w:t>and an error of law requiring vacation of the award” the court determined that “the</w:t>
      </w:r>
      <w:r>
        <w:rPr>
          <w:spacing w:val="-36"/>
        </w:rPr>
        <w:t> </w:t>
      </w:r>
      <w:r>
        <w:rPr/>
        <w:t>broad evidence rule provides no basis for the appraisers</w:t>
      </w:r>
      <w:r>
        <w:rPr>
          <w:spacing w:val="-21"/>
        </w:rPr>
        <w:t> </w:t>
      </w:r>
      <w:r>
        <w:rPr/>
        <w:t>to</w:t>
      </w:r>
      <w:r>
        <w:rPr>
          <w:spacing w:val="-22"/>
        </w:rPr>
        <w:t> </w:t>
      </w:r>
      <w:r>
        <w:rPr/>
        <w:t>employ</w:t>
      </w:r>
      <w:r>
        <w:rPr>
          <w:spacing w:val="-22"/>
        </w:rPr>
        <w:t> </w:t>
      </w:r>
      <w:r>
        <w:rPr/>
        <w:t>one</w:t>
      </w:r>
      <w:r>
        <w:rPr>
          <w:spacing w:val="-21"/>
        </w:rPr>
        <w:t> </w:t>
      </w:r>
      <w:r>
        <w:rPr/>
        <w:t>valuation</w:t>
      </w:r>
      <w:r>
        <w:rPr>
          <w:spacing w:val="-20"/>
        </w:rPr>
        <w:t> </w:t>
      </w:r>
      <w:r>
        <w:rPr/>
        <w:t>method</w:t>
      </w:r>
      <w:r>
        <w:rPr>
          <w:spacing w:val="-20"/>
        </w:rPr>
        <w:t> </w:t>
      </w:r>
      <w:r>
        <w:rPr/>
        <w:t>to determine the ACV of the property and another to determine the ACV of the</w:t>
      </w:r>
      <w:r>
        <w:rPr>
          <w:spacing w:val="6"/>
        </w:rPr>
        <w:t> </w:t>
      </w:r>
      <w:r>
        <w:rPr/>
        <w:t>loss.</w:t>
      </w:r>
    </w:p>
    <w:p>
      <w:pPr>
        <w:pStyle w:val="BodyText"/>
        <w:spacing w:before="8"/>
        <w:rPr>
          <w:sz w:val="28"/>
        </w:rPr>
      </w:pPr>
      <w:r>
        <w:rPr/>
        <w:pict>
          <v:shape style="position:absolute;margin-left:162pt;margin-top:20.010103pt;width:143.9pt;height:.1pt;mso-position-horizontal-relative:page;mso-position-vertical-relative:paragraph;z-index:-251641856;mso-wrap-distance-left:0;mso-wrap-distance-right:0" coordorigin="3240,400" coordsize="2878,0" path="m3240,400l6118,400e" filled="false" stroked="true" strokeweight=".84pt" strokecolor="#000000">
            <v:path arrowok="t"/>
            <v:stroke dashstyle="solid"/>
            <w10:wrap type="topAndBottom"/>
          </v:shape>
        </w:pict>
      </w:r>
    </w:p>
    <w:p>
      <w:pPr>
        <w:spacing w:line="244" w:lineRule="auto" w:before="140"/>
        <w:ind w:left="1160" w:right="1162" w:firstLine="0"/>
        <w:jc w:val="both"/>
        <w:rPr>
          <w:rFonts w:ascii="Times New Roman" w:hAnsi="Times New Roman"/>
          <w:sz w:val="18"/>
        </w:rPr>
      </w:pPr>
      <w:r>
        <w:rPr>
          <w:rFonts w:ascii="Times New Roman" w:hAnsi="Times New Roman"/>
          <w:position w:val="10"/>
          <w:sz w:val="14"/>
        </w:rPr>
        <w:t>918</w:t>
      </w:r>
      <w:r>
        <w:rPr>
          <w:rFonts w:ascii="Times New Roman" w:hAnsi="Times New Roman"/>
          <w:sz w:val="14"/>
        </w:rPr>
        <w:t> </w:t>
      </w:r>
      <w:r>
        <w:rPr>
          <w:rFonts w:ascii="Times New Roman" w:hAnsi="Times New Roman"/>
          <w:sz w:val="18"/>
          <w:u w:val="single"/>
        </w:rPr>
        <w:t>B &amp; D Molded Products, Inc. v. Travelers Cas. &amp; Sur. Co.</w:t>
      </w:r>
      <w:r>
        <w:rPr>
          <w:rFonts w:ascii="Times New Roman" w:hAnsi="Times New Roman"/>
          <w:sz w:val="18"/>
        </w:rPr>
        <w:t>, 2000 WL 1406860 (Conn. Super. Ct. 2000); </w:t>
      </w:r>
      <w:r>
        <w:rPr>
          <w:rFonts w:ascii="Times New Roman" w:hAnsi="Times New Roman"/>
          <w:sz w:val="18"/>
          <w:u w:val="single"/>
        </w:rPr>
        <w:t>Vogt v. Rhode Island Joint Reinsurance Ass’n</w:t>
      </w:r>
      <w:r>
        <w:rPr>
          <w:rFonts w:ascii="Times New Roman" w:hAnsi="Times New Roman"/>
          <w:sz w:val="18"/>
        </w:rPr>
        <w:t>, 1999 WL 1062207 (R.I. Super. Ct. 1999); </w:t>
      </w:r>
      <w:r>
        <w:rPr>
          <w:rFonts w:ascii="Times New Roman" w:hAnsi="Times New Roman"/>
          <w:sz w:val="18"/>
          <w:u w:val="single"/>
        </w:rPr>
        <w:t>Sayed v. Ohio Fair Plan Underwriting Ass’n</w:t>
      </w:r>
      <w:r>
        <w:rPr>
          <w:rFonts w:ascii="Times New Roman" w:hAnsi="Times New Roman"/>
          <w:sz w:val="18"/>
        </w:rPr>
        <w:t>, 1982 WL 6703 (Ohio Ct. App. 6</w:t>
      </w:r>
      <w:r>
        <w:rPr>
          <w:rFonts w:ascii="Times New Roman" w:hAnsi="Times New Roman"/>
          <w:position w:val="7"/>
          <w:sz w:val="10"/>
        </w:rPr>
        <w:t>th </w:t>
      </w:r>
      <w:r>
        <w:rPr>
          <w:rFonts w:ascii="Times New Roman" w:hAnsi="Times New Roman"/>
          <w:sz w:val="18"/>
        </w:rPr>
        <w:t>Dist. 1982); </w:t>
      </w:r>
      <w:r>
        <w:rPr>
          <w:rFonts w:ascii="Times New Roman" w:hAnsi="Times New Roman"/>
          <w:sz w:val="18"/>
          <w:u w:val="single"/>
        </w:rPr>
        <w:t>Sullivan v. Liberty Mut. Fire Ins. Co.</w:t>
      </w:r>
      <w:r>
        <w:rPr>
          <w:rFonts w:ascii="Times New Roman" w:hAnsi="Times New Roman"/>
          <w:sz w:val="18"/>
        </w:rPr>
        <w:t>, 174 Conn. 229, 384 A.2d 384 (1978);</w:t>
      </w:r>
      <w:r>
        <w:rPr>
          <w:rFonts w:ascii="Times New Roman" w:hAnsi="Times New Roman"/>
          <w:spacing w:val="-5"/>
          <w:sz w:val="18"/>
        </w:rPr>
        <w:t> </w:t>
      </w:r>
      <w:r>
        <w:rPr>
          <w:rFonts w:ascii="Times New Roman" w:hAnsi="Times New Roman"/>
          <w:sz w:val="18"/>
          <w:u w:val="single"/>
        </w:rPr>
        <w:t>Davis</w:t>
      </w:r>
      <w:r>
        <w:rPr>
          <w:rFonts w:ascii="Times New Roman" w:hAnsi="Times New Roman"/>
          <w:spacing w:val="-6"/>
          <w:sz w:val="18"/>
          <w:u w:val="single"/>
        </w:rPr>
        <w:t> </w:t>
      </w:r>
      <w:r>
        <w:rPr>
          <w:rFonts w:ascii="Times New Roman" w:hAnsi="Times New Roman"/>
          <w:sz w:val="18"/>
          <w:u w:val="single"/>
        </w:rPr>
        <w:t>v.</w:t>
      </w:r>
      <w:r>
        <w:rPr>
          <w:rFonts w:ascii="Times New Roman" w:hAnsi="Times New Roman"/>
          <w:spacing w:val="-6"/>
          <w:sz w:val="18"/>
          <w:u w:val="single"/>
        </w:rPr>
        <w:t> </w:t>
      </w:r>
      <w:r>
        <w:rPr>
          <w:rFonts w:ascii="Times New Roman" w:hAnsi="Times New Roman"/>
          <w:sz w:val="18"/>
          <w:u w:val="single"/>
        </w:rPr>
        <w:t>National</w:t>
      </w:r>
      <w:r>
        <w:rPr>
          <w:rFonts w:ascii="Times New Roman" w:hAnsi="Times New Roman"/>
          <w:spacing w:val="-7"/>
          <w:sz w:val="18"/>
          <w:u w:val="single"/>
        </w:rPr>
        <w:t> </w:t>
      </w:r>
      <w:r>
        <w:rPr>
          <w:rFonts w:ascii="Times New Roman" w:hAnsi="Times New Roman"/>
          <w:sz w:val="18"/>
          <w:u w:val="single"/>
        </w:rPr>
        <w:t>American</w:t>
      </w:r>
      <w:r>
        <w:rPr>
          <w:rFonts w:ascii="Times New Roman" w:hAnsi="Times New Roman"/>
          <w:spacing w:val="-5"/>
          <w:sz w:val="18"/>
          <w:u w:val="single"/>
        </w:rPr>
        <w:t> </w:t>
      </w:r>
      <w:r>
        <w:rPr>
          <w:rFonts w:ascii="Times New Roman" w:hAnsi="Times New Roman"/>
          <w:sz w:val="18"/>
          <w:u w:val="single"/>
        </w:rPr>
        <w:t>Ins.</w:t>
      </w:r>
      <w:r>
        <w:rPr>
          <w:rFonts w:ascii="Times New Roman" w:hAnsi="Times New Roman"/>
          <w:spacing w:val="-5"/>
          <w:sz w:val="18"/>
          <w:u w:val="single"/>
        </w:rPr>
        <w:t> </w:t>
      </w:r>
      <w:r>
        <w:rPr>
          <w:rFonts w:ascii="Times New Roman" w:hAnsi="Times New Roman"/>
          <w:sz w:val="18"/>
          <w:u w:val="single"/>
        </w:rPr>
        <w:t>Co.</w:t>
      </w:r>
      <w:r>
        <w:rPr>
          <w:rFonts w:ascii="Times New Roman" w:hAnsi="Times New Roman"/>
          <w:sz w:val="18"/>
        </w:rPr>
        <w:t>,</w:t>
      </w:r>
      <w:r>
        <w:rPr>
          <w:rFonts w:ascii="Times New Roman" w:hAnsi="Times New Roman"/>
          <w:spacing w:val="-5"/>
          <w:sz w:val="18"/>
        </w:rPr>
        <w:t> </w:t>
      </w:r>
      <w:r>
        <w:rPr>
          <w:rFonts w:ascii="Times New Roman" w:hAnsi="Times New Roman"/>
          <w:sz w:val="18"/>
        </w:rPr>
        <w:t>78</w:t>
      </w:r>
      <w:r>
        <w:rPr>
          <w:rFonts w:ascii="Times New Roman" w:hAnsi="Times New Roman"/>
          <w:spacing w:val="-3"/>
          <w:sz w:val="18"/>
        </w:rPr>
        <w:t> </w:t>
      </w:r>
      <w:r>
        <w:rPr>
          <w:rFonts w:ascii="Times New Roman" w:hAnsi="Times New Roman"/>
          <w:sz w:val="18"/>
        </w:rPr>
        <w:t>Mich.</w:t>
      </w:r>
      <w:r>
        <w:rPr>
          <w:rFonts w:ascii="Times New Roman" w:hAnsi="Times New Roman"/>
          <w:spacing w:val="-4"/>
          <w:sz w:val="18"/>
        </w:rPr>
        <w:t> </w:t>
      </w:r>
      <w:r>
        <w:rPr>
          <w:rFonts w:ascii="Times New Roman" w:hAnsi="Times New Roman"/>
          <w:sz w:val="18"/>
        </w:rPr>
        <w:t>App.</w:t>
      </w:r>
      <w:r>
        <w:rPr>
          <w:rFonts w:ascii="Times New Roman" w:hAnsi="Times New Roman"/>
          <w:spacing w:val="-4"/>
          <w:sz w:val="18"/>
        </w:rPr>
        <w:t> </w:t>
      </w:r>
      <w:r>
        <w:rPr>
          <w:rFonts w:ascii="Times New Roman" w:hAnsi="Times New Roman"/>
          <w:sz w:val="18"/>
        </w:rPr>
        <w:t>225,</w:t>
      </w:r>
      <w:r>
        <w:rPr>
          <w:rFonts w:ascii="Times New Roman" w:hAnsi="Times New Roman"/>
          <w:spacing w:val="-4"/>
          <w:sz w:val="18"/>
        </w:rPr>
        <w:t> </w:t>
      </w:r>
      <w:r>
        <w:rPr>
          <w:rFonts w:ascii="Times New Roman" w:hAnsi="Times New Roman"/>
          <w:sz w:val="18"/>
        </w:rPr>
        <w:t>259</w:t>
      </w:r>
      <w:r>
        <w:rPr>
          <w:rFonts w:ascii="Times New Roman" w:hAnsi="Times New Roman"/>
          <w:spacing w:val="-3"/>
          <w:sz w:val="18"/>
        </w:rPr>
        <w:t> </w:t>
      </w:r>
      <w:r>
        <w:rPr>
          <w:rFonts w:ascii="Times New Roman" w:hAnsi="Times New Roman"/>
          <w:sz w:val="18"/>
        </w:rPr>
        <w:t>N.W.2d</w:t>
      </w:r>
      <w:r>
        <w:rPr>
          <w:rFonts w:ascii="Times New Roman" w:hAnsi="Times New Roman"/>
          <w:spacing w:val="-5"/>
          <w:sz w:val="18"/>
        </w:rPr>
        <w:t> </w:t>
      </w:r>
      <w:r>
        <w:rPr>
          <w:rFonts w:ascii="Times New Roman" w:hAnsi="Times New Roman"/>
          <w:sz w:val="18"/>
        </w:rPr>
        <w:t>433</w:t>
      </w:r>
      <w:r>
        <w:rPr>
          <w:rFonts w:ascii="Times New Roman" w:hAnsi="Times New Roman"/>
          <w:spacing w:val="-3"/>
          <w:sz w:val="18"/>
        </w:rPr>
        <w:t> </w:t>
      </w:r>
      <w:r>
        <w:rPr>
          <w:rFonts w:ascii="Times New Roman" w:hAnsi="Times New Roman"/>
          <w:sz w:val="18"/>
        </w:rPr>
        <w:t>(1977).</w:t>
      </w:r>
    </w:p>
    <w:p>
      <w:pPr>
        <w:spacing w:line="254" w:lineRule="exact" w:before="0"/>
        <w:ind w:left="1160" w:right="0" w:firstLine="0"/>
        <w:jc w:val="both"/>
        <w:rPr>
          <w:rFonts w:ascii="Times New Roman"/>
          <w:sz w:val="24"/>
        </w:rPr>
      </w:pPr>
      <w:r>
        <w:rPr>
          <w:rFonts w:ascii="Times New Roman"/>
          <w:position w:val="10"/>
          <w:sz w:val="14"/>
        </w:rPr>
        <w:t>919 </w:t>
      </w:r>
      <w:r>
        <w:rPr>
          <w:rFonts w:ascii="Times New Roman"/>
          <w:sz w:val="18"/>
          <w:u w:val="single"/>
        </w:rPr>
        <w:t>Enger v. Allstate Ins. Co.</w:t>
      </w:r>
      <w:r>
        <w:rPr>
          <w:rFonts w:ascii="Times New Roman"/>
          <w:sz w:val="18"/>
        </w:rPr>
        <w:t>, 407 Fed. Appx. 191, 2010 WL 5423566 (9</w:t>
      </w:r>
      <w:r>
        <w:rPr>
          <w:rFonts w:ascii="Times New Roman"/>
          <w:position w:val="7"/>
          <w:sz w:val="10"/>
        </w:rPr>
        <w:t>th </w:t>
      </w:r>
      <w:r>
        <w:rPr>
          <w:rFonts w:ascii="Times New Roman"/>
          <w:sz w:val="18"/>
        </w:rPr>
        <w:t>Cir., 2010)</w:t>
      </w:r>
      <w:r>
        <w:rPr>
          <w:rFonts w:ascii="Times New Roman"/>
          <w:sz w:val="24"/>
        </w:rPr>
        <w:t>.</w:t>
      </w:r>
    </w:p>
    <w:p>
      <w:pPr>
        <w:spacing w:line="236" w:lineRule="exact" w:before="0"/>
        <w:ind w:left="1160" w:right="0" w:firstLine="0"/>
        <w:jc w:val="both"/>
        <w:rPr>
          <w:rFonts w:ascii="Times New Roman"/>
          <w:sz w:val="18"/>
        </w:rPr>
      </w:pPr>
      <w:r>
        <w:rPr>
          <w:rFonts w:ascii="Times New Roman"/>
          <w:position w:val="9"/>
          <w:sz w:val="14"/>
        </w:rPr>
        <w:t>920</w:t>
      </w:r>
      <w:r>
        <w:rPr>
          <w:rFonts w:ascii="Times New Roman"/>
          <w:sz w:val="14"/>
        </w:rPr>
        <w:t> </w:t>
      </w:r>
      <w:r>
        <w:rPr>
          <w:rFonts w:ascii="Times New Roman"/>
          <w:sz w:val="18"/>
          <w:u w:val="single"/>
        </w:rPr>
        <w:t>Sullivan</w:t>
      </w:r>
      <w:r>
        <w:rPr>
          <w:rFonts w:ascii="Times New Roman"/>
          <w:sz w:val="18"/>
        </w:rPr>
        <w:t>, </w:t>
      </w:r>
      <w:r>
        <w:rPr>
          <w:rFonts w:ascii="Times New Roman"/>
          <w:sz w:val="18"/>
          <w:u w:val="single"/>
        </w:rPr>
        <w:t>Id.</w:t>
      </w:r>
    </w:p>
    <w:p>
      <w:pPr>
        <w:spacing w:after="0" w:line="236" w:lineRule="exact"/>
        <w:jc w:val="both"/>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6"/>
        <w:jc w:val="both"/>
      </w:pPr>
      <w:bookmarkStart w:name="Law and Procedure 443" w:id="21"/>
      <w:bookmarkEnd w:id="21"/>
      <w:r>
        <w:rPr/>
      </w:r>
      <w:r>
        <w:rPr/>
        <w:t>While empowered to define ACV as they</w:t>
      </w:r>
      <w:r>
        <w:rPr>
          <w:spacing w:val="-44"/>
        </w:rPr>
        <w:t> </w:t>
      </w:r>
      <w:r>
        <w:rPr>
          <w:spacing w:val="-5"/>
        </w:rPr>
        <w:t>may </w:t>
      </w:r>
      <w:r>
        <w:rPr/>
        <w:t>choose, they must give the term a consistent meaning.</w:t>
      </w:r>
      <w:r>
        <w:rPr>
          <w:vertAlign w:val="superscript"/>
        </w:rPr>
        <w:t>921</w:t>
      </w:r>
    </w:p>
    <w:p>
      <w:pPr>
        <w:pStyle w:val="BodyText"/>
        <w:spacing w:before="1"/>
      </w:pPr>
    </w:p>
    <w:p>
      <w:pPr>
        <w:pStyle w:val="BodyText"/>
        <w:spacing w:line="242" w:lineRule="auto"/>
        <w:ind w:left="1520" w:right="1520" w:firstLine="720"/>
        <w:jc w:val="both"/>
      </w:pPr>
      <w:r>
        <w:rPr/>
        <w:t>The</w:t>
      </w:r>
      <w:r>
        <w:rPr>
          <w:spacing w:val="-23"/>
        </w:rPr>
        <w:t> </w:t>
      </w:r>
      <w:r>
        <w:rPr/>
        <w:t>court</w:t>
      </w:r>
      <w:r>
        <w:rPr>
          <w:spacing w:val="-24"/>
        </w:rPr>
        <w:t> </w:t>
      </w:r>
      <w:r>
        <w:rPr/>
        <w:t>further</w:t>
      </w:r>
      <w:r>
        <w:rPr>
          <w:spacing w:val="-25"/>
        </w:rPr>
        <w:t> </w:t>
      </w:r>
      <w:r>
        <w:rPr/>
        <w:t>found</w:t>
      </w:r>
      <w:r>
        <w:rPr>
          <w:spacing w:val="-19"/>
        </w:rPr>
        <w:t> </w:t>
      </w:r>
      <w:r>
        <w:rPr/>
        <w:t>that</w:t>
      </w:r>
      <w:r>
        <w:rPr>
          <w:spacing w:val="-21"/>
        </w:rPr>
        <w:t> </w:t>
      </w:r>
      <w:r>
        <w:rPr/>
        <w:t>the</w:t>
      </w:r>
      <w:r>
        <w:rPr>
          <w:spacing w:val="-20"/>
        </w:rPr>
        <w:t> </w:t>
      </w:r>
      <w:r>
        <w:rPr/>
        <w:t>meaning of ACV under the policy is</w:t>
      </w:r>
      <w:r>
        <w:rPr>
          <w:spacing w:val="-5"/>
        </w:rPr>
        <w:t> </w:t>
      </w:r>
      <w:r>
        <w:rPr/>
        <w:t>ambiguous.</w:t>
      </w:r>
      <w:r>
        <w:rPr>
          <w:vertAlign w:val="superscript"/>
        </w:rPr>
        <w:t>922</w:t>
      </w:r>
    </w:p>
    <w:p>
      <w:pPr>
        <w:pStyle w:val="BodyText"/>
        <w:spacing w:before="2"/>
      </w:pPr>
    </w:p>
    <w:p>
      <w:pPr>
        <w:pStyle w:val="BodyText"/>
        <w:spacing w:line="242" w:lineRule="auto"/>
        <w:ind w:left="1520" w:right="1515" w:firstLine="720"/>
        <w:jc w:val="both"/>
      </w:pPr>
      <w:r>
        <w:rPr>
          <w:spacing w:val="3"/>
        </w:rPr>
        <w:t>In </w:t>
      </w:r>
      <w:r>
        <w:rPr/>
        <w:t>the state of California, the supreme court in </w:t>
      </w:r>
      <w:r>
        <w:rPr>
          <w:u w:val="single"/>
        </w:rPr>
        <w:t>Jefferson Ins. Co. of New York </w:t>
      </w:r>
      <w:r>
        <w:rPr>
          <w:spacing w:val="-7"/>
          <w:u w:val="single"/>
        </w:rPr>
        <w:t>v.</w:t>
      </w:r>
      <w:r>
        <w:rPr>
          <w:spacing w:val="-7"/>
        </w:rPr>
        <w:t> </w:t>
      </w:r>
      <w:r>
        <w:rPr>
          <w:u w:val="single"/>
        </w:rPr>
        <w:t>Superior</w:t>
      </w:r>
      <w:r>
        <w:rPr>
          <w:spacing w:val="-26"/>
          <w:u w:val="single"/>
        </w:rPr>
        <w:t> </w:t>
      </w:r>
      <w:r>
        <w:rPr>
          <w:u w:val="single"/>
        </w:rPr>
        <w:t>Court</w:t>
      </w:r>
      <w:r>
        <w:rPr>
          <w:spacing w:val="-26"/>
          <w:u w:val="single"/>
        </w:rPr>
        <w:t> </w:t>
      </w:r>
      <w:r>
        <w:rPr>
          <w:u w:val="single"/>
        </w:rPr>
        <w:t>of</w:t>
      </w:r>
      <w:r>
        <w:rPr>
          <w:spacing w:val="-24"/>
          <w:u w:val="single"/>
        </w:rPr>
        <w:t> </w:t>
      </w:r>
      <w:r>
        <w:rPr>
          <w:u w:val="single"/>
        </w:rPr>
        <w:t>Alameda</w:t>
      </w:r>
      <w:r>
        <w:rPr>
          <w:spacing w:val="-25"/>
          <w:u w:val="single"/>
        </w:rPr>
        <w:t> </w:t>
      </w:r>
      <w:r>
        <w:rPr>
          <w:u w:val="single"/>
        </w:rPr>
        <w:t>County</w:t>
      </w:r>
      <w:r>
        <w:rPr/>
        <w:t>,</w:t>
      </w:r>
      <w:r>
        <w:rPr>
          <w:vertAlign w:val="superscript"/>
        </w:rPr>
        <w:t>923</w:t>
      </w:r>
      <w:r>
        <w:rPr>
          <w:spacing w:val="-30"/>
          <w:vertAlign w:val="baseline"/>
        </w:rPr>
        <w:t> </w:t>
      </w:r>
      <w:r>
        <w:rPr>
          <w:vertAlign w:val="baseline"/>
        </w:rPr>
        <w:t>held</w:t>
      </w:r>
      <w:r>
        <w:rPr>
          <w:spacing w:val="-26"/>
          <w:vertAlign w:val="baseline"/>
        </w:rPr>
        <w:t> </w:t>
      </w:r>
      <w:r>
        <w:rPr>
          <w:spacing w:val="-10"/>
          <w:vertAlign w:val="baseline"/>
        </w:rPr>
        <w:t>that </w:t>
      </w:r>
      <w:r>
        <w:rPr>
          <w:vertAlign w:val="baseline"/>
        </w:rPr>
        <w:t>the term “actual cash value” as used in</w:t>
      </w:r>
      <w:r>
        <w:rPr>
          <w:spacing w:val="-35"/>
          <w:vertAlign w:val="baseline"/>
        </w:rPr>
        <w:t> </w:t>
      </w:r>
      <w:r>
        <w:rPr>
          <w:vertAlign w:val="baseline"/>
        </w:rPr>
        <w:t>§2071 of the California Code does not mean replacement cost less depreciation, but instead</w:t>
      </w:r>
      <w:r>
        <w:rPr>
          <w:spacing w:val="-21"/>
          <w:vertAlign w:val="baseline"/>
        </w:rPr>
        <w:t> </w:t>
      </w:r>
      <w:r>
        <w:rPr>
          <w:vertAlign w:val="baseline"/>
        </w:rPr>
        <w:t>is</w:t>
      </w:r>
      <w:r>
        <w:rPr>
          <w:spacing w:val="-20"/>
          <w:vertAlign w:val="baseline"/>
        </w:rPr>
        <w:t> </w:t>
      </w:r>
      <w:r>
        <w:rPr>
          <w:vertAlign w:val="baseline"/>
        </w:rPr>
        <w:t>synonymous</w:t>
      </w:r>
      <w:r>
        <w:rPr>
          <w:spacing w:val="-17"/>
          <w:vertAlign w:val="baseline"/>
        </w:rPr>
        <w:t> </w:t>
      </w:r>
      <w:r>
        <w:rPr>
          <w:vertAlign w:val="baseline"/>
        </w:rPr>
        <w:t>with</w:t>
      </w:r>
      <w:r>
        <w:rPr>
          <w:spacing w:val="-19"/>
          <w:vertAlign w:val="baseline"/>
        </w:rPr>
        <w:t> </w:t>
      </w:r>
      <w:r>
        <w:rPr>
          <w:vertAlign w:val="baseline"/>
        </w:rPr>
        <w:t>“fair</w:t>
      </w:r>
      <w:r>
        <w:rPr>
          <w:spacing w:val="-20"/>
          <w:vertAlign w:val="baseline"/>
        </w:rPr>
        <w:t> </w:t>
      </w:r>
      <w:r>
        <w:rPr>
          <w:vertAlign w:val="baseline"/>
        </w:rPr>
        <w:t>market</w:t>
      </w:r>
      <w:r>
        <w:rPr>
          <w:spacing w:val="-20"/>
          <w:vertAlign w:val="baseline"/>
        </w:rPr>
        <w:t> </w:t>
      </w:r>
      <w:r>
        <w:rPr>
          <w:vertAlign w:val="baseline"/>
        </w:rPr>
        <w:t>value.” Where appraisers do not follow the</w:t>
      </w:r>
      <w:r>
        <w:rPr>
          <w:spacing w:val="-12"/>
          <w:vertAlign w:val="baseline"/>
        </w:rPr>
        <w:t> </w:t>
      </w:r>
      <w:r>
        <w:rPr>
          <w:vertAlign w:val="baseline"/>
        </w:rPr>
        <w:t>accepted definition of the valuation provision of the policy,</w:t>
      </w:r>
      <w:r>
        <w:rPr>
          <w:spacing w:val="-9"/>
          <w:vertAlign w:val="baseline"/>
        </w:rPr>
        <w:t> </w:t>
      </w:r>
      <w:r>
        <w:rPr>
          <w:vertAlign w:val="baseline"/>
        </w:rPr>
        <w:t>the</w:t>
      </w:r>
      <w:r>
        <w:rPr>
          <w:spacing w:val="-10"/>
          <w:vertAlign w:val="baseline"/>
        </w:rPr>
        <w:t> </w:t>
      </w:r>
      <w:r>
        <w:rPr>
          <w:vertAlign w:val="baseline"/>
        </w:rPr>
        <w:t>appraisal</w:t>
      </w:r>
      <w:r>
        <w:rPr>
          <w:spacing w:val="-8"/>
          <w:vertAlign w:val="baseline"/>
        </w:rPr>
        <w:t> </w:t>
      </w:r>
      <w:r>
        <w:rPr>
          <w:vertAlign w:val="baseline"/>
        </w:rPr>
        <w:t>award</w:t>
      </w:r>
      <w:r>
        <w:rPr>
          <w:spacing w:val="-10"/>
          <w:vertAlign w:val="baseline"/>
        </w:rPr>
        <w:t> </w:t>
      </w:r>
      <w:r>
        <w:rPr>
          <w:vertAlign w:val="baseline"/>
        </w:rPr>
        <w:t>is</w:t>
      </w:r>
      <w:r>
        <w:rPr>
          <w:spacing w:val="-9"/>
          <w:vertAlign w:val="baseline"/>
        </w:rPr>
        <w:t> </w:t>
      </w:r>
      <w:r>
        <w:rPr>
          <w:vertAlign w:val="baseline"/>
        </w:rPr>
        <w:t>subject</w:t>
      </w:r>
      <w:r>
        <w:rPr>
          <w:spacing w:val="-8"/>
          <w:vertAlign w:val="baseline"/>
        </w:rPr>
        <w:t> </w:t>
      </w:r>
      <w:r>
        <w:rPr>
          <w:vertAlign w:val="baseline"/>
        </w:rPr>
        <w:t>to</w:t>
      </w:r>
      <w:r>
        <w:rPr>
          <w:spacing w:val="-7"/>
          <w:vertAlign w:val="baseline"/>
        </w:rPr>
        <w:t> </w:t>
      </w:r>
      <w:r>
        <w:rPr>
          <w:vertAlign w:val="baseline"/>
        </w:rPr>
        <w:t>being vacated.</w:t>
      </w:r>
      <w:r>
        <w:rPr>
          <w:vertAlign w:val="superscript"/>
        </w:rPr>
        <w:t>924</w:t>
      </w:r>
    </w:p>
    <w:p>
      <w:pPr>
        <w:pStyle w:val="BodyText"/>
        <w:spacing w:before="11"/>
        <w:rPr>
          <w:sz w:val="25"/>
        </w:rPr>
      </w:pPr>
    </w:p>
    <w:p>
      <w:pPr>
        <w:pStyle w:val="BodyText"/>
        <w:spacing w:line="242" w:lineRule="auto"/>
        <w:ind w:left="1520" w:right="1519" w:firstLine="720"/>
        <w:jc w:val="both"/>
      </w:pPr>
      <w:r>
        <w:rPr/>
        <w:t>Further,</w:t>
      </w:r>
      <w:r>
        <w:rPr>
          <w:spacing w:val="-35"/>
        </w:rPr>
        <w:t> </w:t>
      </w:r>
      <w:r>
        <w:rPr/>
        <w:t>in</w:t>
      </w:r>
      <w:r>
        <w:rPr>
          <w:spacing w:val="-30"/>
        </w:rPr>
        <w:t> </w:t>
      </w:r>
      <w:r>
        <w:rPr/>
        <w:t>California,</w:t>
      </w:r>
      <w:r>
        <w:rPr>
          <w:spacing w:val="-32"/>
        </w:rPr>
        <w:t> </w:t>
      </w:r>
      <w:r>
        <w:rPr/>
        <w:t>it</w:t>
      </w:r>
      <w:r>
        <w:rPr>
          <w:spacing w:val="-30"/>
        </w:rPr>
        <w:t> </w:t>
      </w:r>
      <w:r>
        <w:rPr/>
        <w:t>has</w:t>
      </w:r>
      <w:r>
        <w:rPr>
          <w:spacing w:val="-29"/>
        </w:rPr>
        <w:t> </w:t>
      </w:r>
      <w:r>
        <w:rPr/>
        <w:t>been</w:t>
      </w:r>
      <w:r>
        <w:rPr>
          <w:spacing w:val="-30"/>
        </w:rPr>
        <w:t> </w:t>
      </w:r>
      <w:r>
        <w:rPr/>
        <w:t>held</w:t>
      </w:r>
      <w:r>
        <w:rPr>
          <w:spacing w:val="-31"/>
        </w:rPr>
        <w:t> </w:t>
      </w:r>
      <w:r>
        <w:rPr/>
        <w:t>that resort to declaratory relief was appropriate to obtain judicial clarification of the proper method’s compliance with the statute setting out such</w:t>
      </w:r>
      <w:r>
        <w:rPr>
          <w:spacing w:val="-3"/>
        </w:rPr>
        <w:t> </w:t>
      </w:r>
      <w:r>
        <w:rPr/>
        <w:t>methodology.</w:t>
      </w:r>
      <w:r>
        <w:rPr>
          <w:vertAlign w:val="superscript"/>
        </w:rPr>
        <w:t>925</w:t>
      </w:r>
    </w:p>
    <w:p>
      <w:pPr>
        <w:pStyle w:val="BodyText"/>
        <w:rPr>
          <w:sz w:val="20"/>
        </w:rPr>
      </w:pPr>
    </w:p>
    <w:p>
      <w:pPr>
        <w:pStyle w:val="BodyText"/>
        <w:rPr>
          <w:sz w:val="20"/>
        </w:rPr>
      </w:pPr>
    </w:p>
    <w:p>
      <w:pPr>
        <w:pStyle w:val="BodyText"/>
        <w:spacing w:before="3"/>
        <w:rPr>
          <w:sz w:val="28"/>
        </w:rPr>
      </w:pPr>
      <w:r>
        <w:rPr/>
        <w:pict>
          <v:shape style="position:absolute;margin-left:162pt;margin-top:19.758364pt;width:143.9pt;height:.1pt;mso-position-horizontal-relative:page;mso-position-vertical-relative:paragraph;z-index:-251640832;mso-wrap-distance-left:0;mso-wrap-distance-right:0" coordorigin="3240,395" coordsize="2878,0" path="m3240,395l6118,395e" filled="false" stroked="true" strokeweight=".84pt" strokecolor="#000000">
            <v:path arrowok="t"/>
            <v:stroke dashstyle="solid"/>
            <w10:wrap type="topAndBottom"/>
          </v:shape>
        </w:pict>
      </w:r>
    </w:p>
    <w:p>
      <w:pPr>
        <w:spacing w:line="269" w:lineRule="exact" w:before="140"/>
        <w:ind w:left="1160" w:right="0" w:firstLine="0"/>
        <w:jc w:val="left"/>
        <w:rPr>
          <w:rFonts w:ascii="Times New Roman"/>
          <w:sz w:val="18"/>
        </w:rPr>
      </w:pPr>
      <w:r>
        <w:rPr>
          <w:rFonts w:ascii="Times New Roman"/>
          <w:position w:val="10"/>
          <w:sz w:val="14"/>
        </w:rPr>
        <w:t>921</w:t>
      </w:r>
      <w:r>
        <w:rPr>
          <w:rFonts w:ascii="Times New Roman"/>
          <w:sz w:val="14"/>
        </w:rPr>
        <w:t> </w:t>
      </w:r>
      <w:r>
        <w:rPr>
          <w:rFonts w:ascii="Times New Roman"/>
          <w:sz w:val="18"/>
          <w:u w:val="single"/>
        </w:rPr>
        <w:t>Evanston Ins. Co. v. Cogswell Properties, LLC</w:t>
      </w:r>
      <w:r>
        <w:rPr>
          <w:rFonts w:ascii="Times New Roman"/>
          <w:sz w:val="18"/>
        </w:rPr>
        <w:t>, 730 F.Supp.2d 248 (W.D. Mich. 2010).</w:t>
      </w:r>
    </w:p>
    <w:p>
      <w:pPr>
        <w:spacing w:line="247" w:lineRule="exact" w:before="0"/>
        <w:ind w:left="1160" w:right="0" w:firstLine="0"/>
        <w:jc w:val="left"/>
        <w:rPr>
          <w:rFonts w:ascii="Times New Roman"/>
          <w:sz w:val="18"/>
        </w:rPr>
      </w:pPr>
      <w:r>
        <w:rPr>
          <w:rFonts w:ascii="Times New Roman"/>
          <w:position w:val="10"/>
          <w:sz w:val="14"/>
        </w:rPr>
        <w:t>922 </w:t>
      </w:r>
      <w:r>
        <w:rPr>
          <w:rFonts w:ascii="Times New Roman"/>
          <w:sz w:val="18"/>
          <w:u w:val="single"/>
        </w:rPr>
        <w:t>Id</w:t>
      </w:r>
      <w:r>
        <w:rPr>
          <w:rFonts w:ascii="Times New Roman"/>
          <w:sz w:val="18"/>
        </w:rPr>
        <w:t>. at 753.</w:t>
      </w:r>
    </w:p>
    <w:p>
      <w:pPr>
        <w:spacing w:line="247" w:lineRule="exact" w:before="0"/>
        <w:ind w:left="1160" w:right="0" w:firstLine="0"/>
        <w:jc w:val="left"/>
        <w:rPr>
          <w:rFonts w:ascii="Times New Roman"/>
          <w:sz w:val="18"/>
        </w:rPr>
      </w:pPr>
      <w:r>
        <w:rPr>
          <w:rFonts w:ascii="Times New Roman"/>
          <w:position w:val="10"/>
          <w:sz w:val="14"/>
        </w:rPr>
        <w:t>923 </w:t>
      </w:r>
      <w:r>
        <w:rPr>
          <w:rFonts w:ascii="Times New Roman"/>
          <w:sz w:val="18"/>
        </w:rPr>
        <w:t>3 Cal.3d 398, 475 P.2d 880, 90 Cal. Rptr. 608 (1970).</w:t>
      </w:r>
    </w:p>
    <w:p>
      <w:pPr>
        <w:spacing w:line="261" w:lineRule="auto" w:before="0"/>
        <w:ind w:left="1160" w:right="1026" w:firstLine="0"/>
        <w:jc w:val="left"/>
        <w:rPr>
          <w:rFonts w:ascii="Times New Roman" w:hAnsi="Times New Roman"/>
          <w:sz w:val="18"/>
        </w:rPr>
      </w:pPr>
      <w:r>
        <w:rPr>
          <w:rFonts w:ascii="Times New Roman" w:hAnsi="Times New Roman"/>
          <w:position w:val="10"/>
          <w:sz w:val="14"/>
        </w:rPr>
        <w:t>924</w:t>
      </w:r>
      <w:r>
        <w:rPr>
          <w:rFonts w:ascii="Times New Roman" w:hAnsi="Times New Roman"/>
          <w:spacing w:val="11"/>
          <w:sz w:val="14"/>
        </w:rPr>
        <w:t> </w:t>
      </w:r>
      <w:r>
        <w:rPr>
          <w:rFonts w:ascii="Times New Roman" w:hAnsi="Times New Roman"/>
          <w:sz w:val="18"/>
          <w:u w:val="single"/>
        </w:rPr>
        <w:t>Cheeks</w:t>
      </w:r>
      <w:r>
        <w:rPr>
          <w:rFonts w:ascii="Times New Roman" w:hAnsi="Times New Roman"/>
          <w:spacing w:val="-14"/>
          <w:sz w:val="18"/>
          <w:u w:val="single"/>
        </w:rPr>
        <w:t> </w:t>
      </w:r>
      <w:r>
        <w:rPr>
          <w:rFonts w:ascii="Times New Roman" w:hAnsi="Times New Roman"/>
          <w:sz w:val="18"/>
          <w:u w:val="single"/>
        </w:rPr>
        <w:t>v.</w:t>
      </w:r>
      <w:r>
        <w:rPr>
          <w:rFonts w:ascii="Times New Roman" w:hAnsi="Times New Roman"/>
          <w:spacing w:val="-14"/>
          <w:sz w:val="18"/>
          <w:u w:val="single"/>
        </w:rPr>
        <w:t> </w:t>
      </w:r>
      <w:r>
        <w:rPr>
          <w:rFonts w:ascii="Times New Roman" w:hAnsi="Times New Roman"/>
          <w:sz w:val="18"/>
          <w:u w:val="single"/>
        </w:rPr>
        <w:t>California</w:t>
      </w:r>
      <w:r>
        <w:rPr>
          <w:rFonts w:ascii="Times New Roman" w:hAnsi="Times New Roman"/>
          <w:spacing w:val="-15"/>
          <w:sz w:val="18"/>
          <w:u w:val="single"/>
        </w:rPr>
        <w:t> </w:t>
      </w:r>
      <w:r>
        <w:rPr>
          <w:rFonts w:ascii="Times New Roman" w:hAnsi="Times New Roman"/>
          <w:sz w:val="18"/>
          <w:u w:val="single"/>
        </w:rPr>
        <w:t>Fair</w:t>
      </w:r>
      <w:r>
        <w:rPr>
          <w:rFonts w:ascii="Times New Roman" w:hAnsi="Times New Roman"/>
          <w:spacing w:val="-13"/>
          <w:sz w:val="18"/>
          <w:u w:val="single"/>
        </w:rPr>
        <w:t> </w:t>
      </w:r>
      <w:r>
        <w:rPr>
          <w:rFonts w:ascii="Times New Roman" w:hAnsi="Times New Roman"/>
          <w:sz w:val="18"/>
          <w:u w:val="single"/>
        </w:rPr>
        <w:t>Plan</w:t>
      </w:r>
      <w:r>
        <w:rPr>
          <w:rFonts w:ascii="Times New Roman" w:hAnsi="Times New Roman"/>
          <w:sz w:val="18"/>
        </w:rPr>
        <w:t>,</w:t>
      </w:r>
      <w:r>
        <w:rPr>
          <w:rFonts w:ascii="Times New Roman" w:hAnsi="Times New Roman"/>
          <w:spacing w:val="-14"/>
          <w:sz w:val="18"/>
        </w:rPr>
        <w:t> </w:t>
      </w:r>
      <w:r>
        <w:rPr>
          <w:rFonts w:ascii="Times New Roman" w:hAnsi="Times New Roman"/>
          <w:sz w:val="18"/>
        </w:rPr>
        <w:t>2004</w:t>
      </w:r>
      <w:r>
        <w:rPr>
          <w:rFonts w:ascii="Times New Roman" w:hAnsi="Times New Roman"/>
          <w:spacing w:val="-12"/>
          <w:sz w:val="18"/>
        </w:rPr>
        <w:t> </w:t>
      </w:r>
      <w:r>
        <w:rPr>
          <w:rFonts w:ascii="Times New Roman" w:hAnsi="Times New Roman"/>
          <w:sz w:val="18"/>
        </w:rPr>
        <w:t>WL</w:t>
      </w:r>
      <w:r>
        <w:rPr>
          <w:rFonts w:ascii="Times New Roman" w:hAnsi="Times New Roman"/>
          <w:spacing w:val="-19"/>
          <w:sz w:val="18"/>
        </w:rPr>
        <w:t> </w:t>
      </w:r>
      <w:r>
        <w:rPr>
          <w:rFonts w:ascii="Times New Roman" w:hAnsi="Times New Roman"/>
          <w:sz w:val="18"/>
        </w:rPr>
        <w:t>2095622</w:t>
      </w:r>
      <w:r>
        <w:rPr>
          <w:rFonts w:ascii="Times New Roman" w:hAnsi="Times New Roman"/>
          <w:spacing w:val="-14"/>
          <w:sz w:val="18"/>
        </w:rPr>
        <w:t> </w:t>
      </w:r>
      <w:r>
        <w:rPr>
          <w:rFonts w:ascii="Times New Roman" w:hAnsi="Times New Roman"/>
          <w:sz w:val="18"/>
        </w:rPr>
        <w:t>(Cal.</w:t>
      </w:r>
      <w:r>
        <w:rPr>
          <w:rFonts w:ascii="Times New Roman" w:hAnsi="Times New Roman"/>
          <w:spacing w:val="-16"/>
          <w:sz w:val="18"/>
        </w:rPr>
        <w:t> </w:t>
      </w:r>
      <w:r>
        <w:rPr>
          <w:rFonts w:ascii="Times New Roman" w:hAnsi="Times New Roman"/>
          <w:sz w:val="18"/>
        </w:rPr>
        <w:t>App.</w:t>
      </w:r>
      <w:r>
        <w:rPr>
          <w:rFonts w:ascii="Times New Roman" w:hAnsi="Times New Roman"/>
          <w:spacing w:val="-16"/>
          <w:sz w:val="18"/>
        </w:rPr>
        <w:t> </w:t>
      </w:r>
      <w:r>
        <w:rPr>
          <w:rFonts w:ascii="Times New Roman" w:hAnsi="Times New Roman"/>
          <w:sz w:val="18"/>
        </w:rPr>
        <w:t>2</w:t>
      </w:r>
      <w:r>
        <w:rPr>
          <w:rFonts w:ascii="Times New Roman" w:hAnsi="Times New Roman"/>
          <w:spacing w:val="-14"/>
          <w:sz w:val="18"/>
        </w:rPr>
        <w:t> </w:t>
      </w:r>
      <w:r>
        <w:rPr>
          <w:rFonts w:ascii="Times New Roman" w:hAnsi="Times New Roman"/>
          <w:sz w:val="18"/>
        </w:rPr>
        <w:t>Dist.</w:t>
      </w:r>
      <w:r>
        <w:rPr>
          <w:rFonts w:ascii="Times New Roman" w:hAnsi="Times New Roman"/>
          <w:spacing w:val="-16"/>
          <w:sz w:val="18"/>
        </w:rPr>
        <w:t> </w:t>
      </w:r>
      <w:r>
        <w:rPr>
          <w:rFonts w:ascii="Times New Roman" w:hAnsi="Times New Roman"/>
          <w:sz w:val="18"/>
        </w:rPr>
        <w:t>2004);</w:t>
      </w:r>
      <w:r>
        <w:rPr>
          <w:rFonts w:ascii="Times New Roman" w:hAnsi="Times New Roman"/>
          <w:spacing w:val="-13"/>
          <w:sz w:val="18"/>
        </w:rPr>
        <w:t> </w:t>
      </w:r>
      <w:r>
        <w:rPr>
          <w:rFonts w:ascii="Times New Roman" w:hAnsi="Times New Roman"/>
          <w:i/>
          <w:sz w:val="18"/>
        </w:rPr>
        <w:t>See</w:t>
      </w:r>
      <w:r>
        <w:rPr>
          <w:rFonts w:ascii="Times New Roman" w:hAnsi="Times New Roman"/>
          <w:i/>
          <w:spacing w:val="-16"/>
          <w:sz w:val="18"/>
        </w:rPr>
        <w:t> </w:t>
      </w:r>
      <w:r>
        <w:rPr>
          <w:rFonts w:ascii="Times New Roman" w:hAnsi="Times New Roman"/>
          <w:sz w:val="18"/>
        </w:rPr>
        <w:t>Cal.</w:t>
      </w:r>
      <w:r>
        <w:rPr>
          <w:rFonts w:ascii="Times New Roman" w:hAnsi="Times New Roman"/>
          <w:spacing w:val="-14"/>
          <w:sz w:val="18"/>
        </w:rPr>
        <w:t> </w:t>
      </w:r>
      <w:r>
        <w:rPr>
          <w:rFonts w:ascii="Times New Roman" w:hAnsi="Times New Roman"/>
          <w:sz w:val="18"/>
        </w:rPr>
        <w:t>Ins. Code §2071.</w:t>
      </w:r>
    </w:p>
    <w:p>
      <w:pPr>
        <w:spacing w:line="242" w:lineRule="exact" w:before="17"/>
        <w:ind w:left="1160" w:right="1026" w:firstLine="0"/>
        <w:jc w:val="left"/>
        <w:rPr>
          <w:rFonts w:ascii="Times New Roman" w:hAnsi="Times New Roman"/>
          <w:sz w:val="18"/>
        </w:rPr>
      </w:pPr>
      <w:r>
        <w:rPr>
          <w:rFonts w:ascii="Times New Roman" w:hAnsi="Times New Roman"/>
          <w:position w:val="10"/>
          <w:sz w:val="14"/>
        </w:rPr>
        <w:t>925</w:t>
      </w:r>
      <w:r>
        <w:rPr>
          <w:rFonts w:ascii="Times New Roman" w:hAnsi="Times New Roman"/>
          <w:sz w:val="14"/>
        </w:rPr>
        <w:t> </w:t>
      </w:r>
      <w:r>
        <w:rPr>
          <w:rFonts w:ascii="Times New Roman" w:hAnsi="Times New Roman"/>
          <w:sz w:val="18"/>
          <w:u w:val="single"/>
        </w:rPr>
        <w:t>Kirkwood v. California State Auto Ass’n Inter-Insurance Bar</w:t>
      </w:r>
      <w:r>
        <w:rPr>
          <w:rFonts w:ascii="Times New Roman" w:hAnsi="Times New Roman"/>
          <w:sz w:val="18"/>
        </w:rPr>
        <w:t>, 193 Cal. App. 49, 122 Cal. Rptr. 38,480 (Cal. App. 2011); Cal.C.C. </w:t>
      </w:r>
      <w:r>
        <w:rPr>
          <w:sz w:val="18"/>
        </w:rPr>
        <w:t>§</w:t>
      </w:r>
      <w:r>
        <w:rPr>
          <w:rFonts w:ascii="Times New Roman" w:hAnsi="Times New Roman"/>
          <w:sz w:val="18"/>
        </w:rPr>
        <w:t>1060; Cal. Ins. Code </w:t>
      </w:r>
      <w:r>
        <w:rPr>
          <w:sz w:val="18"/>
        </w:rPr>
        <w:t>§</w:t>
      </w:r>
      <w:r>
        <w:rPr>
          <w:rFonts w:ascii="Times New Roman" w:hAnsi="Times New Roman"/>
          <w:sz w:val="18"/>
        </w:rPr>
        <w:t>2051.</w:t>
      </w:r>
    </w:p>
    <w:p>
      <w:pPr>
        <w:spacing w:after="0" w:line="242" w:lineRule="exact"/>
        <w:jc w:val="left"/>
        <w:rPr>
          <w:rFonts w:ascii="Times New Roman" w:hAns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firstLine="720"/>
        <w:jc w:val="both"/>
      </w:pPr>
      <w:bookmarkStart w:name="Law and Procedure 444" w:id="22"/>
      <w:bookmarkEnd w:id="22"/>
      <w:r>
        <w:rPr/>
      </w:r>
      <w:r>
        <w:rPr>
          <w:spacing w:val="3"/>
        </w:rPr>
        <w:t>In</w:t>
      </w:r>
      <w:r>
        <w:rPr>
          <w:spacing w:val="-11"/>
        </w:rPr>
        <w:t> </w:t>
      </w:r>
      <w:r>
        <w:rPr/>
        <w:t>Louisiana,</w:t>
      </w:r>
      <w:r>
        <w:rPr>
          <w:spacing w:val="-12"/>
        </w:rPr>
        <w:t> </w:t>
      </w:r>
      <w:r>
        <w:rPr/>
        <w:t>it</w:t>
      </w:r>
      <w:r>
        <w:rPr>
          <w:spacing w:val="-13"/>
        </w:rPr>
        <w:t> </w:t>
      </w:r>
      <w:r>
        <w:rPr/>
        <w:t>has</w:t>
      </w:r>
      <w:r>
        <w:rPr>
          <w:spacing w:val="-10"/>
        </w:rPr>
        <w:t> </w:t>
      </w:r>
      <w:r>
        <w:rPr/>
        <w:t>been</w:t>
      </w:r>
      <w:r>
        <w:rPr>
          <w:spacing w:val="-11"/>
        </w:rPr>
        <w:t> </w:t>
      </w:r>
      <w:r>
        <w:rPr/>
        <w:t>held</w:t>
      </w:r>
      <w:r>
        <w:rPr>
          <w:spacing w:val="-10"/>
        </w:rPr>
        <w:t> </w:t>
      </w:r>
      <w:r>
        <w:rPr/>
        <w:t>that</w:t>
      </w:r>
      <w:r>
        <w:rPr>
          <w:spacing w:val="-11"/>
        </w:rPr>
        <w:t> </w:t>
      </w:r>
      <w:r>
        <w:rPr/>
        <w:t>actual cash value is determined by calculating the cost</w:t>
      </w:r>
      <w:r>
        <w:rPr>
          <w:spacing w:val="-36"/>
        </w:rPr>
        <w:t> </w:t>
      </w:r>
      <w:r>
        <w:rPr/>
        <w:t>of</w:t>
      </w:r>
      <w:r>
        <w:rPr>
          <w:spacing w:val="-33"/>
        </w:rPr>
        <w:t> </w:t>
      </w:r>
      <w:r>
        <w:rPr/>
        <w:t>duplicating</w:t>
      </w:r>
      <w:r>
        <w:rPr>
          <w:spacing w:val="-32"/>
        </w:rPr>
        <w:t> </w:t>
      </w:r>
      <w:r>
        <w:rPr/>
        <w:t>the</w:t>
      </w:r>
      <w:r>
        <w:rPr>
          <w:spacing w:val="-34"/>
        </w:rPr>
        <w:t> </w:t>
      </w:r>
      <w:r>
        <w:rPr/>
        <w:t>damaged</w:t>
      </w:r>
      <w:r>
        <w:rPr>
          <w:spacing w:val="-33"/>
        </w:rPr>
        <w:t> </w:t>
      </w:r>
      <w:r>
        <w:rPr/>
        <w:t>property</w:t>
      </w:r>
      <w:r>
        <w:rPr>
          <w:spacing w:val="-35"/>
        </w:rPr>
        <w:t> </w:t>
      </w:r>
      <w:r>
        <w:rPr/>
        <w:t>with new materials of like kind and quality, less allowance for physical deterioration and depreciation.</w:t>
      </w:r>
      <w:r>
        <w:rPr>
          <w:vertAlign w:val="superscript"/>
        </w:rPr>
        <w:t>926</w:t>
      </w:r>
      <w:r>
        <w:rPr>
          <w:vertAlign w:val="baseline"/>
        </w:rPr>
        <w:t> </w:t>
      </w:r>
      <w:r>
        <w:rPr>
          <w:spacing w:val="3"/>
          <w:vertAlign w:val="baseline"/>
        </w:rPr>
        <w:t>In </w:t>
      </w:r>
      <w:r>
        <w:rPr>
          <w:vertAlign w:val="baseline"/>
        </w:rPr>
        <w:t>The </w:t>
      </w:r>
      <w:r>
        <w:rPr>
          <w:u w:val="single"/>
          <w:vertAlign w:val="baseline"/>
        </w:rPr>
        <w:t>Perfect Co. v. Essex </w:t>
      </w:r>
      <w:r>
        <w:rPr>
          <w:spacing w:val="-10"/>
          <w:u w:val="single"/>
          <w:vertAlign w:val="baseline"/>
        </w:rPr>
        <w:t>Ins.</w:t>
      </w:r>
      <w:r>
        <w:rPr>
          <w:spacing w:val="-10"/>
          <w:vertAlign w:val="baseline"/>
        </w:rPr>
        <w:t> </w:t>
      </w:r>
      <w:r>
        <w:rPr>
          <w:u w:val="single"/>
          <w:vertAlign w:val="baseline"/>
        </w:rPr>
        <w:t>Co.</w:t>
      </w:r>
      <w:r>
        <w:rPr>
          <w:vertAlign w:val="baseline"/>
        </w:rPr>
        <w:t>,</w:t>
      </w:r>
      <w:r>
        <w:rPr>
          <w:vertAlign w:val="superscript"/>
        </w:rPr>
        <w:t>927</w:t>
      </w:r>
      <w:r>
        <w:rPr>
          <w:vertAlign w:val="baseline"/>
        </w:rPr>
        <w:t> the District Court quoted </w:t>
      </w:r>
      <w:r>
        <w:rPr>
          <w:spacing w:val="-4"/>
          <w:vertAlign w:val="baseline"/>
        </w:rPr>
        <w:t>approvingly </w:t>
      </w:r>
      <w:r>
        <w:rPr>
          <w:vertAlign w:val="baseline"/>
        </w:rPr>
        <w:t>from </w:t>
      </w:r>
      <w:r>
        <w:rPr>
          <w:i/>
          <w:vertAlign w:val="baseline"/>
        </w:rPr>
        <w:t>Black’s Law Dictionary</w:t>
      </w:r>
      <w:r>
        <w:rPr>
          <w:vertAlign w:val="baseline"/>
        </w:rPr>
        <w:t>, “Actual Cash Value is defined as the replacement cost less depreciation.” Black’s Law Dictionary, </w:t>
      </w:r>
      <w:r>
        <w:rPr>
          <w:spacing w:val="-3"/>
          <w:vertAlign w:val="baseline"/>
        </w:rPr>
        <w:t>(7</w:t>
      </w:r>
      <w:r>
        <w:rPr>
          <w:spacing w:val="-3"/>
          <w:vertAlign w:val="superscript"/>
        </w:rPr>
        <w:t>th</w:t>
      </w:r>
      <w:r>
        <w:rPr>
          <w:spacing w:val="-3"/>
          <w:vertAlign w:val="baseline"/>
        </w:rPr>
        <w:t> </w:t>
      </w:r>
      <w:r>
        <w:rPr>
          <w:spacing w:val="-8"/>
          <w:vertAlign w:val="baseline"/>
        </w:rPr>
        <w:t>ed. </w:t>
      </w:r>
      <w:r>
        <w:rPr>
          <w:vertAlign w:val="baseline"/>
        </w:rPr>
        <w:t>1999).</w:t>
      </w:r>
    </w:p>
    <w:p>
      <w:pPr>
        <w:pStyle w:val="BodyText"/>
        <w:spacing w:before="10"/>
        <w:rPr>
          <w:sz w:val="25"/>
        </w:rPr>
      </w:pPr>
    </w:p>
    <w:p>
      <w:pPr>
        <w:pStyle w:val="BodyText"/>
        <w:spacing w:line="242" w:lineRule="auto" w:before="1"/>
        <w:ind w:left="1520" w:right="1518" w:firstLine="720"/>
        <w:jc w:val="both"/>
      </w:pPr>
      <w:r>
        <w:rPr/>
        <w:t>The actual cash value should consider the</w:t>
      </w:r>
      <w:r>
        <w:rPr>
          <w:spacing w:val="-17"/>
        </w:rPr>
        <w:t> </w:t>
      </w:r>
      <w:r>
        <w:rPr/>
        <w:t>cost</w:t>
      </w:r>
      <w:r>
        <w:rPr>
          <w:spacing w:val="-16"/>
        </w:rPr>
        <w:t> </w:t>
      </w:r>
      <w:r>
        <w:rPr/>
        <w:t>of</w:t>
      </w:r>
      <w:r>
        <w:rPr>
          <w:spacing w:val="-14"/>
        </w:rPr>
        <w:t> </w:t>
      </w:r>
      <w:r>
        <w:rPr/>
        <w:t>the</w:t>
      </w:r>
      <w:r>
        <w:rPr>
          <w:spacing w:val="-15"/>
        </w:rPr>
        <w:t> </w:t>
      </w:r>
      <w:r>
        <w:rPr/>
        <w:t>item</w:t>
      </w:r>
      <w:r>
        <w:rPr>
          <w:spacing w:val="-16"/>
        </w:rPr>
        <w:t> </w:t>
      </w:r>
      <w:r>
        <w:rPr/>
        <w:t>in</w:t>
      </w:r>
      <w:r>
        <w:rPr>
          <w:spacing w:val="-14"/>
        </w:rPr>
        <w:t> </w:t>
      </w:r>
      <w:r>
        <w:rPr/>
        <w:t>the</w:t>
      </w:r>
      <w:r>
        <w:rPr>
          <w:spacing w:val="-17"/>
        </w:rPr>
        <w:t> </w:t>
      </w:r>
      <w:r>
        <w:rPr/>
        <w:t>insured’s</w:t>
      </w:r>
      <w:r>
        <w:rPr>
          <w:spacing w:val="-17"/>
        </w:rPr>
        <w:t> </w:t>
      </w:r>
      <w:r>
        <w:rPr/>
        <w:t>community or</w:t>
      </w:r>
      <w:r>
        <w:rPr>
          <w:spacing w:val="-10"/>
        </w:rPr>
        <w:t> </w:t>
      </w:r>
      <w:r>
        <w:rPr/>
        <w:t>include</w:t>
      </w:r>
      <w:r>
        <w:rPr>
          <w:spacing w:val="-8"/>
        </w:rPr>
        <w:t> </w:t>
      </w:r>
      <w:r>
        <w:rPr/>
        <w:t>the</w:t>
      </w:r>
      <w:r>
        <w:rPr>
          <w:spacing w:val="-10"/>
        </w:rPr>
        <w:t> </w:t>
      </w:r>
      <w:r>
        <w:rPr/>
        <w:t>shipping</w:t>
      </w:r>
      <w:r>
        <w:rPr>
          <w:spacing w:val="-6"/>
        </w:rPr>
        <w:t> </w:t>
      </w:r>
      <w:r>
        <w:rPr/>
        <w:t>costs</w:t>
      </w:r>
      <w:r>
        <w:rPr>
          <w:spacing w:val="-8"/>
        </w:rPr>
        <w:t> </w:t>
      </w:r>
      <w:r>
        <w:rPr/>
        <w:t>of</w:t>
      </w:r>
      <w:r>
        <w:rPr>
          <w:spacing w:val="-8"/>
        </w:rPr>
        <w:t> </w:t>
      </w:r>
      <w:r>
        <w:rPr/>
        <w:t>getting</w:t>
      </w:r>
      <w:r>
        <w:rPr>
          <w:spacing w:val="-9"/>
        </w:rPr>
        <w:t> </w:t>
      </w:r>
      <w:r>
        <w:rPr/>
        <w:t>it</w:t>
      </w:r>
      <w:r>
        <w:rPr>
          <w:spacing w:val="-10"/>
        </w:rPr>
        <w:t> </w:t>
      </w:r>
      <w:r>
        <w:rPr/>
        <w:t>there if its not available at the value determined in that</w:t>
      </w:r>
      <w:r>
        <w:rPr>
          <w:spacing w:val="-2"/>
        </w:rPr>
        <w:t> </w:t>
      </w:r>
      <w:r>
        <w:rPr/>
        <w:t>community.</w:t>
      </w:r>
      <w:r>
        <w:rPr>
          <w:vertAlign w:val="superscript"/>
        </w:rPr>
        <w:t>928</w:t>
      </w:r>
    </w:p>
    <w:p>
      <w:pPr>
        <w:pStyle w:val="BodyText"/>
      </w:pPr>
    </w:p>
    <w:p>
      <w:pPr>
        <w:pStyle w:val="BodyText"/>
        <w:spacing w:line="242" w:lineRule="auto" w:before="1"/>
        <w:ind w:left="1520" w:right="1518" w:firstLine="720"/>
        <w:jc w:val="both"/>
      </w:pPr>
      <w:r>
        <w:rPr/>
        <w:t>Appraisers</w:t>
      </w:r>
      <w:r>
        <w:rPr>
          <w:spacing w:val="-33"/>
        </w:rPr>
        <w:t> </w:t>
      </w:r>
      <w:r>
        <w:rPr/>
        <w:t>are</w:t>
      </w:r>
      <w:r>
        <w:rPr>
          <w:spacing w:val="-32"/>
        </w:rPr>
        <w:t> </w:t>
      </w:r>
      <w:r>
        <w:rPr/>
        <w:t>generally</w:t>
      </w:r>
      <w:r>
        <w:rPr>
          <w:spacing w:val="-33"/>
        </w:rPr>
        <w:t> </w:t>
      </w:r>
      <w:r>
        <w:rPr/>
        <w:t>expected</w:t>
      </w:r>
      <w:r>
        <w:rPr>
          <w:spacing w:val="-33"/>
        </w:rPr>
        <w:t> </w:t>
      </w:r>
      <w:r>
        <w:rPr/>
        <w:t>to</w:t>
      </w:r>
      <w:r>
        <w:rPr>
          <w:spacing w:val="-32"/>
        </w:rPr>
        <w:t> </w:t>
      </w:r>
      <w:r>
        <w:rPr/>
        <w:t>act on their own skill and knowledge. </w:t>
      </w:r>
      <w:r>
        <w:rPr>
          <w:spacing w:val="3"/>
        </w:rPr>
        <w:t>It </w:t>
      </w:r>
      <w:r>
        <w:rPr/>
        <w:t>has been </w:t>
      </w:r>
      <w:r>
        <w:rPr>
          <w:spacing w:val="3"/>
        </w:rPr>
        <w:t>held that they </w:t>
      </w:r>
      <w:r>
        <w:rPr>
          <w:spacing w:val="4"/>
        </w:rPr>
        <w:t>may reach individual </w:t>
      </w:r>
      <w:r>
        <w:rPr/>
        <w:t>conclusions and are required to meet only for the purpose of </w:t>
      </w:r>
      <w:r>
        <w:rPr>
          <w:spacing w:val="2"/>
        </w:rPr>
        <w:t>ironing </w:t>
      </w:r>
      <w:r>
        <w:rPr/>
        <w:t>out differences in the conclusions they reached. </w:t>
      </w:r>
      <w:r>
        <w:rPr>
          <w:spacing w:val="3"/>
        </w:rPr>
        <w:t>In </w:t>
      </w:r>
      <w:r>
        <w:rPr/>
        <w:t>most states,</w:t>
      </w:r>
      <w:r>
        <w:rPr>
          <w:spacing w:val="-39"/>
        </w:rPr>
        <w:t> </w:t>
      </w:r>
      <w:r>
        <w:rPr>
          <w:spacing w:val="-4"/>
        </w:rPr>
        <w:t>they </w:t>
      </w:r>
      <w:r>
        <w:rPr/>
        <w:t>are not obliged to give their rival any formal notice or to hear evidence but may proceed by</w:t>
      </w:r>
      <w:r>
        <w:rPr>
          <w:spacing w:val="-18"/>
        </w:rPr>
        <w:t> </w:t>
      </w:r>
      <w:r>
        <w:rPr>
          <w:i/>
        </w:rPr>
        <w:t>ex</w:t>
      </w:r>
      <w:r>
        <w:rPr>
          <w:i/>
          <w:spacing w:val="-17"/>
        </w:rPr>
        <w:t> </w:t>
      </w:r>
      <w:r>
        <w:rPr>
          <w:i/>
        </w:rPr>
        <w:t>parte</w:t>
      </w:r>
      <w:r>
        <w:rPr>
          <w:i/>
          <w:spacing w:val="33"/>
        </w:rPr>
        <w:t> </w:t>
      </w:r>
      <w:r>
        <w:rPr/>
        <w:t>investigation</w:t>
      </w:r>
      <w:r>
        <w:rPr>
          <w:spacing w:val="-18"/>
        </w:rPr>
        <w:t> </w:t>
      </w:r>
      <w:r>
        <w:rPr/>
        <w:t>so</w:t>
      </w:r>
      <w:r>
        <w:rPr>
          <w:spacing w:val="-15"/>
        </w:rPr>
        <w:t> </w:t>
      </w:r>
      <w:r>
        <w:rPr/>
        <w:t>long</w:t>
      </w:r>
      <w:r>
        <w:rPr>
          <w:spacing w:val="-14"/>
        </w:rPr>
        <w:t> </w:t>
      </w:r>
      <w:r>
        <w:rPr/>
        <w:t>as</w:t>
      </w:r>
      <w:r>
        <w:rPr>
          <w:spacing w:val="-17"/>
        </w:rPr>
        <w:t> </w:t>
      </w:r>
      <w:r>
        <w:rPr/>
        <w:t>the</w:t>
      </w:r>
      <w:r>
        <w:rPr>
          <w:spacing w:val="-16"/>
        </w:rPr>
        <w:t> </w:t>
      </w:r>
      <w:r>
        <w:rPr/>
        <w:t>parties are given an opportunity to make</w:t>
      </w:r>
      <w:r>
        <w:rPr>
          <w:spacing w:val="38"/>
        </w:rPr>
        <w:t> </w:t>
      </w:r>
      <w:r>
        <w:rPr/>
        <w:t>statements</w:t>
      </w:r>
    </w:p>
    <w:p>
      <w:pPr>
        <w:pStyle w:val="BodyText"/>
        <w:rPr>
          <w:sz w:val="20"/>
        </w:rPr>
      </w:pPr>
    </w:p>
    <w:p>
      <w:pPr>
        <w:pStyle w:val="BodyText"/>
        <w:spacing w:before="3"/>
        <w:rPr>
          <w:sz w:val="19"/>
        </w:rPr>
      </w:pPr>
      <w:r>
        <w:rPr/>
        <w:pict>
          <v:shape style="position:absolute;margin-left:162pt;margin-top:14.246299pt;width:143.9pt;height:.1pt;mso-position-horizontal-relative:page;mso-position-vertical-relative:paragraph;z-index:-251639808;mso-wrap-distance-left:0;mso-wrap-distance-right:0" coordorigin="3240,285" coordsize="2878,0" path="m3240,285l6118,285e" filled="false" stroked="true" strokeweight=".84pt" strokecolor="#000000">
            <v:path arrowok="t"/>
            <v:stroke dashstyle="solid"/>
            <w10:wrap type="topAndBottom"/>
          </v:shape>
        </w:pict>
      </w:r>
    </w:p>
    <w:p>
      <w:pPr>
        <w:spacing w:line="269" w:lineRule="exact" w:before="140"/>
        <w:ind w:left="1160" w:right="0" w:firstLine="0"/>
        <w:jc w:val="left"/>
        <w:rPr>
          <w:rFonts w:ascii="Times New Roman"/>
          <w:sz w:val="18"/>
        </w:rPr>
      </w:pPr>
      <w:r>
        <w:rPr>
          <w:rFonts w:ascii="Times New Roman"/>
          <w:position w:val="10"/>
          <w:sz w:val="14"/>
        </w:rPr>
        <w:t>926</w:t>
      </w:r>
      <w:r>
        <w:rPr>
          <w:rFonts w:ascii="Times New Roman"/>
          <w:sz w:val="14"/>
          <w:u w:val="single"/>
        </w:rPr>
        <w:t> </w:t>
      </w:r>
      <w:r>
        <w:rPr>
          <w:rFonts w:ascii="Times New Roman"/>
          <w:sz w:val="18"/>
          <w:u w:val="single"/>
        </w:rPr>
        <w:t>Bradley v. Allstate Ins. Co.</w:t>
      </w:r>
      <w:r>
        <w:rPr>
          <w:rFonts w:ascii="Times New Roman"/>
          <w:sz w:val="18"/>
        </w:rPr>
        <w:t>, 606 F.3d 215,227 (5</w:t>
      </w:r>
      <w:r>
        <w:rPr>
          <w:rFonts w:ascii="Times New Roman"/>
          <w:position w:val="7"/>
          <w:sz w:val="10"/>
        </w:rPr>
        <w:t>th </w:t>
      </w:r>
      <w:r>
        <w:rPr>
          <w:rFonts w:ascii="Times New Roman"/>
          <w:sz w:val="18"/>
        </w:rPr>
        <w:t>Cir 2010).</w:t>
      </w:r>
    </w:p>
    <w:p>
      <w:pPr>
        <w:spacing w:line="282" w:lineRule="exact" w:before="0"/>
        <w:ind w:left="1160" w:right="0" w:firstLine="0"/>
        <w:jc w:val="left"/>
        <w:rPr>
          <w:rFonts w:ascii="Times New Roman"/>
          <w:sz w:val="24"/>
        </w:rPr>
      </w:pPr>
      <w:r>
        <w:rPr>
          <w:rFonts w:ascii="Times New Roman"/>
          <w:position w:val="10"/>
          <w:sz w:val="14"/>
        </w:rPr>
        <w:t>927 </w:t>
      </w:r>
      <w:r>
        <w:rPr>
          <w:rFonts w:ascii="Times New Roman"/>
          <w:sz w:val="18"/>
        </w:rPr>
        <w:t>2010 W.L. 2835899 (E.D.La 2010)</w:t>
      </w:r>
      <w:r>
        <w:rPr>
          <w:rFonts w:ascii="Times New Roman"/>
          <w:sz w:val="24"/>
        </w:rPr>
        <w:t>.</w:t>
      </w:r>
    </w:p>
    <w:p>
      <w:pPr>
        <w:spacing w:before="1"/>
        <w:ind w:left="1160" w:right="0" w:firstLine="0"/>
        <w:jc w:val="left"/>
        <w:rPr>
          <w:rFonts w:ascii="Times New Roman"/>
          <w:sz w:val="24"/>
        </w:rPr>
      </w:pPr>
      <w:r>
        <w:rPr>
          <w:rFonts w:ascii="Times New Roman"/>
          <w:position w:val="10"/>
          <w:sz w:val="14"/>
        </w:rPr>
        <w:t>928 </w:t>
      </w:r>
      <w:r>
        <w:rPr>
          <w:rFonts w:ascii="Times New Roman"/>
          <w:i/>
          <w:sz w:val="18"/>
        </w:rPr>
        <w:t>See for example</w:t>
      </w:r>
      <w:r>
        <w:rPr>
          <w:rFonts w:ascii="Times New Roman"/>
          <w:sz w:val="18"/>
        </w:rPr>
        <w:t>, </w:t>
      </w:r>
      <w:r>
        <w:rPr>
          <w:rFonts w:ascii="Times New Roman"/>
          <w:sz w:val="18"/>
          <w:u w:val="single"/>
        </w:rPr>
        <w:t>De La Torre v. Allstate Ins. Co.</w:t>
      </w:r>
      <w:r>
        <w:rPr>
          <w:rFonts w:ascii="Times New Roman"/>
          <w:sz w:val="18"/>
        </w:rPr>
        <w:t>, 2011 WL 831426 (C.D.Cal.2011)</w:t>
      </w:r>
      <w:r>
        <w:rPr>
          <w:rFonts w:ascii="Times New Roman"/>
          <w:sz w:val="24"/>
        </w:rPr>
        <w:t>.</w:t>
      </w:r>
    </w:p>
    <w:p>
      <w:pPr>
        <w:pStyle w:val="BodyText"/>
        <w:spacing w:line="20" w:lineRule="exact"/>
        <w:ind w:left="2588"/>
        <w:rPr>
          <w:rFonts w:ascii="Times New Roman"/>
          <w:sz w:val="2"/>
        </w:rPr>
      </w:pPr>
      <w:r>
        <w:rPr>
          <w:rFonts w:ascii="Times New Roman"/>
          <w:sz w:val="2"/>
        </w:rPr>
        <w:pict>
          <v:group style="width:2.3pt;height:.550pt;mso-position-horizontal-relative:char;mso-position-vertical-relative:line" coordorigin="0,0" coordsize="46,11">
            <v:rect style="position:absolute;left:0;top:0;width:46;height:11" filled="true" fillcolor="#000000" stroked="false">
              <v:fill type="solid"/>
            </v:rect>
          </v:group>
        </w:pict>
      </w:r>
      <w:r>
        <w:rPr>
          <w:rFonts w:ascii="Times New Roman"/>
          <w:sz w:val="2"/>
        </w:rPr>
      </w:r>
    </w:p>
    <w:p>
      <w:pPr>
        <w:spacing w:after="0" w:line="20" w:lineRule="exact"/>
        <w:rPr>
          <w:rFonts w:ascii="Times New Roman"/>
          <w:sz w:val="2"/>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026"/>
      </w:pPr>
      <w:bookmarkStart w:name="Law and Procedure 445" w:id="23"/>
      <w:bookmarkEnd w:id="23"/>
      <w:r>
        <w:rPr/>
      </w:r>
      <w:r>
        <w:rPr/>
        <w:t>and explanations with regard to matters</w:t>
      </w:r>
      <w:r>
        <w:rPr>
          <w:spacing w:val="51"/>
        </w:rPr>
        <w:t> </w:t>
      </w:r>
      <w:r>
        <w:rPr/>
        <w:t>in issue.</w:t>
      </w:r>
      <w:r>
        <w:rPr>
          <w:vertAlign w:val="superscript"/>
        </w:rPr>
        <w:t>929</w:t>
      </w:r>
    </w:p>
    <w:p>
      <w:pPr>
        <w:pStyle w:val="BodyText"/>
        <w:spacing w:before="1"/>
      </w:pPr>
    </w:p>
    <w:p>
      <w:pPr>
        <w:pStyle w:val="BodyText"/>
        <w:spacing w:line="242" w:lineRule="auto" w:before="1"/>
        <w:ind w:left="1520" w:right="1519" w:firstLine="720"/>
        <w:jc w:val="both"/>
      </w:pPr>
      <w:r>
        <w:rPr/>
        <w:t>The award should be based on </w:t>
      </w:r>
      <w:r>
        <w:rPr>
          <w:spacing w:val="-6"/>
        </w:rPr>
        <w:t>the </w:t>
      </w:r>
      <w:r>
        <w:rPr/>
        <w:t>appraiser's</w:t>
      </w:r>
      <w:r>
        <w:rPr>
          <w:spacing w:val="-31"/>
        </w:rPr>
        <w:t> </w:t>
      </w:r>
      <w:r>
        <w:rPr/>
        <w:t>submissions,</w:t>
      </w:r>
      <w:r>
        <w:rPr>
          <w:spacing w:val="-30"/>
        </w:rPr>
        <w:t> </w:t>
      </w:r>
      <w:r>
        <w:rPr/>
        <w:t>in</w:t>
      </w:r>
      <w:r>
        <w:rPr>
          <w:spacing w:val="-30"/>
        </w:rPr>
        <w:t> </w:t>
      </w:r>
      <w:r>
        <w:rPr>
          <w:spacing w:val="-3"/>
        </w:rPr>
        <w:t>combination</w:t>
      </w:r>
      <w:r>
        <w:rPr>
          <w:spacing w:val="-31"/>
        </w:rPr>
        <w:t> </w:t>
      </w:r>
      <w:r>
        <w:rPr>
          <w:spacing w:val="-3"/>
        </w:rPr>
        <w:t>with</w:t>
      </w:r>
      <w:r>
        <w:rPr>
          <w:spacing w:val="-31"/>
        </w:rPr>
        <w:t> </w:t>
      </w:r>
      <w:r>
        <w:rPr/>
        <w:t>the umpire's own</w:t>
      </w:r>
      <w:r>
        <w:rPr>
          <w:spacing w:val="-3"/>
        </w:rPr>
        <w:t> </w:t>
      </w:r>
      <w:r>
        <w:rPr/>
        <w:t>judgment.</w:t>
      </w:r>
    </w:p>
    <w:p>
      <w:pPr>
        <w:pStyle w:val="BodyText"/>
        <w:spacing w:before="1"/>
      </w:pPr>
    </w:p>
    <w:p>
      <w:pPr>
        <w:pStyle w:val="BodyText"/>
        <w:spacing w:line="242" w:lineRule="auto"/>
        <w:ind w:left="1520" w:right="1515" w:firstLine="720"/>
        <w:jc w:val="both"/>
      </w:pPr>
      <w:r>
        <w:rPr>
          <w:spacing w:val="3"/>
        </w:rPr>
        <w:t>In </w:t>
      </w:r>
      <w:r>
        <w:rPr/>
        <w:t>some jurisdictions, the umpire may utilize</w:t>
      </w:r>
      <w:r>
        <w:rPr>
          <w:spacing w:val="-22"/>
        </w:rPr>
        <w:t> </w:t>
      </w:r>
      <w:r>
        <w:rPr/>
        <w:t>an</w:t>
      </w:r>
      <w:r>
        <w:rPr>
          <w:spacing w:val="-22"/>
        </w:rPr>
        <w:t> </w:t>
      </w:r>
      <w:r>
        <w:rPr/>
        <w:t>expert</w:t>
      </w:r>
      <w:r>
        <w:rPr>
          <w:spacing w:val="-25"/>
        </w:rPr>
        <w:t> </w:t>
      </w:r>
      <w:r>
        <w:rPr/>
        <w:t>to</w:t>
      </w:r>
      <w:r>
        <w:rPr>
          <w:spacing w:val="-23"/>
        </w:rPr>
        <w:t> </w:t>
      </w:r>
      <w:r>
        <w:rPr/>
        <w:t>advise</w:t>
      </w:r>
      <w:r>
        <w:rPr>
          <w:spacing w:val="-23"/>
        </w:rPr>
        <w:t> </w:t>
      </w:r>
      <w:r>
        <w:rPr/>
        <w:t>him</w:t>
      </w:r>
      <w:r>
        <w:rPr>
          <w:spacing w:val="-25"/>
        </w:rPr>
        <w:t> </w:t>
      </w:r>
      <w:r>
        <w:rPr/>
        <w:t>as</w:t>
      </w:r>
      <w:r>
        <w:rPr>
          <w:spacing w:val="-22"/>
        </w:rPr>
        <w:t> </w:t>
      </w:r>
      <w:r>
        <w:rPr/>
        <w:t>to</w:t>
      </w:r>
      <w:r>
        <w:rPr>
          <w:spacing w:val="-23"/>
        </w:rPr>
        <w:t> </w:t>
      </w:r>
      <w:r>
        <w:rPr/>
        <w:t>the</w:t>
      </w:r>
      <w:r>
        <w:rPr>
          <w:spacing w:val="-21"/>
        </w:rPr>
        <w:t> </w:t>
      </w:r>
      <w:r>
        <w:rPr/>
        <w:t>amount of the loss so long as the appraisers are on notice and the award is founded on the sole judgment of the umpire.</w:t>
      </w:r>
      <w:r>
        <w:rPr>
          <w:spacing w:val="-6"/>
        </w:rPr>
        <w:t> </w:t>
      </w:r>
      <w:r>
        <w:rPr>
          <w:vertAlign w:val="superscript"/>
        </w:rPr>
        <w:t>930</w:t>
      </w:r>
    </w:p>
    <w:p>
      <w:pPr>
        <w:pStyle w:val="BodyText"/>
        <w:spacing w:before="1"/>
      </w:pPr>
    </w:p>
    <w:p>
      <w:pPr>
        <w:pStyle w:val="BodyText"/>
        <w:spacing w:line="242" w:lineRule="auto"/>
        <w:ind w:left="1520" w:right="1518" w:firstLine="720"/>
        <w:jc w:val="both"/>
      </w:pPr>
      <w:r>
        <w:rPr>
          <w:spacing w:val="4"/>
        </w:rPr>
        <w:t>In </w:t>
      </w:r>
      <w:r>
        <w:rPr/>
        <w:t>New Jersey, the Broad Evidence Rule requires the appraiser to consider every fact and circumstance which would logically</w:t>
      </w:r>
      <w:r>
        <w:rPr>
          <w:spacing w:val="-16"/>
        </w:rPr>
        <w:t> </w:t>
      </w:r>
      <w:r>
        <w:rPr/>
        <w:t>tend to the formation of a correct estimate of the insured loss so as to effectuate complete indemnity.</w:t>
      </w:r>
      <w:r>
        <w:rPr>
          <w:vertAlign w:val="superscript"/>
        </w:rPr>
        <w:t>931</w:t>
      </w:r>
      <w:r>
        <w:rPr>
          <w:vertAlign w:val="baseline"/>
        </w:rPr>
        <w:t> A refusal of the appraisers </w:t>
      </w:r>
      <w:r>
        <w:rPr>
          <w:spacing w:val="-20"/>
          <w:vertAlign w:val="baseline"/>
        </w:rPr>
        <w:t>to </w:t>
      </w:r>
      <w:r>
        <w:rPr>
          <w:vertAlign w:val="baseline"/>
        </w:rPr>
        <w:t>consider</w:t>
      </w:r>
      <w:r>
        <w:rPr>
          <w:spacing w:val="-10"/>
          <w:vertAlign w:val="baseline"/>
        </w:rPr>
        <w:t> </w:t>
      </w:r>
      <w:r>
        <w:rPr>
          <w:vertAlign w:val="baseline"/>
        </w:rPr>
        <w:t>factors</w:t>
      </w:r>
      <w:r>
        <w:rPr>
          <w:spacing w:val="-9"/>
          <w:vertAlign w:val="baseline"/>
        </w:rPr>
        <w:t> </w:t>
      </w:r>
      <w:r>
        <w:rPr>
          <w:vertAlign w:val="baseline"/>
        </w:rPr>
        <w:t>such</w:t>
      </w:r>
      <w:r>
        <w:rPr>
          <w:spacing w:val="-9"/>
          <w:vertAlign w:val="baseline"/>
        </w:rPr>
        <w:t> </w:t>
      </w:r>
      <w:r>
        <w:rPr>
          <w:vertAlign w:val="baseline"/>
        </w:rPr>
        <w:t>as</w:t>
      </w:r>
      <w:r>
        <w:rPr>
          <w:spacing w:val="-10"/>
          <w:vertAlign w:val="baseline"/>
        </w:rPr>
        <w:t> </w:t>
      </w:r>
      <w:r>
        <w:rPr>
          <w:vertAlign w:val="baseline"/>
        </w:rPr>
        <w:t>the</w:t>
      </w:r>
      <w:r>
        <w:rPr>
          <w:spacing w:val="-11"/>
          <w:vertAlign w:val="baseline"/>
        </w:rPr>
        <w:t> </w:t>
      </w:r>
      <w:r>
        <w:rPr>
          <w:vertAlign w:val="baseline"/>
        </w:rPr>
        <w:t>actual</w:t>
      </w:r>
      <w:r>
        <w:rPr>
          <w:spacing w:val="-7"/>
          <w:vertAlign w:val="baseline"/>
        </w:rPr>
        <w:t> </w:t>
      </w:r>
      <w:r>
        <w:rPr>
          <w:vertAlign w:val="baseline"/>
        </w:rPr>
        <w:t>cost</w:t>
      </w:r>
      <w:r>
        <w:rPr>
          <w:spacing w:val="-9"/>
          <w:vertAlign w:val="baseline"/>
        </w:rPr>
        <w:t> </w:t>
      </w:r>
      <w:r>
        <w:rPr>
          <w:vertAlign w:val="baseline"/>
        </w:rPr>
        <w:t>to</w:t>
      </w:r>
      <w:r>
        <w:rPr>
          <w:spacing w:val="-9"/>
          <w:vertAlign w:val="baseline"/>
        </w:rPr>
        <w:t> </w:t>
      </w:r>
      <w:r>
        <w:rPr>
          <w:vertAlign w:val="baseline"/>
        </w:rPr>
        <w:t>the insured</w:t>
      </w:r>
      <w:r>
        <w:rPr>
          <w:spacing w:val="-33"/>
          <w:vertAlign w:val="baseline"/>
        </w:rPr>
        <w:t> </w:t>
      </w:r>
      <w:r>
        <w:rPr>
          <w:vertAlign w:val="baseline"/>
        </w:rPr>
        <w:t>of</w:t>
      </w:r>
      <w:r>
        <w:rPr>
          <w:spacing w:val="-30"/>
          <w:vertAlign w:val="baseline"/>
        </w:rPr>
        <w:t> </w:t>
      </w:r>
      <w:r>
        <w:rPr>
          <w:vertAlign w:val="baseline"/>
        </w:rPr>
        <w:t>effecting</w:t>
      </w:r>
      <w:r>
        <w:rPr>
          <w:spacing w:val="-31"/>
          <w:vertAlign w:val="baseline"/>
        </w:rPr>
        <w:t> </w:t>
      </w:r>
      <w:r>
        <w:rPr>
          <w:vertAlign w:val="baseline"/>
        </w:rPr>
        <w:t>repairs,</w:t>
      </w:r>
      <w:r>
        <w:rPr>
          <w:spacing w:val="-33"/>
          <w:vertAlign w:val="baseline"/>
        </w:rPr>
        <w:t> </w:t>
      </w:r>
      <w:r>
        <w:rPr>
          <w:vertAlign w:val="baseline"/>
        </w:rPr>
        <w:t>the</w:t>
      </w:r>
      <w:r>
        <w:rPr>
          <w:spacing w:val="-31"/>
          <w:vertAlign w:val="baseline"/>
        </w:rPr>
        <w:t> </w:t>
      </w:r>
      <w:r>
        <w:rPr>
          <w:vertAlign w:val="baseline"/>
        </w:rPr>
        <w:t>actual</w:t>
      </w:r>
      <w:r>
        <w:rPr>
          <w:spacing w:val="-30"/>
          <w:vertAlign w:val="baseline"/>
        </w:rPr>
        <w:t> </w:t>
      </w:r>
      <w:r>
        <w:rPr>
          <w:spacing w:val="-3"/>
          <w:vertAlign w:val="baseline"/>
        </w:rPr>
        <w:t>extent</w:t>
      </w:r>
      <w:r>
        <w:rPr>
          <w:spacing w:val="-36"/>
          <w:vertAlign w:val="baseline"/>
        </w:rPr>
        <w:t> </w:t>
      </w:r>
      <w:r>
        <w:rPr>
          <w:vertAlign w:val="baseline"/>
        </w:rPr>
        <w:t>of repairs made, the age of the building, depreciation, the use to which the building had been put and the condition prior to the fire, in determining the actual cash value of a partial</w:t>
      </w:r>
      <w:r>
        <w:rPr>
          <w:spacing w:val="32"/>
          <w:vertAlign w:val="baseline"/>
        </w:rPr>
        <w:t> </w:t>
      </w:r>
      <w:r>
        <w:rPr>
          <w:vertAlign w:val="baseline"/>
        </w:rPr>
        <w:t>fire</w:t>
      </w:r>
      <w:r>
        <w:rPr>
          <w:spacing w:val="33"/>
          <w:vertAlign w:val="baseline"/>
        </w:rPr>
        <w:t> </w:t>
      </w:r>
      <w:r>
        <w:rPr>
          <w:vertAlign w:val="baseline"/>
        </w:rPr>
        <w:t>constituted</w:t>
      </w:r>
      <w:r>
        <w:rPr>
          <w:spacing w:val="31"/>
          <w:vertAlign w:val="baseline"/>
        </w:rPr>
        <w:t> </w:t>
      </w:r>
      <w:r>
        <w:rPr>
          <w:vertAlign w:val="baseline"/>
        </w:rPr>
        <w:t>legal</w:t>
      </w:r>
      <w:r>
        <w:rPr>
          <w:spacing w:val="34"/>
          <w:vertAlign w:val="baseline"/>
        </w:rPr>
        <w:t> </w:t>
      </w:r>
      <w:r>
        <w:rPr>
          <w:vertAlign w:val="baseline"/>
        </w:rPr>
        <w:t>misconduct</w:t>
      </w:r>
      <w:r>
        <w:rPr>
          <w:spacing w:val="32"/>
          <w:vertAlign w:val="baseline"/>
        </w:rPr>
        <w:t> </w:t>
      </w:r>
      <w:r>
        <w:rPr>
          <w:vertAlign w:val="baseline"/>
        </w:rPr>
        <w:t>and</w:t>
      </w:r>
    </w:p>
    <w:p>
      <w:pPr>
        <w:pStyle w:val="BodyText"/>
        <w:rPr>
          <w:sz w:val="20"/>
        </w:rPr>
      </w:pPr>
    </w:p>
    <w:p>
      <w:pPr>
        <w:pStyle w:val="BodyText"/>
        <w:rPr>
          <w:sz w:val="20"/>
        </w:rPr>
      </w:pPr>
    </w:p>
    <w:p>
      <w:pPr>
        <w:pStyle w:val="BodyText"/>
        <w:spacing w:before="2"/>
        <w:rPr>
          <w:sz w:val="23"/>
        </w:rPr>
      </w:pPr>
      <w:r>
        <w:rPr/>
        <w:pict>
          <v:shape style="position:absolute;margin-left:162pt;margin-top:16.608618pt;width:143.9pt;height:.1pt;mso-position-horizontal-relative:page;mso-position-vertical-relative:paragraph;z-index:-251637760;mso-wrap-distance-left:0;mso-wrap-distance-right:0" coordorigin="3240,332" coordsize="2878,0" path="m3240,332l6118,332e" filled="false" stroked="true" strokeweight=".84pt" strokecolor="#000000">
            <v:path arrowok="t"/>
            <v:stroke dashstyle="solid"/>
            <w10:wrap type="topAndBottom"/>
          </v:shape>
        </w:pict>
      </w:r>
    </w:p>
    <w:p>
      <w:pPr>
        <w:pStyle w:val="BodyText"/>
        <w:spacing w:before="4"/>
        <w:rPr>
          <w:sz w:val="10"/>
        </w:rPr>
      </w:pPr>
    </w:p>
    <w:p>
      <w:pPr>
        <w:spacing w:line="254" w:lineRule="exact" w:before="71"/>
        <w:ind w:left="1160" w:right="0" w:firstLine="0"/>
        <w:jc w:val="left"/>
        <w:rPr>
          <w:rFonts w:ascii="Times New Roman"/>
          <w:sz w:val="24"/>
        </w:rPr>
      </w:pPr>
      <w:r>
        <w:rPr>
          <w:rFonts w:ascii="Times New Roman"/>
          <w:position w:val="10"/>
          <w:sz w:val="14"/>
        </w:rPr>
        <w:t>929</w:t>
      </w:r>
      <w:r>
        <w:rPr>
          <w:rFonts w:ascii="Times New Roman"/>
          <w:sz w:val="14"/>
        </w:rPr>
        <w:t> </w:t>
      </w:r>
      <w:r>
        <w:rPr>
          <w:rFonts w:ascii="Times New Roman"/>
          <w:sz w:val="18"/>
          <w:u w:val="single"/>
        </w:rPr>
        <w:t>Florida Farm Bureau Cas. Ins. Co. v. Sheaffer</w:t>
      </w:r>
      <w:r>
        <w:rPr>
          <w:rFonts w:ascii="Times New Roman"/>
          <w:sz w:val="18"/>
        </w:rPr>
        <w:t>, 687 So.2d 1331 (Fla. 1</w:t>
      </w:r>
      <w:r>
        <w:rPr>
          <w:rFonts w:ascii="Times New Roman"/>
          <w:position w:val="7"/>
          <w:sz w:val="10"/>
        </w:rPr>
        <w:t>st </w:t>
      </w:r>
      <w:r>
        <w:rPr>
          <w:rFonts w:ascii="Times New Roman"/>
          <w:sz w:val="18"/>
        </w:rPr>
        <w:t>DCA 1997)</w:t>
      </w:r>
      <w:r>
        <w:rPr>
          <w:rFonts w:ascii="Times New Roman"/>
          <w:sz w:val="24"/>
        </w:rPr>
        <w:t>.</w:t>
      </w:r>
    </w:p>
    <w:p>
      <w:pPr>
        <w:spacing w:line="212" w:lineRule="exact" w:before="0"/>
        <w:ind w:left="1160" w:right="0" w:firstLine="0"/>
        <w:jc w:val="left"/>
        <w:rPr>
          <w:rFonts w:ascii="Times New Roman"/>
          <w:sz w:val="18"/>
        </w:rPr>
      </w:pPr>
      <w:r>
        <w:rPr>
          <w:rFonts w:ascii="Times New Roman"/>
          <w:position w:val="10"/>
          <w:sz w:val="14"/>
        </w:rPr>
        <w:t>930 </w:t>
      </w:r>
      <w:r>
        <w:rPr>
          <w:rFonts w:ascii="Times New Roman"/>
          <w:sz w:val="18"/>
          <w:u w:val="single"/>
        </w:rPr>
        <w:t>German Ins. Co. v. Hazard Bank</w:t>
      </w:r>
      <w:r>
        <w:rPr>
          <w:rFonts w:ascii="Times New Roman"/>
          <w:sz w:val="18"/>
        </w:rPr>
        <w:t>, 126 Ky. 730, 104 S.W. 725 (1907).</w:t>
      </w:r>
    </w:p>
    <w:p>
      <w:pPr>
        <w:pStyle w:val="ListParagraph"/>
        <w:numPr>
          <w:ilvl w:val="0"/>
          <w:numId w:val="7"/>
        </w:numPr>
        <w:tabs>
          <w:tab w:pos="1430" w:val="left" w:leader="none"/>
        </w:tabs>
        <w:spacing w:line="240" w:lineRule="exact" w:before="0" w:after="0"/>
        <w:ind w:left="1430" w:right="0" w:hanging="270"/>
        <w:jc w:val="left"/>
        <w:rPr>
          <w:sz w:val="18"/>
        </w:rPr>
      </w:pPr>
      <w:r>
        <w:rPr>
          <w:sz w:val="18"/>
          <w:u w:val="single"/>
        </w:rPr>
        <w:t>Ward</w:t>
      </w:r>
      <w:r>
        <w:rPr>
          <w:spacing w:val="10"/>
          <w:sz w:val="18"/>
          <w:u w:val="single"/>
        </w:rPr>
        <w:t> </w:t>
      </w:r>
      <w:r>
        <w:rPr>
          <w:sz w:val="18"/>
          <w:u w:val="single"/>
        </w:rPr>
        <w:t>v.</w:t>
      </w:r>
      <w:r>
        <w:rPr>
          <w:spacing w:val="10"/>
          <w:sz w:val="18"/>
          <w:u w:val="single"/>
        </w:rPr>
        <w:t> </w:t>
      </w:r>
      <w:r>
        <w:rPr>
          <w:sz w:val="18"/>
          <w:u w:val="single"/>
        </w:rPr>
        <w:t>Merrimack</w:t>
      </w:r>
      <w:r>
        <w:rPr>
          <w:spacing w:val="7"/>
          <w:sz w:val="18"/>
          <w:u w:val="single"/>
        </w:rPr>
        <w:t> </w:t>
      </w:r>
      <w:r>
        <w:rPr>
          <w:sz w:val="18"/>
          <w:u w:val="single"/>
        </w:rPr>
        <w:t>Mut.</w:t>
      </w:r>
      <w:r>
        <w:rPr>
          <w:spacing w:val="9"/>
          <w:sz w:val="18"/>
          <w:u w:val="single"/>
        </w:rPr>
        <w:t> </w:t>
      </w:r>
      <w:r>
        <w:rPr>
          <w:sz w:val="18"/>
          <w:u w:val="single"/>
        </w:rPr>
        <w:t>Fire</w:t>
      </w:r>
      <w:r>
        <w:rPr>
          <w:spacing w:val="10"/>
          <w:sz w:val="18"/>
          <w:u w:val="single"/>
        </w:rPr>
        <w:t> </w:t>
      </w:r>
      <w:r>
        <w:rPr>
          <w:sz w:val="18"/>
          <w:u w:val="single"/>
        </w:rPr>
        <w:t>Ins.</w:t>
      </w:r>
      <w:r>
        <w:rPr>
          <w:spacing w:val="11"/>
          <w:sz w:val="18"/>
          <w:u w:val="single"/>
        </w:rPr>
        <w:t> </w:t>
      </w:r>
      <w:r>
        <w:rPr>
          <w:sz w:val="18"/>
          <w:u w:val="single"/>
        </w:rPr>
        <w:t>Co.</w:t>
      </w:r>
      <w:r>
        <w:rPr>
          <w:sz w:val="18"/>
        </w:rPr>
        <w:t>,</w:t>
      </w:r>
      <w:r>
        <w:rPr>
          <w:spacing w:val="11"/>
          <w:sz w:val="18"/>
        </w:rPr>
        <w:t> </w:t>
      </w:r>
      <w:r>
        <w:rPr>
          <w:sz w:val="18"/>
        </w:rPr>
        <w:t>332</w:t>
      </w:r>
      <w:r>
        <w:rPr>
          <w:spacing w:val="11"/>
          <w:sz w:val="18"/>
        </w:rPr>
        <w:t> </w:t>
      </w:r>
      <w:r>
        <w:rPr>
          <w:sz w:val="18"/>
        </w:rPr>
        <w:t>N.J.</w:t>
      </w:r>
      <w:r>
        <w:rPr>
          <w:spacing w:val="10"/>
          <w:sz w:val="18"/>
        </w:rPr>
        <w:t> </w:t>
      </w:r>
      <w:r>
        <w:rPr>
          <w:sz w:val="18"/>
        </w:rPr>
        <w:t>Super.</w:t>
      </w:r>
      <w:r>
        <w:rPr>
          <w:spacing w:val="10"/>
          <w:sz w:val="18"/>
        </w:rPr>
        <w:t> </w:t>
      </w:r>
      <w:r>
        <w:rPr>
          <w:sz w:val="18"/>
        </w:rPr>
        <w:t>515,</w:t>
      </w:r>
      <w:r>
        <w:rPr>
          <w:spacing w:val="11"/>
          <w:sz w:val="18"/>
        </w:rPr>
        <w:t> </w:t>
      </w:r>
      <w:r>
        <w:rPr>
          <w:sz w:val="18"/>
        </w:rPr>
        <w:t>753</w:t>
      </w:r>
      <w:r>
        <w:rPr>
          <w:spacing w:val="11"/>
          <w:sz w:val="18"/>
        </w:rPr>
        <w:t> </w:t>
      </w:r>
      <w:r>
        <w:rPr>
          <w:sz w:val="18"/>
        </w:rPr>
        <w:t>A.2d</w:t>
      </w:r>
      <w:r>
        <w:rPr>
          <w:spacing w:val="11"/>
          <w:sz w:val="18"/>
        </w:rPr>
        <w:t> </w:t>
      </w:r>
      <w:r>
        <w:rPr>
          <w:sz w:val="18"/>
        </w:rPr>
        <w:t>1214</w:t>
      </w:r>
      <w:r>
        <w:rPr>
          <w:spacing w:val="16"/>
          <w:sz w:val="18"/>
        </w:rPr>
        <w:t> </w:t>
      </w:r>
      <w:r>
        <w:rPr>
          <w:spacing w:val="2"/>
          <w:sz w:val="18"/>
        </w:rPr>
        <w:t>(2000);</w:t>
      </w:r>
    </w:p>
    <w:p>
      <w:pPr>
        <w:spacing w:before="4"/>
        <w:ind w:left="1160" w:right="0" w:firstLine="0"/>
        <w:jc w:val="left"/>
        <w:rPr>
          <w:rFonts w:ascii="Times New Roman"/>
          <w:i/>
          <w:sz w:val="18"/>
        </w:rPr>
      </w:pPr>
      <w:r>
        <w:rPr>
          <w:rFonts w:ascii="Times New Roman"/>
          <w:sz w:val="18"/>
          <w:u w:val="single"/>
        </w:rPr>
        <w:t>Elberon Bathing Co. v. Ambassador Ins. Co.</w:t>
      </w:r>
      <w:r>
        <w:rPr>
          <w:rFonts w:ascii="Times New Roman"/>
          <w:sz w:val="18"/>
        </w:rPr>
        <w:t>, 77 N.J. 1, 389 A.2d 439 (1978) (</w:t>
      </w:r>
      <w:r>
        <w:rPr>
          <w:rFonts w:ascii="Times New Roman"/>
          <w:i/>
          <w:sz w:val="18"/>
        </w:rPr>
        <w:t>quoting</w:t>
      </w:r>
    </w:p>
    <w:p>
      <w:pPr>
        <w:spacing w:before="5"/>
        <w:ind w:left="1160" w:right="0" w:firstLine="0"/>
        <w:jc w:val="left"/>
        <w:rPr>
          <w:rFonts w:ascii="Times New Roman"/>
          <w:sz w:val="18"/>
        </w:rPr>
      </w:pPr>
      <w:r>
        <w:rPr>
          <w:rFonts w:ascii="Times New Roman"/>
          <w:sz w:val="18"/>
          <w:u w:val="single"/>
        </w:rPr>
        <w:t>McAnarney v. Newark Fire Ins. Co.</w:t>
      </w:r>
      <w:r>
        <w:rPr>
          <w:rFonts w:ascii="Times New Roman"/>
          <w:sz w:val="18"/>
        </w:rPr>
        <w:t>, 247 N.Y. 176, 179, 159 N.E. 902, 905 (1928)).</w:t>
      </w:r>
    </w:p>
    <w:p>
      <w:pPr>
        <w:spacing w:after="0"/>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2"/>
        </w:rPr>
      </w:pPr>
    </w:p>
    <w:p>
      <w:pPr>
        <w:pStyle w:val="BodyText"/>
        <w:spacing w:line="242" w:lineRule="auto" w:before="76"/>
        <w:ind w:left="1520" w:right="1519"/>
        <w:jc w:val="both"/>
      </w:pPr>
      <w:bookmarkStart w:name="Law and Procedure 446" w:id="24"/>
      <w:bookmarkEnd w:id="24"/>
      <w:r>
        <w:rPr/>
      </w:r>
      <w:r>
        <w:rPr/>
        <w:t>justified vacating an appraisal </w:t>
      </w:r>
      <w:r>
        <w:rPr>
          <w:spacing w:val="-7"/>
        </w:rPr>
        <w:t>award.</w:t>
      </w:r>
      <w:r>
        <w:rPr>
          <w:spacing w:val="-7"/>
          <w:vertAlign w:val="superscript"/>
        </w:rPr>
        <w:t>932</w:t>
      </w:r>
      <w:r>
        <w:rPr>
          <w:spacing w:val="-7"/>
          <w:vertAlign w:val="baseline"/>
        </w:rPr>
        <w:t> </w:t>
      </w:r>
      <w:r>
        <w:rPr>
          <w:vertAlign w:val="baseline"/>
        </w:rPr>
        <w:t>Criteria such as fair market value </w:t>
      </w:r>
      <w:r>
        <w:rPr>
          <w:spacing w:val="-4"/>
          <w:vertAlign w:val="baseline"/>
        </w:rPr>
        <w:t>and</w:t>
      </w:r>
      <w:r>
        <w:rPr>
          <w:spacing w:val="63"/>
          <w:vertAlign w:val="baseline"/>
        </w:rPr>
        <w:t> </w:t>
      </w:r>
      <w:r>
        <w:rPr>
          <w:vertAlign w:val="baseline"/>
        </w:rPr>
        <w:t>replacement cost less depreciation do </w:t>
      </w:r>
      <w:r>
        <w:rPr>
          <w:spacing w:val="-4"/>
          <w:vertAlign w:val="baseline"/>
        </w:rPr>
        <w:t>not </w:t>
      </w:r>
      <w:r>
        <w:rPr>
          <w:vertAlign w:val="baseline"/>
        </w:rPr>
        <w:t>bind the fact finder, but instead become guidelines along with other relevant</w:t>
      </w:r>
      <w:r>
        <w:rPr>
          <w:spacing w:val="-35"/>
          <w:vertAlign w:val="baseline"/>
        </w:rPr>
        <w:t> </w:t>
      </w:r>
      <w:r>
        <w:rPr>
          <w:vertAlign w:val="baseline"/>
        </w:rPr>
        <w:t>evidence the parties may present in cases of both total and partial loss </w:t>
      </w:r>
      <w:r>
        <w:rPr>
          <w:spacing w:val="3"/>
          <w:vertAlign w:val="baseline"/>
        </w:rPr>
        <w:t>in </w:t>
      </w:r>
      <w:r>
        <w:rPr>
          <w:vertAlign w:val="baseline"/>
        </w:rPr>
        <w:t>the state of New</w:t>
      </w:r>
      <w:r>
        <w:rPr>
          <w:spacing w:val="-25"/>
          <w:vertAlign w:val="baseline"/>
        </w:rPr>
        <w:t> </w:t>
      </w:r>
      <w:r>
        <w:rPr>
          <w:vertAlign w:val="baseline"/>
        </w:rPr>
        <w:t>Jersey.</w:t>
      </w:r>
      <w:r>
        <w:rPr>
          <w:vertAlign w:val="superscript"/>
        </w:rPr>
        <w:t>933</w:t>
      </w:r>
    </w:p>
    <w:p>
      <w:pPr>
        <w:pStyle w:val="BodyText"/>
      </w:pPr>
    </w:p>
    <w:p>
      <w:pPr>
        <w:pStyle w:val="BodyText"/>
        <w:spacing w:line="242" w:lineRule="auto"/>
        <w:ind w:left="1520" w:right="1519" w:firstLine="720"/>
        <w:jc w:val="both"/>
      </w:pPr>
      <w:r>
        <w:rPr>
          <w:spacing w:val="-3"/>
        </w:rPr>
        <w:t>Where </w:t>
      </w:r>
      <w:r>
        <w:rPr/>
        <w:t>actual cash value is defined </w:t>
      </w:r>
      <w:r>
        <w:rPr>
          <w:spacing w:val="-7"/>
        </w:rPr>
        <w:t>by </w:t>
      </w:r>
      <w:r>
        <w:rPr/>
        <w:t>the policy as replacement cost less a deduction that reflects depreciation, </w:t>
      </w:r>
      <w:r>
        <w:rPr>
          <w:spacing w:val="-3"/>
        </w:rPr>
        <w:t>age, </w:t>
      </w:r>
      <w:r>
        <w:rPr/>
        <w:t>condition and obsolescence, obsolescence refers</w:t>
      </w:r>
      <w:r>
        <w:rPr>
          <w:spacing w:val="-19"/>
        </w:rPr>
        <w:t> </w:t>
      </w:r>
      <w:r>
        <w:rPr/>
        <w:t>only</w:t>
      </w:r>
      <w:r>
        <w:rPr>
          <w:spacing w:val="-18"/>
        </w:rPr>
        <w:t> </w:t>
      </w:r>
      <w:r>
        <w:rPr/>
        <w:t>to</w:t>
      </w:r>
      <w:r>
        <w:rPr>
          <w:spacing w:val="-15"/>
        </w:rPr>
        <w:t> </w:t>
      </w:r>
      <w:r>
        <w:rPr/>
        <w:t>functional</w:t>
      </w:r>
      <w:r>
        <w:rPr>
          <w:spacing w:val="-13"/>
        </w:rPr>
        <w:t> </w:t>
      </w:r>
      <w:r>
        <w:rPr/>
        <w:t>obsolescence</w:t>
      </w:r>
      <w:r>
        <w:rPr>
          <w:spacing w:val="-16"/>
        </w:rPr>
        <w:t> </w:t>
      </w:r>
      <w:r>
        <w:rPr/>
        <w:t>and</w:t>
      </w:r>
      <w:r>
        <w:rPr>
          <w:spacing w:val="-17"/>
        </w:rPr>
        <w:t> </w:t>
      </w:r>
      <w:r>
        <w:rPr>
          <w:spacing w:val="-3"/>
        </w:rPr>
        <w:t>did </w:t>
      </w:r>
      <w:r>
        <w:rPr/>
        <w:t>not consider economic obsolescence. </w:t>
      </w:r>
      <w:r>
        <w:rPr>
          <w:spacing w:val="-9"/>
        </w:rPr>
        <w:t>To </w:t>
      </w:r>
      <w:r>
        <w:rPr/>
        <w:t>suggest otherwise would equate actual cash </w:t>
      </w:r>
      <w:r>
        <w:rPr>
          <w:spacing w:val="16"/>
        </w:rPr>
        <w:t>value </w:t>
      </w:r>
      <w:r>
        <w:rPr>
          <w:spacing w:val="13"/>
        </w:rPr>
        <w:t>and </w:t>
      </w:r>
      <w:r>
        <w:rPr>
          <w:spacing w:val="17"/>
        </w:rPr>
        <w:t>market </w:t>
      </w:r>
      <w:r>
        <w:rPr>
          <w:spacing w:val="14"/>
        </w:rPr>
        <w:t>value which </w:t>
      </w:r>
      <w:r>
        <w:rPr/>
        <w:t>i s impermissible.</w:t>
      </w:r>
      <w:r>
        <w:rPr>
          <w:vertAlign w:val="superscript"/>
        </w:rPr>
        <w:t>934</w:t>
      </w:r>
    </w:p>
    <w:p>
      <w:pPr>
        <w:pStyle w:val="BodyText"/>
      </w:pPr>
    </w:p>
    <w:p>
      <w:pPr>
        <w:pStyle w:val="BodyText"/>
        <w:spacing w:line="242" w:lineRule="auto"/>
        <w:ind w:left="1520" w:right="1517" w:firstLine="720"/>
        <w:jc w:val="both"/>
      </w:pPr>
      <w:r>
        <w:rPr/>
        <w:t>Actual cash value includes contractor’s overhead and profit even when the insured elects to make needed repairs personally, where the cost to repair or replace would typically require a general contractor.</w:t>
      </w:r>
      <w:r>
        <w:rPr>
          <w:vertAlign w:val="superscript"/>
        </w:rPr>
        <w:t>935</w:t>
      </w:r>
    </w:p>
    <w:p>
      <w:pPr>
        <w:pStyle w:val="BodyText"/>
        <w:spacing w:before="1"/>
        <w:rPr>
          <w:sz w:val="21"/>
        </w:rPr>
      </w:pPr>
      <w:r>
        <w:rPr/>
        <w:pict>
          <v:shape style="position:absolute;margin-left:162pt;margin-top:15.33063pt;width:143.9pt;height:.1pt;mso-position-horizontal-relative:page;mso-position-vertical-relative:paragraph;z-index:-251636736;mso-wrap-distance-left:0;mso-wrap-distance-right:0" coordorigin="3240,307" coordsize="2878,0" path="m3240,307l6118,307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7"/>
        </w:numPr>
        <w:tabs>
          <w:tab w:pos="1447" w:val="left" w:leader="none"/>
        </w:tabs>
        <w:spacing w:line="264" w:lineRule="auto" w:before="80" w:after="0"/>
        <w:ind w:left="1160" w:right="1167" w:firstLine="0"/>
        <w:jc w:val="left"/>
        <w:rPr>
          <w:sz w:val="18"/>
        </w:rPr>
      </w:pPr>
      <w:r>
        <w:rPr>
          <w:sz w:val="18"/>
          <w:u w:val="single"/>
        </w:rPr>
        <w:t>Ward, Id.</w:t>
      </w:r>
      <w:r>
        <w:rPr>
          <w:sz w:val="18"/>
        </w:rPr>
        <w:t>; </w:t>
      </w:r>
      <w:r>
        <w:rPr>
          <w:i/>
          <w:sz w:val="18"/>
        </w:rPr>
        <w:t>See also, </w:t>
      </w:r>
      <w:r>
        <w:rPr>
          <w:sz w:val="18"/>
        </w:rPr>
        <w:t>Vacation of award; Rehearing, N.J. Stat. Ann. 2A: 24-8c (West 2003).</w:t>
      </w:r>
    </w:p>
    <w:p>
      <w:pPr>
        <w:pStyle w:val="ListParagraph"/>
        <w:numPr>
          <w:ilvl w:val="0"/>
          <w:numId w:val="7"/>
        </w:numPr>
        <w:tabs>
          <w:tab w:pos="1433" w:val="left" w:leader="none"/>
        </w:tabs>
        <w:spacing w:line="226" w:lineRule="exact" w:before="27" w:after="0"/>
        <w:ind w:left="1160" w:right="1167" w:firstLine="0"/>
        <w:jc w:val="left"/>
        <w:rPr>
          <w:sz w:val="18"/>
        </w:rPr>
      </w:pPr>
      <w:r>
        <w:rPr>
          <w:sz w:val="18"/>
          <w:u w:val="single"/>
        </w:rPr>
        <w:t>Elberon</w:t>
      </w:r>
      <w:r>
        <w:rPr>
          <w:sz w:val="18"/>
        </w:rPr>
        <w:t>, </w:t>
      </w:r>
      <w:r>
        <w:rPr>
          <w:i/>
          <w:sz w:val="18"/>
        </w:rPr>
        <w:t>supra</w:t>
      </w:r>
      <w:r>
        <w:rPr>
          <w:sz w:val="18"/>
        </w:rPr>
        <w:t>; Insured, perils insured against; amount of insurance; assignment; N.J. Stat. Ann. 17:36-5.19 (West 2003).</w:t>
      </w:r>
    </w:p>
    <w:p>
      <w:pPr>
        <w:pStyle w:val="ListParagraph"/>
        <w:numPr>
          <w:ilvl w:val="0"/>
          <w:numId w:val="7"/>
        </w:numPr>
        <w:tabs>
          <w:tab w:pos="1416" w:val="left" w:leader="none"/>
        </w:tabs>
        <w:spacing w:line="261" w:lineRule="auto" w:before="0" w:after="0"/>
        <w:ind w:left="1160" w:right="1163" w:firstLine="0"/>
        <w:jc w:val="left"/>
        <w:rPr>
          <w:sz w:val="18"/>
        </w:rPr>
      </w:pPr>
      <w:r>
        <w:rPr>
          <w:sz w:val="18"/>
          <w:u w:val="single"/>
        </w:rPr>
        <w:t>Whitehouse</w:t>
      </w:r>
      <w:r>
        <w:rPr>
          <w:spacing w:val="-20"/>
          <w:sz w:val="18"/>
          <w:u w:val="single"/>
        </w:rPr>
        <w:t> </w:t>
      </w:r>
      <w:r>
        <w:rPr>
          <w:sz w:val="18"/>
          <w:u w:val="single"/>
        </w:rPr>
        <w:t>Condominium</w:t>
      </w:r>
      <w:r>
        <w:rPr>
          <w:spacing w:val="-21"/>
          <w:sz w:val="18"/>
          <w:u w:val="single"/>
        </w:rPr>
        <w:t> </w:t>
      </w:r>
      <w:r>
        <w:rPr>
          <w:sz w:val="18"/>
          <w:u w:val="single"/>
        </w:rPr>
        <w:t>Group</w:t>
      </w:r>
      <w:r>
        <w:rPr>
          <w:spacing w:val="-18"/>
          <w:sz w:val="18"/>
          <w:u w:val="single"/>
        </w:rPr>
        <w:t> </w:t>
      </w:r>
      <w:r>
        <w:rPr>
          <w:sz w:val="18"/>
          <w:u w:val="single"/>
        </w:rPr>
        <w:t>LLC</w:t>
      </w:r>
      <w:r>
        <w:rPr>
          <w:spacing w:val="-18"/>
          <w:sz w:val="18"/>
          <w:u w:val="single"/>
        </w:rPr>
        <w:t> </w:t>
      </w:r>
      <w:r>
        <w:rPr>
          <w:sz w:val="18"/>
          <w:u w:val="single"/>
        </w:rPr>
        <w:t>v.</w:t>
      </w:r>
      <w:r>
        <w:rPr>
          <w:spacing w:val="-18"/>
          <w:sz w:val="18"/>
          <w:u w:val="single"/>
        </w:rPr>
        <w:t> </w:t>
      </w:r>
      <w:r>
        <w:rPr>
          <w:sz w:val="18"/>
          <w:u w:val="single"/>
        </w:rPr>
        <w:t>Cincinnati</w:t>
      </w:r>
      <w:r>
        <w:rPr>
          <w:spacing w:val="-16"/>
          <w:sz w:val="18"/>
          <w:u w:val="single"/>
        </w:rPr>
        <w:t> </w:t>
      </w:r>
      <w:r>
        <w:rPr>
          <w:sz w:val="18"/>
          <w:u w:val="single"/>
        </w:rPr>
        <w:t>Ins.</w:t>
      </w:r>
      <w:r>
        <w:rPr>
          <w:spacing w:val="-17"/>
          <w:sz w:val="18"/>
          <w:u w:val="single"/>
        </w:rPr>
        <w:t> </w:t>
      </w:r>
      <w:r>
        <w:rPr>
          <w:sz w:val="18"/>
          <w:u w:val="single"/>
        </w:rPr>
        <w:t>Co.</w:t>
      </w:r>
      <w:r>
        <w:rPr>
          <w:sz w:val="18"/>
        </w:rPr>
        <w:t>,</w:t>
      </w:r>
      <w:r>
        <w:rPr>
          <w:spacing w:val="-16"/>
          <w:sz w:val="18"/>
        </w:rPr>
        <w:t> </w:t>
      </w:r>
      <w:r>
        <w:rPr>
          <w:sz w:val="18"/>
        </w:rPr>
        <w:t>2013</w:t>
      </w:r>
      <w:r>
        <w:rPr>
          <w:spacing w:val="-14"/>
          <w:sz w:val="18"/>
        </w:rPr>
        <w:t> </w:t>
      </w:r>
      <w:r>
        <w:rPr>
          <w:sz w:val="18"/>
        </w:rPr>
        <w:t>WL</w:t>
      </w:r>
      <w:r>
        <w:rPr>
          <w:spacing w:val="-21"/>
          <w:sz w:val="18"/>
        </w:rPr>
        <w:t> </w:t>
      </w:r>
      <w:r>
        <w:rPr>
          <w:sz w:val="18"/>
        </w:rPr>
        <w:t>3895851</w:t>
      </w:r>
      <w:r>
        <w:rPr>
          <w:spacing w:val="-17"/>
          <w:sz w:val="18"/>
        </w:rPr>
        <w:t> </w:t>
      </w:r>
      <w:r>
        <w:rPr>
          <w:sz w:val="18"/>
        </w:rPr>
        <w:t>(Mich. Ct. App. 2011).</w:t>
      </w:r>
    </w:p>
    <w:p>
      <w:pPr>
        <w:pStyle w:val="ListParagraph"/>
        <w:numPr>
          <w:ilvl w:val="0"/>
          <w:numId w:val="7"/>
        </w:numPr>
        <w:tabs>
          <w:tab w:pos="1435" w:val="left" w:leader="none"/>
        </w:tabs>
        <w:spacing w:line="250" w:lineRule="exact" w:before="0" w:after="0"/>
        <w:ind w:left="1434" w:right="0" w:hanging="275"/>
        <w:jc w:val="left"/>
        <w:rPr>
          <w:sz w:val="18"/>
        </w:rPr>
      </w:pPr>
      <w:r>
        <w:rPr>
          <w:sz w:val="18"/>
          <w:u w:val="single"/>
        </w:rPr>
        <w:t>Mazzocki v. State Farm Fire &amp; Cas. Corp</w:t>
      </w:r>
      <w:r>
        <w:rPr>
          <w:sz w:val="18"/>
        </w:rPr>
        <w:t>., 1 A.D.3d 9, 766 N.Y.S.2d 719, 2003</w:t>
      </w:r>
      <w:r>
        <w:rPr>
          <w:spacing w:val="4"/>
          <w:sz w:val="18"/>
        </w:rPr>
        <w:t> </w:t>
      </w:r>
      <w:r>
        <w:rPr>
          <w:sz w:val="18"/>
        </w:rPr>
        <w:t>N.Y.</w:t>
      </w:r>
    </w:p>
    <w:p>
      <w:pPr>
        <w:spacing w:before="12"/>
        <w:ind w:left="1160" w:right="0" w:firstLine="0"/>
        <w:jc w:val="both"/>
        <w:rPr>
          <w:rFonts w:ascii="Times New Roman"/>
          <w:sz w:val="18"/>
        </w:rPr>
      </w:pPr>
      <w:r>
        <w:rPr>
          <w:rFonts w:ascii="Times New Roman"/>
          <w:sz w:val="18"/>
        </w:rPr>
        <w:t>Slip Op. 17945 (2003); </w:t>
      </w:r>
      <w:r>
        <w:rPr>
          <w:rFonts w:ascii="Times New Roman"/>
          <w:sz w:val="18"/>
          <w:u w:val="single"/>
        </w:rPr>
        <w:t>Gilderman v. State Farm Ins. Co.</w:t>
      </w:r>
      <w:r>
        <w:rPr>
          <w:rFonts w:ascii="Times New Roman"/>
          <w:sz w:val="18"/>
        </w:rPr>
        <w:t>, 437 Pa. Super. 217, 226, 649 A.2d</w:t>
      </w:r>
    </w:p>
    <w:p>
      <w:pPr>
        <w:spacing w:line="244" w:lineRule="auto" w:before="4"/>
        <w:ind w:left="1160" w:right="1164" w:firstLine="0"/>
        <w:jc w:val="both"/>
        <w:rPr>
          <w:rFonts w:ascii="Times New Roman" w:hAnsi="Times New Roman"/>
          <w:sz w:val="18"/>
        </w:rPr>
      </w:pPr>
      <w:r>
        <w:rPr>
          <w:rFonts w:ascii="Times New Roman" w:hAnsi="Times New Roman"/>
          <w:sz w:val="18"/>
        </w:rPr>
        <w:t>941,</w:t>
      </w:r>
      <w:r>
        <w:rPr>
          <w:rFonts w:ascii="Times New Roman" w:hAnsi="Times New Roman"/>
          <w:spacing w:val="-14"/>
          <w:sz w:val="18"/>
        </w:rPr>
        <w:t> </w:t>
      </w:r>
      <w:r>
        <w:rPr>
          <w:rFonts w:ascii="Times New Roman" w:hAnsi="Times New Roman"/>
          <w:sz w:val="18"/>
        </w:rPr>
        <w:t>945</w:t>
      </w:r>
      <w:r>
        <w:rPr>
          <w:rFonts w:ascii="Times New Roman" w:hAnsi="Times New Roman"/>
          <w:spacing w:val="-13"/>
          <w:sz w:val="18"/>
        </w:rPr>
        <w:t> </w:t>
      </w:r>
      <w:r>
        <w:rPr>
          <w:rFonts w:ascii="Times New Roman" w:hAnsi="Times New Roman"/>
          <w:sz w:val="18"/>
        </w:rPr>
        <w:t>(1944),</w:t>
      </w:r>
      <w:r>
        <w:rPr>
          <w:rFonts w:ascii="Times New Roman" w:hAnsi="Times New Roman"/>
          <w:spacing w:val="-13"/>
          <w:sz w:val="18"/>
        </w:rPr>
        <w:t> </w:t>
      </w:r>
      <w:r>
        <w:rPr>
          <w:rFonts w:ascii="Times New Roman" w:hAnsi="Times New Roman"/>
          <w:i/>
          <w:sz w:val="18"/>
        </w:rPr>
        <w:t>appeal</w:t>
      </w:r>
      <w:r>
        <w:rPr>
          <w:rFonts w:ascii="Times New Roman" w:hAnsi="Times New Roman"/>
          <w:i/>
          <w:spacing w:val="-14"/>
          <w:sz w:val="18"/>
        </w:rPr>
        <w:t> </w:t>
      </w:r>
      <w:r>
        <w:rPr>
          <w:rFonts w:ascii="Times New Roman" w:hAnsi="Times New Roman"/>
          <w:i/>
          <w:sz w:val="18"/>
        </w:rPr>
        <w:t>den’d</w:t>
      </w:r>
      <w:r>
        <w:rPr>
          <w:rFonts w:ascii="Times New Roman" w:hAnsi="Times New Roman"/>
          <w:i/>
          <w:spacing w:val="-12"/>
          <w:sz w:val="18"/>
        </w:rPr>
        <w:t> </w:t>
      </w:r>
      <w:r>
        <w:rPr>
          <w:rFonts w:ascii="Times New Roman" w:hAnsi="Times New Roman"/>
          <w:sz w:val="18"/>
        </w:rPr>
        <w:t>541</w:t>
      </w:r>
      <w:r>
        <w:rPr>
          <w:rFonts w:ascii="Times New Roman" w:hAnsi="Times New Roman"/>
          <w:spacing w:val="-13"/>
          <w:sz w:val="18"/>
        </w:rPr>
        <w:t> </w:t>
      </w:r>
      <w:r>
        <w:rPr>
          <w:rFonts w:ascii="Times New Roman" w:hAnsi="Times New Roman"/>
          <w:sz w:val="18"/>
        </w:rPr>
        <w:t>Pa.</w:t>
      </w:r>
      <w:r>
        <w:rPr>
          <w:rFonts w:ascii="Times New Roman" w:hAnsi="Times New Roman"/>
          <w:spacing w:val="-13"/>
          <w:sz w:val="18"/>
        </w:rPr>
        <w:t> </w:t>
      </w:r>
      <w:r>
        <w:rPr>
          <w:rFonts w:ascii="Times New Roman" w:hAnsi="Times New Roman"/>
          <w:sz w:val="18"/>
        </w:rPr>
        <w:t>626,</w:t>
      </w:r>
      <w:r>
        <w:rPr>
          <w:rFonts w:ascii="Times New Roman" w:hAnsi="Times New Roman"/>
          <w:spacing w:val="-14"/>
          <w:sz w:val="18"/>
        </w:rPr>
        <w:t> </w:t>
      </w:r>
      <w:r>
        <w:rPr>
          <w:rFonts w:ascii="Times New Roman" w:hAnsi="Times New Roman"/>
          <w:sz w:val="18"/>
        </w:rPr>
        <w:t>661</w:t>
      </w:r>
      <w:r>
        <w:rPr>
          <w:rFonts w:ascii="Times New Roman" w:hAnsi="Times New Roman"/>
          <w:spacing w:val="-14"/>
          <w:sz w:val="18"/>
        </w:rPr>
        <w:t> </w:t>
      </w:r>
      <w:r>
        <w:rPr>
          <w:rFonts w:ascii="Times New Roman" w:hAnsi="Times New Roman"/>
          <w:sz w:val="18"/>
        </w:rPr>
        <w:t>A.2d</w:t>
      </w:r>
      <w:r>
        <w:rPr>
          <w:rFonts w:ascii="Times New Roman" w:hAnsi="Times New Roman"/>
          <w:spacing w:val="-15"/>
          <w:sz w:val="18"/>
        </w:rPr>
        <w:t> </w:t>
      </w:r>
      <w:r>
        <w:rPr>
          <w:rFonts w:ascii="Times New Roman" w:hAnsi="Times New Roman"/>
          <w:sz w:val="18"/>
        </w:rPr>
        <w:t>874</w:t>
      </w:r>
      <w:r>
        <w:rPr>
          <w:rFonts w:ascii="Times New Roman" w:hAnsi="Times New Roman"/>
          <w:spacing w:val="-14"/>
          <w:sz w:val="18"/>
        </w:rPr>
        <w:t> </w:t>
      </w:r>
      <w:r>
        <w:rPr>
          <w:rFonts w:ascii="Times New Roman" w:hAnsi="Times New Roman"/>
          <w:sz w:val="18"/>
        </w:rPr>
        <w:t>(1995);</w:t>
      </w:r>
      <w:r>
        <w:rPr>
          <w:rFonts w:ascii="Times New Roman" w:hAnsi="Times New Roman"/>
          <w:spacing w:val="-16"/>
          <w:sz w:val="18"/>
        </w:rPr>
        <w:t> </w:t>
      </w:r>
      <w:r>
        <w:rPr>
          <w:rFonts w:ascii="Times New Roman" w:hAnsi="Times New Roman"/>
          <w:sz w:val="18"/>
          <w:u w:val="single"/>
        </w:rPr>
        <w:t>Bond</w:t>
      </w:r>
      <w:r>
        <w:rPr>
          <w:rFonts w:ascii="Times New Roman" w:hAnsi="Times New Roman"/>
          <w:spacing w:val="-14"/>
          <w:sz w:val="18"/>
          <w:u w:val="single"/>
        </w:rPr>
        <w:t> </w:t>
      </w:r>
      <w:r>
        <w:rPr>
          <w:rFonts w:ascii="Times New Roman" w:hAnsi="Times New Roman"/>
          <w:sz w:val="18"/>
          <w:u w:val="single"/>
        </w:rPr>
        <w:t>v.</w:t>
      </w:r>
      <w:r>
        <w:rPr>
          <w:rFonts w:ascii="Times New Roman" w:hAnsi="Times New Roman"/>
          <w:spacing w:val="-14"/>
          <w:sz w:val="18"/>
          <w:u w:val="single"/>
        </w:rPr>
        <w:t> </w:t>
      </w:r>
      <w:r>
        <w:rPr>
          <w:rFonts w:ascii="Times New Roman" w:hAnsi="Times New Roman"/>
          <w:sz w:val="18"/>
          <w:u w:val="single"/>
        </w:rPr>
        <w:t>American</w:t>
      </w:r>
      <w:r>
        <w:rPr>
          <w:rFonts w:ascii="Times New Roman" w:hAnsi="Times New Roman"/>
          <w:spacing w:val="-16"/>
          <w:sz w:val="18"/>
          <w:u w:val="single"/>
        </w:rPr>
        <w:t> </w:t>
      </w:r>
      <w:r>
        <w:rPr>
          <w:rFonts w:ascii="Times New Roman" w:hAnsi="Times New Roman"/>
          <w:sz w:val="18"/>
          <w:u w:val="single"/>
        </w:rPr>
        <w:t>Family</w:t>
      </w:r>
      <w:r>
        <w:rPr>
          <w:rFonts w:ascii="Times New Roman" w:hAnsi="Times New Roman"/>
          <w:sz w:val="18"/>
        </w:rPr>
        <w:t> </w:t>
      </w:r>
      <w:r>
        <w:rPr>
          <w:rFonts w:ascii="Times New Roman" w:hAnsi="Times New Roman"/>
          <w:sz w:val="18"/>
          <w:u w:val="single"/>
        </w:rPr>
        <w:t>Mut. Ins. Co.</w:t>
      </w:r>
      <w:r>
        <w:rPr>
          <w:rFonts w:ascii="Times New Roman" w:hAnsi="Times New Roman"/>
          <w:sz w:val="18"/>
        </w:rPr>
        <w:t>, 2008 WL 477873 (D. Ariz. 2008); </w:t>
      </w:r>
      <w:r>
        <w:rPr>
          <w:rFonts w:ascii="Times New Roman" w:hAnsi="Times New Roman"/>
          <w:sz w:val="18"/>
          <w:u w:val="single"/>
        </w:rPr>
        <w:t>Tritschler v. Allstate Ins. Co.</w:t>
      </w:r>
      <w:r>
        <w:rPr>
          <w:rFonts w:ascii="Times New Roman" w:hAnsi="Times New Roman"/>
          <w:sz w:val="18"/>
        </w:rPr>
        <w:t>, 213 Ariz. 505, 144 P.3d 519 (Ariz. App. Div. 2,</w:t>
      </w:r>
      <w:r>
        <w:rPr>
          <w:rFonts w:ascii="Times New Roman" w:hAnsi="Times New Roman"/>
          <w:spacing w:val="4"/>
          <w:sz w:val="18"/>
        </w:rPr>
        <w:t> </w:t>
      </w:r>
      <w:r>
        <w:rPr>
          <w:rFonts w:ascii="Times New Roman" w:hAnsi="Times New Roman"/>
          <w:sz w:val="18"/>
        </w:rPr>
        <w:t>2006)</w:t>
      </w:r>
    </w:p>
    <w:p>
      <w:pPr>
        <w:spacing w:after="0" w:line="244" w:lineRule="auto"/>
        <w:jc w:val="both"/>
        <w:rPr>
          <w:rFonts w:ascii="Times New Roman" w:hAns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21"/>
        <w:jc w:val="both"/>
      </w:pPr>
      <w:bookmarkStart w:name="Law and Procedure 447" w:id="25"/>
      <w:bookmarkEnd w:id="25"/>
      <w:r>
        <w:rPr/>
      </w:r>
      <w:r>
        <w:rPr/>
        <w:t>Indicia of such claims are those that involve use of multiple trades in performing claim- related demolition, repair and construction.</w:t>
      </w:r>
    </w:p>
    <w:p>
      <w:pPr>
        <w:pStyle w:val="BodyText"/>
        <w:spacing w:before="1"/>
      </w:pPr>
    </w:p>
    <w:p>
      <w:pPr>
        <w:pStyle w:val="BodyText"/>
        <w:spacing w:line="242" w:lineRule="auto"/>
        <w:ind w:left="1520" w:right="1517" w:firstLine="720"/>
        <w:jc w:val="both"/>
      </w:pPr>
      <w:r>
        <w:rPr/>
        <w:t>Once being exposed to all of</w:t>
      </w:r>
      <w:r>
        <w:rPr>
          <w:spacing w:val="57"/>
        </w:rPr>
        <w:t> </w:t>
      </w:r>
      <w:r>
        <w:rPr/>
        <w:t>the evidence of value which the parties </w:t>
      </w:r>
      <w:r>
        <w:rPr>
          <w:spacing w:val="-4"/>
        </w:rPr>
        <w:t>have </w:t>
      </w:r>
      <w:r>
        <w:rPr/>
        <w:t>presented, however, it falls to the appraisers and umpire to exercise their independent judgment</w:t>
      </w:r>
      <w:r>
        <w:rPr>
          <w:spacing w:val="-22"/>
        </w:rPr>
        <w:t> </w:t>
      </w:r>
      <w:r>
        <w:rPr/>
        <w:t>and</w:t>
      </w:r>
      <w:r>
        <w:rPr>
          <w:spacing w:val="-17"/>
        </w:rPr>
        <w:t> </w:t>
      </w:r>
      <w:r>
        <w:rPr/>
        <w:t>make</w:t>
      </w:r>
      <w:r>
        <w:rPr>
          <w:spacing w:val="-18"/>
        </w:rPr>
        <w:t> </w:t>
      </w:r>
      <w:r>
        <w:rPr/>
        <w:t>a</w:t>
      </w:r>
      <w:r>
        <w:rPr>
          <w:spacing w:val="-19"/>
        </w:rPr>
        <w:t> </w:t>
      </w:r>
      <w:r>
        <w:rPr/>
        <w:t>determination</w:t>
      </w:r>
      <w:r>
        <w:rPr>
          <w:spacing w:val="-17"/>
        </w:rPr>
        <w:t> </w:t>
      </w:r>
      <w:r>
        <w:rPr/>
        <w:t>as</w:t>
      </w:r>
      <w:r>
        <w:rPr>
          <w:spacing w:val="-16"/>
        </w:rPr>
        <w:t> </w:t>
      </w:r>
      <w:r>
        <w:rPr/>
        <w:t>to</w:t>
      </w:r>
      <w:r>
        <w:rPr>
          <w:spacing w:val="-17"/>
        </w:rPr>
        <w:t> </w:t>
      </w:r>
      <w:r>
        <w:rPr/>
        <w:t>the relative</w:t>
      </w:r>
      <w:r>
        <w:rPr>
          <w:spacing w:val="-10"/>
        </w:rPr>
        <w:t> </w:t>
      </w:r>
      <w:r>
        <w:rPr/>
        <w:t>weight</w:t>
      </w:r>
      <w:r>
        <w:rPr>
          <w:spacing w:val="-11"/>
        </w:rPr>
        <w:t> </w:t>
      </w:r>
      <w:r>
        <w:rPr/>
        <w:t>to</w:t>
      </w:r>
      <w:r>
        <w:rPr>
          <w:spacing w:val="-10"/>
        </w:rPr>
        <w:t> </w:t>
      </w:r>
      <w:r>
        <w:rPr/>
        <w:t>be</w:t>
      </w:r>
      <w:r>
        <w:rPr>
          <w:spacing w:val="-13"/>
        </w:rPr>
        <w:t> </w:t>
      </w:r>
      <w:r>
        <w:rPr/>
        <w:t>afforded</w:t>
      </w:r>
      <w:r>
        <w:rPr>
          <w:spacing w:val="-9"/>
        </w:rPr>
        <w:t> </w:t>
      </w:r>
      <w:r>
        <w:rPr/>
        <w:t>each</w:t>
      </w:r>
      <w:r>
        <w:rPr>
          <w:spacing w:val="-8"/>
        </w:rPr>
        <w:t> </w:t>
      </w:r>
      <w:r>
        <w:rPr/>
        <w:t>aspect</w:t>
      </w:r>
      <w:r>
        <w:rPr>
          <w:spacing w:val="-9"/>
        </w:rPr>
        <w:t> </w:t>
      </w:r>
      <w:r>
        <w:rPr/>
        <w:t>of the evidence in drawing a</w:t>
      </w:r>
      <w:r>
        <w:rPr>
          <w:spacing w:val="-7"/>
        </w:rPr>
        <w:t> </w:t>
      </w:r>
      <w:r>
        <w:rPr/>
        <w:t>conclusion.</w:t>
      </w:r>
    </w:p>
    <w:p>
      <w:pPr>
        <w:pStyle w:val="BodyText"/>
      </w:pPr>
    </w:p>
    <w:p>
      <w:pPr>
        <w:pStyle w:val="BodyText"/>
        <w:spacing w:line="242" w:lineRule="auto" w:before="1"/>
        <w:ind w:left="1520" w:right="1519" w:firstLine="720"/>
        <w:jc w:val="both"/>
      </w:pPr>
      <w:r>
        <w:rPr/>
        <w:t>A</w:t>
      </w:r>
      <w:r>
        <w:rPr>
          <w:spacing w:val="-34"/>
        </w:rPr>
        <w:t> </w:t>
      </w:r>
      <w:r>
        <w:rPr/>
        <w:t>South</w:t>
      </w:r>
      <w:r>
        <w:rPr>
          <w:spacing w:val="-37"/>
        </w:rPr>
        <w:t> </w:t>
      </w:r>
      <w:r>
        <w:rPr>
          <w:spacing w:val="-3"/>
        </w:rPr>
        <w:t>Dakota</w:t>
      </w:r>
      <w:r>
        <w:rPr>
          <w:spacing w:val="-38"/>
        </w:rPr>
        <w:t> </w:t>
      </w:r>
      <w:r>
        <w:rPr/>
        <w:t>appraisal</w:t>
      </w:r>
      <w:r>
        <w:rPr>
          <w:spacing w:val="-34"/>
        </w:rPr>
        <w:t> </w:t>
      </w:r>
      <w:r>
        <w:rPr/>
        <w:t>provision</w:t>
      </w:r>
      <w:r>
        <w:rPr>
          <w:spacing w:val="-35"/>
        </w:rPr>
        <w:t> </w:t>
      </w:r>
      <w:r>
        <w:rPr/>
        <w:t>which required appraisers to determine the amount of loss has been found unambiguous where a policy’s loss settlement terms contained the phrase</w:t>
      </w:r>
      <w:r>
        <w:rPr>
          <w:spacing w:val="-37"/>
        </w:rPr>
        <w:t> </w:t>
      </w:r>
      <w:r>
        <w:rPr/>
        <w:t>“actual</w:t>
      </w:r>
      <w:r>
        <w:rPr>
          <w:spacing w:val="-38"/>
        </w:rPr>
        <w:t> </w:t>
      </w:r>
      <w:r>
        <w:rPr/>
        <w:t>cash</w:t>
      </w:r>
      <w:r>
        <w:rPr>
          <w:spacing w:val="-38"/>
        </w:rPr>
        <w:t> </w:t>
      </w:r>
      <w:r>
        <w:rPr/>
        <w:t>value.”</w:t>
      </w:r>
      <w:r>
        <w:rPr>
          <w:spacing w:val="-38"/>
        </w:rPr>
        <w:t> </w:t>
      </w:r>
      <w:r>
        <w:rPr/>
        <w:t>The</w:t>
      </w:r>
      <w:r>
        <w:rPr>
          <w:spacing w:val="-36"/>
        </w:rPr>
        <w:t> </w:t>
      </w:r>
      <w:r>
        <w:rPr/>
        <w:t>court</w:t>
      </w:r>
      <w:r>
        <w:rPr>
          <w:spacing w:val="-39"/>
        </w:rPr>
        <w:t> </w:t>
      </w:r>
      <w:r>
        <w:rPr/>
        <w:t>declined to explore the meaning of amount of loss </w:t>
      </w:r>
      <w:r>
        <w:rPr>
          <w:spacing w:val="-6"/>
        </w:rPr>
        <w:t>or </w:t>
      </w:r>
      <w:r>
        <w:rPr/>
        <w:t>actual cash value under the policy,</w:t>
      </w:r>
      <w:r>
        <w:rPr>
          <w:spacing w:val="-40"/>
        </w:rPr>
        <w:t> </w:t>
      </w:r>
      <w:r>
        <w:rPr/>
        <w:t>reasoning that “‘ambiguity in an insurance policy is determined with reference to the policy as a whole and the plain meaning and effect of</w:t>
      </w:r>
      <w:r>
        <w:rPr>
          <w:spacing w:val="-38"/>
        </w:rPr>
        <w:t> </w:t>
      </w:r>
      <w:r>
        <w:rPr/>
        <w:t>its words.’”</w:t>
      </w:r>
      <w:r>
        <w:rPr>
          <w:spacing w:val="-16"/>
        </w:rPr>
        <w:t> </w:t>
      </w:r>
      <w:r>
        <w:rPr/>
        <w:t>There,</w:t>
      </w:r>
      <w:r>
        <w:rPr>
          <w:spacing w:val="-16"/>
        </w:rPr>
        <w:t> </w:t>
      </w:r>
      <w:r>
        <w:rPr/>
        <w:t>the</w:t>
      </w:r>
      <w:r>
        <w:rPr>
          <w:spacing w:val="-14"/>
        </w:rPr>
        <w:t> </w:t>
      </w:r>
      <w:r>
        <w:rPr/>
        <w:t>policy</w:t>
      </w:r>
      <w:r>
        <w:rPr>
          <w:spacing w:val="-16"/>
        </w:rPr>
        <w:t> </w:t>
      </w:r>
      <w:r>
        <w:rPr/>
        <w:t>was</w:t>
      </w:r>
      <w:r>
        <w:rPr>
          <w:spacing w:val="-11"/>
        </w:rPr>
        <w:t> </w:t>
      </w:r>
      <w:r>
        <w:rPr/>
        <w:t>unambiguous</w:t>
      </w:r>
      <w:r>
        <w:rPr>
          <w:spacing w:val="-11"/>
        </w:rPr>
        <w:t> </w:t>
      </w:r>
      <w:r>
        <w:rPr/>
        <w:t>in expressing the parties’ rights and obligations thereunder: if property was not repaired or replaced the insurer may pay its actual cash value, and if it was, the insurer had the option to pay for the amount actually needed </w:t>
      </w:r>
      <w:r>
        <w:rPr>
          <w:spacing w:val="-4"/>
        </w:rPr>
        <w:t>and </w:t>
      </w:r>
      <w:r>
        <w:rPr/>
        <w:t>spent to do</w:t>
      </w:r>
      <w:r>
        <w:rPr>
          <w:spacing w:val="-3"/>
        </w:rPr>
        <w:t> </w:t>
      </w:r>
      <w:r>
        <w:rPr/>
        <w:t>so.</w:t>
      </w:r>
      <w:r>
        <w:rPr>
          <w:u w:val="single"/>
          <w:vertAlign w:val="superscript"/>
        </w:rPr>
        <w:t>936</w:t>
      </w:r>
    </w:p>
    <w:p>
      <w:pPr>
        <w:pStyle w:val="BodyText"/>
        <w:rPr>
          <w:sz w:val="20"/>
        </w:rPr>
      </w:pPr>
    </w:p>
    <w:p>
      <w:pPr>
        <w:pStyle w:val="BodyText"/>
        <w:spacing w:before="10"/>
        <w:rPr>
          <w:sz w:val="21"/>
        </w:rPr>
      </w:pPr>
      <w:r>
        <w:rPr/>
        <w:pict>
          <v:shape style="position:absolute;margin-left:162pt;margin-top:15.794908pt;width:143.9pt;height:.1pt;mso-position-horizontal-relative:page;mso-position-vertical-relative:paragraph;z-index:-251635712;mso-wrap-distance-left:0;mso-wrap-distance-right:0" coordorigin="3240,316" coordsize="2878,0" path="m3240,316l6118,316e" filled="false" stroked="true" strokeweight=".84pt" strokecolor="#000000">
            <v:path arrowok="t"/>
            <v:stroke dashstyle="solid"/>
            <w10:wrap type="topAndBottom"/>
          </v:shape>
        </w:pict>
      </w:r>
    </w:p>
    <w:p>
      <w:pPr>
        <w:pStyle w:val="ListParagraph"/>
        <w:numPr>
          <w:ilvl w:val="0"/>
          <w:numId w:val="7"/>
        </w:numPr>
        <w:tabs>
          <w:tab w:pos="1426" w:val="left" w:leader="none"/>
        </w:tabs>
        <w:spacing w:line="244" w:lineRule="auto" w:before="140" w:after="0"/>
        <w:ind w:left="1160" w:right="1169" w:firstLine="0"/>
        <w:jc w:val="left"/>
        <w:rPr>
          <w:sz w:val="18"/>
        </w:rPr>
      </w:pPr>
      <w:r>
        <w:rPr>
          <w:sz w:val="18"/>
          <w:u w:val="single"/>
        </w:rPr>
        <w:t>Batiz v. Fire Ins. Exchange</w:t>
      </w:r>
      <w:r>
        <w:rPr>
          <w:sz w:val="18"/>
        </w:rPr>
        <w:t>, 800 N.W.2d 726 (S.D.2011), citing </w:t>
      </w:r>
      <w:r>
        <w:rPr>
          <w:sz w:val="18"/>
          <w:u w:val="single"/>
        </w:rPr>
        <w:t>National Sun Indust. Inc. v. South Dakota Farm Bureau Ins. Co.</w:t>
      </w:r>
      <w:r>
        <w:rPr>
          <w:sz w:val="18"/>
        </w:rPr>
        <w:t>, 596 N.W.2d 45, 1999 S.D. 63 (S.D.</w:t>
      </w:r>
      <w:r>
        <w:rPr>
          <w:spacing w:val="16"/>
          <w:sz w:val="18"/>
        </w:rPr>
        <w:t> </w:t>
      </w:r>
      <w:r>
        <w:rPr>
          <w:sz w:val="18"/>
        </w:rPr>
        <w:t>1999)</w:t>
      </w:r>
    </w:p>
    <w:p>
      <w:pPr>
        <w:spacing w:after="0" w:line="244"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9" w:firstLine="720"/>
        <w:jc w:val="both"/>
      </w:pPr>
      <w:bookmarkStart w:name="Law and Procedure 448" w:id="26"/>
      <w:bookmarkEnd w:id="26"/>
      <w:r>
        <w:rPr/>
      </w:r>
      <w:r>
        <w:rPr/>
        <w:t>It has been held that in determining actual cash value it refers to the value of the property at the time of destruction.</w:t>
      </w:r>
      <w:r>
        <w:rPr>
          <w:vertAlign w:val="superscript"/>
        </w:rPr>
        <w:t>937</w:t>
      </w:r>
    </w:p>
    <w:p>
      <w:pPr>
        <w:pStyle w:val="BodyText"/>
        <w:spacing w:before="1"/>
      </w:pPr>
    </w:p>
    <w:p>
      <w:pPr>
        <w:pStyle w:val="BodyText"/>
        <w:spacing w:line="242" w:lineRule="auto"/>
        <w:ind w:left="1520" w:right="1517" w:firstLine="720"/>
        <w:jc w:val="both"/>
      </w:pPr>
      <w:r>
        <w:rPr/>
        <w:t>Once it appears that these judgments have</w:t>
      </w:r>
      <w:r>
        <w:rPr>
          <w:spacing w:val="-32"/>
        </w:rPr>
        <w:t> </w:t>
      </w:r>
      <w:r>
        <w:rPr/>
        <w:t>been</w:t>
      </w:r>
      <w:r>
        <w:rPr>
          <w:spacing w:val="-29"/>
        </w:rPr>
        <w:t> </w:t>
      </w:r>
      <w:r>
        <w:rPr/>
        <w:t>made</w:t>
      </w:r>
      <w:r>
        <w:rPr>
          <w:spacing w:val="-28"/>
        </w:rPr>
        <w:t> </w:t>
      </w:r>
      <w:r>
        <w:rPr/>
        <w:t>in</w:t>
      </w:r>
      <w:r>
        <w:rPr>
          <w:spacing w:val="-29"/>
        </w:rPr>
        <w:t> </w:t>
      </w:r>
      <w:r>
        <w:rPr/>
        <w:t>good</w:t>
      </w:r>
      <w:r>
        <w:rPr>
          <w:spacing w:val="-27"/>
        </w:rPr>
        <w:t> </w:t>
      </w:r>
      <w:r>
        <w:rPr/>
        <w:t>faith,</w:t>
      </w:r>
      <w:r>
        <w:rPr>
          <w:spacing w:val="-30"/>
        </w:rPr>
        <w:t> </w:t>
      </w:r>
      <w:r>
        <w:rPr/>
        <w:t>they</w:t>
      </w:r>
      <w:r>
        <w:rPr>
          <w:spacing w:val="-34"/>
        </w:rPr>
        <w:t> </w:t>
      </w:r>
      <w:r>
        <w:rPr/>
        <w:t>should</w:t>
      </w:r>
      <w:r>
        <w:rPr>
          <w:spacing w:val="-27"/>
        </w:rPr>
        <w:t> </w:t>
      </w:r>
      <w:r>
        <w:rPr>
          <w:spacing w:val="-4"/>
        </w:rPr>
        <w:t>not </w:t>
      </w:r>
      <w:r>
        <w:rPr/>
        <w:t>be disturbed absent evidence of misconduct (as</w:t>
      </w:r>
      <w:r>
        <w:rPr>
          <w:spacing w:val="-10"/>
        </w:rPr>
        <w:t> </w:t>
      </w:r>
      <w:r>
        <w:rPr/>
        <w:t>discussed</w:t>
      </w:r>
      <w:r>
        <w:rPr>
          <w:spacing w:val="-9"/>
        </w:rPr>
        <w:t> </w:t>
      </w:r>
      <w:r>
        <w:rPr/>
        <w:t>in</w:t>
      </w:r>
      <w:r>
        <w:rPr>
          <w:spacing w:val="-9"/>
        </w:rPr>
        <w:t> </w:t>
      </w:r>
      <w:r>
        <w:rPr/>
        <w:t>greater</w:t>
      </w:r>
      <w:r>
        <w:rPr>
          <w:spacing w:val="-12"/>
        </w:rPr>
        <w:t> </w:t>
      </w:r>
      <w:r>
        <w:rPr/>
        <w:t>detail</w:t>
      </w:r>
      <w:r>
        <w:rPr>
          <w:spacing w:val="-9"/>
        </w:rPr>
        <w:t> </w:t>
      </w:r>
      <w:r>
        <w:rPr/>
        <w:t>in</w:t>
      </w:r>
      <w:r>
        <w:rPr>
          <w:spacing w:val="-10"/>
        </w:rPr>
        <w:t> </w:t>
      </w:r>
      <w:r>
        <w:rPr/>
        <w:t>Chapter</w:t>
      </w:r>
      <w:r>
        <w:rPr>
          <w:spacing w:val="-14"/>
        </w:rPr>
        <w:t> </w:t>
      </w:r>
      <w:r>
        <w:rPr/>
        <w:t>X[D].</w:t>
      </w:r>
    </w:p>
    <w:p>
      <w:pPr>
        <w:pStyle w:val="BodyText"/>
        <w:spacing w:before="1"/>
      </w:pPr>
    </w:p>
    <w:p>
      <w:pPr>
        <w:pStyle w:val="ListParagraph"/>
        <w:numPr>
          <w:ilvl w:val="1"/>
          <w:numId w:val="2"/>
        </w:numPr>
        <w:tabs>
          <w:tab w:pos="2598" w:val="left" w:leader="none"/>
        </w:tabs>
        <w:spacing w:line="240" w:lineRule="auto" w:before="1" w:after="0"/>
        <w:ind w:left="2597" w:right="0" w:hanging="358"/>
        <w:jc w:val="left"/>
        <w:rPr>
          <w:rFonts w:ascii="Century Gothic"/>
          <w:sz w:val="26"/>
        </w:rPr>
      </w:pPr>
      <w:r>
        <w:rPr>
          <w:rFonts w:ascii="Century Gothic"/>
          <w:sz w:val="26"/>
        </w:rPr>
        <w:t>Replacement Value</w:t>
      </w:r>
      <w:r>
        <w:rPr>
          <w:rFonts w:ascii="Century Gothic"/>
          <w:spacing w:val="-3"/>
          <w:sz w:val="26"/>
        </w:rPr>
        <w:t> </w:t>
      </w:r>
      <w:r>
        <w:rPr>
          <w:rFonts w:ascii="Century Gothic"/>
          <w:sz w:val="26"/>
        </w:rPr>
        <w:t>Policies</w:t>
      </w:r>
    </w:p>
    <w:p>
      <w:pPr>
        <w:pStyle w:val="BodyText"/>
        <w:spacing w:before="5"/>
      </w:pPr>
    </w:p>
    <w:p>
      <w:pPr>
        <w:pStyle w:val="BodyText"/>
        <w:spacing w:line="242" w:lineRule="auto"/>
        <w:ind w:left="1520" w:right="1516" w:firstLine="720"/>
        <w:jc w:val="both"/>
      </w:pPr>
      <w:r>
        <w:rPr>
          <w:spacing w:val="-3"/>
        </w:rPr>
        <w:t>When </w:t>
      </w:r>
      <w:r>
        <w:rPr/>
        <w:t>the Standard Fire Policy was first created decades ago, insurance policies generally</w:t>
      </w:r>
      <w:r>
        <w:rPr>
          <w:spacing w:val="-23"/>
        </w:rPr>
        <w:t> </w:t>
      </w:r>
      <w:r>
        <w:rPr>
          <w:spacing w:val="-3"/>
        </w:rPr>
        <w:t>were</w:t>
      </w:r>
      <w:r>
        <w:rPr>
          <w:spacing w:val="-22"/>
        </w:rPr>
        <w:t> </w:t>
      </w:r>
      <w:r>
        <w:rPr/>
        <w:t>true</w:t>
      </w:r>
      <w:r>
        <w:rPr>
          <w:spacing w:val="-21"/>
        </w:rPr>
        <w:t> </w:t>
      </w:r>
      <w:r>
        <w:rPr/>
        <w:t>indemnity</w:t>
      </w:r>
      <w:r>
        <w:rPr>
          <w:spacing w:val="-22"/>
        </w:rPr>
        <w:t> </w:t>
      </w:r>
      <w:r>
        <w:rPr/>
        <w:t>contracts</w:t>
      </w:r>
      <w:r>
        <w:rPr>
          <w:spacing w:val="-20"/>
        </w:rPr>
        <w:t> </w:t>
      </w:r>
      <w:r>
        <w:rPr/>
        <w:t>in</w:t>
      </w:r>
      <w:r>
        <w:rPr>
          <w:spacing w:val="-20"/>
        </w:rPr>
        <w:t> </w:t>
      </w:r>
      <w:r>
        <w:rPr/>
        <w:t>that they calculated the insured’s recovery based upon such considerations as the </w:t>
      </w:r>
      <w:r>
        <w:rPr>
          <w:spacing w:val="-4"/>
        </w:rPr>
        <w:t>age, </w:t>
      </w:r>
      <w:r>
        <w:rPr/>
        <w:t>condition, usefulness, original cost, cost to replace, market value etc. However, modern “Replacement Value” policies, purchased </w:t>
      </w:r>
      <w:r>
        <w:rPr>
          <w:spacing w:val="-4"/>
        </w:rPr>
        <w:t>for </w:t>
      </w:r>
      <w:r>
        <w:rPr/>
        <w:t>a higher premium, offer benefits far beyond mere indemnity in that they compensate the insured upon the occurrence of a covered peril in a manner that actually places the insured</w:t>
      </w:r>
      <w:r>
        <w:rPr>
          <w:spacing w:val="-20"/>
        </w:rPr>
        <w:t> </w:t>
      </w:r>
      <w:r>
        <w:rPr/>
        <w:t>in</w:t>
      </w:r>
      <w:r>
        <w:rPr>
          <w:spacing w:val="-19"/>
        </w:rPr>
        <w:t> </w:t>
      </w:r>
      <w:r>
        <w:rPr/>
        <w:t>a</w:t>
      </w:r>
      <w:r>
        <w:rPr>
          <w:spacing w:val="-20"/>
        </w:rPr>
        <w:t> </w:t>
      </w:r>
      <w:r>
        <w:rPr/>
        <w:t>better</w:t>
      </w:r>
      <w:r>
        <w:rPr>
          <w:spacing w:val="-23"/>
        </w:rPr>
        <w:t> </w:t>
      </w:r>
      <w:r>
        <w:rPr/>
        <w:t>position</w:t>
      </w:r>
      <w:r>
        <w:rPr>
          <w:spacing w:val="-20"/>
        </w:rPr>
        <w:t> </w:t>
      </w:r>
      <w:r>
        <w:rPr/>
        <w:t>then</w:t>
      </w:r>
      <w:r>
        <w:rPr>
          <w:spacing w:val="-22"/>
        </w:rPr>
        <w:t> </w:t>
      </w:r>
      <w:r>
        <w:rPr/>
        <w:t>they</w:t>
      </w:r>
      <w:r>
        <w:rPr>
          <w:spacing w:val="-23"/>
        </w:rPr>
        <w:t> </w:t>
      </w:r>
      <w:r>
        <w:rPr/>
        <w:t>had</w:t>
      </w:r>
      <w:r>
        <w:rPr>
          <w:spacing w:val="-18"/>
        </w:rPr>
        <w:t> </w:t>
      </w:r>
      <w:r>
        <w:rPr/>
        <w:t>been prior</w:t>
      </w:r>
      <w:r>
        <w:rPr>
          <w:spacing w:val="-21"/>
        </w:rPr>
        <w:t> </w:t>
      </w:r>
      <w:r>
        <w:rPr/>
        <w:t>to</w:t>
      </w:r>
      <w:r>
        <w:rPr>
          <w:spacing w:val="-19"/>
        </w:rPr>
        <w:t> </w:t>
      </w:r>
      <w:r>
        <w:rPr/>
        <w:t>the</w:t>
      </w:r>
      <w:r>
        <w:rPr>
          <w:spacing w:val="-17"/>
        </w:rPr>
        <w:t> </w:t>
      </w:r>
      <w:r>
        <w:rPr/>
        <w:t>loss.</w:t>
      </w:r>
      <w:r>
        <w:rPr>
          <w:spacing w:val="36"/>
        </w:rPr>
        <w:t> </w:t>
      </w:r>
      <w:r>
        <w:rPr/>
        <w:t>This</w:t>
      </w:r>
      <w:r>
        <w:rPr>
          <w:spacing w:val="-20"/>
        </w:rPr>
        <w:t> </w:t>
      </w:r>
      <w:r>
        <w:rPr/>
        <w:t>is</w:t>
      </w:r>
      <w:r>
        <w:rPr>
          <w:spacing w:val="-20"/>
        </w:rPr>
        <w:t> </w:t>
      </w:r>
      <w:r>
        <w:rPr/>
        <w:t>accomplished</w:t>
      </w:r>
      <w:r>
        <w:rPr>
          <w:spacing w:val="-19"/>
        </w:rPr>
        <w:t> </w:t>
      </w:r>
      <w:r>
        <w:rPr/>
        <w:t>with</w:t>
      </w:r>
      <w:r>
        <w:rPr>
          <w:spacing w:val="-19"/>
        </w:rPr>
        <w:t> </w:t>
      </w:r>
      <w:r>
        <w:rPr/>
        <w:t>what are</w:t>
      </w:r>
      <w:r>
        <w:rPr>
          <w:spacing w:val="-34"/>
        </w:rPr>
        <w:t> </w:t>
      </w:r>
      <w:r>
        <w:rPr/>
        <w:t>known</w:t>
      </w:r>
      <w:r>
        <w:rPr>
          <w:spacing w:val="-32"/>
        </w:rPr>
        <w:t> </w:t>
      </w:r>
      <w:r>
        <w:rPr/>
        <w:t>as</w:t>
      </w:r>
      <w:r>
        <w:rPr>
          <w:spacing w:val="-31"/>
        </w:rPr>
        <w:t> </w:t>
      </w:r>
      <w:r>
        <w:rPr>
          <w:spacing w:val="-3"/>
        </w:rPr>
        <w:t>replacement</w:t>
      </w:r>
      <w:r>
        <w:rPr>
          <w:spacing w:val="-37"/>
        </w:rPr>
        <w:t> </w:t>
      </w:r>
      <w:r>
        <w:rPr>
          <w:spacing w:val="-3"/>
        </w:rPr>
        <w:t>value,</w:t>
      </w:r>
      <w:r>
        <w:rPr>
          <w:spacing w:val="-36"/>
        </w:rPr>
        <w:t> </w:t>
      </w:r>
      <w:r>
        <w:rPr/>
        <w:t>replacement cost, or guaranteed replacement value endorsements which amend the actual cash value” standard of loss</w:t>
      </w:r>
      <w:r>
        <w:rPr>
          <w:spacing w:val="-6"/>
        </w:rPr>
        <w:t> </w:t>
      </w:r>
      <w:r>
        <w:rPr/>
        <w:t>calculation.</w:t>
      </w:r>
    </w:p>
    <w:p>
      <w:pPr>
        <w:pStyle w:val="BodyText"/>
        <w:rPr>
          <w:sz w:val="20"/>
        </w:rPr>
      </w:pPr>
    </w:p>
    <w:p>
      <w:pPr>
        <w:pStyle w:val="BodyText"/>
        <w:rPr>
          <w:sz w:val="20"/>
        </w:rPr>
      </w:pPr>
    </w:p>
    <w:p>
      <w:pPr>
        <w:pStyle w:val="BodyText"/>
        <w:spacing w:before="2"/>
        <w:rPr>
          <w:sz w:val="19"/>
        </w:rPr>
      </w:pPr>
    </w:p>
    <w:p>
      <w:pPr>
        <w:pStyle w:val="ListParagraph"/>
        <w:numPr>
          <w:ilvl w:val="0"/>
          <w:numId w:val="7"/>
        </w:numPr>
        <w:tabs>
          <w:tab w:pos="1438" w:val="left" w:leader="none"/>
        </w:tabs>
        <w:spacing w:line="261" w:lineRule="auto" w:before="0" w:after="0"/>
        <w:ind w:left="1160" w:right="1164" w:firstLine="0"/>
        <w:jc w:val="left"/>
        <w:rPr>
          <w:sz w:val="18"/>
        </w:rPr>
      </w:pPr>
      <w:r>
        <w:rPr>
          <w:sz w:val="18"/>
          <w:u w:val="single"/>
        </w:rPr>
        <w:t>Northern National Bank v. North Star Mut. Ins. Co.</w:t>
      </w:r>
      <w:r>
        <w:rPr>
          <w:sz w:val="18"/>
        </w:rPr>
        <w:t>, 2012 WL 4052835 </w:t>
      </w:r>
      <w:r>
        <w:rPr>
          <w:spacing w:val="2"/>
          <w:sz w:val="18"/>
        </w:rPr>
        <w:t>(Minn. </w:t>
      </w:r>
      <w:r>
        <w:rPr>
          <w:sz w:val="18"/>
        </w:rPr>
        <w:t>App. 2012)</w:t>
      </w:r>
    </w:p>
    <w:p>
      <w:pPr>
        <w:spacing w:after="0" w:line="261" w:lineRule="auto"/>
        <w:jc w:val="left"/>
        <w:rPr>
          <w:sz w:val="18"/>
        </w:rPr>
        <w:sectPr>
          <w:footerReference w:type="default" r:id="rId10"/>
          <w:pgSz w:w="12240" w:h="15840"/>
          <w:pgMar w:footer="2476" w:header="0" w:top="1500" w:bottom="2660" w:left="1720" w:right="1720"/>
          <w:pgNumType w:start="487"/>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21" w:firstLine="720"/>
        <w:jc w:val="both"/>
      </w:pPr>
      <w:bookmarkStart w:name="Law and Procedure 449" w:id="27"/>
      <w:bookmarkEnd w:id="27"/>
      <w:r>
        <w:rPr/>
      </w:r>
      <w:r>
        <w:rPr/>
        <w:t>While policy provisions differ, they can generally be understood as follows:</w:t>
      </w:r>
    </w:p>
    <w:p>
      <w:pPr>
        <w:pStyle w:val="BodyText"/>
        <w:spacing w:before="1"/>
      </w:pPr>
    </w:p>
    <w:p>
      <w:pPr>
        <w:pStyle w:val="BodyText"/>
        <w:spacing w:line="242" w:lineRule="auto" w:before="1"/>
        <w:ind w:left="1520" w:right="1518" w:firstLine="720"/>
        <w:jc w:val="both"/>
      </w:pPr>
      <w:r>
        <w:rPr/>
        <w:t>A replacement value policy generally provides for the recovery of the replacement cost of the property damaged, lost or destroyed</w:t>
      </w:r>
      <w:r>
        <w:rPr>
          <w:spacing w:val="-30"/>
        </w:rPr>
        <w:t> </w:t>
      </w:r>
      <w:r>
        <w:rPr/>
        <w:t>with</w:t>
      </w:r>
      <w:r>
        <w:rPr>
          <w:spacing w:val="-30"/>
        </w:rPr>
        <w:t> </w:t>
      </w:r>
      <w:r>
        <w:rPr/>
        <w:t>items</w:t>
      </w:r>
      <w:r>
        <w:rPr>
          <w:spacing w:val="-30"/>
        </w:rPr>
        <w:t> </w:t>
      </w:r>
      <w:r>
        <w:rPr/>
        <w:t>or</w:t>
      </w:r>
      <w:r>
        <w:rPr>
          <w:spacing w:val="-30"/>
        </w:rPr>
        <w:t> </w:t>
      </w:r>
      <w:r>
        <w:rPr/>
        <w:t>material</w:t>
      </w:r>
      <w:r>
        <w:rPr>
          <w:spacing w:val="-30"/>
        </w:rPr>
        <w:t> </w:t>
      </w:r>
      <w:r>
        <w:rPr/>
        <w:t>of</w:t>
      </w:r>
      <w:r>
        <w:rPr>
          <w:spacing w:val="-30"/>
        </w:rPr>
        <w:t> </w:t>
      </w:r>
      <w:r>
        <w:rPr/>
        <w:t>like</w:t>
      </w:r>
      <w:r>
        <w:rPr>
          <w:spacing w:val="-33"/>
        </w:rPr>
        <w:t> </w:t>
      </w:r>
      <w:r>
        <w:rPr/>
        <w:t>kind</w:t>
      </w:r>
      <w:r>
        <w:rPr>
          <w:spacing w:val="-30"/>
        </w:rPr>
        <w:t> </w:t>
      </w:r>
      <w:r>
        <w:rPr/>
        <w:t>and quality without regard to the age or</w:t>
      </w:r>
      <w:r>
        <w:rPr>
          <w:spacing w:val="-33"/>
        </w:rPr>
        <w:t> </w:t>
      </w:r>
      <w:r>
        <w:rPr/>
        <w:t>condition of the property lost or destroyed.</w:t>
      </w:r>
      <w:r>
        <w:rPr>
          <w:vertAlign w:val="superscript"/>
        </w:rPr>
        <w:t>938</w:t>
      </w:r>
      <w:r>
        <w:rPr>
          <w:vertAlign w:val="baseline"/>
        </w:rPr>
        <w:t> </w:t>
      </w:r>
      <w:r>
        <w:rPr>
          <w:spacing w:val="-9"/>
          <w:vertAlign w:val="baseline"/>
        </w:rPr>
        <w:t>These </w:t>
      </w:r>
      <w:r>
        <w:rPr>
          <w:vertAlign w:val="baseline"/>
        </w:rPr>
        <w:t>policies</w:t>
      </w:r>
      <w:r>
        <w:rPr>
          <w:spacing w:val="-23"/>
          <w:vertAlign w:val="baseline"/>
        </w:rPr>
        <w:t> </w:t>
      </w:r>
      <w:r>
        <w:rPr>
          <w:vertAlign w:val="baseline"/>
        </w:rPr>
        <w:t>often</w:t>
      </w:r>
      <w:r>
        <w:rPr>
          <w:spacing w:val="-23"/>
          <w:vertAlign w:val="baseline"/>
        </w:rPr>
        <w:t> </w:t>
      </w:r>
      <w:r>
        <w:rPr>
          <w:vertAlign w:val="baseline"/>
        </w:rPr>
        <w:t>provide</w:t>
      </w:r>
      <w:r>
        <w:rPr>
          <w:spacing w:val="-24"/>
          <w:vertAlign w:val="baseline"/>
        </w:rPr>
        <w:t> </w:t>
      </w:r>
      <w:r>
        <w:rPr>
          <w:vertAlign w:val="baseline"/>
        </w:rPr>
        <w:t>for</w:t>
      </w:r>
      <w:r>
        <w:rPr>
          <w:spacing w:val="-23"/>
          <w:vertAlign w:val="baseline"/>
        </w:rPr>
        <w:t> </w:t>
      </w:r>
      <w:r>
        <w:rPr>
          <w:vertAlign w:val="baseline"/>
        </w:rPr>
        <w:t>the</w:t>
      </w:r>
      <w:r>
        <w:rPr>
          <w:spacing w:val="-22"/>
          <w:vertAlign w:val="baseline"/>
        </w:rPr>
        <w:t> </w:t>
      </w:r>
      <w:r>
        <w:rPr>
          <w:vertAlign w:val="baseline"/>
        </w:rPr>
        <w:t>initial</w:t>
      </w:r>
      <w:r>
        <w:rPr>
          <w:spacing w:val="25"/>
          <w:vertAlign w:val="baseline"/>
        </w:rPr>
        <w:t> </w:t>
      </w:r>
      <w:r>
        <w:rPr>
          <w:vertAlign w:val="baseline"/>
        </w:rPr>
        <w:t>payment</w:t>
      </w:r>
      <w:r>
        <w:rPr>
          <w:spacing w:val="-28"/>
          <w:vertAlign w:val="baseline"/>
        </w:rPr>
        <w:t> </w:t>
      </w:r>
      <w:r>
        <w:rPr>
          <w:vertAlign w:val="baseline"/>
        </w:rPr>
        <w:t>of actual</w:t>
      </w:r>
      <w:r>
        <w:rPr>
          <w:spacing w:val="-23"/>
          <w:vertAlign w:val="baseline"/>
        </w:rPr>
        <w:t> </w:t>
      </w:r>
      <w:r>
        <w:rPr>
          <w:vertAlign w:val="baseline"/>
        </w:rPr>
        <w:t>cash</w:t>
      </w:r>
      <w:r>
        <w:rPr>
          <w:spacing w:val="-24"/>
          <w:vertAlign w:val="baseline"/>
        </w:rPr>
        <w:t> </w:t>
      </w:r>
      <w:r>
        <w:rPr>
          <w:vertAlign w:val="baseline"/>
        </w:rPr>
        <w:t>value</w:t>
      </w:r>
      <w:r>
        <w:rPr>
          <w:spacing w:val="-22"/>
          <w:vertAlign w:val="baseline"/>
        </w:rPr>
        <w:t> </w:t>
      </w:r>
      <w:r>
        <w:rPr>
          <w:vertAlign w:val="baseline"/>
        </w:rPr>
        <w:t>until</w:t>
      </w:r>
      <w:r>
        <w:rPr>
          <w:spacing w:val="-24"/>
          <w:vertAlign w:val="baseline"/>
        </w:rPr>
        <w:t> </w:t>
      </w:r>
      <w:r>
        <w:rPr>
          <w:vertAlign w:val="baseline"/>
        </w:rPr>
        <w:t>such</w:t>
      </w:r>
      <w:r>
        <w:rPr>
          <w:spacing w:val="-25"/>
          <w:vertAlign w:val="baseline"/>
        </w:rPr>
        <w:t> </w:t>
      </w:r>
      <w:r>
        <w:rPr>
          <w:vertAlign w:val="baseline"/>
        </w:rPr>
        <w:t>time</w:t>
      </w:r>
      <w:r>
        <w:rPr>
          <w:spacing w:val="-25"/>
          <w:vertAlign w:val="baseline"/>
        </w:rPr>
        <w:t> </w:t>
      </w:r>
      <w:r>
        <w:rPr>
          <w:vertAlign w:val="baseline"/>
        </w:rPr>
        <w:t>as</w:t>
      </w:r>
      <w:r>
        <w:rPr>
          <w:spacing w:val="-24"/>
          <w:vertAlign w:val="baseline"/>
        </w:rPr>
        <w:t> </w:t>
      </w:r>
      <w:r>
        <w:rPr>
          <w:vertAlign w:val="baseline"/>
        </w:rPr>
        <w:t>the</w:t>
      </w:r>
      <w:r>
        <w:rPr>
          <w:spacing w:val="-24"/>
          <w:vertAlign w:val="baseline"/>
        </w:rPr>
        <w:t> </w:t>
      </w:r>
      <w:r>
        <w:rPr>
          <w:vertAlign w:val="baseline"/>
        </w:rPr>
        <w:t>insured actually makes replacement, whereupon </w:t>
      </w:r>
      <w:r>
        <w:rPr>
          <w:spacing w:val="-5"/>
          <w:vertAlign w:val="baseline"/>
        </w:rPr>
        <w:t>the </w:t>
      </w:r>
      <w:r>
        <w:rPr>
          <w:vertAlign w:val="baseline"/>
        </w:rPr>
        <w:t>carrier pays the</w:t>
      </w:r>
      <w:r>
        <w:rPr>
          <w:spacing w:val="-6"/>
          <w:vertAlign w:val="baseline"/>
        </w:rPr>
        <w:t> </w:t>
      </w:r>
      <w:r>
        <w:rPr>
          <w:vertAlign w:val="baseline"/>
        </w:rPr>
        <w:t>difference.</w:t>
      </w:r>
    </w:p>
    <w:p>
      <w:pPr>
        <w:pStyle w:val="BodyText"/>
        <w:spacing w:before="11"/>
        <w:rPr>
          <w:sz w:val="25"/>
        </w:rPr>
      </w:pPr>
    </w:p>
    <w:p>
      <w:pPr>
        <w:pStyle w:val="BodyText"/>
        <w:spacing w:line="242" w:lineRule="auto"/>
        <w:ind w:left="1520" w:right="1523" w:firstLine="720"/>
        <w:jc w:val="both"/>
      </w:pPr>
      <w:r>
        <w:rPr/>
        <w:t>In most states, it is the custom to “hold back” an amount representing the depreciated value of the claim until replacement occurs.</w:t>
      </w:r>
    </w:p>
    <w:p>
      <w:pPr>
        <w:pStyle w:val="BodyText"/>
        <w:spacing w:before="1"/>
      </w:pPr>
    </w:p>
    <w:p>
      <w:pPr>
        <w:pStyle w:val="BodyText"/>
        <w:spacing w:line="242" w:lineRule="auto"/>
        <w:ind w:left="1520" w:right="1518" w:firstLine="720"/>
        <w:jc w:val="both"/>
      </w:pPr>
      <w:r>
        <w:rPr/>
        <w:t>Guaranteed replacement cost policies are very similar in practice except that, under appropriate circumstances, they provide for payment of replacement value above and beyond the stated policy limit such that the property will be repaired or replaced regardless of cost but generally subject to certain conditions.</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7"/>
        </w:rPr>
      </w:pPr>
    </w:p>
    <w:p>
      <w:pPr>
        <w:pStyle w:val="ListParagraph"/>
        <w:numPr>
          <w:ilvl w:val="0"/>
          <w:numId w:val="7"/>
        </w:numPr>
        <w:tabs>
          <w:tab w:pos="1430" w:val="left" w:leader="none"/>
        </w:tabs>
        <w:spacing w:line="244" w:lineRule="auto" w:before="72" w:after="0"/>
        <w:ind w:left="1160" w:right="1165" w:firstLine="0"/>
        <w:jc w:val="left"/>
        <w:rPr>
          <w:sz w:val="18"/>
        </w:rPr>
      </w:pPr>
      <w:r>
        <w:rPr>
          <w:sz w:val="18"/>
        </w:rPr>
        <w:t>Subject to policy limits. Specific policy terms should be consulted as conditions and exceptions are</w:t>
      </w:r>
      <w:r>
        <w:rPr>
          <w:spacing w:val="-1"/>
          <w:sz w:val="18"/>
        </w:rPr>
        <w:t> </w:t>
      </w:r>
      <w:r>
        <w:rPr>
          <w:sz w:val="18"/>
        </w:rPr>
        <w:t>common.</w:t>
      </w:r>
    </w:p>
    <w:p>
      <w:pPr>
        <w:spacing w:after="0" w:line="244" w:lineRule="auto"/>
        <w:jc w:val="left"/>
        <w:rPr>
          <w:sz w:val="18"/>
        </w:rPr>
        <w:sectPr>
          <w:pgSz w:w="12240" w:h="15840"/>
          <w:pgMar w:header="0" w:footer="2476" w:top="1500" w:bottom="26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firstLine="720"/>
        <w:jc w:val="both"/>
      </w:pPr>
      <w:bookmarkStart w:name="Law and Procedure 450" w:id="28"/>
      <w:bookmarkEnd w:id="28"/>
      <w:r>
        <w:rPr/>
      </w:r>
      <w:r>
        <w:rPr/>
        <w:t>Some deluxe and premier policies </w:t>
      </w:r>
      <w:r>
        <w:rPr>
          <w:spacing w:val="-3"/>
        </w:rPr>
        <w:t>also </w:t>
      </w:r>
      <w:r>
        <w:rPr/>
        <w:t>waive</w:t>
      </w:r>
      <w:r>
        <w:rPr>
          <w:spacing w:val="-21"/>
        </w:rPr>
        <w:t> </w:t>
      </w:r>
      <w:r>
        <w:rPr/>
        <w:t>the</w:t>
      </w:r>
      <w:r>
        <w:rPr>
          <w:spacing w:val="-21"/>
        </w:rPr>
        <w:t> </w:t>
      </w:r>
      <w:r>
        <w:rPr/>
        <w:t>holdback</w:t>
      </w:r>
      <w:r>
        <w:rPr>
          <w:spacing w:val="-18"/>
        </w:rPr>
        <w:t> </w:t>
      </w:r>
      <w:r>
        <w:rPr/>
        <w:t>and</w:t>
      </w:r>
      <w:r>
        <w:rPr>
          <w:spacing w:val="-20"/>
        </w:rPr>
        <w:t> </w:t>
      </w:r>
      <w:r>
        <w:rPr/>
        <w:t>pay</w:t>
      </w:r>
      <w:r>
        <w:rPr>
          <w:spacing w:val="-21"/>
        </w:rPr>
        <w:t> </w:t>
      </w:r>
      <w:r>
        <w:rPr/>
        <w:t>the</w:t>
      </w:r>
      <w:r>
        <w:rPr>
          <w:spacing w:val="-17"/>
        </w:rPr>
        <w:t> </w:t>
      </w:r>
      <w:r>
        <w:rPr>
          <w:spacing w:val="-3"/>
        </w:rPr>
        <w:t>replacement </w:t>
      </w:r>
      <w:r>
        <w:rPr/>
        <w:t>value upon the adjustment of the</w:t>
      </w:r>
      <w:r>
        <w:rPr>
          <w:spacing w:val="-12"/>
        </w:rPr>
        <w:t> </w:t>
      </w:r>
      <w:r>
        <w:rPr/>
        <w:t>loss.</w:t>
      </w:r>
    </w:p>
    <w:p>
      <w:pPr>
        <w:pStyle w:val="BodyText"/>
        <w:spacing w:before="1"/>
      </w:pPr>
    </w:p>
    <w:p>
      <w:pPr>
        <w:pStyle w:val="BodyText"/>
        <w:spacing w:line="242" w:lineRule="auto"/>
        <w:ind w:left="1520" w:right="1517" w:firstLine="720"/>
        <w:jc w:val="both"/>
      </w:pPr>
      <w:r>
        <w:rPr>
          <w:spacing w:val="3"/>
        </w:rPr>
        <w:t>It</w:t>
      </w:r>
      <w:r>
        <w:rPr>
          <w:spacing w:val="-11"/>
        </w:rPr>
        <w:t> </w:t>
      </w:r>
      <w:r>
        <w:rPr/>
        <w:t>is</w:t>
      </w:r>
      <w:r>
        <w:rPr>
          <w:spacing w:val="-9"/>
        </w:rPr>
        <w:t> </w:t>
      </w:r>
      <w:r>
        <w:rPr/>
        <w:t>crucial</w:t>
      </w:r>
      <w:r>
        <w:rPr>
          <w:spacing w:val="-7"/>
        </w:rPr>
        <w:t> </w:t>
      </w:r>
      <w:r>
        <w:rPr/>
        <w:t>for</w:t>
      </w:r>
      <w:r>
        <w:rPr>
          <w:spacing w:val="-10"/>
        </w:rPr>
        <w:t> </w:t>
      </w:r>
      <w:r>
        <w:rPr/>
        <w:t>the</w:t>
      </w:r>
      <w:r>
        <w:rPr>
          <w:spacing w:val="-10"/>
        </w:rPr>
        <w:t> </w:t>
      </w:r>
      <w:r>
        <w:rPr/>
        <w:t>appraisers</w:t>
      </w:r>
      <w:r>
        <w:rPr>
          <w:spacing w:val="-9"/>
        </w:rPr>
        <w:t> </w:t>
      </w:r>
      <w:r>
        <w:rPr/>
        <w:t>and</w:t>
      </w:r>
      <w:r>
        <w:rPr>
          <w:spacing w:val="-8"/>
        </w:rPr>
        <w:t> </w:t>
      </w:r>
      <w:r>
        <w:rPr/>
        <w:t>umpire to</w:t>
      </w:r>
      <w:r>
        <w:rPr>
          <w:spacing w:val="-11"/>
        </w:rPr>
        <w:t> </w:t>
      </w:r>
      <w:r>
        <w:rPr/>
        <w:t>fully</w:t>
      </w:r>
      <w:r>
        <w:rPr>
          <w:spacing w:val="-11"/>
        </w:rPr>
        <w:t> </w:t>
      </w:r>
      <w:r>
        <w:rPr/>
        <w:t>comprehend</w:t>
      </w:r>
      <w:r>
        <w:rPr>
          <w:spacing w:val="-14"/>
        </w:rPr>
        <w:t> </w:t>
      </w:r>
      <w:r>
        <w:rPr/>
        <w:t>and</w:t>
      </w:r>
      <w:r>
        <w:rPr>
          <w:spacing w:val="-12"/>
        </w:rPr>
        <w:t> </w:t>
      </w:r>
      <w:r>
        <w:rPr/>
        <w:t>implement</w:t>
      </w:r>
      <w:r>
        <w:rPr>
          <w:spacing w:val="-15"/>
        </w:rPr>
        <w:t> </w:t>
      </w:r>
      <w:r>
        <w:rPr/>
        <w:t>the</w:t>
      </w:r>
      <w:r>
        <w:rPr>
          <w:spacing w:val="-13"/>
        </w:rPr>
        <w:t> </w:t>
      </w:r>
      <w:r>
        <w:rPr/>
        <w:t>value provisions of the specific policy purchased </w:t>
      </w:r>
      <w:r>
        <w:rPr>
          <w:spacing w:val="-6"/>
        </w:rPr>
        <w:t>by </w:t>
      </w:r>
      <w:r>
        <w:rPr/>
        <w:t>the insured. </w:t>
      </w:r>
      <w:r>
        <w:rPr>
          <w:spacing w:val="4"/>
        </w:rPr>
        <w:t>In </w:t>
      </w:r>
      <w:r>
        <w:rPr/>
        <w:t>the modern </w:t>
      </w:r>
      <w:r>
        <w:rPr>
          <w:spacing w:val="2"/>
        </w:rPr>
        <w:t>insurance </w:t>
      </w:r>
      <w:r>
        <w:rPr>
          <w:spacing w:val="12"/>
        </w:rPr>
        <w:t>marketplace, </w:t>
      </w:r>
      <w:r>
        <w:rPr>
          <w:spacing w:val="11"/>
        </w:rPr>
        <w:t>policy </w:t>
      </w:r>
      <w:r>
        <w:rPr>
          <w:spacing w:val="12"/>
        </w:rPr>
        <w:t>language </w:t>
      </w:r>
      <w:r>
        <w:rPr>
          <w:spacing w:val="11"/>
        </w:rPr>
        <w:t>varies </w:t>
      </w:r>
      <w:r>
        <w:rPr/>
        <w:t>significantly from carrier to carrier and will define the rights of the parties, subject to statute.</w:t>
      </w:r>
    </w:p>
    <w:p>
      <w:pPr>
        <w:pStyle w:val="BodyText"/>
      </w:pPr>
    </w:p>
    <w:p>
      <w:pPr>
        <w:pStyle w:val="BodyText"/>
        <w:spacing w:line="242" w:lineRule="auto"/>
        <w:ind w:left="1520" w:right="1516" w:firstLine="720"/>
        <w:jc w:val="both"/>
      </w:pPr>
      <w:r>
        <w:rPr/>
        <w:t>A New York court deemed parties’ requests that the court limit or define an umpire’s</w:t>
      </w:r>
      <w:r>
        <w:rPr>
          <w:spacing w:val="-36"/>
        </w:rPr>
        <w:t> </w:t>
      </w:r>
      <w:r>
        <w:rPr>
          <w:spacing w:val="-3"/>
        </w:rPr>
        <w:t>assessment</w:t>
      </w:r>
      <w:r>
        <w:rPr>
          <w:spacing w:val="-37"/>
        </w:rPr>
        <w:t> </w:t>
      </w:r>
      <w:r>
        <w:rPr/>
        <w:t>of</w:t>
      </w:r>
      <w:r>
        <w:rPr>
          <w:spacing w:val="-35"/>
        </w:rPr>
        <w:t> </w:t>
      </w:r>
      <w:r>
        <w:rPr/>
        <w:t>damages</w:t>
      </w:r>
      <w:r>
        <w:rPr>
          <w:spacing w:val="-33"/>
        </w:rPr>
        <w:t> </w:t>
      </w:r>
      <w:r>
        <w:rPr/>
        <w:t>to</w:t>
      </w:r>
      <w:r>
        <w:rPr>
          <w:spacing w:val="-33"/>
        </w:rPr>
        <w:t> </w:t>
      </w:r>
      <w:r>
        <w:rPr/>
        <w:t>be</w:t>
      </w:r>
      <w:r>
        <w:rPr>
          <w:spacing w:val="-34"/>
        </w:rPr>
        <w:t> </w:t>
      </w:r>
      <w:r>
        <w:rPr/>
        <w:t>beyond the scope of the parties’ application for </w:t>
      </w:r>
      <w:r>
        <w:rPr>
          <w:spacing w:val="12"/>
        </w:rPr>
        <w:t>selection </w:t>
      </w:r>
      <w:r>
        <w:rPr>
          <w:spacing w:val="6"/>
        </w:rPr>
        <w:t>of an </w:t>
      </w:r>
      <w:r>
        <w:rPr>
          <w:spacing w:val="10"/>
        </w:rPr>
        <w:t>umpire following </w:t>
      </w:r>
      <w:r>
        <w:rPr/>
        <w:t>a disagreement</w:t>
      </w:r>
      <w:r>
        <w:rPr>
          <w:spacing w:val="-29"/>
        </w:rPr>
        <w:t> </w:t>
      </w:r>
      <w:r>
        <w:rPr/>
        <w:t>as</w:t>
      </w:r>
      <w:r>
        <w:rPr>
          <w:spacing w:val="-24"/>
        </w:rPr>
        <w:t> </w:t>
      </w:r>
      <w:r>
        <w:rPr/>
        <w:t>to</w:t>
      </w:r>
      <w:r>
        <w:rPr>
          <w:spacing w:val="-23"/>
        </w:rPr>
        <w:t> </w:t>
      </w:r>
      <w:r>
        <w:rPr/>
        <w:t>umpire</w:t>
      </w:r>
      <w:r>
        <w:rPr>
          <w:spacing w:val="-24"/>
        </w:rPr>
        <w:t> </w:t>
      </w:r>
      <w:r>
        <w:rPr/>
        <w:t>selection.</w:t>
      </w:r>
      <w:r>
        <w:rPr>
          <w:spacing w:val="-29"/>
        </w:rPr>
        <w:t> </w:t>
      </w:r>
      <w:r>
        <w:rPr/>
        <w:t>While</w:t>
      </w:r>
      <w:r>
        <w:rPr>
          <w:spacing w:val="-25"/>
        </w:rPr>
        <w:t> </w:t>
      </w:r>
      <w:r>
        <w:rPr/>
        <w:t>the insurer under those circumstances sought to limit</w:t>
      </w:r>
      <w:r>
        <w:rPr>
          <w:spacing w:val="-39"/>
        </w:rPr>
        <w:t> </w:t>
      </w:r>
      <w:r>
        <w:rPr/>
        <w:t>the</w:t>
      </w:r>
      <w:r>
        <w:rPr>
          <w:spacing w:val="-40"/>
        </w:rPr>
        <w:t> </w:t>
      </w:r>
      <w:r>
        <w:rPr/>
        <w:t>appraisal</w:t>
      </w:r>
      <w:r>
        <w:rPr>
          <w:spacing w:val="-39"/>
        </w:rPr>
        <w:t> </w:t>
      </w:r>
      <w:r>
        <w:rPr/>
        <w:t>determination</w:t>
      </w:r>
      <w:r>
        <w:rPr>
          <w:spacing w:val="-37"/>
        </w:rPr>
        <w:t> </w:t>
      </w:r>
      <w:r>
        <w:rPr/>
        <w:t>to</w:t>
      </w:r>
      <w:r>
        <w:rPr>
          <w:spacing w:val="-37"/>
        </w:rPr>
        <w:t> </w:t>
      </w:r>
      <w:r>
        <w:rPr/>
        <w:t>actual</w:t>
      </w:r>
      <w:r>
        <w:rPr>
          <w:spacing w:val="-36"/>
        </w:rPr>
        <w:t> </w:t>
      </w:r>
      <w:r>
        <w:rPr/>
        <w:t>cash value of damages, the insured believed the umpire should act without limitations and the determination should encompass the value</w:t>
      </w:r>
      <w:r>
        <w:rPr>
          <w:spacing w:val="-43"/>
        </w:rPr>
        <w:t> </w:t>
      </w:r>
      <w:r>
        <w:rPr/>
        <w:t>of the loss, Actual cash value, repair and replacement costs and incidental issues. However,</w:t>
      </w:r>
      <w:r>
        <w:rPr>
          <w:spacing w:val="-27"/>
        </w:rPr>
        <w:t> </w:t>
      </w:r>
      <w:r>
        <w:rPr/>
        <w:t>the</w:t>
      </w:r>
      <w:r>
        <w:rPr>
          <w:spacing w:val="-26"/>
        </w:rPr>
        <w:t> </w:t>
      </w:r>
      <w:r>
        <w:rPr/>
        <w:t>court</w:t>
      </w:r>
      <w:r>
        <w:rPr>
          <w:spacing w:val="-26"/>
        </w:rPr>
        <w:t> </w:t>
      </w:r>
      <w:r>
        <w:rPr/>
        <w:t>held</w:t>
      </w:r>
      <w:r>
        <w:rPr>
          <w:spacing w:val="-25"/>
        </w:rPr>
        <w:t> </w:t>
      </w:r>
      <w:r>
        <w:rPr/>
        <w:t>that</w:t>
      </w:r>
      <w:r>
        <w:rPr>
          <w:spacing w:val="-28"/>
        </w:rPr>
        <w:t> </w:t>
      </w:r>
      <w:r>
        <w:rPr/>
        <w:t>“[p]ursuant</w:t>
      </w:r>
      <w:r>
        <w:rPr>
          <w:spacing w:val="-27"/>
        </w:rPr>
        <w:t> </w:t>
      </w:r>
      <w:r>
        <w:rPr/>
        <w:t>to</w:t>
      </w:r>
      <w:r>
        <w:rPr>
          <w:spacing w:val="-26"/>
        </w:rPr>
        <w:t> </w:t>
      </w:r>
      <w:r>
        <w:rPr/>
        <w:t>the policy terms, a decision agreed by any two, consisting of the appraisers and the umpire, sets the amount of the loss. The amount of</w:t>
      </w:r>
      <w:r>
        <w:rPr>
          <w:spacing w:val="-44"/>
        </w:rPr>
        <w:t> </w:t>
      </w:r>
      <w:r>
        <w:rPr/>
        <w:t>loss shall be determined according to the</w:t>
      </w:r>
      <w:r>
        <w:rPr>
          <w:spacing w:val="-27"/>
        </w:rPr>
        <w:t> </w:t>
      </w:r>
      <w:r>
        <w:rPr/>
        <w:t>policy</w:t>
      </w:r>
    </w:p>
    <w:p>
      <w:pPr>
        <w:spacing w:after="0" w:line="242" w:lineRule="auto"/>
        <w:jc w:val="both"/>
        <w:sectPr>
          <w:footerReference w:type="default" r:id="rId11"/>
          <w:pgSz w:w="12240" w:h="15840"/>
          <w:pgMar w:footer="2273" w:header="0" w:top="1500" w:bottom="2460" w:left="1720" w:right="1720"/>
          <w:pgNumType w:start="489"/>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tabs>
          <w:tab w:pos="2459" w:val="left" w:leader="none"/>
          <w:tab w:pos="3237" w:val="left" w:leader="none"/>
          <w:tab w:pos="4883" w:val="left" w:leader="none"/>
          <w:tab w:pos="6351" w:val="left" w:leader="none"/>
          <w:tab w:pos="6864" w:val="left" w:leader="none"/>
        </w:tabs>
        <w:spacing w:line="242" w:lineRule="auto" w:before="41"/>
        <w:ind w:left="1520" w:right="1521"/>
      </w:pPr>
      <w:bookmarkStart w:name="Law and Procedure 451" w:id="29"/>
      <w:bookmarkEnd w:id="29"/>
      <w:r>
        <w:rPr/>
      </w:r>
      <w:r>
        <w:rPr/>
        <w:t>terms</w:t>
        <w:tab/>
        <w:t>and</w:t>
        <w:tab/>
        <w:t>applicable</w:t>
        <w:tab/>
        <w:t>provisions</w:t>
        <w:tab/>
        <w:t>of</w:t>
        <w:tab/>
      </w:r>
      <w:r>
        <w:rPr>
          <w:spacing w:val="-7"/>
        </w:rPr>
        <w:t>the </w:t>
      </w:r>
      <w:r>
        <w:rPr/>
        <w:t>Insurance Law by the appointed</w:t>
      </w:r>
      <w:r>
        <w:rPr>
          <w:spacing w:val="-10"/>
        </w:rPr>
        <w:t> </w:t>
      </w:r>
      <w:r>
        <w:rPr/>
        <w:t>umpire.”</w:t>
      </w:r>
      <w:r>
        <w:rPr>
          <w:vertAlign w:val="superscript"/>
        </w:rPr>
        <w:t>939</w:t>
      </w:r>
    </w:p>
    <w:p>
      <w:pPr>
        <w:pStyle w:val="BodyText"/>
        <w:spacing w:before="2"/>
      </w:pPr>
    </w:p>
    <w:p>
      <w:pPr>
        <w:pStyle w:val="BodyText"/>
        <w:spacing w:line="242" w:lineRule="auto"/>
        <w:ind w:left="1520" w:right="1517" w:firstLine="720"/>
        <w:jc w:val="both"/>
      </w:pPr>
      <w:r>
        <w:rPr>
          <w:spacing w:val="3"/>
        </w:rPr>
        <w:t>It </w:t>
      </w:r>
      <w:r>
        <w:rPr/>
        <w:t>is patent that where the term Actual Cash</w:t>
      </w:r>
      <w:r>
        <w:rPr>
          <w:spacing w:val="-11"/>
        </w:rPr>
        <w:t> </w:t>
      </w:r>
      <w:r>
        <w:rPr/>
        <w:t>Value</w:t>
      </w:r>
      <w:r>
        <w:rPr>
          <w:spacing w:val="-11"/>
        </w:rPr>
        <w:t> </w:t>
      </w:r>
      <w:r>
        <w:rPr/>
        <w:t>is</w:t>
      </w:r>
      <w:r>
        <w:rPr>
          <w:spacing w:val="-11"/>
        </w:rPr>
        <w:t> </w:t>
      </w:r>
      <w:r>
        <w:rPr/>
        <w:t>amended</w:t>
      </w:r>
      <w:r>
        <w:rPr>
          <w:spacing w:val="-13"/>
        </w:rPr>
        <w:t> </w:t>
      </w:r>
      <w:r>
        <w:rPr/>
        <w:t>by</w:t>
      </w:r>
      <w:r>
        <w:rPr>
          <w:spacing w:val="-13"/>
        </w:rPr>
        <w:t> </w:t>
      </w:r>
      <w:r>
        <w:rPr/>
        <w:t>another</w:t>
      </w:r>
      <w:r>
        <w:rPr>
          <w:spacing w:val="-11"/>
        </w:rPr>
        <w:t> </w:t>
      </w:r>
      <w:r>
        <w:rPr/>
        <w:t>valuation, the value to be appraised should be that defined by the policy purchased by </w:t>
      </w:r>
      <w:r>
        <w:rPr>
          <w:spacing w:val="-5"/>
        </w:rPr>
        <w:t>the </w:t>
      </w:r>
      <w:r>
        <w:rPr/>
        <w:t>consumer from the insurer and the appraisal provision</w:t>
      </w:r>
      <w:r>
        <w:rPr>
          <w:spacing w:val="-21"/>
        </w:rPr>
        <w:t> </w:t>
      </w:r>
      <w:r>
        <w:rPr/>
        <w:t>should</w:t>
      </w:r>
      <w:r>
        <w:rPr>
          <w:spacing w:val="-19"/>
        </w:rPr>
        <w:t> </w:t>
      </w:r>
      <w:r>
        <w:rPr/>
        <w:t>be</w:t>
      </w:r>
      <w:r>
        <w:rPr>
          <w:spacing w:val="-21"/>
        </w:rPr>
        <w:t> </w:t>
      </w:r>
      <w:r>
        <w:rPr/>
        <w:t>read</w:t>
      </w:r>
      <w:r>
        <w:rPr>
          <w:spacing w:val="-21"/>
        </w:rPr>
        <w:t> </w:t>
      </w:r>
      <w:r>
        <w:rPr/>
        <w:t>in</w:t>
      </w:r>
      <w:r>
        <w:rPr>
          <w:spacing w:val="-21"/>
        </w:rPr>
        <w:t> </w:t>
      </w:r>
      <w:r>
        <w:rPr/>
        <w:t>such</w:t>
      </w:r>
      <w:r>
        <w:rPr>
          <w:spacing w:val="-20"/>
        </w:rPr>
        <w:t> </w:t>
      </w:r>
      <w:r>
        <w:rPr/>
        <w:t>a</w:t>
      </w:r>
      <w:r>
        <w:rPr>
          <w:spacing w:val="-21"/>
        </w:rPr>
        <w:t> </w:t>
      </w:r>
      <w:r>
        <w:rPr/>
        <w:t>manner</w:t>
      </w:r>
      <w:r>
        <w:rPr>
          <w:spacing w:val="-22"/>
        </w:rPr>
        <w:t> </w:t>
      </w:r>
      <w:r>
        <w:rPr/>
        <w:t>that value determinations are consistent with the actual</w:t>
      </w:r>
      <w:r>
        <w:rPr>
          <w:spacing w:val="-34"/>
        </w:rPr>
        <w:t> </w:t>
      </w:r>
      <w:r>
        <w:rPr/>
        <w:t>terms</w:t>
      </w:r>
      <w:r>
        <w:rPr>
          <w:spacing w:val="-35"/>
        </w:rPr>
        <w:t> </w:t>
      </w:r>
      <w:r>
        <w:rPr/>
        <w:t>of</w:t>
      </w:r>
      <w:r>
        <w:rPr>
          <w:spacing w:val="-33"/>
        </w:rPr>
        <w:t> </w:t>
      </w:r>
      <w:r>
        <w:rPr/>
        <w:t>the</w:t>
      </w:r>
      <w:r>
        <w:rPr>
          <w:spacing w:val="-34"/>
        </w:rPr>
        <w:t> </w:t>
      </w:r>
      <w:r>
        <w:rPr/>
        <w:t>policy</w:t>
      </w:r>
      <w:r>
        <w:rPr>
          <w:spacing w:val="-35"/>
        </w:rPr>
        <w:t> </w:t>
      </w:r>
      <w:r>
        <w:rPr/>
        <w:t>in</w:t>
      </w:r>
      <w:r>
        <w:rPr>
          <w:spacing w:val="-35"/>
        </w:rPr>
        <w:t> </w:t>
      </w:r>
      <w:r>
        <w:rPr/>
        <w:t>existence</w:t>
      </w:r>
      <w:r>
        <w:rPr>
          <w:spacing w:val="-34"/>
        </w:rPr>
        <w:t> </w:t>
      </w:r>
      <w:r>
        <w:rPr/>
        <w:t>between the</w:t>
      </w:r>
      <w:r>
        <w:rPr>
          <w:spacing w:val="-2"/>
        </w:rPr>
        <w:t> </w:t>
      </w:r>
      <w:r>
        <w:rPr/>
        <w:t>parties.</w:t>
      </w:r>
    </w:p>
    <w:p>
      <w:pPr>
        <w:pStyle w:val="BodyText"/>
      </w:pPr>
    </w:p>
    <w:p>
      <w:pPr>
        <w:pStyle w:val="BodyText"/>
        <w:spacing w:line="242" w:lineRule="auto"/>
        <w:ind w:left="1520" w:right="1517" w:firstLine="720"/>
        <w:jc w:val="both"/>
      </w:pPr>
      <w:r>
        <w:rPr>
          <w:spacing w:val="-3"/>
        </w:rPr>
        <w:t>Where </w:t>
      </w:r>
      <w:r>
        <w:rPr/>
        <w:t>the partes are not careful to specify in an appraisal agreement</w:t>
      </w:r>
      <w:r>
        <w:rPr>
          <w:spacing w:val="-53"/>
        </w:rPr>
        <w:t> </w:t>
      </w:r>
      <w:r>
        <w:rPr/>
        <w:t>the precise formulation of the desired award, </w:t>
      </w:r>
      <w:r>
        <w:rPr>
          <w:spacing w:val="-4"/>
        </w:rPr>
        <w:t>(i.e. </w:t>
      </w:r>
      <w:r>
        <w:rPr/>
        <w:t>allowances for both actual cash value and replacement</w:t>
      </w:r>
      <w:r>
        <w:rPr>
          <w:spacing w:val="-21"/>
        </w:rPr>
        <w:t> </w:t>
      </w:r>
      <w:r>
        <w:rPr/>
        <w:t>cost),</w:t>
      </w:r>
      <w:r>
        <w:rPr>
          <w:spacing w:val="-21"/>
        </w:rPr>
        <w:t> </w:t>
      </w:r>
      <w:r>
        <w:rPr/>
        <w:t>they</w:t>
      </w:r>
      <w:r>
        <w:rPr>
          <w:spacing w:val="-20"/>
        </w:rPr>
        <w:t> </w:t>
      </w:r>
      <w:r>
        <w:rPr/>
        <w:t>may</w:t>
      </w:r>
      <w:r>
        <w:rPr>
          <w:spacing w:val="-20"/>
        </w:rPr>
        <w:t> </w:t>
      </w:r>
      <w:r>
        <w:rPr/>
        <w:t>be</w:t>
      </w:r>
      <w:r>
        <w:rPr>
          <w:spacing w:val="-17"/>
        </w:rPr>
        <w:t> </w:t>
      </w:r>
      <w:r>
        <w:rPr/>
        <w:t>disappointed with</w:t>
      </w:r>
      <w:r>
        <w:rPr>
          <w:spacing w:val="-18"/>
        </w:rPr>
        <w:t> </w:t>
      </w:r>
      <w:r>
        <w:rPr/>
        <w:t>a</w:t>
      </w:r>
      <w:r>
        <w:rPr>
          <w:spacing w:val="-14"/>
        </w:rPr>
        <w:t> </w:t>
      </w:r>
      <w:r>
        <w:rPr/>
        <w:t>less</w:t>
      </w:r>
      <w:r>
        <w:rPr>
          <w:spacing w:val="-14"/>
        </w:rPr>
        <w:t> </w:t>
      </w:r>
      <w:r>
        <w:rPr/>
        <w:t>precise</w:t>
      </w:r>
      <w:r>
        <w:rPr>
          <w:spacing w:val="-15"/>
        </w:rPr>
        <w:t> </w:t>
      </w:r>
      <w:r>
        <w:rPr/>
        <w:t>formulation.</w:t>
      </w:r>
      <w:r>
        <w:rPr>
          <w:spacing w:val="37"/>
        </w:rPr>
        <w:t> </w:t>
      </w:r>
      <w:r>
        <w:rPr/>
        <w:t>For</w:t>
      </w:r>
      <w:r>
        <w:rPr>
          <w:spacing w:val="-18"/>
        </w:rPr>
        <w:t> </w:t>
      </w:r>
      <w:r>
        <w:rPr/>
        <w:t>example,</w:t>
      </w:r>
      <w:r>
        <w:rPr>
          <w:spacing w:val="-18"/>
        </w:rPr>
        <w:t> </w:t>
      </w:r>
      <w:r>
        <w:rPr/>
        <w:t>in Arizona,</w:t>
      </w:r>
      <w:r>
        <w:rPr>
          <w:spacing w:val="-14"/>
        </w:rPr>
        <w:t> </w:t>
      </w:r>
      <w:r>
        <w:rPr/>
        <w:t>where</w:t>
      </w:r>
      <w:r>
        <w:rPr>
          <w:spacing w:val="-14"/>
        </w:rPr>
        <w:t> </w:t>
      </w:r>
      <w:r>
        <w:rPr/>
        <w:t>the</w:t>
      </w:r>
      <w:r>
        <w:rPr>
          <w:spacing w:val="-11"/>
        </w:rPr>
        <w:t> </w:t>
      </w:r>
      <w:r>
        <w:rPr/>
        <w:t>appraisal</w:t>
      </w:r>
      <w:r>
        <w:rPr>
          <w:spacing w:val="-12"/>
        </w:rPr>
        <w:t> </w:t>
      </w:r>
      <w:r>
        <w:rPr/>
        <w:t>agreement</w:t>
      </w:r>
      <w:r>
        <w:rPr>
          <w:spacing w:val="-15"/>
        </w:rPr>
        <w:t> </w:t>
      </w:r>
      <w:r>
        <w:rPr/>
        <w:t>listed “actual</w:t>
      </w:r>
      <w:r>
        <w:rPr>
          <w:spacing w:val="-25"/>
        </w:rPr>
        <w:t> </w:t>
      </w:r>
      <w:r>
        <w:rPr/>
        <w:t>cash</w:t>
      </w:r>
      <w:r>
        <w:rPr>
          <w:spacing w:val="-25"/>
        </w:rPr>
        <w:t> </w:t>
      </w:r>
      <w:r>
        <w:rPr/>
        <w:t>value”</w:t>
      </w:r>
      <w:r>
        <w:rPr>
          <w:spacing w:val="-27"/>
        </w:rPr>
        <w:t> </w:t>
      </w:r>
      <w:r>
        <w:rPr/>
        <w:t>and</w:t>
      </w:r>
      <w:r>
        <w:rPr>
          <w:spacing w:val="-28"/>
        </w:rPr>
        <w:t> </w:t>
      </w:r>
      <w:r>
        <w:rPr/>
        <w:t>replacement</w:t>
      </w:r>
      <w:r>
        <w:rPr>
          <w:spacing w:val="-29"/>
        </w:rPr>
        <w:t> </w:t>
      </w:r>
      <w:r>
        <w:rPr/>
        <w:t>cost”</w:t>
      </w:r>
      <w:r>
        <w:rPr>
          <w:spacing w:val="-27"/>
        </w:rPr>
        <w:t> </w:t>
      </w:r>
      <w:r>
        <w:rPr/>
        <w:t>as steps</w:t>
      </w:r>
      <w:r>
        <w:rPr>
          <w:spacing w:val="-20"/>
        </w:rPr>
        <w:t> </w:t>
      </w:r>
      <w:r>
        <w:rPr/>
        <w:t>in</w:t>
      </w:r>
      <w:r>
        <w:rPr>
          <w:spacing w:val="-21"/>
        </w:rPr>
        <w:t> </w:t>
      </w:r>
      <w:r>
        <w:rPr/>
        <w:t>the</w:t>
      </w:r>
      <w:r>
        <w:rPr>
          <w:spacing w:val="-20"/>
        </w:rPr>
        <w:t> </w:t>
      </w:r>
      <w:r>
        <w:rPr/>
        <w:t>appraisal</w:t>
      </w:r>
      <w:r>
        <w:rPr>
          <w:spacing w:val="-20"/>
        </w:rPr>
        <w:t> </w:t>
      </w:r>
      <w:r>
        <w:rPr/>
        <w:t>process,</w:t>
      </w:r>
      <w:r>
        <w:rPr>
          <w:spacing w:val="-22"/>
        </w:rPr>
        <w:t> </w:t>
      </w:r>
      <w:r>
        <w:rPr/>
        <w:t>an</w:t>
      </w:r>
      <w:r>
        <w:rPr>
          <w:spacing w:val="-20"/>
        </w:rPr>
        <w:t> </w:t>
      </w:r>
      <w:r>
        <w:rPr/>
        <w:t>award</w:t>
      </w:r>
      <w:r>
        <w:rPr>
          <w:spacing w:val="-20"/>
        </w:rPr>
        <w:t> </w:t>
      </w:r>
      <w:r>
        <w:rPr/>
        <w:t>which </w:t>
      </w:r>
      <w:r>
        <w:rPr>
          <w:spacing w:val="3"/>
        </w:rPr>
        <w:t>states </w:t>
      </w:r>
      <w:r>
        <w:rPr/>
        <w:t>a </w:t>
      </w:r>
      <w:r>
        <w:rPr>
          <w:spacing w:val="2"/>
        </w:rPr>
        <w:t>single amount </w:t>
      </w:r>
      <w:r>
        <w:rPr>
          <w:spacing w:val="3"/>
        </w:rPr>
        <w:t>“based upon </w:t>
      </w:r>
      <w:r>
        <w:rPr/>
        <w:t>replacement cost and actual cash value calculations”, the court denied the insured’s motion</w:t>
      </w:r>
      <w:r>
        <w:rPr>
          <w:spacing w:val="-18"/>
        </w:rPr>
        <w:t> </w:t>
      </w:r>
      <w:r>
        <w:rPr/>
        <w:t>to</w:t>
      </w:r>
      <w:r>
        <w:rPr>
          <w:spacing w:val="-18"/>
        </w:rPr>
        <w:t> </w:t>
      </w:r>
      <w:r>
        <w:rPr/>
        <w:t>reconvene</w:t>
      </w:r>
      <w:r>
        <w:rPr>
          <w:spacing w:val="-19"/>
        </w:rPr>
        <w:t> </w:t>
      </w:r>
      <w:r>
        <w:rPr/>
        <w:t>the</w:t>
      </w:r>
      <w:r>
        <w:rPr>
          <w:spacing w:val="-18"/>
        </w:rPr>
        <w:t> </w:t>
      </w:r>
      <w:r>
        <w:rPr/>
        <w:t>panel</w:t>
      </w:r>
      <w:r>
        <w:rPr>
          <w:spacing w:val="-14"/>
        </w:rPr>
        <w:t> </w:t>
      </w:r>
      <w:r>
        <w:rPr/>
        <w:t>to</w:t>
      </w:r>
      <w:r>
        <w:rPr>
          <w:spacing w:val="-16"/>
        </w:rPr>
        <w:t> </w:t>
      </w:r>
      <w:r>
        <w:rPr/>
        <w:t>enter</w:t>
      </w:r>
      <w:r>
        <w:rPr>
          <w:spacing w:val="-20"/>
        </w:rPr>
        <w:t> </w:t>
      </w:r>
      <w:r>
        <w:rPr/>
        <w:t>a</w:t>
      </w:r>
      <w:r>
        <w:rPr>
          <w:spacing w:val="-19"/>
        </w:rPr>
        <w:t> </w:t>
      </w:r>
      <w:r>
        <w:rPr/>
        <w:t>new award and rejected the insured’s claims that the award was unintelligible and did </w:t>
      </w:r>
      <w:r>
        <w:rPr>
          <w:spacing w:val="-4"/>
        </w:rPr>
        <w:t>not </w:t>
      </w:r>
      <w:r>
        <w:rPr/>
        <w:t>respond to the issues submitted for appraisal. The</w:t>
      </w:r>
      <w:r>
        <w:rPr>
          <w:spacing w:val="-8"/>
        </w:rPr>
        <w:t> </w:t>
      </w:r>
      <w:r>
        <w:rPr/>
        <w:t>court</w:t>
      </w:r>
      <w:r>
        <w:rPr>
          <w:spacing w:val="-7"/>
        </w:rPr>
        <w:t> </w:t>
      </w:r>
      <w:r>
        <w:rPr/>
        <w:t>found</w:t>
      </w:r>
      <w:r>
        <w:rPr>
          <w:spacing w:val="-4"/>
        </w:rPr>
        <w:t> </w:t>
      </w:r>
      <w:r>
        <w:rPr/>
        <w:t>that</w:t>
      </w:r>
      <w:r>
        <w:rPr>
          <w:spacing w:val="-6"/>
        </w:rPr>
        <w:t> </w:t>
      </w:r>
      <w:r>
        <w:rPr/>
        <w:t>neither</w:t>
      </w:r>
      <w:r>
        <w:rPr>
          <w:spacing w:val="-7"/>
        </w:rPr>
        <w:t> </w:t>
      </w:r>
      <w:r>
        <w:rPr/>
        <w:t>the</w:t>
      </w:r>
      <w:r>
        <w:rPr>
          <w:spacing w:val="-6"/>
        </w:rPr>
        <w:t> </w:t>
      </w:r>
      <w:r>
        <w:rPr/>
        <w:t>policy</w:t>
      </w:r>
      <w:r>
        <w:rPr>
          <w:spacing w:val="-10"/>
        </w:rPr>
        <w:t> </w:t>
      </w:r>
      <w:r>
        <w:rPr/>
        <w:t>nor</w:t>
      </w:r>
      <w:r>
        <w:rPr>
          <w:spacing w:val="-10"/>
        </w:rPr>
        <w:t> </w:t>
      </w:r>
      <w:r>
        <w:rPr/>
        <w:t>the</w:t>
      </w:r>
    </w:p>
    <w:p>
      <w:pPr>
        <w:pStyle w:val="BodyText"/>
        <w:spacing w:before="7"/>
        <w:rPr>
          <w:sz w:val="15"/>
        </w:rPr>
      </w:pPr>
      <w:r>
        <w:rPr/>
        <w:pict>
          <v:shape style="position:absolute;margin-left:162pt;margin-top:11.985176pt;width:143.9pt;height:.1pt;mso-position-horizontal-relative:page;mso-position-vertical-relative:paragraph;z-index:-251634688;mso-wrap-distance-left:0;mso-wrap-distance-right:0" coordorigin="3240,240" coordsize="2878,0" path="m3240,240l6118,240e" filled="false" stroked="true" strokeweight=".84pt" strokecolor="#000000">
            <v:path arrowok="t"/>
            <v:stroke dashstyle="solid"/>
            <w10:wrap type="topAndBottom"/>
          </v:shape>
        </w:pict>
      </w:r>
    </w:p>
    <w:p>
      <w:pPr>
        <w:pStyle w:val="ListParagraph"/>
        <w:numPr>
          <w:ilvl w:val="0"/>
          <w:numId w:val="7"/>
        </w:numPr>
        <w:tabs>
          <w:tab w:pos="1411" w:val="left" w:leader="none"/>
        </w:tabs>
        <w:spacing w:line="244" w:lineRule="auto" w:before="140" w:after="0"/>
        <w:ind w:left="1160" w:right="1165" w:firstLine="0"/>
        <w:jc w:val="left"/>
        <w:rPr>
          <w:sz w:val="18"/>
        </w:rPr>
      </w:pPr>
      <w:r>
        <w:rPr>
          <w:sz w:val="18"/>
          <w:u w:val="single"/>
        </w:rPr>
        <w:t>In</w:t>
      </w:r>
      <w:r>
        <w:rPr>
          <w:spacing w:val="-8"/>
          <w:sz w:val="18"/>
          <w:u w:val="single"/>
        </w:rPr>
        <w:t> </w:t>
      </w:r>
      <w:r>
        <w:rPr>
          <w:sz w:val="18"/>
          <w:u w:val="single"/>
        </w:rPr>
        <w:t>the</w:t>
      </w:r>
      <w:r>
        <w:rPr>
          <w:spacing w:val="-12"/>
          <w:sz w:val="18"/>
          <w:u w:val="single"/>
        </w:rPr>
        <w:t> </w:t>
      </w:r>
      <w:r>
        <w:rPr>
          <w:sz w:val="18"/>
          <w:u w:val="single"/>
        </w:rPr>
        <w:t>Matter</w:t>
      </w:r>
      <w:r>
        <w:rPr>
          <w:spacing w:val="-11"/>
          <w:sz w:val="18"/>
          <w:u w:val="single"/>
        </w:rPr>
        <w:t> </w:t>
      </w:r>
      <w:r>
        <w:rPr>
          <w:sz w:val="18"/>
          <w:u w:val="single"/>
        </w:rPr>
        <w:t>of</w:t>
      </w:r>
      <w:r>
        <w:rPr>
          <w:spacing w:val="-11"/>
          <w:sz w:val="18"/>
          <w:u w:val="single"/>
        </w:rPr>
        <w:t> </w:t>
      </w:r>
      <w:r>
        <w:rPr>
          <w:sz w:val="18"/>
          <w:u w:val="single"/>
        </w:rPr>
        <w:t>Merrimack</w:t>
      </w:r>
      <w:r>
        <w:rPr>
          <w:spacing w:val="-11"/>
          <w:sz w:val="18"/>
          <w:u w:val="single"/>
        </w:rPr>
        <w:t> </w:t>
      </w:r>
      <w:r>
        <w:rPr>
          <w:sz w:val="18"/>
          <w:u w:val="single"/>
        </w:rPr>
        <w:t>Mut.</w:t>
      </w:r>
      <w:r>
        <w:rPr>
          <w:spacing w:val="-8"/>
          <w:sz w:val="18"/>
          <w:u w:val="single"/>
        </w:rPr>
        <w:t> </w:t>
      </w:r>
      <w:r>
        <w:rPr>
          <w:sz w:val="18"/>
          <w:u w:val="single"/>
        </w:rPr>
        <w:t>Fire</w:t>
      </w:r>
      <w:r>
        <w:rPr>
          <w:spacing w:val="-9"/>
          <w:sz w:val="18"/>
          <w:u w:val="single"/>
        </w:rPr>
        <w:t> </w:t>
      </w:r>
      <w:r>
        <w:rPr>
          <w:sz w:val="18"/>
          <w:u w:val="single"/>
        </w:rPr>
        <w:t>Ins.</w:t>
      </w:r>
      <w:r>
        <w:rPr>
          <w:spacing w:val="-8"/>
          <w:sz w:val="18"/>
          <w:u w:val="single"/>
        </w:rPr>
        <w:t> </w:t>
      </w:r>
      <w:r>
        <w:rPr>
          <w:sz w:val="18"/>
          <w:u w:val="single"/>
        </w:rPr>
        <w:t>Co.</w:t>
      </w:r>
      <w:r>
        <w:rPr>
          <w:spacing w:val="-9"/>
          <w:sz w:val="18"/>
          <w:u w:val="single"/>
        </w:rPr>
        <w:t> </w:t>
      </w:r>
      <w:r>
        <w:rPr>
          <w:sz w:val="18"/>
          <w:u w:val="single"/>
        </w:rPr>
        <w:t>v.</w:t>
      </w:r>
      <w:r>
        <w:rPr>
          <w:spacing w:val="-8"/>
          <w:sz w:val="18"/>
          <w:u w:val="single"/>
        </w:rPr>
        <w:t> </w:t>
      </w:r>
      <w:r>
        <w:rPr>
          <w:sz w:val="18"/>
          <w:u w:val="single"/>
        </w:rPr>
        <w:t>Seibert</w:t>
      </w:r>
      <w:r>
        <w:rPr>
          <w:sz w:val="18"/>
        </w:rPr>
        <w:t>,</w:t>
      </w:r>
      <w:r>
        <w:rPr>
          <w:spacing w:val="-9"/>
          <w:sz w:val="18"/>
        </w:rPr>
        <w:t> </w:t>
      </w:r>
      <w:r>
        <w:rPr>
          <w:sz w:val="18"/>
        </w:rPr>
        <w:t>31</w:t>
      </w:r>
      <w:r>
        <w:rPr>
          <w:spacing w:val="-7"/>
          <w:sz w:val="18"/>
        </w:rPr>
        <w:t> </w:t>
      </w:r>
      <w:r>
        <w:rPr>
          <w:sz w:val="18"/>
        </w:rPr>
        <w:t>Misc.3d</w:t>
      </w:r>
      <w:r>
        <w:rPr>
          <w:spacing w:val="-8"/>
          <w:sz w:val="18"/>
        </w:rPr>
        <w:t> </w:t>
      </w:r>
      <w:r>
        <w:rPr>
          <w:sz w:val="18"/>
        </w:rPr>
        <w:t>523,</w:t>
      </w:r>
      <w:r>
        <w:rPr>
          <w:spacing w:val="-8"/>
          <w:sz w:val="18"/>
        </w:rPr>
        <w:t> </w:t>
      </w:r>
      <w:r>
        <w:rPr>
          <w:sz w:val="18"/>
        </w:rPr>
        <w:t>917</w:t>
      </w:r>
      <w:r>
        <w:rPr>
          <w:spacing w:val="-9"/>
          <w:sz w:val="18"/>
        </w:rPr>
        <w:t> </w:t>
      </w:r>
      <w:r>
        <w:rPr>
          <w:sz w:val="18"/>
        </w:rPr>
        <w:t>N.Y.S.2d 839, 2011 N.Y. Slip Op. 21060 (Monroe Cty.</w:t>
      </w:r>
      <w:r>
        <w:rPr>
          <w:spacing w:val="7"/>
          <w:sz w:val="18"/>
        </w:rPr>
        <w:t> </w:t>
      </w:r>
      <w:r>
        <w:rPr>
          <w:sz w:val="18"/>
        </w:rPr>
        <w:t>2011).</w:t>
      </w:r>
    </w:p>
    <w:p>
      <w:pPr>
        <w:spacing w:after="0" w:line="244"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9"/>
        <w:jc w:val="both"/>
      </w:pPr>
      <w:bookmarkStart w:name="Law and Procedure 452" w:id="30"/>
      <w:bookmarkEnd w:id="30"/>
      <w:r>
        <w:rPr/>
      </w:r>
      <w:r>
        <w:rPr/>
        <w:t>appraisal</w:t>
      </w:r>
      <w:r>
        <w:rPr>
          <w:spacing w:val="-29"/>
        </w:rPr>
        <w:t> </w:t>
      </w:r>
      <w:r>
        <w:rPr/>
        <w:t>agreement</w:t>
      </w:r>
      <w:r>
        <w:rPr>
          <w:spacing w:val="-33"/>
        </w:rPr>
        <w:t> </w:t>
      </w:r>
      <w:r>
        <w:rPr/>
        <w:t>requires</w:t>
      </w:r>
      <w:r>
        <w:rPr>
          <w:spacing w:val="-33"/>
        </w:rPr>
        <w:t> </w:t>
      </w:r>
      <w:r>
        <w:rPr/>
        <w:t>the</w:t>
      </w:r>
      <w:r>
        <w:rPr>
          <w:spacing w:val="-30"/>
        </w:rPr>
        <w:t> </w:t>
      </w:r>
      <w:r>
        <w:rPr/>
        <w:t>appraisers</w:t>
      </w:r>
      <w:r>
        <w:rPr>
          <w:spacing w:val="-31"/>
        </w:rPr>
        <w:t> </w:t>
      </w:r>
      <w:r>
        <w:rPr/>
        <w:t>to </w:t>
      </w:r>
      <w:r>
        <w:rPr>
          <w:spacing w:val="6"/>
        </w:rPr>
        <w:t>separate </w:t>
      </w:r>
      <w:r>
        <w:rPr>
          <w:spacing w:val="4"/>
        </w:rPr>
        <w:t>the award </w:t>
      </w:r>
      <w:r>
        <w:rPr>
          <w:spacing w:val="5"/>
        </w:rPr>
        <w:t>into </w:t>
      </w:r>
      <w:r>
        <w:rPr>
          <w:spacing w:val="8"/>
        </w:rPr>
        <w:t>“ACV </w:t>
      </w:r>
      <w:r>
        <w:rPr>
          <w:spacing w:val="6"/>
        </w:rPr>
        <w:t>and </w:t>
      </w:r>
      <w:r>
        <w:rPr/>
        <w:t>replacement value.” The decision does </w:t>
      </w:r>
      <w:r>
        <w:rPr>
          <w:spacing w:val="-5"/>
        </w:rPr>
        <w:t>not </w:t>
      </w:r>
      <w:r>
        <w:rPr/>
        <w:t>quote the policy and it would seem most policies do provide such</w:t>
      </w:r>
      <w:r>
        <w:rPr>
          <w:spacing w:val="-3"/>
        </w:rPr>
        <w:t> </w:t>
      </w:r>
      <w:r>
        <w:rPr/>
        <w:t>guidance.</w:t>
      </w:r>
      <w:r>
        <w:rPr>
          <w:vertAlign w:val="superscript"/>
        </w:rPr>
        <w:t>940</w:t>
      </w:r>
    </w:p>
    <w:p>
      <w:pPr>
        <w:pStyle w:val="BodyText"/>
      </w:pPr>
    </w:p>
    <w:p>
      <w:pPr>
        <w:pStyle w:val="BodyText"/>
        <w:spacing w:line="242" w:lineRule="auto" w:before="1"/>
        <w:ind w:left="1520" w:right="1516" w:firstLine="720"/>
        <w:jc w:val="both"/>
      </w:pPr>
      <w:r>
        <w:rPr>
          <w:spacing w:val="3"/>
        </w:rPr>
        <w:t>Some </w:t>
      </w:r>
      <w:r>
        <w:rPr>
          <w:spacing w:val="5"/>
        </w:rPr>
        <w:t>jurisdictions </w:t>
      </w:r>
      <w:r>
        <w:rPr/>
        <w:t>have excused </w:t>
      </w:r>
      <w:r>
        <w:rPr>
          <w:spacing w:val="10"/>
        </w:rPr>
        <w:t>compliance </w:t>
      </w:r>
      <w:r>
        <w:rPr>
          <w:spacing w:val="5"/>
        </w:rPr>
        <w:t>with </w:t>
      </w:r>
      <w:r>
        <w:rPr>
          <w:spacing w:val="7"/>
        </w:rPr>
        <w:t>the </w:t>
      </w:r>
      <w:r>
        <w:rPr>
          <w:spacing w:val="10"/>
        </w:rPr>
        <w:t>aforementioned </w:t>
      </w:r>
      <w:r>
        <w:rPr/>
        <w:t>condition precedent of actual replacement, where</w:t>
      </w:r>
      <w:r>
        <w:rPr>
          <w:spacing w:val="-10"/>
        </w:rPr>
        <w:t> </w:t>
      </w:r>
      <w:r>
        <w:rPr/>
        <w:t>the</w:t>
      </w:r>
      <w:r>
        <w:rPr>
          <w:spacing w:val="-11"/>
        </w:rPr>
        <w:t> </w:t>
      </w:r>
      <w:r>
        <w:rPr/>
        <w:t>insurance</w:t>
      </w:r>
      <w:r>
        <w:rPr>
          <w:spacing w:val="-8"/>
        </w:rPr>
        <w:t> </w:t>
      </w:r>
      <w:r>
        <w:rPr/>
        <w:t>company</w:t>
      </w:r>
      <w:r>
        <w:rPr>
          <w:spacing w:val="-11"/>
        </w:rPr>
        <w:t> </w:t>
      </w:r>
      <w:r>
        <w:rPr/>
        <w:t>failed</w:t>
      </w:r>
      <w:r>
        <w:rPr>
          <w:spacing w:val="-10"/>
        </w:rPr>
        <w:t> </w:t>
      </w:r>
      <w:r>
        <w:rPr/>
        <w:t>to</w:t>
      </w:r>
      <w:r>
        <w:rPr>
          <w:spacing w:val="-9"/>
        </w:rPr>
        <w:t> </w:t>
      </w:r>
      <w:r>
        <w:rPr/>
        <w:t>timely pay the claim or mandated an insured to commence proceedings in order to </w:t>
      </w:r>
      <w:r>
        <w:rPr>
          <w:spacing w:val="-3"/>
        </w:rPr>
        <w:t>recover </w:t>
      </w:r>
      <w:r>
        <w:rPr/>
        <w:t>under the policy. </w:t>
      </w:r>
      <w:r>
        <w:rPr>
          <w:spacing w:val="3"/>
        </w:rPr>
        <w:t>In </w:t>
      </w:r>
      <w:r>
        <w:rPr/>
        <w:t>these cases, compliance with a provision requiring the insured to repair or replace the building in order to recover replacement cost is excused if the facts demonstrate that the insurer caused the non- performance.</w:t>
      </w:r>
      <w:r>
        <w:rPr>
          <w:vertAlign w:val="superscript"/>
        </w:rPr>
        <w:t>941</w:t>
      </w:r>
      <w:r>
        <w:rPr>
          <w:vertAlign w:val="baseline"/>
        </w:rPr>
        <w:t> However, if the insured</w:t>
      </w:r>
      <w:r>
        <w:rPr>
          <w:spacing w:val="-49"/>
          <w:vertAlign w:val="baseline"/>
        </w:rPr>
        <w:t> </w:t>
      </w:r>
      <w:r>
        <w:rPr>
          <w:spacing w:val="-6"/>
          <w:vertAlign w:val="baseline"/>
        </w:rPr>
        <w:t>could </w:t>
      </w:r>
      <w:r>
        <w:rPr>
          <w:vertAlign w:val="baseline"/>
        </w:rPr>
        <w:t>not or would not have performed the conditions regardless of the insurer’s</w:t>
      </w:r>
      <w:r>
        <w:rPr>
          <w:spacing w:val="-3"/>
          <w:vertAlign w:val="baseline"/>
        </w:rPr>
        <w:t> </w:t>
      </w:r>
      <w:r>
        <w:rPr>
          <w:vertAlign w:val="baseline"/>
        </w:rPr>
        <w:t>conduct,</w:t>
      </w:r>
    </w:p>
    <w:p>
      <w:pPr>
        <w:pStyle w:val="BodyText"/>
        <w:rPr>
          <w:sz w:val="20"/>
        </w:rPr>
      </w:pPr>
    </w:p>
    <w:p>
      <w:pPr>
        <w:pStyle w:val="BodyText"/>
        <w:rPr>
          <w:sz w:val="20"/>
        </w:rPr>
      </w:pPr>
    </w:p>
    <w:p>
      <w:pPr>
        <w:pStyle w:val="BodyText"/>
        <w:rPr>
          <w:sz w:val="20"/>
        </w:rPr>
      </w:pPr>
    </w:p>
    <w:p>
      <w:pPr>
        <w:pStyle w:val="BodyText"/>
        <w:spacing w:before="3"/>
        <w:rPr>
          <w:sz w:val="22"/>
        </w:rPr>
      </w:pPr>
      <w:r>
        <w:rPr/>
        <w:pict>
          <v:shape style="position:absolute;margin-left:162pt;margin-top:16.049223pt;width:143.9pt;height:.1pt;mso-position-horizontal-relative:page;mso-position-vertical-relative:paragraph;z-index:-251633664;mso-wrap-distance-left:0;mso-wrap-distance-right:0" coordorigin="3240,321" coordsize="2878,0" path="m3240,321l6118,321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7"/>
        </w:numPr>
        <w:tabs>
          <w:tab w:pos="1435" w:val="left" w:leader="none"/>
        </w:tabs>
        <w:spacing w:line="220" w:lineRule="auto" w:before="85" w:after="0"/>
        <w:ind w:left="1160" w:right="1162" w:firstLine="0"/>
        <w:jc w:val="left"/>
        <w:rPr>
          <w:sz w:val="18"/>
        </w:rPr>
      </w:pPr>
      <w:r>
        <w:rPr>
          <w:sz w:val="18"/>
          <w:u w:val="single"/>
        </w:rPr>
        <w:t>T &amp; B McDowell, LLC v. Peerless Ind. Ins. Co.</w:t>
      </w:r>
      <w:r>
        <w:rPr>
          <w:sz w:val="18"/>
        </w:rPr>
        <w:t>, 2013 WL 2287087 (D.Ariz. 2013)</w:t>
      </w:r>
      <w:r>
        <w:rPr>
          <w:position w:val="10"/>
          <w:sz w:val="18"/>
        </w:rPr>
        <w:t> </w:t>
      </w:r>
      <w:r>
        <w:rPr>
          <w:position w:val="10"/>
          <w:sz w:val="14"/>
        </w:rPr>
        <w:t>941</w:t>
      </w:r>
      <w:r>
        <w:rPr>
          <w:spacing w:val="3"/>
          <w:sz w:val="14"/>
        </w:rPr>
        <w:t> </w:t>
      </w:r>
      <w:r>
        <w:rPr>
          <w:sz w:val="18"/>
          <w:u w:val="single"/>
        </w:rPr>
        <w:t>Ward</w:t>
      </w:r>
      <w:r>
        <w:rPr>
          <w:spacing w:val="-8"/>
          <w:sz w:val="18"/>
          <w:u w:val="single"/>
        </w:rPr>
        <w:t> </w:t>
      </w:r>
      <w:r>
        <w:rPr>
          <w:sz w:val="18"/>
          <w:u w:val="single"/>
        </w:rPr>
        <w:t>v.</w:t>
      </w:r>
      <w:r>
        <w:rPr>
          <w:spacing w:val="-6"/>
          <w:sz w:val="18"/>
          <w:u w:val="single"/>
        </w:rPr>
        <w:t> </w:t>
      </w:r>
      <w:r>
        <w:rPr>
          <w:sz w:val="18"/>
          <w:u w:val="single"/>
        </w:rPr>
        <w:t>Merrimack</w:t>
      </w:r>
      <w:r>
        <w:rPr>
          <w:sz w:val="18"/>
        </w:rPr>
        <w:t>,</w:t>
      </w:r>
      <w:r>
        <w:rPr>
          <w:spacing w:val="-7"/>
          <w:sz w:val="18"/>
        </w:rPr>
        <w:t> </w:t>
      </w:r>
      <w:r>
        <w:rPr>
          <w:sz w:val="18"/>
        </w:rPr>
        <w:t>332</w:t>
      </w:r>
      <w:r>
        <w:rPr>
          <w:spacing w:val="-7"/>
          <w:sz w:val="18"/>
        </w:rPr>
        <w:t> </w:t>
      </w:r>
      <w:r>
        <w:rPr>
          <w:sz w:val="18"/>
        </w:rPr>
        <w:t>N.J.</w:t>
      </w:r>
      <w:r>
        <w:rPr>
          <w:spacing w:val="-8"/>
          <w:sz w:val="18"/>
        </w:rPr>
        <w:t> </w:t>
      </w:r>
      <w:r>
        <w:rPr>
          <w:sz w:val="18"/>
        </w:rPr>
        <w:t>Super</w:t>
      </w:r>
      <w:r>
        <w:rPr>
          <w:spacing w:val="-8"/>
          <w:sz w:val="18"/>
        </w:rPr>
        <w:t> </w:t>
      </w:r>
      <w:r>
        <w:rPr>
          <w:sz w:val="18"/>
        </w:rPr>
        <w:t>515;</w:t>
      </w:r>
      <w:r>
        <w:rPr>
          <w:spacing w:val="-8"/>
          <w:sz w:val="18"/>
        </w:rPr>
        <w:t> </w:t>
      </w:r>
      <w:r>
        <w:rPr>
          <w:sz w:val="18"/>
          <w:u w:val="single"/>
        </w:rPr>
        <w:t>Zaitchick</w:t>
      </w:r>
      <w:r>
        <w:rPr>
          <w:spacing w:val="-11"/>
          <w:sz w:val="18"/>
          <w:u w:val="single"/>
        </w:rPr>
        <w:t> </w:t>
      </w:r>
      <w:r>
        <w:rPr>
          <w:sz w:val="18"/>
          <w:u w:val="single"/>
        </w:rPr>
        <w:t>v.</w:t>
      </w:r>
      <w:r>
        <w:rPr>
          <w:spacing w:val="-10"/>
          <w:sz w:val="18"/>
          <w:u w:val="single"/>
        </w:rPr>
        <w:t> </w:t>
      </w:r>
      <w:r>
        <w:rPr>
          <w:sz w:val="18"/>
          <w:u w:val="single"/>
        </w:rPr>
        <w:t>American</w:t>
      </w:r>
      <w:r>
        <w:rPr>
          <w:spacing w:val="-10"/>
          <w:sz w:val="18"/>
          <w:u w:val="single"/>
        </w:rPr>
        <w:t> </w:t>
      </w:r>
      <w:r>
        <w:rPr>
          <w:sz w:val="18"/>
          <w:u w:val="single"/>
        </w:rPr>
        <w:t>Motorists</w:t>
      </w:r>
      <w:r>
        <w:rPr>
          <w:spacing w:val="-11"/>
          <w:sz w:val="18"/>
          <w:u w:val="single"/>
        </w:rPr>
        <w:t> </w:t>
      </w:r>
      <w:r>
        <w:rPr>
          <w:sz w:val="18"/>
          <w:u w:val="single"/>
        </w:rPr>
        <w:t>Ins.</w:t>
      </w:r>
      <w:r>
        <w:rPr>
          <w:spacing w:val="-7"/>
          <w:sz w:val="18"/>
          <w:u w:val="single"/>
        </w:rPr>
        <w:t> </w:t>
      </w:r>
      <w:r>
        <w:rPr>
          <w:sz w:val="18"/>
          <w:u w:val="single"/>
        </w:rPr>
        <w:t>Co.</w:t>
      </w:r>
      <w:r>
        <w:rPr>
          <w:sz w:val="18"/>
        </w:rPr>
        <w:t>,</w:t>
      </w:r>
      <w:r>
        <w:rPr>
          <w:spacing w:val="-7"/>
          <w:sz w:val="18"/>
        </w:rPr>
        <w:t> </w:t>
      </w:r>
      <w:r>
        <w:rPr>
          <w:sz w:val="18"/>
        </w:rPr>
        <w:t>554 F.</w:t>
      </w:r>
      <w:r>
        <w:rPr>
          <w:spacing w:val="-10"/>
          <w:sz w:val="18"/>
        </w:rPr>
        <w:t> </w:t>
      </w:r>
      <w:r>
        <w:rPr>
          <w:sz w:val="18"/>
        </w:rPr>
        <w:t>Supp.</w:t>
      </w:r>
      <w:r>
        <w:rPr>
          <w:spacing w:val="-9"/>
          <w:sz w:val="18"/>
        </w:rPr>
        <w:t> </w:t>
      </w:r>
      <w:r>
        <w:rPr>
          <w:sz w:val="18"/>
        </w:rPr>
        <w:t>209,</w:t>
      </w:r>
      <w:r>
        <w:rPr>
          <w:spacing w:val="-9"/>
          <w:sz w:val="18"/>
        </w:rPr>
        <w:t> </w:t>
      </w:r>
      <w:r>
        <w:rPr>
          <w:sz w:val="18"/>
        </w:rPr>
        <w:t>217</w:t>
      </w:r>
      <w:r>
        <w:rPr>
          <w:spacing w:val="-10"/>
          <w:sz w:val="18"/>
        </w:rPr>
        <w:t> </w:t>
      </w:r>
      <w:r>
        <w:rPr>
          <w:sz w:val="18"/>
        </w:rPr>
        <w:t>(S.D.N.Y.</w:t>
      </w:r>
      <w:r>
        <w:rPr>
          <w:spacing w:val="-8"/>
          <w:sz w:val="18"/>
        </w:rPr>
        <w:t> </w:t>
      </w:r>
      <w:r>
        <w:rPr>
          <w:sz w:val="18"/>
        </w:rPr>
        <w:t>1982),</w:t>
      </w:r>
      <w:r>
        <w:rPr>
          <w:spacing w:val="-9"/>
          <w:sz w:val="18"/>
        </w:rPr>
        <w:t> </w:t>
      </w:r>
      <w:r>
        <w:rPr>
          <w:i/>
          <w:sz w:val="18"/>
        </w:rPr>
        <w:t>aff’d,</w:t>
      </w:r>
      <w:r>
        <w:rPr>
          <w:i/>
          <w:spacing w:val="-11"/>
          <w:sz w:val="18"/>
        </w:rPr>
        <w:t> </w:t>
      </w:r>
      <w:r>
        <w:rPr>
          <w:sz w:val="18"/>
        </w:rPr>
        <w:t>742</w:t>
      </w:r>
      <w:r>
        <w:rPr>
          <w:spacing w:val="-9"/>
          <w:sz w:val="18"/>
        </w:rPr>
        <w:t> </w:t>
      </w:r>
      <w:r>
        <w:rPr>
          <w:sz w:val="18"/>
        </w:rPr>
        <w:t>F.2d</w:t>
      </w:r>
      <w:r>
        <w:rPr>
          <w:spacing w:val="-11"/>
          <w:sz w:val="18"/>
        </w:rPr>
        <w:t> </w:t>
      </w:r>
      <w:r>
        <w:rPr>
          <w:sz w:val="18"/>
        </w:rPr>
        <w:t>1441</w:t>
      </w:r>
      <w:r>
        <w:rPr>
          <w:spacing w:val="-12"/>
          <w:sz w:val="18"/>
        </w:rPr>
        <w:t> </w:t>
      </w:r>
      <w:r>
        <w:rPr>
          <w:sz w:val="18"/>
        </w:rPr>
        <w:t>(2d</w:t>
      </w:r>
      <w:r>
        <w:rPr>
          <w:spacing w:val="-12"/>
          <w:sz w:val="18"/>
        </w:rPr>
        <w:t> </w:t>
      </w:r>
      <w:r>
        <w:rPr>
          <w:sz w:val="18"/>
        </w:rPr>
        <w:t>Cir.</w:t>
      </w:r>
      <w:r>
        <w:rPr>
          <w:spacing w:val="-12"/>
          <w:sz w:val="18"/>
        </w:rPr>
        <w:t> </w:t>
      </w:r>
      <w:r>
        <w:rPr>
          <w:sz w:val="18"/>
        </w:rPr>
        <w:t>1983):</w:t>
      </w:r>
      <w:r>
        <w:rPr>
          <w:spacing w:val="-12"/>
          <w:sz w:val="18"/>
        </w:rPr>
        <w:t> </w:t>
      </w:r>
      <w:r>
        <w:rPr>
          <w:sz w:val="18"/>
          <w:u w:val="single"/>
        </w:rPr>
        <w:t>Pollock</w:t>
      </w:r>
      <w:r>
        <w:rPr>
          <w:spacing w:val="-15"/>
          <w:sz w:val="18"/>
          <w:u w:val="single"/>
        </w:rPr>
        <w:t> </w:t>
      </w:r>
      <w:r>
        <w:rPr>
          <w:sz w:val="18"/>
          <w:u w:val="single"/>
        </w:rPr>
        <w:t>v.</w:t>
      </w:r>
      <w:r>
        <w:rPr>
          <w:spacing w:val="-9"/>
          <w:sz w:val="18"/>
          <w:u w:val="single"/>
        </w:rPr>
        <w:t> </w:t>
      </w:r>
      <w:r>
        <w:rPr>
          <w:sz w:val="18"/>
          <w:u w:val="single"/>
        </w:rPr>
        <w:t>Fire</w:t>
      </w:r>
      <w:r>
        <w:rPr>
          <w:spacing w:val="-9"/>
          <w:sz w:val="18"/>
          <w:u w:val="single"/>
        </w:rPr>
        <w:t> </w:t>
      </w:r>
      <w:r>
        <w:rPr>
          <w:sz w:val="18"/>
          <w:u w:val="single"/>
        </w:rPr>
        <w:t>Ins.</w:t>
      </w:r>
    </w:p>
    <w:p>
      <w:pPr>
        <w:spacing w:before="5"/>
        <w:ind w:left="1160" w:right="0" w:firstLine="0"/>
        <w:jc w:val="both"/>
        <w:rPr>
          <w:rFonts w:ascii="Times New Roman" w:hAnsi="Times New Roman"/>
          <w:sz w:val="18"/>
        </w:rPr>
      </w:pPr>
      <w:r>
        <w:rPr>
          <w:rFonts w:ascii="Times New Roman" w:hAnsi="Times New Roman"/>
          <w:sz w:val="18"/>
          <w:u w:val="single"/>
        </w:rPr>
        <w:t>Exchange</w:t>
      </w:r>
      <w:r>
        <w:rPr>
          <w:rFonts w:ascii="Times New Roman" w:hAnsi="Times New Roman"/>
          <w:sz w:val="18"/>
        </w:rPr>
        <w:t>,</w:t>
      </w:r>
      <w:r>
        <w:rPr>
          <w:rFonts w:ascii="Times New Roman" w:hAnsi="Times New Roman"/>
          <w:spacing w:val="-2"/>
          <w:sz w:val="18"/>
        </w:rPr>
        <w:t> </w:t>
      </w:r>
      <w:r>
        <w:rPr>
          <w:rFonts w:ascii="Times New Roman" w:hAnsi="Times New Roman"/>
          <w:sz w:val="18"/>
        </w:rPr>
        <w:t>167</w:t>
      </w:r>
      <w:r>
        <w:rPr>
          <w:rFonts w:ascii="Times New Roman" w:hAnsi="Times New Roman"/>
          <w:spacing w:val="-2"/>
          <w:sz w:val="18"/>
        </w:rPr>
        <w:t> </w:t>
      </w:r>
      <w:r>
        <w:rPr>
          <w:rFonts w:ascii="Times New Roman" w:hAnsi="Times New Roman"/>
          <w:sz w:val="18"/>
        </w:rPr>
        <w:t>Mich.</w:t>
      </w:r>
      <w:r>
        <w:rPr>
          <w:rFonts w:ascii="Times New Roman" w:hAnsi="Times New Roman"/>
          <w:spacing w:val="-2"/>
          <w:sz w:val="18"/>
        </w:rPr>
        <w:t> </w:t>
      </w:r>
      <w:r>
        <w:rPr>
          <w:rFonts w:ascii="Times New Roman" w:hAnsi="Times New Roman"/>
          <w:sz w:val="18"/>
        </w:rPr>
        <w:t>App.</w:t>
      </w:r>
      <w:r>
        <w:rPr>
          <w:rFonts w:ascii="Times New Roman" w:hAnsi="Times New Roman"/>
          <w:spacing w:val="-1"/>
          <w:sz w:val="18"/>
        </w:rPr>
        <w:t> </w:t>
      </w:r>
      <w:r>
        <w:rPr>
          <w:rFonts w:ascii="Times New Roman" w:hAnsi="Times New Roman"/>
          <w:sz w:val="18"/>
        </w:rPr>
        <w:t>415</w:t>
      </w:r>
      <w:r>
        <w:rPr>
          <w:rFonts w:ascii="Times New Roman" w:hAnsi="Times New Roman"/>
          <w:b/>
          <w:sz w:val="18"/>
        </w:rPr>
        <w:t>,</w:t>
      </w:r>
      <w:r>
        <w:rPr>
          <w:rFonts w:ascii="Times New Roman" w:hAnsi="Times New Roman"/>
          <w:b/>
          <w:spacing w:val="-2"/>
          <w:sz w:val="18"/>
        </w:rPr>
        <w:t> </w:t>
      </w:r>
      <w:r>
        <w:rPr>
          <w:rFonts w:ascii="Times New Roman" w:hAnsi="Times New Roman"/>
          <w:sz w:val="18"/>
        </w:rPr>
        <w:t>423</w:t>
      </w:r>
      <w:r>
        <w:rPr>
          <w:rFonts w:ascii="Times New Roman" w:hAnsi="Times New Roman"/>
          <w:spacing w:val="-3"/>
          <w:sz w:val="18"/>
        </w:rPr>
        <w:t> </w:t>
      </w:r>
      <w:r>
        <w:rPr>
          <w:rFonts w:ascii="Times New Roman" w:hAnsi="Times New Roman"/>
          <w:sz w:val="18"/>
        </w:rPr>
        <w:t>N.W.2d</w:t>
      </w:r>
      <w:r>
        <w:rPr>
          <w:rFonts w:ascii="Times New Roman" w:hAnsi="Times New Roman"/>
          <w:spacing w:val="-3"/>
          <w:sz w:val="18"/>
        </w:rPr>
        <w:t> </w:t>
      </w:r>
      <w:r>
        <w:rPr>
          <w:rFonts w:ascii="Times New Roman" w:hAnsi="Times New Roman"/>
          <w:sz w:val="18"/>
        </w:rPr>
        <w:t>234</w:t>
      </w:r>
      <w:r>
        <w:rPr>
          <w:rFonts w:ascii="Times New Roman" w:hAnsi="Times New Roman"/>
          <w:spacing w:val="-2"/>
          <w:sz w:val="18"/>
        </w:rPr>
        <w:t> </w:t>
      </w:r>
      <w:r>
        <w:rPr>
          <w:rFonts w:ascii="Times New Roman" w:hAnsi="Times New Roman"/>
          <w:sz w:val="18"/>
        </w:rPr>
        <w:t>(1988);</w:t>
      </w:r>
      <w:r>
        <w:rPr>
          <w:rFonts w:ascii="Times New Roman" w:hAnsi="Times New Roman"/>
          <w:spacing w:val="-4"/>
          <w:sz w:val="18"/>
        </w:rPr>
        <w:t> </w:t>
      </w:r>
      <w:r>
        <w:rPr>
          <w:rFonts w:ascii="Times New Roman" w:hAnsi="Times New Roman"/>
          <w:sz w:val="18"/>
          <w:u w:val="single"/>
        </w:rPr>
        <w:t>Bailey</w:t>
      </w:r>
      <w:r>
        <w:rPr>
          <w:rFonts w:ascii="Times New Roman" w:hAnsi="Times New Roman"/>
          <w:spacing w:val="-10"/>
          <w:sz w:val="18"/>
          <w:u w:val="single"/>
        </w:rPr>
        <w:t> </w:t>
      </w:r>
      <w:r>
        <w:rPr>
          <w:rFonts w:ascii="Times New Roman" w:hAnsi="Times New Roman"/>
          <w:sz w:val="18"/>
          <w:u w:val="single"/>
        </w:rPr>
        <w:t>v.</w:t>
      </w:r>
      <w:r>
        <w:rPr>
          <w:rFonts w:ascii="Times New Roman" w:hAnsi="Times New Roman"/>
          <w:spacing w:val="-4"/>
          <w:sz w:val="18"/>
          <w:u w:val="single"/>
        </w:rPr>
        <w:t> </w:t>
      </w:r>
      <w:r>
        <w:rPr>
          <w:rFonts w:ascii="Times New Roman" w:hAnsi="Times New Roman"/>
          <w:sz w:val="18"/>
          <w:u w:val="single"/>
        </w:rPr>
        <w:t>Farmer’s</w:t>
      </w:r>
      <w:r>
        <w:rPr>
          <w:rFonts w:ascii="Times New Roman" w:hAnsi="Times New Roman"/>
          <w:spacing w:val="-6"/>
          <w:sz w:val="18"/>
          <w:u w:val="single"/>
        </w:rPr>
        <w:t> </w:t>
      </w:r>
      <w:r>
        <w:rPr>
          <w:rFonts w:ascii="Times New Roman" w:hAnsi="Times New Roman"/>
          <w:sz w:val="18"/>
          <w:u w:val="single"/>
        </w:rPr>
        <w:t>Union Co-op</w:t>
      </w:r>
    </w:p>
    <w:p>
      <w:pPr>
        <w:spacing w:line="244" w:lineRule="auto" w:before="4"/>
        <w:ind w:left="1160" w:right="1158" w:firstLine="0"/>
        <w:jc w:val="both"/>
        <w:rPr>
          <w:rFonts w:ascii="Times New Roman" w:hAnsi="Times New Roman"/>
          <w:sz w:val="18"/>
        </w:rPr>
      </w:pPr>
      <w:r>
        <w:rPr>
          <w:rFonts w:ascii="Times New Roman" w:hAnsi="Times New Roman"/>
          <w:sz w:val="18"/>
          <w:u w:val="single"/>
        </w:rPr>
        <w:t>Ins.</w:t>
      </w:r>
      <w:r>
        <w:rPr>
          <w:rFonts w:ascii="Times New Roman" w:hAnsi="Times New Roman"/>
          <w:spacing w:val="-17"/>
          <w:sz w:val="18"/>
          <w:u w:val="single"/>
        </w:rPr>
        <w:t> </w:t>
      </w:r>
      <w:r>
        <w:rPr>
          <w:rFonts w:ascii="Times New Roman" w:hAnsi="Times New Roman"/>
          <w:sz w:val="18"/>
          <w:u w:val="single"/>
        </w:rPr>
        <w:t>Co</w:t>
      </w:r>
      <w:r>
        <w:rPr>
          <w:rFonts w:ascii="Times New Roman" w:hAnsi="Times New Roman"/>
          <w:spacing w:val="-16"/>
          <w:sz w:val="18"/>
          <w:u w:val="single"/>
        </w:rPr>
        <w:t> </w:t>
      </w:r>
      <w:r>
        <w:rPr>
          <w:rFonts w:ascii="Times New Roman" w:hAnsi="Times New Roman"/>
          <w:sz w:val="18"/>
          <w:u w:val="single"/>
        </w:rPr>
        <w:t>.of</w:t>
      </w:r>
      <w:r>
        <w:rPr>
          <w:rFonts w:ascii="Times New Roman" w:hAnsi="Times New Roman"/>
          <w:spacing w:val="-19"/>
          <w:sz w:val="18"/>
          <w:u w:val="single"/>
        </w:rPr>
        <w:t> </w:t>
      </w:r>
      <w:r>
        <w:rPr>
          <w:rFonts w:ascii="Times New Roman" w:hAnsi="Times New Roman"/>
          <w:sz w:val="18"/>
          <w:u w:val="single"/>
        </w:rPr>
        <w:t>Nebraska</w:t>
      </w:r>
      <w:r>
        <w:rPr>
          <w:rFonts w:ascii="Times New Roman" w:hAnsi="Times New Roman"/>
          <w:sz w:val="18"/>
        </w:rPr>
        <w:t>,</w:t>
      </w:r>
      <w:r>
        <w:rPr>
          <w:rFonts w:ascii="Times New Roman" w:hAnsi="Times New Roman"/>
          <w:spacing w:val="-14"/>
          <w:sz w:val="18"/>
        </w:rPr>
        <w:t> </w:t>
      </w:r>
      <w:r>
        <w:rPr>
          <w:rFonts w:ascii="Times New Roman" w:hAnsi="Times New Roman"/>
          <w:sz w:val="18"/>
        </w:rPr>
        <w:t>1</w:t>
      </w:r>
      <w:r>
        <w:rPr>
          <w:rFonts w:ascii="Times New Roman" w:hAnsi="Times New Roman"/>
          <w:spacing w:val="-13"/>
          <w:sz w:val="18"/>
        </w:rPr>
        <w:t> </w:t>
      </w:r>
      <w:r>
        <w:rPr>
          <w:rFonts w:ascii="Times New Roman" w:hAnsi="Times New Roman"/>
          <w:sz w:val="18"/>
        </w:rPr>
        <w:t>Neb.</w:t>
      </w:r>
      <w:r>
        <w:rPr>
          <w:rFonts w:ascii="Times New Roman" w:hAnsi="Times New Roman"/>
          <w:spacing w:val="-16"/>
          <w:sz w:val="18"/>
        </w:rPr>
        <w:t> </w:t>
      </w:r>
      <w:r>
        <w:rPr>
          <w:rFonts w:ascii="Times New Roman" w:hAnsi="Times New Roman"/>
          <w:sz w:val="18"/>
        </w:rPr>
        <w:t>App.</w:t>
      </w:r>
      <w:r>
        <w:rPr>
          <w:rFonts w:ascii="Times New Roman" w:hAnsi="Times New Roman"/>
          <w:spacing w:val="-16"/>
          <w:sz w:val="18"/>
        </w:rPr>
        <w:t> </w:t>
      </w:r>
      <w:r>
        <w:rPr>
          <w:rFonts w:ascii="Times New Roman" w:hAnsi="Times New Roman"/>
          <w:sz w:val="18"/>
        </w:rPr>
        <w:t>408,</w:t>
      </w:r>
      <w:r>
        <w:rPr>
          <w:rFonts w:ascii="Times New Roman" w:hAnsi="Times New Roman"/>
          <w:spacing w:val="-16"/>
          <w:sz w:val="18"/>
        </w:rPr>
        <w:t> </w:t>
      </w:r>
      <w:r>
        <w:rPr>
          <w:rFonts w:ascii="Times New Roman" w:hAnsi="Times New Roman"/>
          <w:sz w:val="18"/>
        </w:rPr>
        <w:t>498</w:t>
      </w:r>
      <w:r>
        <w:rPr>
          <w:rFonts w:ascii="Times New Roman" w:hAnsi="Times New Roman"/>
          <w:spacing w:val="-15"/>
          <w:sz w:val="18"/>
        </w:rPr>
        <w:t> </w:t>
      </w:r>
      <w:r>
        <w:rPr>
          <w:rFonts w:ascii="Times New Roman" w:hAnsi="Times New Roman"/>
          <w:sz w:val="18"/>
        </w:rPr>
        <w:t>N.W.2d</w:t>
      </w:r>
      <w:r>
        <w:rPr>
          <w:rFonts w:ascii="Times New Roman" w:hAnsi="Times New Roman"/>
          <w:spacing w:val="-17"/>
          <w:sz w:val="18"/>
        </w:rPr>
        <w:t> </w:t>
      </w:r>
      <w:r>
        <w:rPr>
          <w:rFonts w:ascii="Times New Roman" w:hAnsi="Times New Roman"/>
          <w:sz w:val="18"/>
        </w:rPr>
        <w:t>591,</w:t>
      </w:r>
      <w:r>
        <w:rPr>
          <w:rFonts w:ascii="Times New Roman" w:hAnsi="Times New Roman"/>
          <w:spacing w:val="-16"/>
          <w:sz w:val="18"/>
        </w:rPr>
        <w:t> </w:t>
      </w:r>
      <w:r>
        <w:rPr>
          <w:rFonts w:ascii="Times New Roman" w:hAnsi="Times New Roman"/>
          <w:sz w:val="18"/>
        </w:rPr>
        <w:t>598</w:t>
      </w:r>
      <w:r>
        <w:rPr>
          <w:rFonts w:ascii="Times New Roman" w:hAnsi="Times New Roman"/>
          <w:spacing w:val="-15"/>
          <w:sz w:val="18"/>
        </w:rPr>
        <w:t> </w:t>
      </w:r>
      <w:r>
        <w:rPr>
          <w:rFonts w:ascii="Times New Roman" w:hAnsi="Times New Roman"/>
          <w:sz w:val="18"/>
        </w:rPr>
        <w:t>(1992)</w:t>
      </w:r>
      <w:r>
        <w:rPr>
          <w:rFonts w:ascii="Times New Roman" w:hAnsi="Times New Roman"/>
          <w:spacing w:val="-17"/>
          <w:sz w:val="18"/>
        </w:rPr>
        <w:t> </w:t>
      </w:r>
      <w:r>
        <w:rPr>
          <w:rFonts w:ascii="Times New Roman" w:hAnsi="Times New Roman"/>
          <w:sz w:val="18"/>
        </w:rPr>
        <w:t>(where</w:t>
      </w:r>
      <w:r>
        <w:rPr>
          <w:rFonts w:ascii="Times New Roman" w:hAnsi="Times New Roman"/>
          <w:spacing w:val="-18"/>
          <w:sz w:val="18"/>
        </w:rPr>
        <w:t> </w:t>
      </w:r>
      <w:r>
        <w:rPr>
          <w:rFonts w:ascii="Times New Roman" w:hAnsi="Times New Roman"/>
          <w:sz w:val="18"/>
        </w:rPr>
        <w:t>insurer’s</w:t>
      </w:r>
      <w:r>
        <w:rPr>
          <w:rFonts w:ascii="Times New Roman" w:hAnsi="Times New Roman"/>
          <w:spacing w:val="-18"/>
          <w:sz w:val="18"/>
        </w:rPr>
        <w:t> </w:t>
      </w:r>
      <w:r>
        <w:rPr>
          <w:rFonts w:ascii="Times New Roman" w:hAnsi="Times New Roman"/>
          <w:sz w:val="18"/>
        </w:rPr>
        <w:t>refusal to pay the actual cash value of a structure was waived under the rule that “a condition is excused if the occurrence of the condition is prevented by the party whose performance is dependent</w:t>
      </w:r>
      <w:r>
        <w:rPr>
          <w:rFonts w:ascii="Times New Roman" w:hAnsi="Times New Roman"/>
          <w:spacing w:val="-8"/>
          <w:sz w:val="18"/>
        </w:rPr>
        <w:t> </w:t>
      </w:r>
      <w:r>
        <w:rPr>
          <w:rFonts w:ascii="Times New Roman" w:hAnsi="Times New Roman"/>
          <w:sz w:val="18"/>
        </w:rPr>
        <w:t>upon</w:t>
      </w:r>
      <w:r>
        <w:rPr>
          <w:rFonts w:ascii="Times New Roman" w:hAnsi="Times New Roman"/>
          <w:spacing w:val="-6"/>
          <w:sz w:val="18"/>
        </w:rPr>
        <w:t> </w:t>
      </w:r>
      <w:r>
        <w:rPr>
          <w:rFonts w:ascii="Times New Roman" w:hAnsi="Times New Roman"/>
          <w:sz w:val="18"/>
        </w:rPr>
        <w:t>the</w:t>
      </w:r>
      <w:r>
        <w:rPr>
          <w:rFonts w:ascii="Times New Roman" w:hAnsi="Times New Roman"/>
          <w:spacing w:val="-10"/>
          <w:sz w:val="18"/>
        </w:rPr>
        <w:t> </w:t>
      </w:r>
      <w:r>
        <w:rPr>
          <w:rFonts w:ascii="Times New Roman" w:hAnsi="Times New Roman"/>
          <w:sz w:val="18"/>
        </w:rPr>
        <w:t>condition.”);</w:t>
      </w:r>
      <w:r>
        <w:rPr>
          <w:rFonts w:ascii="Times New Roman" w:hAnsi="Times New Roman"/>
          <w:spacing w:val="-9"/>
          <w:sz w:val="18"/>
        </w:rPr>
        <w:t> </w:t>
      </w:r>
      <w:r>
        <w:rPr>
          <w:rFonts w:ascii="Times New Roman" w:hAnsi="Times New Roman"/>
          <w:sz w:val="18"/>
          <w:u w:val="single"/>
        </w:rPr>
        <w:t>McCahill</w:t>
      </w:r>
      <w:r>
        <w:rPr>
          <w:rFonts w:ascii="Times New Roman" w:hAnsi="Times New Roman"/>
          <w:spacing w:val="-8"/>
          <w:sz w:val="18"/>
          <w:u w:val="single"/>
        </w:rPr>
        <w:t> </w:t>
      </w:r>
      <w:r>
        <w:rPr>
          <w:rFonts w:ascii="Times New Roman" w:hAnsi="Times New Roman"/>
          <w:sz w:val="18"/>
          <w:u w:val="single"/>
        </w:rPr>
        <w:t>v.</w:t>
      </w:r>
      <w:r>
        <w:rPr>
          <w:rFonts w:ascii="Times New Roman" w:hAnsi="Times New Roman"/>
          <w:spacing w:val="-8"/>
          <w:sz w:val="18"/>
          <w:u w:val="single"/>
        </w:rPr>
        <w:t> </w:t>
      </w:r>
      <w:r>
        <w:rPr>
          <w:rFonts w:ascii="Times New Roman" w:hAnsi="Times New Roman"/>
          <w:sz w:val="18"/>
          <w:u w:val="single"/>
        </w:rPr>
        <w:t>Commercial</w:t>
      </w:r>
      <w:r>
        <w:rPr>
          <w:rFonts w:ascii="Times New Roman" w:hAnsi="Times New Roman"/>
          <w:spacing w:val="-8"/>
          <w:sz w:val="18"/>
          <w:u w:val="single"/>
        </w:rPr>
        <w:t> </w:t>
      </w:r>
      <w:r>
        <w:rPr>
          <w:rFonts w:ascii="Times New Roman" w:hAnsi="Times New Roman"/>
          <w:sz w:val="18"/>
          <w:u w:val="single"/>
        </w:rPr>
        <w:t>Union</w:t>
      </w:r>
      <w:r>
        <w:rPr>
          <w:rFonts w:ascii="Times New Roman" w:hAnsi="Times New Roman"/>
          <w:spacing w:val="-7"/>
          <w:sz w:val="18"/>
          <w:u w:val="single"/>
        </w:rPr>
        <w:t> </w:t>
      </w:r>
      <w:r>
        <w:rPr>
          <w:rFonts w:ascii="Times New Roman" w:hAnsi="Times New Roman"/>
          <w:sz w:val="18"/>
          <w:u w:val="single"/>
        </w:rPr>
        <w:t>Ins.</w:t>
      </w:r>
      <w:r>
        <w:rPr>
          <w:rFonts w:ascii="Times New Roman" w:hAnsi="Times New Roman"/>
          <w:spacing w:val="-7"/>
          <w:sz w:val="18"/>
          <w:u w:val="single"/>
        </w:rPr>
        <w:t> </w:t>
      </w:r>
      <w:r>
        <w:rPr>
          <w:rFonts w:ascii="Times New Roman" w:hAnsi="Times New Roman"/>
          <w:sz w:val="18"/>
          <w:u w:val="single"/>
        </w:rPr>
        <w:t>Co.</w:t>
      </w:r>
      <w:r>
        <w:rPr>
          <w:rFonts w:ascii="Times New Roman" w:hAnsi="Times New Roman"/>
          <w:sz w:val="18"/>
        </w:rPr>
        <w:t>,</w:t>
      </w:r>
      <w:r>
        <w:rPr>
          <w:rFonts w:ascii="Times New Roman" w:hAnsi="Times New Roman"/>
          <w:spacing w:val="-5"/>
          <w:sz w:val="18"/>
        </w:rPr>
        <w:t> </w:t>
      </w:r>
      <w:r>
        <w:rPr>
          <w:rFonts w:ascii="Times New Roman" w:hAnsi="Times New Roman"/>
          <w:sz w:val="18"/>
        </w:rPr>
        <w:t>179</w:t>
      </w:r>
      <w:r>
        <w:rPr>
          <w:rFonts w:ascii="Times New Roman" w:hAnsi="Times New Roman"/>
          <w:spacing w:val="-6"/>
          <w:sz w:val="18"/>
        </w:rPr>
        <w:t> </w:t>
      </w:r>
      <w:r>
        <w:rPr>
          <w:rFonts w:ascii="Times New Roman" w:hAnsi="Times New Roman"/>
          <w:sz w:val="18"/>
        </w:rPr>
        <w:t>Mich.</w:t>
      </w:r>
      <w:r>
        <w:rPr>
          <w:rFonts w:ascii="Times New Roman" w:hAnsi="Times New Roman"/>
          <w:spacing w:val="-6"/>
          <w:sz w:val="18"/>
        </w:rPr>
        <w:t> </w:t>
      </w:r>
      <w:r>
        <w:rPr>
          <w:rFonts w:ascii="Times New Roman" w:hAnsi="Times New Roman"/>
          <w:sz w:val="18"/>
        </w:rPr>
        <w:t>App. 761, 775, 446 N.W.2d 579, 585 (1989); </w:t>
      </w:r>
      <w:r>
        <w:rPr>
          <w:rFonts w:ascii="Times New Roman" w:hAnsi="Times New Roman"/>
          <w:sz w:val="18"/>
          <w:u w:val="single"/>
        </w:rPr>
        <w:t>State Farm Fire &amp; Cas. Ins. Co. v. Miceli</w:t>
      </w:r>
      <w:r>
        <w:rPr>
          <w:rFonts w:ascii="Times New Roman" w:hAnsi="Times New Roman"/>
          <w:sz w:val="18"/>
        </w:rPr>
        <w:t>, 164</w:t>
      </w:r>
      <w:r>
        <w:rPr>
          <w:rFonts w:ascii="Times New Roman" w:hAnsi="Times New Roman"/>
          <w:spacing w:val="-26"/>
          <w:sz w:val="18"/>
        </w:rPr>
        <w:t> </w:t>
      </w:r>
      <w:r>
        <w:rPr>
          <w:rFonts w:ascii="Times New Roman" w:hAnsi="Times New Roman"/>
          <w:sz w:val="18"/>
        </w:rPr>
        <w:t>Ill.</w:t>
      </w:r>
    </w:p>
    <w:p>
      <w:pPr>
        <w:spacing w:line="244" w:lineRule="auto" w:before="1"/>
        <w:ind w:left="1160" w:right="1159" w:firstLine="0"/>
        <w:jc w:val="both"/>
        <w:rPr>
          <w:rFonts w:ascii="Times New Roman"/>
          <w:sz w:val="18"/>
        </w:rPr>
      </w:pPr>
      <w:r>
        <w:rPr>
          <w:rFonts w:ascii="Times New Roman"/>
          <w:sz w:val="18"/>
        </w:rPr>
        <w:t>App.3d. 874, 518 N.E.2d 357 (1987); </w:t>
      </w:r>
      <w:r>
        <w:rPr>
          <w:rFonts w:ascii="Times New Roman"/>
          <w:i/>
          <w:sz w:val="18"/>
        </w:rPr>
        <w:t>See also</w:t>
      </w:r>
      <w:r>
        <w:rPr>
          <w:rFonts w:ascii="Times New Roman"/>
          <w:sz w:val="18"/>
        </w:rPr>
        <w:t>, Randy R. Koenders, Annotation, </w:t>
      </w:r>
      <w:r>
        <w:rPr>
          <w:rFonts w:ascii="Times New Roman"/>
          <w:i/>
          <w:sz w:val="18"/>
        </w:rPr>
        <w:t>Construction and Effect of Property Insurance Provision Permitting Recovery of </w:t>
      </w:r>
      <w:r>
        <w:rPr>
          <w:rFonts w:ascii="Times New Roman"/>
          <w:i/>
          <w:sz w:val="18"/>
        </w:rPr>
        <w:t>Replacement Cost of Property</w:t>
      </w:r>
      <w:r>
        <w:rPr>
          <w:rFonts w:ascii="Times New Roman"/>
          <w:sz w:val="18"/>
        </w:rPr>
        <w:t>, 1 ALR 5</w:t>
      </w:r>
      <w:r>
        <w:rPr>
          <w:rFonts w:ascii="Times New Roman"/>
          <w:position w:val="7"/>
          <w:sz w:val="10"/>
        </w:rPr>
        <w:t>th </w:t>
      </w:r>
      <w:r>
        <w:rPr>
          <w:rFonts w:ascii="Times New Roman"/>
          <w:sz w:val="18"/>
        </w:rPr>
        <w:t>817, 855 (1992); Partner, </w:t>
      </w:r>
      <w:r>
        <w:rPr>
          <w:rFonts w:ascii="Times New Roman"/>
          <w:i/>
          <w:sz w:val="18"/>
        </w:rPr>
        <w:t>Replacement and Cost </w:t>
      </w:r>
      <w:r>
        <w:rPr>
          <w:rFonts w:ascii="Times New Roman"/>
          <w:i/>
          <w:sz w:val="18"/>
        </w:rPr>
        <w:t>Coverage: A Legal Primer</w:t>
      </w:r>
      <w:r>
        <w:rPr>
          <w:rFonts w:ascii="Times New Roman"/>
          <w:sz w:val="18"/>
        </w:rPr>
        <w:t>, 34 Wake Forest Law Review 295, 321 Note 201 (1999).</w:t>
      </w:r>
    </w:p>
    <w:p>
      <w:pPr>
        <w:spacing w:after="0" w:line="244" w:lineRule="auto"/>
        <w:jc w:val="both"/>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tabs>
          <w:tab w:pos="2141" w:val="left" w:leader="none"/>
          <w:tab w:pos="3550" w:val="left" w:leader="none"/>
          <w:tab w:pos="4195" w:val="left" w:leader="none"/>
          <w:tab w:pos="5076" w:val="left" w:leader="none"/>
          <w:tab w:pos="5842" w:val="left" w:leader="none"/>
          <w:tab w:pos="6466" w:val="left" w:leader="none"/>
          <w:tab w:pos="6934" w:val="left" w:leader="none"/>
        </w:tabs>
        <w:spacing w:line="242" w:lineRule="auto" w:before="42"/>
        <w:ind w:left="1520" w:right="1518"/>
      </w:pPr>
      <w:bookmarkStart w:name="Law and Procedure 453" w:id="31"/>
      <w:bookmarkEnd w:id="31"/>
      <w:r>
        <w:rPr/>
      </w:r>
      <w:r>
        <w:rPr/>
        <w:t>the</w:t>
        <w:tab/>
        <w:t>condition</w:t>
        <w:tab/>
        <w:t>has</w:t>
        <w:tab/>
        <w:t>been</w:t>
        <w:tab/>
        <w:t>held</w:t>
        <w:tab/>
        <w:t>not</w:t>
        <w:tab/>
        <w:t>to</w:t>
        <w:tab/>
      </w:r>
      <w:r>
        <w:rPr>
          <w:spacing w:val="-9"/>
        </w:rPr>
        <w:t>be </w:t>
      </w:r>
      <w:r>
        <w:rPr/>
        <w:t>excused.</w:t>
      </w:r>
      <w:r>
        <w:rPr>
          <w:vertAlign w:val="superscript"/>
        </w:rPr>
        <w:t>942</w:t>
      </w:r>
    </w:p>
    <w:p>
      <w:pPr>
        <w:pStyle w:val="BodyText"/>
        <w:spacing w:before="1"/>
      </w:pPr>
    </w:p>
    <w:p>
      <w:pPr>
        <w:pStyle w:val="BodyText"/>
        <w:spacing w:line="242" w:lineRule="auto" w:before="1"/>
        <w:ind w:left="1520" w:right="1518" w:firstLine="720"/>
        <w:jc w:val="both"/>
      </w:pPr>
      <w:r>
        <w:rPr>
          <w:spacing w:val="3"/>
        </w:rPr>
        <w:t>In </w:t>
      </w:r>
      <w:r>
        <w:rPr/>
        <w:t>Louisiana, it has been held that</w:t>
      </w:r>
      <w:r>
        <w:rPr>
          <w:spacing w:val="-50"/>
        </w:rPr>
        <w:t> </w:t>
      </w:r>
      <w:r>
        <w:rPr/>
        <w:t>where the</w:t>
      </w:r>
      <w:r>
        <w:rPr>
          <w:spacing w:val="-25"/>
        </w:rPr>
        <w:t> </w:t>
      </w:r>
      <w:r>
        <w:rPr/>
        <w:t>policy</w:t>
      </w:r>
      <w:r>
        <w:rPr>
          <w:spacing w:val="-27"/>
        </w:rPr>
        <w:t> </w:t>
      </w:r>
      <w:r>
        <w:rPr/>
        <w:t>required</w:t>
      </w:r>
      <w:r>
        <w:rPr>
          <w:spacing w:val="-25"/>
        </w:rPr>
        <w:t> </w:t>
      </w:r>
      <w:r>
        <w:rPr/>
        <w:t>repairs</w:t>
      </w:r>
      <w:r>
        <w:rPr>
          <w:spacing w:val="-26"/>
        </w:rPr>
        <w:t> </w:t>
      </w:r>
      <w:r>
        <w:rPr/>
        <w:t>to</w:t>
      </w:r>
      <w:r>
        <w:rPr>
          <w:spacing w:val="-26"/>
        </w:rPr>
        <w:t> </w:t>
      </w:r>
      <w:r>
        <w:rPr/>
        <w:t>be</w:t>
      </w:r>
      <w:r>
        <w:rPr>
          <w:spacing w:val="-26"/>
        </w:rPr>
        <w:t> </w:t>
      </w:r>
      <w:r>
        <w:rPr/>
        <w:t>complete</w:t>
      </w:r>
      <w:r>
        <w:rPr>
          <w:spacing w:val="-25"/>
        </w:rPr>
        <w:t> </w:t>
      </w:r>
      <w:r>
        <w:rPr/>
        <w:t>and the cost of repairs to be in excess of the ACV paid on the claim </w:t>
      </w:r>
      <w:r>
        <w:rPr>
          <w:spacing w:val="2"/>
        </w:rPr>
        <w:t>in </w:t>
      </w:r>
      <w:r>
        <w:rPr/>
        <w:t>order for the RCV to be recoverable,</w:t>
      </w:r>
      <w:r>
        <w:rPr>
          <w:spacing w:val="-20"/>
        </w:rPr>
        <w:t> </w:t>
      </w:r>
      <w:r>
        <w:rPr/>
        <w:t>it</w:t>
      </w:r>
      <w:r>
        <w:rPr>
          <w:spacing w:val="-20"/>
        </w:rPr>
        <w:t> </w:t>
      </w:r>
      <w:r>
        <w:rPr/>
        <w:t>was</w:t>
      </w:r>
      <w:r>
        <w:rPr>
          <w:spacing w:val="-17"/>
        </w:rPr>
        <w:t> </w:t>
      </w:r>
      <w:r>
        <w:rPr/>
        <w:t>held</w:t>
      </w:r>
      <w:r>
        <w:rPr>
          <w:spacing w:val="-17"/>
        </w:rPr>
        <w:t> </w:t>
      </w:r>
      <w:r>
        <w:rPr/>
        <w:t>where</w:t>
      </w:r>
      <w:r>
        <w:rPr>
          <w:spacing w:val="-17"/>
        </w:rPr>
        <w:t> </w:t>
      </w:r>
      <w:r>
        <w:rPr/>
        <w:t>repairs</w:t>
      </w:r>
      <w:r>
        <w:rPr>
          <w:spacing w:val="-17"/>
        </w:rPr>
        <w:t> </w:t>
      </w:r>
      <w:r>
        <w:rPr/>
        <w:t>had</w:t>
      </w:r>
      <w:r>
        <w:rPr>
          <w:spacing w:val="-19"/>
        </w:rPr>
        <w:t> </w:t>
      </w:r>
      <w:r>
        <w:rPr/>
        <w:t>not been completed, the claim for the holdback was not yet</w:t>
      </w:r>
      <w:r>
        <w:rPr>
          <w:spacing w:val="-5"/>
        </w:rPr>
        <w:t> </w:t>
      </w:r>
      <w:r>
        <w:rPr/>
        <w:t>ripe.</w:t>
      </w:r>
      <w:r>
        <w:rPr>
          <w:vertAlign w:val="superscript"/>
        </w:rPr>
        <w:t>943</w:t>
      </w:r>
    </w:p>
    <w:p>
      <w:pPr>
        <w:pStyle w:val="BodyText"/>
      </w:pPr>
    </w:p>
    <w:p>
      <w:pPr>
        <w:pStyle w:val="BodyText"/>
        <w:spacing w:line="242" w:lineRule="auto"/>
        <w:ind w:left="1520" w:right="1518" w:firstLine="720"/>
        <w:jc w:val="both"/>
      </w:pPr>
      <w:r>
        <w:rPr>
          <w:spacing w:val="3"/>
        </w:rPr>
        <w:t>In </w:t>
      </w:r>
      <w:r>
        <w:rPr/>
        <w:t>Indiana, an insurer could not raise the defense that the insured failed to comply</w:t>
      </w:r>
      <w:r>
        <w:rPr>
          <w:spacing w:val="-37"/>
        </w:rPr>
        <w:t> </w:t>
      </w:r>
      <w:r>
        <w:rPr/>
        <w:t>with conditions precedent for replacement cost</w:t>
      </w:r>
      <w:r>
        <w:rPr>
          <w:spacing w:val="-22"/>
        </w:rPr>
        <w:t> </w:t>
      </w:r>
      <w:r>
        <w:rPr/>
        <w:t>of her property. There, the insurer allowed appraisal to proceed without mentioning the reason</w:t>
      </w:r>
      <w:r>
        <w:rPr>
          <w:spacing w:val="-11"/>
        </w:rPr>
        <w:t> </w:t>
      </w:r>
      <w:r>
        <w:rPr/>
        <w:t>for</w:t>
      </w:r>
      <w:r>
        <w:rPr>
          <w:spacing w:val="-13"/>
        </w:rPr>
        <w:t> </w:t>
      </w:r>
      <w:r>
        <w:rPr/>
        <w:t>the</w:t>
      </w:r>
      <w:r>
        <w:rPr>
          <w:spacing w:val="-11"/>
        </w:rPr>
        <w:t> </w:t>
      </w:r>
      <w:r>
        <w:rPr/>
        <w:t>difference</w:t>
      </w:r>
      <w:r>
        <w:rPr>
          <w:spacing w:val="-10"/>
        </w:rPr>
        <w:t> </w:t>
      </w:r>
      <w:r>
        <w:rPr/>
        <w:t>between</w:t>
      </w:r>
      <w:r>
        <w:rPr>
          <w:spacing w:val="-10"/>
        </w:rPr>
        <w:t> </w:t>
      </w:r>
      <w:r>
        <w:rPr/>
        <w:t>its</w:t>
      </w:r>
      <w:r>
        <w:rPr>
          <w:spacing w:val="-10"/>
        </w:rPr>
        <w:t> </w:t>
      </w:r>
      <w:r>
        <w:rPr/>
        <w:t>estimate and</w:t>
      </w:r>
      <w:r>
        <w:rPr>
          <w:spacing w:val="-15"/>
        </w:rPr>
        <w:t> </w:t>
      </w:r>
      <w:r>
        <w:rPr/>
        <w:t>the</w:t>
      </w:r>
      <w:r>
        <w:rPr>
          <w:spacing w:val="-15"/>
        </w:rPr>
        <w:t> </w:t>
      </w:r>
      <w:r>
        <w:rPr/>
        <w:t>insured’s:</w:t>
      </w:r>
      <w:r>
        <w:rPr>
          <w:spacing w:val="-19"/>
        </w:rPr>
        <w:t> </w:t>
      </w:r>
      <w:r>
        <w:rPr/>
        <w:t>that</w:t>
      </w:r>
      <w:r>
        <w:rPr>
          <w:spacing w:val="-19"/>
        </w:rPr>
        <w:t> </w:t>
      </w:r>
      <w:r>
        <w:rPr/>
        <w:t>it</w:t>
      </w:r>
      <w:r>
        <w:rPr>
          <w:spacing w:val="-16"/>
        </w:rPr>
        <w:t> </w:t>
      </w:r>
      <w:r>
        <w:rPr/>
        <w:t>had</w:t>
      </w:r>
      <w:r>
        <w:rPr>
          <w:spacing w:val="-14"/>
        </w:rPr>
        <w:t> </w:t>
      </w:r>
      <w:r>
        <w:rPr/>
        <w:t>valued</w:t>
      </w:r>
      <w:r>
        <w:rPr>
          <w:spacing w:val="-14"/>
        </w:rPr>
        <w:t> </w:t>
      </w:r>
      <w:r>
        <w:rPr/>
        <w:t>the</w:t>
      </w:r>
      <w:r>
        <w:rPr>
          <w:spacing w:val="-15"/>
        </w:rPr>
        <w:t> </w:t>
      </w:r>
      <w:r>
        <w:rPr/>
        <w:t>loss</w:t>
      </w:r>
      <w:r>
        <w:rPr>
          <w:spacing w:val="-14"/>
        </w:rPr>
        <w:t> </w:t>
      </w:r>
      <w:r>
        <w:rPr/>
        <w:t>at actual cash value while the insured did so at replacement cost value. </w:t>
      </w:r>
      <w:r>
        <w:rPr>
          <w:spacing w:val="3"/>
        </w:rPr>
        <w:t>It </w:t>
      </w:r>
      <w:r>
        <w:rPr/>
        <w:t>“permitted [the insured] to incur the personal expense of the appraisal process and the further delay it caused to her receiving any payment </w:t>
      </w:r>
      <w:r>
        <w:rPr>
          <w:spacing w:val="-3"/>
        </w:rPr>
        <w:t>under </w:t>
      </w:r>
      <w:r>
        <w:rPr>
          <w:spacing w:val="2"/>
        </w:rPr>
        <w:t>the </w:t>
      </w:r>
      <w:r>
        <w:rPr>
          <w:spacing w:val="4"/>
        </w:rPr>
        <w:t>policy. </w:t>
      </w:r>
      <w:r>
        <w:rPr>
          <w:spacing w:val="3"/>
        </w:rPr>
        <w:t>Such </w:t>
      </w:r>
      <w:r>
        <w:rPr>
          <w:spacing w:val="5"/>
        </w:rPr>
        <w:t>expense </w:t>
      </w:r>
      <w:r>
        <w:rPr>
          <w:spacing w:val="2"/>
        </w:rPr>
        <w:t>and </w:t>
      </w:r>
      <w:r>
        <w:rPr>
          <w:spacing w:val="3"/>
        </w:rPr>
        <w:t>delay </w:t>
      </w:r>
      <w:r>
        <w:rPr/>
        <w:t>represented</w:t>
      </w:r>
      <w:r>
        <w:rPr>
          <w:spacing w:val="-31"/>
        </w:rPr>
        <w:t> </w:t>
      </w:r>
      <w:r>
        <w:rPr/>
        <w:t>tangible</w:t>
      </w:r>
      <w:r>
        <w:rPr>
          <w:spacing w:val="-30"/>
        </w:rPr>
        <w:t> </w:t>
      </w:r>
      <w:r>
        <w:rPr/>
        <w:t>prejudice</w:t>
      </w:r>
      <w:r>
        <w:rPr>
          <w:spacing w:val="-28"/>
        </w:rPr>
        <w:t> </w:t>
      </w:r>
      <w:r>
        <w:rPr/>
        <w:t>to</w:t>
      </w:r>
      <w:r>
        <w:rPr>
          <w:spacing w:val="-30"/>
        </w:rPr>
        <w:t> </w:t>
      </w:r>
      <w:r>
        <w:rPr/>
        <w:t>[the</w:t>
      </w:r>
      <w:r>
        <w:rPr>
          <w:spacing w:val="-30"/>
        </w:rPr>
        <w:t> </w:t>
      </w:r>
      <w:r>
        <w:rPr/>
        <w:t>insured] caused by [the insurer]’s silence regarding its </w:t>
      </w:r>
      <w:r>
        <w:rPr>
          <w:spacing w:val="3"/>
        </w:rPr>
        <w:t>alleged policy </w:t>
      </w:r>
      <w:r>
        <w:rPr/>
        <w:t>defenses.” The </w:t>
      </w:r>
      <w:r>
        <w:rPr>
          <w:spacing w:val="4"/>
        </w:rPr>
        <w:t>insurer’s </w:t>
      </w:r>
      <w:r>
        <w:rPr/>
        <w:t>misconduct</w:t>
      </w:r>
      <w:r>
        <w:rPr>
          <w:spacing w:val="-12"/>
        </w:rPr>
        <w:t> </w:t>
      </w:r>
      <w:r>
        <w:rPr/>
        <w:t>arose</w:t>
      </w:r>
      <w:r>
        <w:rPr>
          <w:spacing w:val="-10"/>
        </w:rPr>
        <w:t> </w:t>
      </w:r>
      <w:r>
        <w:rPr/>
        <w:t>from</w:t>
      </w:r>
      <w:r>
        <w:rPr>
          <w:spacing w:val="-11"/>
        </w:rPr>
        <w:t> </w:t>
      </w:r>
      <w:r>
        <w:rPr/>
        <w:t>both</w:t>
      </w:r>
      <w:r>
        <w:rPr>
          <w:spacing w:val="-10"/>
        </w:rPr>
        <w:t> </w:t>
      </w:r>
      <w:r>
        <w:rPr/>
        <w:t>its</w:t>
      </w:r>
      <w:r>
        <w:rPr>
          <w:spacing w:val="-9"/>
        </w:rPr>
        <w:t> </w:t>
      </w:r>
      <w:r>
        <w:rPr/>
        <w:t>notice</w:t>
      </w:r>
      <w:r>
        <w:rPr>
          <w:spacing w:val="-13"/>
        </w:rPr>
        <w:t> </w:t>
      </w:r>
      <w:r>
        <w:rPr/>
        <w:t>that</w:t>
      </w:r>
      <w:r>
        <w:rPr>
          <w:spacing w:val="-14"/>
        </w:rPr>
        <w:t> </w:t>
      </w:r>
      <w:r>
        <w:rPr/>
        <w:t>the</w:t>
      </w:r>
    </w:p>
    <w:p>
      <w:pPr>
        <w:pStyle w:val="BodyText"/>
        <w:spacing w:before="9"/>
        <w:rPr>
          <w:sz w:val="27"/>
        </w:rPr>
      </w:pPr>
      <w:r>
        <w:rPr/>
        <w:pict>
          <v:shape style="position:absolute;margin-left:162pt;margin-top:19.434004pt;width:143.9pt;height:.1pt;mso-position-horizontal-relative:page;mso-position-vertical-relative:paragraph;z-index:-251632640;mso-wrap-distance-left:0;mso-wrap-distance-right:0" coordorigin="3240,389" coordsize="2878,0" path="m3240,389l6118,389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8"/>
        </w:numPr>
        <w:tabs>
          <w:tab w:pos="1430" w:val="left" w:leader="none"/>
        </w:tabs>
        <w:spacing w:line="261" w:lineRule="auto" w:before="71" w:after="0"/>
        <w:ind w:left="1160" w:right="1163" w:firstLine="0"/>
        <w:jc w:val="left"/>
        <w:rPr>
          <w:sz w:val="18"/>
        </w:rPr>
      </w:pPr>
      <w:r>
        <w:rPr>
          <w:sz w:val="18"/>
          <w:u w:val="single"/>
        </w:rPr>
        <w:t>Ward</w:t>
      </w:r>
      <w:r>
        <w:rPr>
          <w:sz w:val="18"/>
        </w:rPr>
        <w:t>,</w:t>
      </w:r>
      <w:r>
        <w:rPr>
          <w:spacing w:val="-5"/>
          <w:sz w:val="18"/>
        </w:rPr>
        <w:t> </w:t>
      </w:r>
      <w:r>
        <w:rPr>
          <w:sz w:val="18"/>
          <w:u w:val="single"/>
        </w:rPr>
        <w:t>Id.</w:t>
      </w:r>
      <w:r>
        <w:rPr>
          <w:sz w:val="18"/>
        </w:rPr>
        <w:t>;</w:t>
      </w:r>
      <w:r>
        <w:rPr>
          <w:spacing w:val="-4"/>
          <w:sz w:val="18"/>
        </w:rPr>
        <w:t> </w:t>
      </w:r>
      <w:r>
        <w:rPr>
          <w:sz w:val="18"/>
          <w:u w:val="single"/>
        </w:rPr>
        <w:t>Zaitchick</w:t>
      </w:r>
      <w:r>
        <w:rPr>
          <w:sz w:val="18"/>
        </w:rPr>
        <w:t>,</w:t>
      </w:r>
      <w:r>
        <w:rPr>
          <w:spacing w:val="-4"/>
          <w:sz w:val="18"/>
        </w:rPr>
        <w:t> </w:t>
      </w:r>
      <w:r>
        <w:rPr>
          <w:sz w:val="18"/>
          <w:u w:val="single"/>
        </w:rPr>
        <w:t>Id.</w:t>
      </w:r>
      <w:r>
        <w:rPr>
          <w:spacing w:val="-4"/>
          <w:sz w:val="18"/>
        </w:rPr>
        <w:t> </w:t>
      </w:r>
      <w:r>
        <w:rPr>
          <w:sz w:val="18"/>
        </w:rPr>
        <w:t>;</w:t>
      </w:r>
      <w:r>
        <w:rPr>
          <w:spacing w:val="-4"/>
          <w:sz w:val="18"/>
        </w:rPr>
        <w:t> </w:t>
      </w:r>
      <w:r>
        <w:rPr>
          <w:sz w:val="18"/>
          <w:u w:val="single"/>
        </w:rPr>
        <w:t>Maine</w:t>
      </w:r>
      <w:r>
        <w:rPr>
          <w:spacing w:val="-8"/>
          <w:sz w:val="18"/>
          <w:u w:val="single"/>
        </w:rPr>
        <w:t> </w:t>
      </w:r>
      <w:r>
        <w:rPr>
          <w:sz w:val="18"/>
          <w:u w:val="single"/>
        </w:rPr>
        <w:t>Mut.</w:t>
      </w:r>
      <w:r>
        <w:rPr>
          <w:spacing w:val="-6"/>
          <w:sz w:val="18"/>
          <w:u w:val="single"/>
        </w:rPr>
        <w:t> </w:t>
      </w:r>
      <w:r>
        <w:rPr>
          <w:sz w:val="18"/>
          <w:u w:val="single"/>
        </w:rPr>
        <w:t>Fire</w:t>
      </w:r>
      <w:r>
        <w:rPr>
          <w:spacing w:val="-7"/>
          <w:sz w:val="18"/>
          <w:u w:val="single"/>
        </w:rPr>
        <w:t> </w:t>
      </w:r>
      <w:r>
        <w:rPr>
          <w:sz w:val="18"/>
          <w:u w:val="single"/>
        </w:rPr>
        <w:t>Ins.</w:t>
      </w:r>
      <w:r>
        <w:rPr>
          <w:spacing w:val="-7"/>
          <w:sz w:val="18"/>
          <w:u w:val="single"/>
        </w:rPr>
        <w:t> </w:t>
      </w:r>
      <w:r>
        <w:rPr>
          <w:sz w:val="18"/>
          <w:u w:val="single"/>
        </w:rPr>
        <w:t>Co.</w:t>
      </w:r>
      <w:r>
        <w:rPr>
          <w:spacing w:val="-6"/>
          <w:sz w:val="18"/>
          <w:u w:val="single"/>
        </w:rPr>
        <w:t> </w:t>
      </w:r>
      <w:r>
        <w:rPr>
          <w:sz w:val="18"/>
          <w:u w:val="single"/>
        </w:rPr>
        <w:t>v.</w:t>
      </w:r>
      <w:r>
        <w:rPr>
          <w:spacing w:val="-6"/>
          <w:sz w:val="18"/>
          <w:u w:val="single"/>
        </w:rPr>
        <w:t> </w:t>
      </w:r>
      <w:r>
        <w:rPr>
          <w:sz w:val="18"/>
          <w:u w:val="single"/>
        </w:rPr>
        <w:t>Watson</w:t>
      </w:r>
      <w:r>
        <w:rPr>
          <w:sz w:val="18"/>
        </w:rPr>
        <w:t>,</w:t>
      </w:r>
      <w:r>
        <w:rPr>
          <w:spacing w:val="-6"/>
          <w:sz w:val="18"/>
        </w:rPr>
        <w:t> </w:t>
      </w:r>
      <w:r>
        <w:rPr>
          <w:sz w:val="18"/>
        </w:rPr>
        <w:t>532</w:t>
      </w:r>
      <w:r>
        <w:rPr>
          <w:spacing w:val="-6"/>
          <w:sz w:val="18"/>
        </w:rPr>
        <w:t> </w:t>
      </w:r>
      <w:r>
        <w:rPr>
          <w:sz w:val="18"/>
        </w:rPr>
        <w:t>A.2d</w:t>
      </w:r>
      <w:r>
        <w:rPr>
          <w:spacing w:val="-6"/>
          <w:sz w:val="18"/>
        </w:rPr>
        <w:t> </w:t>
      </w:r>
      <w:r>
        <w:rPr>
          <w:sz w:val="18"/>
        </w:rPr>
        <w:t>686,</w:t>
      </w:r>
      <w:r>
        <w:rPr>
          <w:spacing w:val="-6"/>
          <w:sz w:val="18"/>
        </w:rPr>
        <w:t> </w:t>
      </w:r>
      <w:r>
        <w:rPr>
          <w:sz w:val="18"/>
        </w:rPr>
        <w:t>688</w:t>
      </w:r>
      <w:r>
        <w:rPr>
          <w:spacing w:val="-6"/>
          <w:sz w:val="18"/>
        </w:rPr>
        <w:t> </w:t>
      </w:r>
      <w:r>
        <w:rPr>
          <w:sz w:val="18"/>
        </w:rPr>
        <w:t>(Me. 1987).</w:t>
      </w:r>
    </w:p>
    <w:p>
      <w:pPr>
        <w:pStyle w:val="ListParagraph"/>
        <w:numPr>
          <w:ilvl w:val="0"/>
          <w:numId w:val="8"/>
        </w:numPr>
        <w:tabs>
          <w:tab w:pos="1411" w:val="left" w:leader="none"/>
        </w:tabs>
        <w:spacing w:line="193" w:lineRule="exact" w:before="0" w:after="0"/>
        <w:ind w:left="1410" w:right="0" w:hanging="251"/>
        <w:jc w:val="left"/>
        <w:rPr>
          <w:sz w:val="18"/>
        </w:rPr>
      </w:pPr>
      <w:r>
        <w:rPr>
          <w:sz w:val="18"/>
          <w:u w:val="single"/>
        </w:rPr>
        <w:t>Cedar</w:t>
      </w:r>
      <w:r>
        <w:rPr>
          <w:spacing w:val="-9"/>
          <w:sz w:val="18"/>
          <w:u w:val="single"/>
        </w:rPr>
        <w:t> </w:t>
      </w:r>
      <w:r>
        <w:rPr>
          <w:sz w:val="18"/>
          <w:u w:val="single"/>
        </w:rPr>
        <w:t>Plantation</w:t>
      </w:r>
      <w:r>
        <w:rPr>
          <w:spacing w:val="-8"/>
          <w:sz w:val="18"/>
          <w:u w:val="single"/>
        </w:rPr>
        <w:t> </w:t>
      </w:r>
      <w:r>
        <w:rPr>
          <w:sz w:val="18"/>
          <w:u w:val="single"/>
        </w:rPr>
        <w:t>Condo</w:t>
      </w:r>
      <w:r>
        <w:rPr>
          <w:spacing w:val="-8"/>
          <w:sz w:val="18"/>
          <w:u w:val="single"/>
        </w:rPr>
        <w:t> </w:t>
      </w:r>
      <w:r>
        <w:rPr>
          <w:sz w:val="18"/>
          <w:u w:val="single"/>
        </w:rPr>
        <w:t>Ass’n</w:t>
      </w:r>
      <w:r>
        <w:rPr>
          <w:spacing w:val="27"/>
          <w:sz w:val="18"/>
          <w:u w:val="single"/>
        </w:rPr>
        <w:t> </w:t>
      </w:r>
      <w:r>
        <w:rPr>
          <w:sz w:val="18"/>
          <w:u w:val="single"/>
        </w:rPr>
        <w:t>v.</w:t>
      </w:r>
      <w:r>
        <w:rPr>
          <w:spacing w:val="-12"/>
          <w:sz w:val="18"/>
          <w:u w:val="single"/>
        </w:rPr>
        <w:t> </w:t>
      </w:r>
      <w:r>
        <w:rPr>
          <w:sz w:val="18"/>
          <w:u w:val="single"/>
        </w:rPr>
        <w:t>Modern</w:t>
      </w:r>
      <w:r>
        <w:rPr>
          <w:spacing w:val="-11"/>
          <w:sz w:val="18"/>
          <w:u w:val="single"/>
        </w:rPr>
        <w:t> </w:t>
      </w:r>
      <w:r>
        <w:rPr>
          <w:sz w:val="18"/>
          <w:u w:val="single"/>
        </w:rPr>
        <w:t>Select</w:t>
      </w:r>
      <w:r>
        <w:rPr>
          <w:spacing w:val="-13"/>
          <w:sz w:val="18"/>
          <w:u w:val="single"/>
        </w:rPr>
        <w:t> </w:t>
      </w:r>
      <w:r>
        <w:rPr>
          <w:sz w:val="18"/>
          <w:u w:val="single"/>
        </w:rPr>
        <w:t>Ins.</w:t>
      </w:r>
      <w:r>
        <w:rPr>
          <w:spacing w:val="-12"/>
          <w:sz w:val="18"/>
          <w:u w:val="single"/>
        </w:rPr>
        <w:t> </w:t>
      </w:r>
      <w:r>
        <w:rPr>
          <w:sz w:val="18"/>
          <w:u w:val="single"/>
        </w:rPr>
        <w:t>Co.</w:t>
      </w:r>
      <w:r>
        <w:rPr>
          <w:sz w:val="18"/>
        </w:rPr>
        <w:t>,</w:t>
      </w:r>
      <w:r>
        <w:rPr>
          <w:spacing w:val="-11"/>
          <w:sz w:val="18"/>
        </w:rPr>
        <w:t> </w:t>
      </w:r>
      <w:r>
        <w:rPr>
          <w:sz w:val="18"/>
        </w:rPr>
        <w:t>2012</w:t>
      </w:r>
      <w:r>
        <w:rPr>
          <w:spacing w:val="-12"/>
          <w:sz w:val="18"/>
        </w:rPr>
        <w:t> </w:t>
      </w:r>
      <w:r>
        <w:rPr>
          <w:sz w:val="18"/>
        </w:rPr>
        <w:t>WL</w:t>
      </w:r>
      <w:r>
        <w:rPr>
          <w:spacing w:val="-11"/>
          <w:sz w:val="18"/>
        </w:rPr>
        <w:t> </w:t>
      </w:r>
      <w:r>
        <w:rPr>
          <w:sz w:val="18"/>
        </w:rPr>
        <w:t>5364235</w:t>
      </w:r>
      <w:r>
        <w:rPr>
          <w:spacing w:val="-8"/>
          <w:sz w:val="18"/>
        </w:rPr>
        <w:t> </w:t>
      </w:r>
      <w:r>
        <w:rPr>
          <w:sz w:val="18"/>
        </w:rPr>
        <w:t>(M.D.</w:t>
      </w:r>
      <w:r>
        <w:rPr>
          <w:spacing w:val="-8"/>
          <w:sz w:val="18"/>
        </w:rPr>
        <w:t> </w:t>
      </w:r>
      <w:r>
        <w:rPr>
          <w:sz w:val="18"/>
        </w:rPr>
        <w:t>La.</w:t>
      </w:r>
    </w:p>
    <w:p>
      <w:pPr>
        <w:spacing w:before="4"/>
        <w:ind w:left="1160" w:right="0" w:firstLine="0"/>
        <w:jc w:val="left"/>
        <w:rPr>
          <w:rFonts w:ascii="Times New Roman"/>
          <w:sz w:val="18"/>
        </w:rPr>
      </w:pPr>
      <w:r>
        <w:rPr>
          <w:rFonts w:ascii="Times New Roman"/>
          <w:sz w:val="18"/>
        </w:rPr>
        <w:t>2012).</w:t>
      </w:r>
    </w:p>
    <w:p>
      <w:pPr>
        <w:spacing w:after="0"/>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454" w:id="32"/>
      <w:bookmarkEnd w:id="32"/>
      <w:r>
        <w:rPr/>
      </w:r>
      <w:r>
        <w:rPr/>
        <w:t>insured sought replacement cost coverage and</w:t>
      </w:r>
      <w:r>
        <w:rPr>
          <w:spacing w:val="-14"/>
        </w:rPr>
        <w:t> </w:t>
      </w:r>
      <w:r>
        <w:rPr/>
        <w:t>failure</w:t>
      </w:r>
      <w:r>
        <w:rPr>
          <w:spacing w:val="-16"/>
        </w:rPr>
        <w:t> </w:t>
      </w:r>
      <w:r>
        <w:rPr/>
        <w:t>to</w:t>
      </w:r>
      <w:r>
        <w:rPr>
          <w:spacing w:val="-14"/>
        </w:rPr>
        <w:t> </w:t>
      </w:r>
      <w:r>
        <w:rPr/>
        <w:t>assert</w:t>
      </w:r>
      <w:r>
        <w:rPr>
          <w:spacing w:val="-15"/>
        </w:rPr>
        <w:t> </w:t>
      </w:r>
      <w:r>
        <w:rPr/>
        <w:t>its</w:t>
      </w:r>
      <w:r>
        <w:rPr>
          <w:spacing w:val="-14"/>
        </w:rPr>
        <w:t> </w:t>
      </w:r>
      <w:r>
        <w:rPr/>
        <w:t>position</w:t>
      </w:r>
      <w:r>
        <w:rPr>
          <w:spacing w:val="-14"/>
        </w:rPr>
        <w:t> </w:t>
      </w:r>
      <w:r>
        <w:rPr/>
        <w:t>that</w:t>
      </w:r>
      <w:r>
        <w:rPr>
          <w:spacing w:val="-16"/>
        </w:rPr>
        <w:t> </w:t>
      </w:r>
      <w:r>
        <w:rPr/>
        <w:t>the</w:t>
      </w:r>
      <w:r>
        <w:rPr>
          <w:spacing w:val="-18"/>
        </w:rPr>
        <w:t> </w:t>
      </w:r>
      <w:r>
        <w:rPr/>
        <w:t>insured failed</w:t>
      </w:r>
      <w:r>
        <w:rPr>
          <w:spacing w:val="-19"/>
        </w:rPr>
        <w:t> </w:t>
      </w:r>
      <w:r>
        <w:rPr/>
        <w:t>to</w:t>
      </w:r>
      <w:r>
        <w:rPr>
          <w:spacing w:val="-15"/>
        </w:rPr>
        <w:t> </w:t>
      </w:r>
      <w:r>
        <w:rPr/>
        <w:t>give</w:t>
      </w:r>
      <w:r>
        <w:rPr>
          <w:spacing w:val="-17"/>
        </w:rPr>
        <w:t> </w:t>
      </w:r>
      <w:r>
        <w:rPr/>
        <w:t>timely</w:t>
      </w:r>
      <w:r>
        <w:rPr>
          <w:spacing w:val="-18"/>
        </w:rPr>
        <w:t> </w:t>
      </w:r>
      <w:r>
        <w:rPr/>
        <w:t>notice</w:t>
      </w:r>
      <w:r>
        <w:rPr>
          <w:spacing w:val="-17"/>
        </w:rPr>
        <w:t> </w:t>
      </w:r>
      <w:r>
        <w:rPr/>
        <w:t>of</w:t>
      </w:r>
      <w:r>
        <w:rPr>
          <w:spacing w:val="-17"/>
        </w:rPr>
        <w:t> </w:t>
      </w:r>
      <w:r>
        <w:rPr/>
        <w:t>intent</w:t>
      </w:r>
      <w:r>
        <w:rPr>
          <w:spacing w:val="-18"/>
        </w:rPr>
        <w:t> </w:t>
      </w:r>
      <w:r>
        <w:rPr/>
        <w:t>to</w:t>
      </w:r>
      <w:r>
        <w:rPr>
          <w:spacing w:val="-16"/>
        </w:rPr>
        <w:t> </w:t>
      </w:r>
      <w:r>
        <w:rPr/>
        <w:t>seek</w:t>
      </w:r>
      <w:r>
        <w:rPr>
          <w:spacing w:val="-20"/>
        </w:rPr>
        <w:t> </w:t>
      </w:r>
      <w:r>
        <w:rPr/>
        <w:t>this coverage or wasn’t entitled to it because she had not actually completed the </w:t>
      </w:r>
      <w:r>
        <w:rPr>
          <w:spacing w:val="-3"/>
        </w:rPr>
        <w:t>replacement </w:t>
      </w:r>
      <w:r>
        <w:rPr/>
        <w:t>of her</w:t>
      </w:r>
      <w:r>
        <w:rPr>
          <w:spacing w:val="-2"/>
        </w:rPr>
        <w:t> </w:t>
      </w:r>
      <w:r>
        <w:rPr/>
        <w:t>home.</w:t>
      </w:r>
      <w:r>
        <w:rPr>
          <w:vertAlign w:val="superscript"/>
        </w:rPr>
        <w:t>944</w:t>
      </w:r>
    </w:p>
    <w:p>
      <w:pPr>
        <w:pStyle w:val="BodyText"/>
      </w:pPr>
    </w:p>
    <w:p>
      <w:pPr>
        <w:pStyle w:val="BodyText"/>
        <w:spacing w:line="242" w:lineRule="auto"/>
        <w:ind w:left="1520" w:right="1517" w:firstLine="720"/>
        <w:jc w:val="both"/>
      </w:pPr>
      <w:r>
        <w:rPr/>
        <w:t>Under the plain language of </w:t>
      </w:r>
      <w:r>
        <w:rPr>
          <w:spacing w:val="-6"/>
        </w:rPr>
        <w:t>the </w:t>
      </w:r>
      <w:r>
        <w:rPr/>
        <w:t>insurance</w:t>
      </w:r>
      <w:r>
        <w:rPr>
          <w:spacing w:val="-34"/>
        </w:rPr>
        <w:t> </w:t>
      </w:r>
      <w:r>
        <w:rPr/>
        <w:t>policy,</w:t>
      </w:r>
      <w:r>
        <w:rPr>
          <w:spacing w:val="-35"/>
        </w:rPr>
        <w:t> </w:t>
      </w:r>
      <w:r>
        <w:rPr/>
        <w:t>the</w:t>
      </w:r>
      <w:r>
        <w:rPr>
          <w:spacing w:val="-33"/>
        </w:rPr>
        <w:t> </w:t>
      </w:r>
      <w:r>
        <w:rPr/>
        <w:t>fact</w:t>
      </w:r>
      <w:r>
        <w:rPr>
          <w:spacing w:val="-34"/>
        </w:rPr>
        <w:t> </w:t>
      </w:r>
      <w:r>
        <w:rPr/>
        <w:t>that</w:t>
      </w:r>
      <w:r>
        <w:rPr>
          <w:spacing w:val="-34"/>
        </w:rPr>
        <w:t> </w:t>
      </w:r>
      <w:r>
        <w:rPr/>
        <w:t>the</w:t>
      </w:r>
      <w:r>
        <w:rPr>
          <w:spacing w:val="-33"/>
        </w:rPr>
        <w:t> </w:t>
      </w:r>
      <w:r>
        <w:rPr/>
        <w:t>property</w:t>
      </w:r>
      <w:r>
        <w:rPr>
          <w:spacing w:val="-35"/>
        </w:rPr>
        <w:t> </w:t>
      </w:r>
      <w:r>
        <w:rPr/>
        <w:t>was not repaired or replaced does not preclude </w:t>
      </w:r>
      <w:r>
        <w:rPr>
          <w:spacing w:val="4"/>
        </w:rPr>
        <w:t>the matter </w:t>
      </w:r>
      <w:r>
        <w:rPr>
          <w:spacing w:val="6"/>
        </w:rPr>
        <w:t>from being </w:t>
      </w:r>
      <w:r>
        <w:rPr>
          <w:spacing w:val="5"/>
        </w:rPr>
        <w:t>submitted </w:t>
      </w:r>
      <w:r>
        <w:rPr>
          <w:spacing w:val="2"/>
        </w:rPr>
        <w:t>to </w:t>
      </w:r>
      <w:r>
        <w:rPr/>
        <w:t>appraisal.</w:t>
      </w:r>
      <w:r>
        <w:rPr>
          <w:vertAlign w:val="superscript"/>
        </w:rPr>
        <w:t>945</w:t>
      </w:r>
      <w:r>
        <w:rPr>
          <w:vertAlign w:val="baseline"/>
        </w:rPr>
        <w:t> The insurer was not liable for </w:t>
      </w:r>
      <w:r>
        <w:rPr>
          <w:spacing w:val="-13"/>
          <w:vertAlign w:val="baseline"/>
        </w:rPr>
        <w:t>the </w:t>
      </w:r>
      <w:r>
        <w:rPr>
          <w:vertAlign w:val="baseline"/>
        </w:rPr>
        <w:t>difference</w:t>
      </w:r>
      <w:r>
        <w:rPr>
          <w:spacing w:val="-33"/>
          <w:vertAlign w:val="baseline"/>
        </w:rPr>
        <w:t> </w:t>
      </w:r>
      <w:r>
        <w:rPr>
          <w:vertAlign w:val="baseline"/>
        </w:rPr>
        <w:t>between</w:t>
      </w:r>
      <w:r>
        <w:rPr>
          <w:spacing w:val="-32"/>
          <w:vertAlign w:val="baseline"/>
        </w:rPr>
        <w:t> </w:t>
      </w:r>
      <w:r>
        <w:rPr>
          <w:vertAlign w:val="baseline"/>
        </w:rPr>
        <w:t>the</w:t>
      </w:r>
      <w:r>
        <w:rPr>
          <w:spacing w:val="-32"/>
          <w:vertAlign w:val="baseline"/>
        </w:rPr>
        <w:t> </w:t>
      </w:r>
      <w:r>
        <w:rPr>
          <w:vertAlign w:val="baseline"/>
        </w:rPr>
        <w:t>actual</w:t>
      </w:r>
      <w:r>
        <w:rPr>
          <w:spacing w:val="-30"/>
          <w:vertAlign w:val="baseline"/>
        </w:rPr>
        <w:t> </w:t>
      </w:r>
      <w:r>
        <w:rPr>
          <w:vertAlign w:val="baseline"/>
        </w:rPr>
        <w:t>cash</w:t>
      </w:r>
      <w:r>
        <w:rPr>
          <w:spacing w:val="-33"/>
          <w:vertAlign w:val="baseline"/>
        </w:rPr>
        <w:t> </w:t>
      </w:r>
      <w:r>
        <w:rPr>
          <w:vertAlign w:val="baseline"/>
        </w:rPr>
        <w:t>value</w:t>
      </w:r>
      <w:r>
        <w:rPr>
          <w:spacing w:val="-33"/>
          <w:vertAlign w:val="baseline"/>
        </w:rPr>
        <w:t> </w:t>
      </w:r>
      <w:r>
        <w:rPr>
          <w:vertAlign w:val="baseline"/>
        </w:rPr>
        <w:t>and replacement cost until the insured actually replaced the</w:t>
      </w:r>
      <w:r>
        <w:rPr>
          <w:spacing w:val="-3"/>
          <w:vertAlign w:val="baseline"/>
        </w:rPr>
        <w:t> </w:t>
      </w:r>
      <w:r>
        <w:rPr>
          <w:vertAlign w:val="baseline"/>
        </w:rPr>
        <w:t>property.</w:t>
      </w:r>
      <w:r>
        <w:rPr>
          <w:vertAlign w:val="superscript"/>
        </w:rPr>
        <w:t>946</w:t>
      </w:r>
    </w:p>
    <w:p>
      <w:pPr>
        <w:pStyle w:val="BodyText"/>
        <w:spacing w:before="8"/>
        <w:rPr>
          <w:sz w:val="22"/>
        </w:rPr>
      </w:pPr>
    </w:p>
    <w:p>
      <w:pPr>
        <w:pStyle w:val="BodyText"/>
        <w:spacing w:line="242" w:lineRule="auto" w:before="41"/>
        <w:ind w:left="1520" w:right="1517" w:firstLine="720"/>
        <w:jc w:val="both"/>
      </w:pPr>
      <w:r>
        <w:rPr/>
        <w:t>This issue was dealt with in </w:t>
      </w:r>
      <w:r>
        <w:rPr>
          <w:u w:val="single"/>
        </w:rPr>
        <w:t>Woodworth</w:t>
      </w:r>
      <w:r>
        <w:rPr>
          <w:spacing w:val="-55"/>
          <w:u w:val="single"/>
        </w:rPr>
        <w:t> </w:t>
      </w:r>
      <w:r>
        <w:rPr>
          <w:u w:val="single"/>
        </w:rPr>
        <w:t>v.</w:t>
      </w:r>
      <w:r>
        <w:rPr/>
        <w:t> </w:t>
      </w:r>
      <w:r>
        <w:rPr>
          <w:u w:val="single"/>
        </w:rPr>
        <w:t>Erie Insurance Co.</w:t>
      </w:r>
      <w:r>
        <w:rPr/>
        <w:t>, where the insurer argued that it had no obligation to engage</w:t>
      </w:r>
      <w:r>
        <w:rPr>
          <w:spacing w:val="50"/>
        </w:rPr>
        <w:t> </w:t>
      </w:r>
      <w:r>
        <w:rPr/>
        <w:t>in appraisal</w:t>
      </w:r>
      <w:r>
        <w:rPr>
          <w:spacing w:val="-20"/>
        </w:rPr>
        <w:t> </w:t>
      </w:r>
      <w:r>
        <w:rPr/>
        <w:t>concerning</w:t>
      </w:r>
      <w:r>
        <w:rPr>
          <w:spacing w:val="-20"/>
        </w:rPr>
        <w:t> </w:t>
      </w:r>
      <w:r>
        <w:rPr/>
        <w:t>replacement</w:t>
      </w:r>
      <w:r>
        <w:rPr>
          <w:spacing w:val="-21"/>
        </w:rPr>
        <w:t> </w:t>
      </w:r>
      <w:r>
        <w:rPr/>
        <w:t>cost</w:t>
      </w:r>
      <w:r>
        <w:rPr>
          <w:spacing w:val="-21"/>
        </w:rPr>
        <w:t> </w:t>
      </w:r>
      <w:r>
        <w:rPr/>
        <w:t>unless and until the insureds actually rebuilt, which they</w:t>
      </w:r>
      <w:r>
        <w:rPr>
          <w:spacing w:val="-19"/>
        </w:rPr>
        <w:t> </w:t>
      </w:r>
      <w:r>
        <w:rPr/>
        <w:t>had</w:t>
      </w:r>
      <w:r>
        <w:rPr>
          <w:spacing w:val="-16"/>
        </w:rPr>
        <w:t> </w:t>
      </w:r>
      <w:r>
        <w:rPr/>
        <w:t>not</w:t>
      </w:r>
      <w:r>
        <w:rPr>
          <w:spacing w:val="-19"/>
        </w:rPr>
        <w:t> </w:t>
      </w:r>
      <w:r>
        <w:rPr/>
        <w:t>yet</w:t>
      </w:r>
      <w:r>
        <w:rPr>
          <w:spacing w:val="-19"/>
        </w:rPr>
        <w:t> </w:t>
      </w:r>
      <w:r>
        <w:rPr/>
        <w:t>done.</w:t>
      </w:r>
      <w:r>
        <w:rPr>
          <w:spacing w:val="40"/>
        </w:rPr>
        <w:t> </w:t>
      </w:r>
      <w:r>
        <w:rPr>
          <w:spacing w:val="3"/>
        </w:rPr>
        <w:t>In</w:t>
      </w:r>
      <w:r>
        <w:rPr>
          <w:spacing w:val="-17"/>
        </w:rPr>
        <w:t> </w:t>
      </w:r>
      <w:r>
        <w:rPr/>
        <w:t>its</w:t>
      </w:r>
      <w:r>
        <w:rPr>
          <w:spacing w:val="-17"/>
        </w:rPr>
        <w:t> </w:t>
      </w:r>
      <w:r>
        <w:rPr/>
        <w:t>analysis,</w:t>
      </w:r>
      <w:r>
        <w:rPr>
          <w:spacing w:val="-20"/>
        </w:rPr>
        <w:t> </w:t>
      </w:r>
      <w:r>
        <w:rPr/>
        <w:t>the</w:t>
      </w:r>
      <w:r>
        <w:rPr>
          <w:spacing w:val="-17"/>
        </w:rPr>
        <w:t> </w:t>
      </w:r>
      <w:r>
        <w:rPr/>
        <w:t>court mistakenly suggested that because provisions of the appraisal clause are binding on all parties under N.Y. Insurance Law §3404, then the law could not intend for appraisals to provide advisory or hypothetical calculations of replacement cost.</w:t>
      </w:r>
      <w:r>
        <w:rPr>
          <w:vertAlign w:val="superscript"/>
        </w:rPr>
        <w:t>947</w:t>
      </w:r>
      <w:r>
        <w:rPr>
          <w:vertAlign w:val="baseline"/>
        </w:rPr>
        <w:t> This is an</w:t>
      </w:r>
      <w:r>
        <w:rPr>
          <w:spacing w:val="26"/>
          <w:vertAlign w:val="baseline"/>
        </w:rPr>
        <w:t> </w:t>
      </w:r>
      <w:r>
        <w:rPr>
          <w:spacing w:val="-5"/>
          <w:vertAlign w:val="baseline"/>
        </w:rPr>
        <w:t>incorrect</w:t>
      </w:r>
    </w:p>
    <w:p>
      <w:pPr>
        <w:pStyle w:val="BodyText"/>
        <w:rPr>
          <w:sz w:val="20"/>
        </w:rPr>
      </w:pPr>
    </w:p>
    <w:p>
      <w:pPr>
        <w:pStyle w:val="BodyText"/>
        <w:spacing w:before="8"/>
        <w:rPr>
          <w:sz w:val="14"/>
        </w:rPr>
      </w:pPr>
    </w:p>
    <w:p>
      <w:pPr>
        <w:pStyle w:val="ListParagraph"/>
        <w:numPr>
          <w:ilvl w:val="0"/>
          <w:numId w:val="8"/>
        </w:numPr>
        <w:tabs>
          <w:tab w:pos="1421" w:val="left" w:leader="none"/>
        </w:tabs>
        <w:spacing w:line="269" w:lineRule="exact" w:before="72" w:after="0"/>
        <w:ind w:left="1421" w:right="0" w:hanging="261"/>
        <w:jc w:val="left"/>
        <w:rPr>
          <w:sz w:val="18"/>
        </w:rPr>
      </w:pPr>
      <w:r>
        <w:rPr>
          <w:sz w:val="18"/>
          <w:u w:val="single"/>
        </w:rPr>
        <w:t>Westfield Nat. Ins. Co. v. Nakoa</w:t>
      </w:r>
      <w:r>
        <w:rPr>
          <w:sz w:val="18"/>
        </w:rPr>
        <w:t>, 963 N.E.2d 1126 (Ind. Ct. App.</w:t>
      </w:r>
      <w:r>
        <w:rPr>
          <w:spacing w:val="6"/>
          <w:sz w:val="18"/>
        </w:rPr>
        <w:t> </w:t>
      </w:r>
      <w:r>
        <w:rPr>
          <w:sz w:val="18"/>
        </w:rPr>
        <w:t>2012).</w:t>
      </w:r>
    </w:p>
    <w:p>
      <w:pPr>
        <w:pStyle w:val="ListParagraph"/>
        <w:numPr>
          <w:ilvl w:val="0"/>
          <w:numId w:val="8"/>
        </w:numPr>
        <w:tabs>
          <w:tab w:pos="1435" w:val="left" w:leader="none"/>
        </w:tabs>
        <w:spacing w:line="269" w:lineRule="exact" w:before="0" w:after="0"/>
        <w:ind w:left="1434" w:right="0" w:hanging="275"/>
        <w:jc w:val="left"/>
        <w:rPr>
          <w:sz w:val="18"/>
        </w:rPr>
      </w:pPr>
      <w:r>
        <w:rPr>
          <w:sz w:val="18"/>
          <w:u w:val="single"/>
        </w:rPr>
        <w:t>Mish, Inc. v. American County Ins. Co.</w:t>
      </w:r>
      <w:r>
        <w:rPr>
          <w:sz w:val="18"/>
        </w:rPr>
        <w:t>, 2003 WL 22905161 (Conn. Super. 2003).</w:t>
      </w:r>
    </w:p>
    <w:p>
      <w:pPr>
        <w:pStyle w:val="ListParagraph"/>
        <w:numPr>
          <w:ilvl w:val="0"/>
          <w:numId w:val="8"/>
        </w:numPr>
        <w:tabs>
          <w:tab w:pos="1435" w:val="left" w:leader="none"/>
        </w:tabs>
        <w:spacing w:line="252" w:lineRule="exact" w:before="14" w:after="0"/>
        <w:ind w:left="1434" w:right="0" w:hanging="275"/>
        <w:jc w:val="left"/>
        <w:rPr>
          <w:sz w:val="18"/>
        </w:rPr>
      </w:pPr>
      <w:r>
        <w:rPr>
          <w:sz w:val="18"/>
          <w:u w:val="single"/>
        </w:rPr>
        <w:t>Casey v. Hastings Mut. Ins. Co.</w:t>
      </w:r>
      <w:r>
        <w:rPr>
          <w:sz w:val="18"/>
        </w:rPr>
        <w:t>, 2006 WL 1688082 (Mich. App.</w:t>
      </w:r>
      <w:r>
        <w:rPr>
          <w:spacing w:val="-4"/>
          <w:sz w:val="18"/>
        </w:rPr>
        <w:t> </w:t>
      </w:r>
      <w:r>
        <w:rPr>
          <w:sz w:val="18"/>
        </w:rPr>
        <w:t>2006).</w:t>
      </w:r>
    </w:p>
    <w:p>
      <w:pPr>
        <w:pStyle w:val="ListParagraph"/>
        <w:numPr>
          <w:ilvl w:val="0"/>
          <w:numId w:val="8"/>
        </w:numPr>
        <w:tabs>
          <w:tab w:pos="1421" w:val="left" w:leader="none"/>
        </w:tabs>
        <w:spacing w:line="242" w:lineRule="exact" w:before="0" w:after="0"/>
        <w:ind w:left="1421" w:right="0" w:hanging="261"/>
        <w:jc w:val="left"/>
        <w:rPr>
          <w:sz w:val="18"/>
        </w:rPr>
      </w:pPr>
      <w:r>
        <w:rPr>
          <w:sz w:val="18"/>
          <w:u w:val="single"/>
        </w:rPr>
        <w:t>Woodworth v. Erie Ins. Co.</w:t>
      </w:r>
      <w:r>
        <w:rPr>
          <w:sz w:val="18"/>
        </w:rPr>
        <w:t>, 2011 WL 98494 (W.D.N.Y.</w:t>
      </w:r>
      <w:r>
        <w:rPr>
          <w:spacing w:val="2"/>
          <w:sz w:val="18"/>
        </w:rPr>
        <w:t> </w:t>
      </w:r>
      <w:r>
        <w:rPr>
          <w:sz w:val="18"/>
        </w:rPr>
        <w:t>2011)</w:t>
      </w:r>
    </w:p>
    <w:p>
      <w:pPr>
        <w:spacing w:after="0" w:line="242" w:lineRule="exact"/>
        <w:jc w:val="left"/>
        <w:rPr>
          <w:sz w:val="18"/>
        </w:rPr>
        <w:sectPr>
          <w:footerReference w:type="default" r:id="rId12"/>
          <w:pgSz w:w="12240" w:h="15840"/>
          <w:pgMar w:footer="2477" w:header="0" w:top="1500" w:bottom="26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before="42"/>
        <w:ind w:left="1520"/>
        <w:jc w:val="both"/>
      </w:pPr>
      <w:bookmarkStart w:name="Law and Procedure 455" w:id="33"/>
      <w:bookmarkEnd w:id="33"/>
      <w:r>
        <w:rPr/>
      </w:r>
      <w:r>
        <w:rPr/>
        <w:t>interpretation of both the Insurance Law and</w:t>
      </w:r>
    </w:p>
    <w:p>
      <w:pPr>
        <w:pStyle w:val="BodyText"/>
        <w:spacing w:line="242" w:lineRule="auto" w:before="2"/>
        <w:ind w:left="1520" w:right="1515"/>
        <w:jc w:val="both"/>
      </w:pPr>
      <w:r>
        <w:rPr/>
        <w:t>N.Y. case law. </w:t>
      </w:r>
      <w:r>
        <w:rPr>
          <w:spacing w:val="2"/>
        </w:rPr>
        <w:t>As </w:t>
      </w:r>
      <w:r>
        <w:rPr/>
        <w:t>previously explained </w:t>
      </w:r>
      <w:r>
        <w:rPr>
          <w:spacing w:val="-3"/>
        </w:rPr>
        <w:t>above, the</w:t>
      </w:r>
      <w:r>
        <w:rPr>
          <w:spacing w:val="-37"/>
        </w:rPr>
        <w:t> </w:t>
      </w:r>
      <w:r>
        <w:rPr/>
        <w:t>appraisal</w:t>
      </w:r>
      <w:r>
        <w:rPr>
          <w:spacing w:val="-35"/>
        </w:rPr>
        <w:t> </w:t>
      </w:r>
      <w:r>
        <w:rPr>
          <w:spacing w:val="-3"/>
        </w:rPr>
        <w:t>amount</w:t>
      </w:r>
      <w:r>
        <w:rPr>
          <w:spacing w:val="-38"/>
        </w:rPr>
        <w:t> </w:t>
      </w:r>
      <w:r>
        <w:rPr>
          <w:spacing w:val="-3"/>
        </w:rPr>
        <w:t>concerning</w:t>
      </w:r>
      <w:r>
        <w:rPr>
          <w:spacing w:val="-35"/>
        </w:rPr>
        <w:t> </w:t>
      </w:r>
      <w:r>
        <w:rPr>
          <w:spacing w:val="-3"/>
        </w:rPr>
        <w:t>replacement </w:t>
      </w:r>
      <w:r>
        <w:rPr/>
        <w:t>cost is most definitely binding on all parties. However,</w:t>
      </w:r>
      <w:r>
        <w:rPr>
          <w:spacing w:val="-9"/>
        </w:rPr>
        <w:t> </w:t>
      </w:r>
      <w:r>
        <w:rPr/>
        <w:t>it</w:t>
      </w:r>
      <w:r>
        <w:rPr>
          <w:spacing w:val="-9"/>
        </w:rPr>
        <w:t> </w:t>
      </w:r>
      <w:r>
        <w:rPr/>
        <w:t>is</w:t>
      </w:r>
      <w:r>
        <w:rPr>
          <w:spacing w:val="-7"/>
        </w:rPr>
        <w:t> </w:t>
      </w:r>
      <w:r>
        <w:rPr/>
        <w:t>only</w:t>
      </w:r>
      <w:r>
        <w:rPr>
          <w:spacing w:val="-8"/>
        </w:rPr>
        <w:t> </w:t>
      </w:r>
      <w:r>
        <w:rPr/>
        <w:t>binding</w:t>
      </w:r>
      <w:r>
        <w:rPr>
          <w:spacing w:val="-7"/>
        </w:rPr>
        <w:t> </w:t>
      </w:r>
      <w:r>
        <w:rPr/>
        <w:t>as</w:t>
      </w:r>
      <w:r>
        <w:rPr>
          <w:spacing w:val="-6"/>
        </w:rPr>
        <w:t> </w:t>
      </w:r>
      <w:r>
        <w:rPr/>
        <w:t>to</w:t>
      </w:r>
      <w:r>
        <w:rPr>
          <w:spacing w:val="-6"/>
        </w:rPr>
        <w:t> </w:t>
      </w:r>
      <w:r>
        <w:rPr/>
        <w:t>amount</w:t>
      </w:r>
      <w:r>
        <w:rPr>
          <w:spacing w:val="-7"/>
        </w:rPr>
        <w:t> </w:t>
      </w:r>
      <w:r>
        <w:rPr/>
        <w:t>and</w:t>
      </w:r>
      <w:r>
        <w:rPr>
          <w:spacing w:val="-6"/>
        </w:rPr>
        <w:t> </w:t>
      </w:r>
      <w:r>
        <w:rPr/>
        <w:t>is only</w:t>
      </w:r>
      <w:r>
        <w:rPr>
          <w:spacing w:val="-12"/>
        </w:rPr>
        <w:t> </w:t>
      </w:r>
      <w:r>
        <w:rPr/>
        <w:t>payable</w:t>
      </w:r>
      <w:r>
        <w:rPr>
          <w:spacing w:val="-7"/>
        </w:rPr>
        <w:t> </w:t>
      </w:r>
      <w:r>
        <w:rPr/>
        <w:t>to</w:t>
      </w:r>
      <w:r>
        <w:rPr>
          <w:spacing w:val="-9"/>
        </w:rPr>
        <w:t> </w:t>
      </w:r>
      <w:r>
        <w:rPr/>
        <w:t>the</w:t>
      </w:r>
      <w:r>
        <w:rPr>
          <w:spacing w:val="-9"/>
        </w:rPr>
        <w:t> </w:t>
      </w:r>
      <w:r>
        <w:rPr/>
        <w:t>insured</w:t>
      </w:r>
      <w:r>
        <w:rPr>
          <w:spacing w:val="-11"/>
        </w:rPr>
        <w:t> </w:t>
      </w:r>
      <w:r>
        <w:rPr/>
        <w:t>once</w:t>
      </w:r>
      <w:r>
        <w:rPr>
          <w:spacing w:val="-11"/>
        </w:rPr>
        <w:t> </w:t>
      </w:r>
      <w:r>
        <w:rPr/>
        <w:t>the</w:t>
      </w:r>
      <w:r>
        <w:rPr>
          <w:spacing w:val="-12"/>
        </w:rPr>
        <w:t> </w:t>
      </w:r>
      <w:r>
        <w:rPr/>
        <w:t>property is actually repaired or replaced. Appraisers routinely</w:t>
      </w:r>
      <w:r>
        <w:rPr>
          <w:spacing w:val="-19"/>
        </w:rPr>
        <w:t> </w:t>
      </w:r>
      <w:r>
        <w:rPr/>
        <w:t>appraise</w:t>
      </w:r>
      <w:r>
        <w:rPr>
          <w:spacing w:val="-16"/>
        </w:rPr>
        <w:t> </w:t>
      </w:r>
      <w:r>
        <w:rPr/>
        <w:t>replacement</w:t>
      </w:r>
      <w:r>
        <w:rPr>
          <w:spacing w:val="-17"/>
        </w:rPr>
        <w:t> </w:t>
      </w:r>
      <w:r>
        <w:rPr/>
        <w:t>value</w:t>
      </w:r>
      <w:r>
        <w:rPr>
          <w:spacing w:val="-15"/>
        </w:rPr>
        <w:t> </w:t>
      </w:r>
      <w:r>
        <w:rPr/>
        <w:t>but</w:t>
      </w:r>
      <w:r>
        <w:rPr>
          <w:spacing w:val="-13"/>
        </w:rPr>
        <w:t> </w:t>
      </w:r>
      <w:r>
        <w:rPr/>
        <w:t>only actual cash value gets paid until the property is</w:t>
      </w:r>
      <w:r>
        <w:rPr>
          <w:spacing w:val="-2"/>
        </w:rPr>
        <w:t> </w:t>
      </w:r>
      <w:r>
        <w:rPr/>
        <w:t>repaired.</w:t>
      </w:r>
    </w:p>
    <w:p>
      <w:pPr>
        <w:spacing w:after="0" w:line="242" w:lineRule="auto"/>
        <w:jc w:val="both"/>
        <w:sectPr>
          <w:footerReference w:type="default" r:id="rId13"/>
          <w:pgSz w:w="12240" w:h="15840"/>
          <w:pgMar w:footer="2273" w:header="0" w:top="1500" w:bottom="2460" w:left="1720" w:right="1720"/>
          <w:pgNumType w:start="494"/>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ListParagraph"/>
        <w:numPr>
          <w:ilvl w:val="0"/>
          <w:numId w:val="2"/>
        </w:numPr>
        <w:tabs>
          <w:tab w:pos="2239" w:val="left" w:leader="none"/>
          <w:tab w:pos="2240" w:val="left" w:leader="none"/>
        </w:tabs>
        <w:spacing w:line="240" w:lineRule="auto" w:before="41" w:after="0"/>
        <w:ind w:left="2240" w:right="0" w:hanging="720"/>
        <w:jc w:val="left"/>
        <w:rPr>
          <w:rFonts w:ascii="Century Gothic"/>
          <w:sz w:val="26"/>
        </w:rPr>
      </w:pPr>
      <w:bookmarkStart w:name="Law and Procedure 456" w:id="34"/>
      <w:bookmarkEnd w:id="34"/>
      <w:r>
        <w:rPr/>
      </w:r>
      <w:bookmarkStart w:name="Law and Procedure 456" w:id="35"/>
      <w:bookmarkEnd w:id="35"/>
      <w:r>
        <w:rPr>
          <w:rFonts w:ascii="Century Gothic"/>
          <w:sz w:val="26"/>
        </w:rPr>
        <w:t>O</w:t>
      </w:r>
      <w:r>
        <w:rPr>
          <w:rFonts w:ascii="Century Gothic"/>
          <w:sz w:val="26"/>
        </w:rPr>
        <w:t>UTSIDE</w:t>
      </w:r>
      <w:r>
        <w:rPr>
          <w:rFonts w:ascii="Century Gothic"/>
          <w:spacing w:val="-2"/>
          <w:sz w:val="26"/>
        </w:rPr>
        <w:t> </w:t>
      </w:r>
      <w:r>
        <w:rPr>
          <w:rFonts w:ascii="Century Gothic"/>
          <w:sz w:val="26"/>
        </w:rPr>
        <w:t>EXPERTS</w:t>
      </w:r>
    </w:p>
    <w:p>
      <w:pPr>
        <w:pStyle w:val="BodyText"/>
        <w:spacing w:before="6"/>
      </w:pPr>
    </w:p>
    <w:p>
      <w:pPr>
        <w:pStyle w:val="BodyText"/>
        <w:spacing w:line="242" w:lineRule="auto"/>
        <w:ind w:left="1520" w:right="1521" w:firstLine="720"/>
        <w:jc w:val="both"/>
      </w:pPr>
      <w:r>
        <w:rPr/>
        <w:t>As there is no provision within the Standard Fire Policy or most other policies for the hiring of outside experts by either the appraisers or the umpire, the practice should only be utilized with the consent of both parties.</w:t>
      </w:r>
    </w:p>
    <w:p>
      <w:pPr>
        <w:pStyle w:val="BodyText"/>
      </w:pPr>
    </w:p>
    <w:p>
      <w:pPr>
        <w:pStyle w:val="BodyText"/>
        <w:spacing w:line="242" w:lineRule="auto"/>
        <w:ind w:left="1520" w:right="1517" w:firstLine="720"/>
        <w:jc w:val="both"/>
      </w:pPr>
      <w:r>
        <w:rPr/>
        <w:t>One can certainly imagine </w:t>
      </w:r>
      <w:r>
        <w:rPr>
          <w:spacing w:val="-3"/>
        </w:rPr>
        <w:t>many </w:t>
      </w:r>
      <w:r>
        <w:rPr/>
        <w:t>situations in complex claims where the parties would benefit from the contribution of</w:t>
      </w:r>
      <w:r>
        <w:rPr>
          <w:spacing w:val="-21"/>
        </w:rPr>
        <w:t> </w:t>
      </w:r>
      <w:r>
        <w:rPr/>
        <w:t>experts such as accountants, mold and remediation professionals, architects, engineers, builders, real estate appraisers, and</w:t>
      </w:r>
      <w:r>
        <w:rPr>
          <w:spacing w:val="-9"/>
        </w:rPr>
        <w:t> </w:t>
      </w:r>
      <w:r>
        <w:rPr/>
        <w:t>others.</w:t>
      </w:r>
    </w:p>
    <w:p>
      <w:pPr>
        <w:pStyle w:val="BodyText"/>
        <w:spacing w:before="1"/>
      </w:pPr>
    </w:p>
    <w:p>
      <w:pPr>
        <w:pStyle w:val="BodyText"/>
        <w:spacing w:line="242" w:lineRule="auto"/>
        <w:ind w:left="1520" w:right="1517" w:firstLine="720"/>
        <w:jc w:val="both"/>
      </w:pPr>
      <w:r>
        <w:rPr/>
        <w:t>The</w:t>
      </w:r>
      <w:r>
        <w:rPr>
          <w:spacing w:val="-31"/>
        </w:rPr>
        <w:t> </w:t>
      </w:r>
      <w:r>
        <w:rPr/>
        <w:t>issue</w:t>
      </w:r>
      <w:r>
        <w:rPr>
          <w:spacing w:val="-27"/>
        </w:rPr>
        <w:t> </w:t>
      </w:r>
      <w:r>
        <w:rPr/>
        <w:t>of</w:t>
      </w:r>
      <w:r>
        <w:rPr>
          <w:spacing w:val="-27"/>
        </w:rPr>
        <w:t> </w:t>
      </w:r>
      <w:r>
        <w:rPr/>
        <w:t>whether</w:t>
      </w:r>
      <w:r>
        <w:rPr>
          <w:spacing w:val="-29"/>
        </w:rPr>
        <w:t> </w:t>
      </w:r>
      <w:r>
        <w:rPr/>
        <w:t>to</w:t>
      </w:r>
      <w:r>
        <w:rPr>
          <w:spacing w:val="-28"/>
        </w:rPr>
        <w:t> </w:t>
      </w:r>
      <w:r>
        <w:rPr/>
        <w:t>retain</w:t>
      </w:r>
      <w:r>
        <w:rPr>
          <w:spacing w:val="-27"/>
        </w:rPr>
        <w:t> </w:t>
      </w:r>
      <w:r>
        <w:rPr/>
        <w:t>an</w:t>
      </w:r>
      <w:r>
        <w:rPr>
          <w:spacing w:val="-27"/>
        </w:rPr>
        <w:t> </w:t>
      </w:r>
      <w:r>
        <w:rPr/>
        <w:t>expert</w:t>
      </w:r>
      <w:r>
        <w:rPr>
          <w:spacing w:val="-29"/>
        </w:rPr>
        <w:t> </w:t>
      </w:r>
      <w:r>
        <w:rPr/>
        <w:t>or experts and the terms and conditions of the retention</w:t>
      </w:r>
      <w:r>
        <w:rPr>
          <w:spacing w:val="-30"/>
        </w:rPr>
        <w:t> </w:t>
      </w:r>
      <w:r>
        <w:rPr/>
        <w:t>are</w:t>
      </w:r>
      <w:r>
        <w:rPr>
          <w:spacing w:val="-31"/>
        </w:rPr>
        <w:t> </w:t>
      </w:r>
      <w:r>
        <w:rPr/>
        <w:t>matters</w:t>
      </w:r>
      <w:r>
        <w:rPr>
          <w:spacing w:val="-29"/>
        </w:rPr>
        <w:t> </w:t>
      </w:r>
      <w:r>
        <w:rPr/>
        <w:t>which</w:t>
      </w:r>
      <w:r>
        <w:rPr>
          <w:spacing w:val="-30"/>
        </w:rPr>
        <w:t> </w:t>
      </w:r>
      <w:r>
        <w:rPr/>
        <w:t>would</w:t>
      </w:r>
      <w:r>
        <w:rPr>
          <w:spacing w:val="-29"/>
        </w:rPr>
        <w:t> </w:t>
      </w:r>
      <w:r>
        <w:rPr/>
        <w:t>benefit</w:t>
      </w:r>
      <w:r>
        <w:rPr>
          <w:spacing w:val="-35"/>
        </w:rPr>
        <w:t> </w:t>
      </w:r>
      <w:r>
        <w:rPr/>
        <w:t>from discussion between the parties and should be specified</w:t>
      </w:r>
      <w:r>
        <w:rPr>
          <w:spacing w:val="-26"/>
        </w:rPr>
        <w:t> </w:t>
      </w:r>
      <w:r>
        <w:rPr/>
        <w:t>in</w:t>
      </w:r>
      <w:r>
        <w:rPr>
          <w:spacing w:val="-25"/>
        </w:rPr>
        <w:t> </w:t>
      </w:r>
      <w:r>
        <w:rPr/>
        <w:t>the</w:t>
      </w:r>
      <w:r>
        <w:rPr>
          <w:spacing w:val="-28"/>
        </w:rPr>
        <w:t> </w:t>
      </w:r>
      <w:r>
        <w:rPr/>
        <w:t>appraisal</w:t>
      </w:r>
      <w:r>
        <w:rPr>
          <w:spacing w:val="-25"/>
        </w:rPr>
        <w:t> </w:t>
      </w:r>
      <w:r>
        <w:rPr/>
        <w:t>agreement</w:t>
      </w:r>
      <w:r>
        <w:rPr>
          <w:spacing w:val="-29"/>
        </w:rPr>
        <w:t> </w:t>
      </w:r>
      <w:r>
        <w:rPr/>
        <w:t>between them.</w:t>
      </w:r>
    </w:p>
    <w:p>
      <w:pPr>
        <w:pStyle w:val="BodyText"/>
      </w:pPr>
    </w:p>
    <w:p>
      <w:pPr>
        <w:pStyle w:val="BodyText"/>
        <w:spacing w:line="242" w:lineRule="auto" w:before="1"/>
        <w:ind w:left="1520" w:right="1518" w:firstLine="720"/>
        <w:jc w:val="both"/>
      </w:pPr>
      <w:r>
        <w:rPr/>
        <w:t>Certainly each party should be free to adduce</w:t>
      </w:r>
      <w:r>
        <w:rPr>
          <w:spacing w:val="-17"/>
        </w:rPr>
        <w:t> </w:t>
      </w:r>
      <w:r>
        <w:rPr/>
        <w:t>such</w:t>
      </w:r>
      <w:r>
        <w:rPr>
          <w:spacing w:val="-15"/>
        </w:rPr>
        <w:t> </w:t>
      </w:r>
      <w:r>
        <w:rPr/>
        <w:t>proof</w:t>
      </w:r>
      <w:r>
        <w:rPr>
          <w:spacing w:val="-15"/>
        </w:rPr>
        <w:t> </w:t>
      </w:r>
      <w:r>
        <w:rPr/>
        <w:t>and</w:t>
      </w:r>
      <w:r>
        <w:rPr>
          <w:spacing w:val="-15"/>
        </w:rPr>
        <w:t> </w:t>
      </w:r>
      <w:r>
        <w:rPr/>
        <w:t>evidence</w:t>
      </w:r>
      <w:r>
        <w:rPr>
          <w:spacing w:val="-15"/>
        </w:rPr>
        <w:t> </w:t>
      </w:r>
      <w:r>
        <w:rPr/>
        <w:t>as</w:t>
      </w:r>
      <w:r>
        <w:rPr>
          <w:spacing w:val="-15"/>
        </w:rPr>
        <w:t> </w:t>
      </w:r>
      <w:r>
        <w:rPr/>
        <w:t>he</w:t>
      </w:r>
      <w:r>
        <w:rPr>
          <w:spacing w:val="-16"/>
        </w:rPr>
        <w:t> </w:t>
      </w:r>
      <w:r>
        <w:rPr/>
        <w:t>or</w:t>
      </w:r>
      <w:r>
        <w:rPr>
          <w:spacing w:val="-15"/>
        </w:rPr>
        <w:t> </w:t>
      </w:r>
      <w:r>
        <w:rPr/>
        <w:t>she may</w:t>
      </w:r>
      <w:r>
        <w:rPr>
          <w:spacing w:val="-19"/>
        </w:rPr>
        <w:t> </w:t>
      </w:r>
      <w:r>
        <w:rPr/>
        <w:t>deem</w:t>
      </w:r>
      <w:r>
        <w:rPr>
          <w:spacing w:val="-18"/>
        </w:rPr>
        <w:t> </w:t>
      </w:r>
      <w:r>
        <w:rPr/>
        <w:t>appropriate</w:t>
      </w:r>
      <w:r>
        <w:rPr>
          <w:spacing w:val="-16"/>
        </w:rPr>
        <w:t> </w:t>
      </w:r>
      <w:r>
        <w:rPr/>
        <w:t>in</w:t>
      </w:r>
      <w:r>
        <w:rPr>
          <w:spacing w:val="-16"/>
        </w:rPr>
        <w:t> </w:t>
      </w:r>
      <w:r>
        <w:rPr/>
        <w:t>best</w:t>
      </w:r>
      <w:r>
        <w:rPr>
          <w:spacing w:val="-19"/>
        </w:rPr>
        <w:t> </w:t>
      </w:r>
      <w:r>
        <w:rPr/>
        <w:t>presenting</w:t>
      </w:r>
      <w:r>
        <w:rPr>
          <w:spacing w:val="-15"/>
        </w:rPr>
        <w:t> </w:t>
      </w:r>
      <w:r>
        <w:rPr>
          <w:spacing w:val="-4"/>
        </w:rPr>
        <w:t>that </w:t>
      </w:r>
      <w:r>
        <w:rPr/>
        <w:t>party’s</w:t>
      </w:r>
      <w:r>
        <w:rPr>
          <w:spacing w:val="-25"/>
        </w:rPr>
        <w:t> </w:t>
      </w:r>
      <w:r>
        <w:rPr/>
        <w:t>position.</w:t>
      </w:r>
      <w:r>
        <w:rPr>
          <w:spacing w:val="22"/>
        </w:rPr>
        <w:t> </w:t>
      </w:r>
      <w:r>
        <w:rPr/>
        <w:t>However,</w:t>
      </w:r>
      <w:r>
        <w:rPr>
          <w:spacing w:val="-28"/>
        </w:rPr>
        <w:t> </w:t>
      </w:r>
      <w:r>
        <w:rPr/>
        <w:t>taken</w:t>
      </w:r>
      <w:r>
        <w:rPr>
          <w:spacing w:val="-27"/>
        </w:rPr>
        <w:t> </w:t>
      </w:r>
      <w:r>
        <w:rPr/>
        <w:t>to</w:t>
      </w:r>
      <w:r>
        <w:rPr>
          <w:spacing w:val="-26"/>
        </w:rPr>
        <w:t> </w:t>
      </w:r>
      <w:r>
        <w:rPr/>
        <w:t>its</w:t>
      </w:r>
      <w:r>
        <w:rPr>
          <w:spacing w:val="-27"/>
        </w:rPr>
        <w:t> </w:t>
      </w:r>
      <w:r>
        <w:rPr/>
        <w:t>extreme, this practice can become abusive and unfair as</w:t>
      </w:r>
      <w:r>
        <w:rPr>
          <w:spacing w:val="-8"/>
        </w:rPr>
        <w:t> </w:t>
      </w:r>
      <w:r>
        <w:rPr/>
        <w:t>the</w:t>
      </w:r>
      <w:r>
        <w:rPr>
          <w:spacing w:val="-9"/>
        </w:rPr>
        <w:t> </w:t>
      </w:r>
      <w:r>
        <w:rPr/>
        <w:t>relative</w:t>
      </w:r>
      <w:r>
        <w:rPr>
          <w:spacing w:val="-9"/>
        </w:rPr>
        <w:t> </w:t>
      </w:r>
      <w:r>
        <w:rPr/>
        <w:t>resources</w:t>
      </w:r>
      <w:r>
        <w:rPr>
          <w:spacing w:val="-9"/>
        </w:rPr>
        <w:t> </w:t>
      </w:r>
      <w:r>
        <w:rPr/>
        <w:t>of</w:t>
      </w:r>
      <w:r>
        <w:rPr>
          <w:spacing w:val="-9"/>
        </w:rPr>
        <w:t> </w:t>
      </w:r>
      <w:r>
        <w:rPr/>
        <w:t>the</w:t>
      </w:r>
      <w:r>
        <w:rPr>
          <w:spacing w:val="-7"/>
        </w:rPr>
        <w:t> </w:t>
      </w:r>
      <w:r>
        <w:rPr/>
        <w:t>parties</w:t>
      </w:r>
      <w:r>
        <w:rPr>
          <w:spacing w:val="-7"/>
        </w:rPr>
        <w:t> </w:t>
      </w:r>
      <w:r>
        <w:rPr/>
        <w:t>may</w:t>
      </w:r>
      <w:r>
        <w:rPr>
          <w:spacing w:val="-8"/>
        </w:rPr>
        <w:t> </w:t>
      </w:r>
      <w:r>
        <w:rPr/>
        <w:t>be quite</w:t>
      </w:r>
      <w:r>
        <w:rPr>
          <w:spacing w:val="-26"/>
        </w:rPr>
        <w:t> </w:t>
      </w:r>
      <w:r>
        <w:rPr/>
        <w:t>different</w:t>
      </w:r>
      <w:r>
        <w:rPr>
          <w:spacing w:val="-26"/>
        </w:rPr>
        <w:t> </w:t>
      </w:r>
      <w:r>
        <w:rPr/>
        <w:t>with</w:t>
      </w:r>
      <w:r>
        <w:rPr>
          <w:spacing w:val="-24"/>
        </w:rPr>
        <w:t> </w:t>
      </w:r>
      <w:r>
        <w:rPr/>
        <w:t>the</w:t>
      </w:r>
      <w:r>
        <w:rPr>
          <w:spacing w:val="-24"/>
        </w:rPr>
        <w:t> </w:t>
      </w:r>
      <w:r>
        <w:rPr/>
        <w:t>insurer</w:t>
      </w:r>
      <w:r>
        <w:rPr>
          <w:spacing w:val="-23"/>
        </w:rPr>
        <w:t> </w:t>
      </w:r>
      <w:r>
        <w:rPr/>
        <w:t>able</w:t>
      </w:r>
      <w:r>
        <w:rPr>
          <w:spacing w:val="-22"/>
        </w:rPr>
        <w:t> </w:t>
      </w:r>
      <w:r>
        <w:rPr/>
        <w:t>to</w:t>
      </w:r>
      <w:r>
        <w:rPr>
          <w:spacing w:val="-23"/>
        </w:rPr>
        <w:t> </w:t>
      </w:r>
      <w:r>
        <w:rPr/>
        <w:t>afford</w:t>
      </w:r>
      <w:r>
        <w:rPr>
          <w:spacing w:val="-24"/>
        </w:rPr>
        <w:t> </w:t>
      </w:r>
      <w:r>
        <w:rPr/>
        <w:t>an array</w:t>
      </w:r>
      <w:r>
        <w:rPr>
          <w:spacing w:val="29"/>
        </w:rPr>
        <w:t> </w:t>
      </w:r>
      <w:r>
        <w:rPr/>
        <w:t>of</w:t>
      </w:r>
      <w:r>
        <w:rPr>
          <w:spacing w:val="32"/>
        </w:rPr>
        <w:t> </w:t>
      </w:r>
      <w:r>
        <w:rPr/>
        <w:t>experts</w:t>
      </w:r>
      <w:r>
        <w:rPr>
          <w:spacing w:val="31"/>
        </w:rPr>
        <w:t> </w:t>
      </w:r>
      <w:r>
        <w:rPr/>
        <w:t>while</w:t>
      </w:r>
      <w:r>
        <w:rPr>
          <w:spacing w:val="34"/>
        </w:rPr>
        <w:t> </w:t>
      </w:r>
      <w:r>
        <w:rPr/>
        <w:t>the</w:t>
      </w:r>
      <w:r>
        <w:rPr>
          <w:spacing w:val="31"/>
        </w:rPr>
        <w:t> </w:t>
      </w:r>
      <w:r>
        <w:rPr/>
        <w:t>insured</w:t>
      </w:r>
      <w:r>
        <w:rPr>
          <w:spacing w:val="30"/>
        </w:rPr>
        <w:t> </w:t>
      </w:r>
      <w:r>
        <w:rPr/>
        <w:t>may</w:t>
      </w:r>
      <w:r>
        <w:rPr>
          <w:spacing w:val="29"/>
        </w:rPr>
        <w:t> </w:t>
      </w:r>
      <w:r>
        <w:rPr/>
        <w:t>be</w:t>
      </w:r>
      <w:r>
        <w:rPr>
          <w:spacing w:val="31"/>
        </w:rPr>
        <w:t> </w:t>
      </w:r>
      <w:r>
        <w:rPr/>
        <w:t>of</w:t>
      </w:r>
    </w:p>
    <w:p>
      <w:pPr>
        <w:spacing w:after="0" w:line="242" w:lineRule="auto"/>
        <w:jc w:val="both"/>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1520" w:right="1518"/>
      </w:pPr>
      <w:bookmarkStart w:name="Law and Procedure 457" w:id="36"/>
      <w:bookmarkEnd w:id="36"/>
      <w:r>
        <w:rPr/>
      </w:r>
      <w:r>
        <w:rPr/>
        <w:t>limited means particularly after suffering a severe casualty loss.</w:t>
      </w:r>
    </w:p>
    <w:p>
      <w:pPr>
        <w:pStyle w:val="BodyText"/>
        <w:spacing w:before="2"/>
      </w:pPr>
    </w:p>
    <w:p>
      <w:pPr>
        <w:pStyle w:val="BodyText"/>
        <w:spacing w:line="242" w:lineRule="auto"/>
        <w:ind w:left="1520" w:right="1518" w:firstLine="720"/>
        <w:jc w:val="both"/>
      </w:pPr>
      <w:r>
        <w:rPr/>
        <w:t>The appraisal process should not </w:t>
      </w:r>
      <w:r>
        <w:rPr>
          <w:spacing w:val="-8"/>
        </w:rPr>
        <w:t>be </w:t>
      </w:r>
      <w:r>
        <w:rPr/>
        <w:t>allowed</w:t>
      </w:r>
      <w:r>
        <w:rPr>
          <w:spacing w:val="-17"/>
        </w:rPr>
        <w:t> </w:t>
      </w:r>
      <w:r>
        <w:rPr/>
        <w:t>to</w:t>
      </w:r>
      <w:r>
        <w:rPr>
          <w:spacing w:val="-14"/>
        </w:rPr>
        <w:t> </w:t>
      </w:r>
      <w:r>
        <w:rPr/>
        <w:t>deteriorate</w:t>
      </w:r>
      <w:r>
        <w:rPr>
          <w:spacing w:val="-15"/>
        </w:rPr>
        <w:t> </w:t>
      </w:r>
      <w:r>
        <w:rPr/>
        <w:t>into</w:t>
      </w:r>
      <w:r>
        <w:rPr>
          <w:spacing w:val="-18"/>
        </w:rPr>
        <w:t> </w:t>
      </w:r>
      <w:r>
        <w:rPr/>
        <w:t>a</w:t>
      </w:r>
      <w:r>
        <w:rPr>
          <w:spacing w:val="-16"/>
        </w:rPr>
        <w:t> </w:t>
      </w:r>
      <w:r>
        <w:rPr/>
        <w:t>barometer</w:t>
      </w:r>
      <w:r>
        <w:rPr>
          <w:spacing w:val="-19"/>
        </w:rPr>
        <w:t> </w:t>
      </w:r>
      <w:r>
        <w:rPr/>
        <w:t>of</w:t>
      </w:r>
      <w:r>
        <w:rPr>
          <w:spacing w:val="-16"/>
        </w:rPr>
        <w:t> </w:t>
      </w:r>
      <w:r>
        <w:rPr/>
        <w:t>the parties’ relative</w:t>
      </w:r>
      <w:r>
        <w:rPr>
          <w:spacing w:val="-3"/>
        </w:rPr>
        <w:t> </w:t>
      </w:r>
      <w:r>
        <w:rPr/>
        <w:t>wealth.</w:t>
      </w:r>
    </w:p>
    <w:p>
      <w:pPr>
        <w:pStyle w:val="BodyText"/>
        <w:spacing w:before="2"/>
      </w:pPr>
    </w:p>
    <w:p>
      <w:pPr>
        <w:pStyle w:val="BodyText"/>
        <w:spacing w:line="242" w:lineRule="auto"/>
        <w:ind w:left="1520" w:right="1518" w:firstLine="720"/>
        <w:jc w:val="both"/>
      </w:pPr>
      <w:r>
        <w:rPr/>
        <w:t>Similarly, the umpire should refrain from hiring</w:t>
      </w:r>
      <w:r>
        <w:rPr>
          <w:spacing w:val="-11"/>
        </w:rPr>
        <w:t> </w:t>
      </w:r>
      <w:r>
        <w:rPr/>
        <w:t>or</w:t>
      </w:r>
      <w:r>
        <w:rPr>
          <w:spacing w:val="-9"/>
        </w:rPr>
        <w:t> </w:t>
      </w:r>
      <w:r>
        <w:rPr/>
        <w:t>consulting</w:t>
      </w:r>
      <w:r>
        <w:rPr>
          <w:spacing w:val="-9"/>
        </w:rPr>
        <w:t> </w:t>
      </w:r>
      <w:r>
        <w:rPr/>
        <w:t>outside</w:t>
      </w:r>
      <w:r>
        <w:rPr>
          <w:spacing w:val="-11"/>
        </w:rPr>
        <w:t> </w:t>
      </w:r>
      <w:r>
        <w:rPr/>
        <w:t>experts</w:t>
      </w:r>
      <w:r>
        <w:rPr>
          <w:spacing w:val="-9"/>
        </w:rPr>
        <w:t> </w:t>
      </w:r>
      <w:r>
        <w:rPr/>
        <w:t>without</w:t>
      </w:r>
      <w:r>
        <w:rPr>
          <w:spacing w:val="-10"/>
        </w:rPr>
        <w:t> </w:t>
      </w:r>
      <w:r>
        <w:rPr/>
        <w:t>the consent of both parties. Initially, as the parties will</w:t>
      </w:r>
      <w:r>
        <w:rPr>
          <w:spacing w:val="-13"/>
        </w:rPr>
        <w:t> </w:t>
      </w:r>
      <w:r>
        <w:rPr/>
        <w:t>have</w:t>
      </w:r>
      <w:r>
        <w:rPr>
          <w:spacing w:val="-15"/>
        </w:rPr>
        <w:t> </w:t>
      </w:r>
      <w:r>
        <w:rPr/>
        <w:t>to</w:t>
      </w:r>
      <w:r>
        <w:rPr>
          <w:spacing w:val="-12"/>
        </w:rPr>
        <w:t> </w:t>
      </w:r>
      <w:r>
        <w:rPr/>
        <w:t>bear</w:t>
      </w:r>
      <w:r>
        <w:rPr>
          <w:spacing w:val="-13"/>
        </w:rPr>
        <w:t> </w:t>
      </w:r>
      <w:r>
        <w:rPr/>
        <w:t>the</w:t>
      </w:r>
      <w:r>
        <w:rPr>
          <w:spacing w:val="-12"/>
        </w:rPr>
        <w:t> </w:t>
      </w:r>
      <w:r>
        <w:rPr/>
        <w:t>cost</w:t>
      </w:r>
      <w:r>
        <w:rPr>
          <w:spacing w:val="-14"/>
        </w:rPr>
        <w:t> </w:t>
      </w:r>
      <w:r>
        <w:rPr/>
        <w:t>of</w:t>
      </w:r>
      <w:r>
        <w:rPr>
          <w:spacing w:val="-11"/>
        </w:rPr>
        <w:t> </w:t>
      </w:r>
      <w:r>
        <w:rPr/>
        <w:t>the</w:t>
      </w:r>
      <w:r>
        <w:rPr>
          <w:spacing w:val="-13"/>
        </w:rPr>
        <w:t> </w:t>
      </w:r>
      <w:r>
        <w:rPr/>
        <w:t>expert(s),</w:t>
      </w:r>
      <w:r>
        <w:rPr>
          <w:spacing w:val="-14"/>
        </w:rPr>
        <w:t> </w:t>
      </w:r>
      <w:r>
        <w:rPr/>
        <w:t>they should be the ultimate arbiters of what that expense will include. Additionally, the umpire is brought into the process to make an independent judgment and help in resolving </w:t>
      </w:r>
      <w:r>
        <w:rPr>
          <w:spacing w:val="5"/>
        </w:rPr>
        <w:t>the </w:t>
      </w:r>
      <w:r>
        <w:rPr>
          <w:spacing w:val="7"/>
        </w:rPr>
        <w:t>differences </w:t>
      </w:r>
      <w:r>
        <w:rPr>
          <w:spacing w:val="4"/>
        </w:rPr>
        <w:t>between </w:t>
      </w:r>
      <w:r>
        <w:rPr>
          <w:spacing w:val="5"/>
        </w:rPr>
        <w:t>the </w:t>
      </w:r>
      <w:r>
        <w:rPr>
          <w:spacing w:val="7"/>
        </w:rPr>
        <w:t>parties’ </w:t>
      </w:r>
      <w:r>
        <w:rPr/>
        <w:t>appraisers. </w:t>
      </w:r>
      <w:r>
        <w:rPr>
          <w:spacing w:val="2"/>
        </w:rPr>
        <w:t>As </w:t>
      </w:r>
      <w:r>
        <w:rPr/>
        <w:t>there </w:t>
      </w:r>
      <w:r>
        <w:rPr>
          <w:spacing w:val="2"/>
        </w:rPr>
        <w:t>is </w:t>
      </w:r>
      <w:r>
        <w:rPr/>
        <w:t>no contractual contemplation of the umpire’s reliance upon experts, this practice should not be forced on either</w:t>
      </w:r>
      <w:r>
        <w:rPr>
          <w:spacing w:val="-3"/>
        </w:rPr>
        <w:t> </w:t>
      </w:r>
      <w:r>
        <w:rPr/>
        <w:t>party.</w:t>
      </w:r>
    </w:p>
    <w:p>
      <w:pPr>
        <w:pStyle w:val="BodyText"/>
        <w:spacing w:before="10"/>
        <w:rPr>
          <w:sz w:val="25"/>
        </w:rPr>
      </w:pPr>
    </w:p>
    <w:p>
      <w:pPr>
        <w:pStyle w:val="BodyText"/>
        <w:spacing w:line="242" w:lineRule="auto"/>
        <w:ind w:left="1520" w:right="1518" w:firstLine="720"/>
        <w:jc w:val="both"/>
      </w:pPr>
      <w:r>
        <w:rPr>
          <w:spacing w:val="-3"/>
        </w:rPr>
        <w:t>To </w:t>
      </w:r>
      <w:r>
        <w:rPr/>
        <w:t>the extent the parties approve of the hiring</w:t>
      </w:r>
      <w:r>
        <w:rPr>
          <w:spacing w:val="-24"/>
        </w:rPr>
        <w:t> </w:t>
      </w:r>
      <w:r>
        <w:rPr/>
        <w:t>of</w:t>
      </w:r>
      <w:r>
        <w:rPr>
          <w:spacing w:val="-22"/>
        </w:rPr>
        <w:t> </w:t>
      </w:r>
      <w:r>
        <w:rPr/>
        <w:t>an</w:t>
      </w:r>
      <w:r>
        <w:rPr>
          <w:spacing w:val="-23"/>
        </w:rPr>
        <w:t> </w:t>
      </w:r>
      <w:r>
        <w:rPr/>
        <w:t>outside</w:t>
      </w:r>
      <w:r>
        <w:rPr>
          <w:spacing w:val="-24"/>
        </w:rPr>
        <w:t> </w:t>
      </w:r>
      <w:r>
        <w:rPr/>
        <w:t>expert</w:t>
      </w:r>
      <w:r>
        <w:rPr>
          <w:spacing w:val="-29"/>
        </w:rPr>
        <w:t> </w:t>
      </w:r>
      <w:r>
        <w:rPr/>
        <w:t>or</w:t>
      </w:r>
      <w:r>
        <w:rPr>
          <w:spacing w:val="-26"/>
        </w:rPr>
        <w:t> </w:t>
      </w:r>
      <w:r>
        <w:rPr/>
        <w:t>consultant</w:t>
      </w:r>
      <w:r>
        <w:rPr>
          <w:spacing w:val="-27"/>
        </w:rPr>
        <w:t> </w:t>
      </w:r>
      <w:r>
        <w:rPr/>
        <w:t>to</w:t>
      </w:r>
      <w:r>
        <w:rPr>
          <w:spacing w:val="-22"/>
        </w:rPr>
        <w:t> </w:t>
      </w:r>
      <w:r>
        <w:rPr/>
        <w:t>lend assistance to the umpire in drawing his conclusions, the umpire must be mindful of avoiding the retention of experts who are beholden to one party or the other or </w:t>
      </w:r>
      <w:r>
        <w:rPr>
          <w:spacing w:val="-4"/>
        </w:rPr>
        <w:t>whose</w:t>
      </w:r>
      <w:r>
        <w:rPr>
          <w:spacing w:val="63"/>
        </w:rPr>
        <w:t> </w:t>
      </w:r>
      <w:r>
        <w:rPr/>
        <w:t>judgment</w:t>
      </w:r>
      <w:r>
        <w:rPr>
          <w:spacing w:val="-17"/>
        </w:rPr>
        <w:t> </w:t>
      </w:r>
      <w:r>
        <w:rPr/>
        <w:t>may</w:t>
      </w:r>
      <w:r>
        <w:rPr>
          <w:spacing w:val="-17"/>
        </w:rPr>
        <w:t> </w:t>
      </w:r>
      <w:r>
        <w:rPr/>
        <w:t>be</w:t>
      </w:r>
      <w:r>
        <w:rPr>
          <w:spacing w:val="-15"/>
        </w:rPr>
        <w:t> </w:t>
      </w:r>
      <w:r>
        <w:rPr/>
        <w:t>affected</w:t>
      </w:r>
      <w:r>
        <w:rPr>
          <w:spacing w:val="-15"/>
        </w:rPr>
        <w:t> </w:t>
      </w:r>
      <w:r>
        <w:rPr/>
        <w:t>by</w:t>
      </w:r>
      <w:r>
        <w:rPr>
          <w:spacing w:val="-13"/>
        </w:rPr>
        <w:t> </w:t>
      </w:r>
      <w:r>
        <w:rPr/>
        <w:t>the</w:t>
      </w:r>
      <w:r>
        <w:rPr>
          <w:spacing w:val="-16"/>
        </w:rPr>
        <w:t> </w:t>
      </w:r>
      <w:r>
        <w:rPr/>
        <w:t>prospect</w:t>
      </w:r>
      <w:r>
        <w:rPr>
          <w:spacing w:val="-14"/>
        </w:rPr>
        <w:t> </w:t>
      </w:r>
      <w:r>
        <w:rPr>
          <w:spacing w:val="-6"/>
        </w:rPr>
        <w:t>of </w:t>
      </w:r>
      <w:r>
        <w:rPr/>
        <w:t>future business with one of the parties, past dealings or other</w:t>
      </w:r>
      <w:r>
        <w:rPr>
          <w:spacing w:val="68"/>
        </w:rPr>
        <w:t> </w:t>
      </w:r>
      <w:r>
        <w:rPr/>
        <w:t>considerations.</w:t>
      </w:r>
    </w:p>
    <w:p>
      <w:pPr>
        <w:spacing w:after="0" w:line="242" w:lineRule="auto"/>
        <w:jc w:val="both"/>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1520" w:right="1518" w:firstLine="720"/>
        <w:jc w:val="both"/>
      </w:pPr>
      <w:bookmarkStart w:name="Law and Procedure 458" w:id="37"/>
      <w:bookmarkEnd w:id="37"/>
      <w:r>
        <w:rPr/>
      </w:r>
      <w:r>
        <w:rPr/>
        <w:t>Situations may occur where a building damage</w:t>
      </w:r>
      <w:r>
        <w:rPr>
          <w:spacing w:val="-31"/>
        </w:rPr>
        <w:t> </w:t>
      </w:r>
      <w:r>
        <w:rPr/>
        <w:t>appraiser</w:t>
      </w:r>
      <w:r>
        <w:rPr>
          <w:spacing w:val="-32"/>
        </w:rPr>
        <w:t> </w:t>
      </w:r>
      <w:r>
        <w:rPr/>
        <w:t>is</w:t>
      </w:r>
      <w:r>
        <w:rPr>
          <w:spacing w:val="-30"/>
        </w:rPr>
        <w:t> </w:t>
      </w:r>
      <w:r>
        <w:rPr/>
        <w:t>brought</w:t>
      </w:r>
      <w:r>
        <w:rPr>
          <w:spacing w:val="-29"/>
        </w:rPr>
        <w:t> </w:t>
      </w:r>
      <w:r>
        <w:rPr/>
        <w:t>in</w:t>
      </w:r>
      <w:r>
        <w:rPr>
          <w:spacing w:val="-31"/>
        </w:rPr>
        <w:t> </w:t>
      </w:r>
      <w:r>
        <w:rPr/>
        <w:t>as</w:t>
      </w:r>
      <w:r>
        <w:rPr>
          <w:spacing w:val="-28"/>
        </w:rPr>
        <w:t> </w:t>
      </w:r>
      <w:r>
        <w:rPr/>
        <w:t>a</w:t>
      </w:r>
      <w:r>
        <w:rPr>
          <w:spacing w:val="-27"/>
        </w:rPr>
        <w:t> </w:t>
      </w:r>
      <w:r>
        <w:rPr/>
        <w:t>consultant by the umpire who may hope to win future appraisal</w:t>
      </w:r>
      <w:r>
        <w:rPr>
          <w:spacing w:val="-32"/>
        </w:rPr>
        <w:t> </w:t>
      </w:r>
      <w:r>
        <w:rPr/>
        <w:t>business</w:t>
      </w:r>
      <w:r>
        <w:rPr>
          <w:spacing w:val="-32"/>
        </w:rPr>
        <w:t> </w:t>
      </w:r>
      <w:r>
        <w:rPr/>
        <w:t>from</w:t>
      </w:r>
      <w:r>
        <w:rPr>
          <w:spacing w:val="-32"/>
        </w:rPr>
        <w:t> </w:t>
      </w:r>
      <w:r>
        <w:rPr>
          <w:spacing w:val="-3"/>
        </w:rPr>
        <w:t>the</w:t>
      </w:r>
      <w:r>
        <w:rPr>
          <w:spacing w:val="-34"/>
        </w:rPr>
        <w:t> </w:t>
      </w:r>
      <w:r>
        <w:rPr/>
        <w:t>insurance</w:t>
      </w:r>
      <w:r>
        <w:rPr>
          <w:spacing w:val="-32"/>
        </w:rPr>
        <w:t> </w:t>
      </w:r>
      <w:r>
        <w:rPr/>
        <w:t>carrier,</w:t>
      </w:r>
      <w:r>
        <w:rPr>
          <w:spacing w:val="-36"/>
        </w:rPr>
        <w:t> </w:t>
      </w:r>
      <w:r>
        <w:rPr/>
        <w:t>or perhaps, where a building contractor </w:t>
      </w:r>
      <w:r>
        <w:rPr>
          <w:spacing w:val="-6"/>
        </w:rPr>
        <w:t>is </w:t>
      </w:r>
      <w:r>
        <w:rPr/>
        <w:t>retained to render an opinion for the umpire who may have aspirations of actually obtaining the reconstruction job and making the repairs at the conclusion of appraisal. Either circumstance would destroy their independence and disqualify</w:t>
      </w:r>
      <w:r>
        <w:rPr>
          <w:spacing w:val="-6"/>
        </w:rPr>
        <w:t> </w:t>
      </w:r>
      <w:r>
        <w:rPr/>
        <w:t>them.</w:t>
      </w:r>
    </w:p>
    <w:p>
      <w:pPr>
        <w:pStyle w:val="BodyText"/>
        <w:spacing w:before="11"/>
        <w:rPr>
          <w:sz w:val="25"/>
        </w:rPr>
      </w:pPr>
    </w:p>
    <w:p>
      <w:pPr>
        <w:pStyle w:val="BodyText"/>
        <w:spacing w:line="242" w:lineRule="auto"/>
        <w:ind w:left="1520" w:right="1517" w:firstLine="720"/>
        <w:jc w:val="both"/>
      </w:pPr>
      <w:r>
        <w:rPr/>
        <w:t>While experts retained by the appraisers may</w:t>
      </w:r>
      <w:r>
        <w:rPr>
          <w:spacing w:val="-15"/>
        </w:rPr>
        <w:t> </w:t>
      </w:r>
      <w:r>
        <w:rPr/>
        <w:t>properly</w:t>
      </w:r>
      <w:r>
        <w:rPr>
          <w:spacing w:val="-14"/>
        </w:rPr>
        <w:t> </w:t>
      </w:r>
      <w:r>
        <w:rPr/>
        <w:t>advocate</w:t>
      </w:r>
      <w:r>
        <w:rPr>
          <w:spacing w:val="-13"/>
        </w:rPr>
        <w:t> </w:t>
      </w:r>
      <w:r>
        <w:rPr/>
        <w:t>on</w:t>
      </w:r>
      <w:r>
        <w:rPr>
          <w:spacing w:val="-11"/>
        </w:rPr>
        <w:t> </w:t>
      </w:r>
      <w:r>
        <w:rPr/>
        <w:t>behalf</w:t>
      </w:r>
      <w:r>
        <w:rPr>
          <w:spacing w:val="-10"/>
        </w:rPr>
        <w:t> </w:t>
      </w:r>
      <w:r>
        <w:rPr/>
        <w:t>of</w:t>
      </w:r>
      <w:r>
        <w:rPr>
          <w:spacing w:val="-14"/>
        </w:rPr>
        <w:t> </w:t>
      </w:r>
      <w:r>
        <w:rPr/>
        <w:t>the</w:t>
      </w:r>
      <w:r>
        <w:rPr>
          <w:spacing w:val="-12"/>
        </w:rPr>
        <w:t> </w:t>
      </w:r>
      <w:r>
        <w:rPr>
          <w:spacing w:val="-4"/>
        </w:rPr>
        <w:t>party </w:t>
      </w:r>
      <w:r>
        <w:rPr/>
        <w:t>that</w:t>
      </w:r>
      <w:r>
        <w:rPr>
          <w:spacing w:val="-34"/>
        </w:rPr>
        <w:t> </w:t>
      </w:r>
      <w:r>
        <w:rPr/>
        <w:t>hired</w:t>
      </w:r>
      <w:r>
        <w:rPr>
          <w:spacing w:val="-30"/>
        </w:rPr>
        <w:t> </w:t>
      </w:r>
      <w:r>
        <w:rPr/>
        <w:t>them,</w:t>
      </w:r>
      <w:r>
        <w:rPr>
          <w:spacing w:val="-34"/>
        </w:rPr>
        <w:t> </w:t>
      </w:r>
      <w:r>
        <w:rPr/>
        <w:t>experts</w:t>
      </w:r>
      <w:r>
        <w:rPr>
          <w:spacing w:val="-30"/>
        </w:rPr>
        <w:t> </w:t>
      </w:r>
      <w:r>
        <w:rPr/>
        <w:t>retained</w:t>
      </w:r>
      <w:r>
        <w:rPr>
          <w:spacing w:val="-31"/>
        </w:rPr>
        <w:t> </w:t>
      </w:r>
      <w:r>
        <w:rPr/>
        <w:t>by</w:t>
      </w:r>
      <w:r>
        <w:rPr>
          <w:spacing w:val="-31"/>
        </w:rPr>
        <w:t> </w:t>
      </w:r>
      <w:r>
        <w:rPr/>
        <w:t>the</w:t>
      </w:r>
      <w:r>
        <w:rPr>
          <w:spacing w:val="-35"/>
        </w:rPr>
        <w:t> </w:t>
      </w:r>
      <w:r>
        <w:rPr/>
        <w:t>umpire should bring to the table the same level of impartiality and neutrality as required by the umpire. Therefore, information regarding past dealings</w:t>
      </w:r>
      <w:r>
        <w:rPr>
          <w:spacing w:val="-27"/>
        </w:rPr>
        <w:t> </w:t>
      </w:r>
      <w:r>
        <w:rPr/>
        <w:t>with</w:t>
      </w:r>
      <w:r>
        <w:rPr>
          <w:spacing w:val="-27"/>
        </w:rPr>
        <w:t> </w:t>
      </w:r>
      <w:r>
        <w:rPr/>
        <w:t>the</w:t>
      </w:r>
      <w:r>
        <w:rPr>
          <w:spacing w:val="-25"/>
        </w:rPr>
        <w:t> </w:t>
      </w:r>
      <w:r>
        <w:rPr/>
        <w:t>parties,</w:t>
      </w:r>
      <w:r>
        <w:rPr>
          <w:spacing w:val="-30"/>
        </w:rPr>
        <w:t> </w:t>
      </w:r>
      <w:r>
        <w:rPr/>
        <w:t>the</w:t>
      </w:r>
      <w:r>
        <w:rPr>
          <w:spacing w:val="-28"/>
        </w:rPr>
        <w:t> </w:t>
      </w:r>
      <w:r>
        <w:rPr/>
        <w:t>prospect</w:t>
      </w:r>
      <w:r>
        <w:rPr>
          <w:spacing w:val="-27"/>
        </w:rPr>
        <w:t> </w:t>
      </w:r>
      <w:r>
        <w:rPr/>
        <w:t>of</w:t>
      </w:r>
      <w:r>
        <w:rPr>
          <w:spacing w:val="-27"/>
        </w:rPr>
        <w:t> </w:t>
      </w:r>
      <w:r>
        <w:rPr/>
        <w:t>future business, and other related issues should be disclosed and discussed prior to the retention of the expert by the umpire</w:t>
      </w:r>
      <w:r>
        <w:rPr>
          <w:spacing w:val="-12"/>
        </w:rPr>
        <w:t> </w:t>
      </w:r>
      <w:r>
        <w:rPr/>
        <w:t>himself.</w:t>
      </w:r>
    </w:p>
    <w:p>
      <w:pPr>
        <w:spacing w:after="0" w:line="242" w:lineRule="auto"/>
        <w:jc w:val="both"/>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ListParagraph"/>
        <w:numPr>
          <w:ilvl w:val="0"/>
          <w:numId w:val="2"/>
        </w:numPr>
        <w:tabs>
          <w:tab w:pos="2239" w:val="left" w:leader="none"/>
          <w:tab w:pos="2240" w:val="left" w:leader="none"/>
        </w:tabs>
        <w:spacing w:line="242" w:lineRule="auto" w:before="41" w:after="0"/>
        <w:ind w:left="2240" w:right="2762" w:hanging="720"/>
        <w:jc w:val="left"/>
        <w:rPr>
          <w:rFonts w:ascii="Century Gothic"/>
          <w:sz w:val="26"/>
        </w:rPr>
      </w:pPr>
      <w:bookmarkStart w:name="Law and Procedure 459" w:id="38"/>
      <w:bookmarkEnd w:id="38"/>
      <w:r>
        <w:rPr/>
      </w:r>
      <w:bookmarkStart w:name="Law and Procedure 459" w:id="39"/>
      <w:bookmarkEnd w:id="39"/>
      <w:r>
        <w:rPr>
          <w:rFonts w:ascii="Century Gothic"/>
          <w:sz w:val="26"/>
        </w:rPr>
        <w:t>NO</w:t>
      </w:r>
      <w:r>
        <w:rPr>
          <w:rFonts w:ascii="Century Gothic"/>
          <w:sz w:val="26"/>
        </w:rPr>
        <w:t>TICE, ADJOURNMENTS </w:t>
      </w:r>
      <w:r>
        <w:rPr>
          <w:rFonts w:ascii="Century Gothic"/>
          <w:spacing w:val="-4"/>
          <w:sz w:val="26"/>
        </w:rPr>
        <w:t>AND </w:t>
      </w:r>
      <w:r>
        <w:rPr>
          <w:rFonts w:ascii="Century Gothic"/>
          <w:sz w:val="26"/>
        </w:rPr>
        <w:t>CANCELLATIONS</w:t>
      </w:r>
    </w:p>
    <w:p>
      <w:pPr>
        <w:pStyle w:val="BodyText"/>
        <w:spacing w:before="2"/>
      </w:pPr>
    </w:p>
    <w:p>
      <w:pPr>
        <w:pStyle w:val="BodyText"/>
        <w:spacing w:line="242" w:lineRule="auto"/>
        <w:ind w:left="1520" w:right="1518" w:firstLine="720"/>
        <w:jc w:val="both"/>
      </w:pPr>
      <w:r>
        <w:rPr/>
        <w:t>Notice of any appraisal, hearing or meeting should be given to the parties as a matter of good practice. However, there is a divergence of opinion as to whether formal notice of such hearing or meeting is mandatory. Several cases have held that appraisers must give notice to the parties of their meeting.</w:t>
      </w:r>
      <w:r>
        <w:rPr>
          <w:vertAlign w:val="superscript"/>
        </w:rPr>
        <w:t>948</w:t>
      </w:r>
      <w:r>
        <w:rPr>
          <w:vertAlign w:val="baseline"/>
        </w:rPr>
        <w:t> However, other courts have come to the opposite conclusion.</w:t>
      </w:r>
      <w:r>
        <w:rPr>
          <w:vertAlign w:val="superscript"/>
        </w:rPr>
        <w:t>949</w:t>
      </w:r>
    </w:p>
    <w:p>
      <w:pPr>
        <w:pStyle w:val="BodyText"/>
      </w:pPr>
    </w:p>
    <w:p>
      <w:pPr>
        <w:pStyle w:val="BodyText"/>
        <w:spacing w:line="242" w:lineRule="auto"/>
        <w:ind w:left="1520" w:right="1517" w:firstLine="720"/>
        <w:jc w:val="both"/>
      </w:pPr>
      <w:r>
        <w:rPr>
          <w:spacing w:val="3"/>
        </w:rPr>
        <w:t>In </w:t>
      </w:r>
      <w:r>
        <w:rPr/>
        <w:t>more formalistic states such as Florida </w:t>
      </w:r>
      <w:r>
        <w:rPr>
          <w:spacing w:val="9"/>
        </w:rPr>
        <w:t>or </w:t>
      </w:r>
      <w:r>
        <w:rPr>
          <w:spacing w:val="17"/>
        </w:rPr>
        <w:t>Connecticut, </w:t>
      </w:r>
      <w:r>
        <w:rPr>
          <w:spacing w:val="15"/>
        </w:rPr>
        <w:t>absent </w:t>
      </w:r>
      <w:r>
        <w:rPr>
          <w:spacing w:val="14"/>
        </w:rPr>
        <w:t>emergency, </w:t>
      </w:r>
      <w:r>
        <w:rPr/>
        <w:t>adjournment of the appraisal hearing may</w:t>
      </w:r>
      <w:r>
        <w:rPr>
          <w:spacing w:val="-29"/>
        </w:rPr>
        <w:t> </w:t>
      </w:r>
      <w:r>
        <w:rPr/>
        <w:t>be made only upon reasonable notification to</w:t>
      </w:r>
      <w:r>
        <w:rPr>
          <w:spacing w:val="-25"/>
        </w:rPr>
        <w:t> </w:t>
      </w:r>
      <w:r>
        <w:rPr/>
        <w:t>all parties</w:t>
      </w:r>
      <w:r>
        <w:rPr>
          <w:spacing w:val="-30"/>
        </w:rPr>
        <w:t> </w:t>
      </w:r>
      <w:r>
        <w:rPr/>
        <w:t>and</w:t>
      </w:r>
      <w:r>
        <w:rPr>
          <w:spacing w:val="-29"/>
        </w:rPr>
        <w:t> </w:t>
      </w:r>
      <w:r>
        <w:rPr/>
        <w:t>only</w:t>
      </w:r>
      <w:r>
        <w:rPr>
          <w:spacing w:val="-30"/>
        </w:rPr>
        <w:t> </w:t>
      </w:r>
      <w:r>
        <w:rPr/>
        <w:t>a</w:t>
      </w:r>
      <w:r>
        <w:rPr>
          <w:spacing w:val="-30"/>
        </w:rPr>
        <w:t> </w:t>
      </w:r>
      <w:r>
        <w:rPr/>
        <w:t>reasonable</w:t>
      </w:r>
      <w:r>
        <w:rPr>
          <w:spacing w:val="-28"/>
        </w:rPr>
        <w:t> </w:t>
      </w:r>
      <w:r>
        <w:rPr/>
        <w:t>number</w:t>
      </w:r>
      <w:r>
        <w:rPr>
          <w:spacing w:val="-33"/>
        </w:rPr>
        <w:t> </w:t>
      </w:r>
      <w:r>
        <w:rPr/>
        <w:t>of</w:t>
      </w:r>
      <w:r>
        <w:rPr>
          <w:spacing w:val="-30"/>
        </w:rPr>
        <w:t> </w:t>
      </w:r>
      <w:r>
        <w:rPr/>
        <w:t>times.</w:t>
      </w:r>
    </w:p>
    <w:p>
      <w:pPr>
        <w:pStyle w:val="BodyText"/>
        <w:spacing w:before="1"/>
      </w:pPr>
    </w:p>
    <w:p>
      <w:pPr>
        <w:pStyle w:val="BodyText"/>
        <w:spacing w:line="242" w:lineRule="auto"/>
        <w:ind w:left="1520" w:right="1518" w:firstLine="720"/>
        <w:jc w:val="both"/>
      </w:pPr>
      <w:r>
        <w:rPr>
          <w:spacing w:val="3"/>
        </w:rPr>
        <w:t>It </w:t>
      </w:r>
      <w:r>
        <w:rPr/>
        <w:t>has been held where an appraiser refused to attend a meeting based on </w:t>
      </w:r>
      <w:r>
        <w:rPr>
          <w:spacing w:val="-3"/>
        </w:rPr>
        <w:t>his </w:t>
      </w:r>
      <w:r>
        <w:rPr/>
        <w:t>assertion that the insurance company’s appraiser was biased, the award that </w:t>
      </w:r>
      <w:r>
        <w:rPr>
          <w:spacing w:val="-5"/>
        </w:rPr>
        <w:t>the </w:t>
      </w:r>
      <w:r>
        <w:rPr/>
        <w:t>insurance company's appraiser made </w:t>
      </w:r>
      <w:r>
        <w:rPr>
          <w:spacing w:val="-3"/>
        </w:rPr>
        <w:t>alone </w:t>
      </w:r>
      <w:r>
        <w:rPr/>
        <w:t>was valid. Generally, the reviewing court will look</w:t>
      </w:r>
      <w:r>
        <w:rPr>
          <w:spacing w:val="-17"/>
        </w:rPr>
        <w:t> </w:t>
      </w:r>
      <w:r>
        <w:rPr/>
        <w:t>to</w:t>
      </w:r>
      <w:r>
        <w:rPr>
          <w:spacing w:val="-17"/>
        </w:rPr>
        <w:t> </w:t>
      </w:r>
      <w:r>
        <w:rPr/>
        <w:t>see</w:t>
      </w:r>
      <w:r>
        <w:rPr>
          <w:spacing w:val="-19"/>
        </w:rPr>
        <w:t> </w:t>
      </w:r>
      <w:r>
        <w:rPr/>
        <w:t>whether</w:t>
      </w:r>
      <w:r>
        <w:rPr>
          <w:spacing w:val="-19"/>
        </w:rPr>
        <w:t> </w:t>
      </w:r>
      <w:r>
        <w:rPr/>
        <w:t>or</w:t>
      </w:r>
      <w:r>
        <w:rPr>
          <w:spacing w:val="-18"/>
        </w:rPr>
        <w:t> </w:t>
      </w:r>
      <w:r>
        <w:rPr/>
        <w:t>not</w:t>
      </w:r>
      <w:r>
        <w:rPr>
          <w:spacing w:val="-18"/>
        </w:rPr>
        <w:t> </w:t>
      </w:r>
      <w:r>
        <w:rPr/>
        <w:t>both</w:t>
      </w:r>
      <w:r>
        <w:rPr>
          <w:spacing w:val="-20"/>
        </w:rPr>
        <w:t> </w:t>
      </w:r>
      <w:r>
        <w:rPr/>
        <w:t>appraisers</w:t>
      </w:r>
      <w:r>
        <w:rPr>
          <w:spacing w:val="-18"/>
        </w:rPr>
        <w:t> </w:t>
      </w:r>
      <w:r>
        <w:rPr/>
        <w:t>had</w:t>
      </w:r>
    </w:p>
    <w:p>
      <w:pPr>
        <w:pStyle w:val="BodyText"/>
        <w:rPr>
          <w:sz w:val="20"/>
        </w:rPr>
      </w:pPr>
    </w:p>
    <w:p>
      <w:pPr>
        <w:pStyle w:val="BodyText"/>
        <w:spacing w:before="8"/>
        <w:rPr>
          <w:sz w:val="14"/>
        </w:rPr>
      </w:pPr>
      <w:r>
        <w:rPr/>
        <w:pict>
          <v:shape style="position:absolute;margin-left:162pt;margin-top:11.427241pt;width:143.9pt;height:.1pt;mso-position-horizontal-relative:page;mso-position-vertical-relative:paragraph;z-index:-251631616;mso-wrap-distance-left:0;mso-wrap-distance-right:0" coordorigin="3240,229" coordsize="2878,0" path="m3240,229l6118,229e" filled="false" stroked="true" strokeweight=".84pt" strokecolor="#000000">
            <v:path arrowok="t"/>
            <v:stroke dashstyle="solid"/>
            <w10:wrap type="topAndBottom"/>
          </v:shape>
        </w:pict>
      </w:r>
    </w:p>
    <w:p>
      <w:pPr>
        <w:pStyle w:val="ListParagraph"/>
        <w:numPr>
          <w:ilvl w:val="0"/>
          <w:numId w:val="8"/>
        </w:numPr>
        <w:tabs>
          <w:tab w:pos="1416" w:val="left" w:leader="none"/>
        </w:tabs>
        <w:spacing w:line="244" w:lineRule="auto" w:before="140" w:after="0"/>
        <w:ind w:left="1160" w:right="1160" w:firstLine="0"/>
        <w:jc w:val="both"/>
        <w:rPr>
          <w:sz w:val="18"/>
        </w:rPr>
      </w:pPr>
      <w:r>
        <w:rPr>
          <w:sz w:val="18"/>
          <w:u w:val="single"/>
        </w:rPr>
        <w:t>Aetna</w:t>
      </w:r>
      <w:r>
        <w:rPr>
          <w:spacing w:val="-6"/>
          <w:sz w:val="18"/>
          <w:u w:val="single"/>
        </w:rPr>
        <w:t> </w:t>
      </w:r>
      <w:r>
        <w:rPr>
          <w:sz w:val="18"/>
          <w:u w:val="single"/>
        </w:rPr>
        <w:t>Ins.</w:t>
      </w:r>
      <w:r>
        <w:rPr>
          <w:spacing w:val="-5"/>
          <w:sz w:val="18"/>
          <w:u w:val="single"/>
        </w:rPr>
        <w:t> </w:t>
      </w:r>
      <w:r>
        <w:rPr>
          <w:sz w:val="18"/>
          <w:u w:val="single"/>
        </w:rPr>
        <w:t>Co.</w:t>
      </w:r>
      <w:r>
        <w:rPr>
          <w:spacing w:val="-6"/>
          <w:sz w:val="18"/>
          <w:u w:val="single"/>
        </w:rPr>
        <w:t> </w:t>
      </w:r>
      <w:r>
        <w:rPr>
          <w:sz w:val="18"/>
          <w:u w:val="single"/>
        </w:rPr>
        <w:t>v.</w:t>
      </w:r>
      <w:r>
        <w:rPr>
          <w:spacing w:val="-6"/>
          <w:sz w:val="18"/>
          <w:u w:val="single"/>
        </w:rPr>
        <w:t> </w:t>
      </w:r>
      <w:r>
        <w:rPr>
          <w:sz w:val="18"/>
          <w:u w:val="single"/>
        </w:rPr>
        <w:t>Hefferlin</w:t>
      </w:r>
      <w:r>
        <w:rPr>
          <w:sz w:val="18"/>
        </w:rPr>
        <w:t>,</w:t>
      </w:r>
      <w:r>
        <w:rPr>
          <w:spacing w:val="-6"/>
          <w:sz w:val="18"/>
        </w:rPr>
        <w:t> </w:t>
      </w:r>
      <w:r>
        <w:rPr>
          <w:sz w:val="18"/>
        </w:rPr>
        <w:t>260</w:t>
      </w:r>
      <w:r>
        <w:rPr>
          <w:spacing w:val="-6"/>
          <w:sz w:val="18"/>
        </w:rPr>
        <w:t> </w:t>
      </w:r>
      <w:r>
        <w:rPr>
          <w:sz w:val="18"/>
        </w:rPr>
        <w:t>F.</w:t>
      </w:r>
      <w:r>
        <w:rPr>
          <w:spacing w:val="-6"/>
          <w:sz w:val="18"/>
        </w:rPr>
        <w:t> </w:t>
      </w:r>
      <w:r>
        <w:rPr>
          <w:sz w:val="18"/>
        </w:rPr>
        <w:t>695</w:t>
      </w:r>
      <w:r>
        <w:rPr>
          <w:spacing w:val="-7"/>
          <w:sz w:val="18"/>
        </w:rPr>
        <w:t> </w:t>
      </w:r>
      <w:r>
        <w:rPr>
          <w:sz w:val="18"/>
        </w:rPr>
        <w:t>(9</w:t>
      </w:r>
      <w:r>
        <w:rPr>
          <w:position w:val="7"/>
          <w:sz w:val="10"/>
        </w:rPr>
        <w:t>th</w:t>
      </w:r>
      <w:r>
        <w:rPr>
          <w:spacing w:val="16"/>
          <w:position w:val="7"/>
          <w:sz w:val="10"/>
        </w:rPr>
        <w:t> </w:t>
      </w:r>
      <w:r>
        <w:rPr>
          <w:sz w:val="18"/>
        </w:rPr>
        <w:t>Cir.</w:t>
      </w:r>
      <w:r>
        <w:rPr>
          <w:spacing w:val="-6"/>
          <w:sz w:val="18"/>
        </w:rPr>
        <w:t> </w:t>
      </w:r>
      <w:r>
        <w:rPr>
          <w:sz w:val="18"/>
        </w:rPr>
        <w:t>1919);</w:t>
      </w:r>
      <w:r>
        <w:rPr>
          <w:spacing w:val="-7"/>
          <w:sz w:val="18"/>
        </w:rPr>
        <w:t> </w:t>
      </w:r>
      <w:r>
        <w:rPr>
          <w:sz w:val="18"/>
          <w:u w:val="single"/>
        </w:rPr>
        <w:t>Drescher</w:t>
      </w:r>
      <w:r>
        <w:rPr>
          <w:spacing w:val="-8"/>
          <w:sz w:val="18"/>
          <w:u w:val="single"/>
        </w:rPr>
        <w:t> </w:t>
      </w:r>
      <w:r>
        <w:rPr>
          <w:sz w:val="18"/>
          <w:u w:val="single"/>
        </w:rPr>
        <w:t>v.</w:t>
      </w:r>
      <w:r>
        <w:rPr>
          <w:spacing w:val="-6"/>
          <w:sz w:val="18"/>
          <w:u w:val="single"/>
        </w:rPr>
        <w:t> </w:t>
      </w:r>
      <w:r>
        <w:rPr>
          <w:sz w:val="18"/>
          <w:u w:val="single"/>
        </w:rPr>
        <w:t>Excelsior</w:t>
      </w:r>
      <w:r>
        <w:rPr>
          <w:spacing w:val="-7"/>
          <w:sz w:val="18"/>
          <w:u w:val="single"/>
        </w:rPr>
        <w:t> </w:t>
      </w:r>
      <w:r>
        <w:rPr>
          <w:sz w:val="18"/>
          <w:u w:val="single"/>
        </w:rPr>
        <w:t>Ins.</w:t>
      </w:r>
      <w:r>
        <w:rPr>
          <w:spacing w:val="-5"/>
          <w:sz w:val="18"/>
          <w:u w:val="single"/>
        </w:rPr>
        <w:t> </w:t>
      </w:r>
      <w:r>
        <w:rPr>
          <w:sz w:val="18"/>
          <w:u w:val="single"/>
        </w:rPr>
        <w:t>Co.</w:t>
      </w:r>
      <w:r>
        <w:rPr>
          <w:spacing w:val="-5"/>
          <w:sz w:val="18"/>
          <w:u w:val="single"/>
        </w:rPr>
        <w:t> </w:t>
      </w:r>
      <w:r>
        <w:rPr>
          <w:sz w:val="18"/>
          <w:u w:val="single"/>
        </w:rPr>
        <w:t>of N.Y.</w:t>
      </w:r>
      <w:r>
        <w:rPr>
          <w:sz w:val="18"/>
        </w:rPr>
        <w:t>, 188 F. Supp. 158 (D.N.J.</w:t>
      </w:r>
      <w:r>
        <w:rPr>
          <w:spacing w:val="3"/>
          <w:sz w:val="18"/>
        </w:rPr>
        <w:t> </w:t>
      </w:r>
      <w:r>
        <w:rPr>
          <w:sz w:val="18"/>
        </w:rPr>
        <w:t>1960).</w:t>
      </w:r>
    </w:p>
    <w:p>
      <w:pPr>
        <w:pStyle w:val="ListParagraph"/>
        <w:numPr>
          <w:ilvl w:val="0"/>
          <w:numId w:val="8"/>
        </w:numPr>
        <w:tabs>
          <w:tab w:pos="1433" w:val="left" w:leader="none"/>
        </w:tabs>
        <w:spacing w:line="207" w:lineRule="exact" w:before="0" w:after="0"/>
        <w:ind w:left="1432" w:right="0" w:hanging="273"/>
        <w:jc w:val="both"/>
        <w:rPr>
          <w:sz w:val="18"/>
        </w:rPr>
      </w:pPr>
      <w:r>
        <w:rPr>
          <w:sz w:val="18"/>
          <w:u w:val="single"/>
        </w:rPr>
        <w:t>Pacific</w:t>
      </w:r>
      <w:r>
        <w:rPr>
          <w:spacing w:val="12"/>
          <w:sz w:val="18"/>
          <w:u w:val="single"/>
        </w:rPr>
        <w:t> </w:t>
      </w:r>
      <w:r>
        <w:rPr>
          <w:sz w:val="18"/>
          <w:u w:val="single"/>
        </w:rPr>
        <w:t>Nat.</w:t>
      </w:r>
      <w:r>
        <w:rPr>
          <w:spacing w:val="13"/>
          <w:sz w:val="18"/>
          <w:u w:val="single"/>
        </w:rPr>
        <w:t> </w:t>
      </w:r>
      <w:r>
        <w:rPr>
          <w:sz w:val="18"/>
          <w:u w:val="single"/>
        </w:rPr>
        <w:t>Fire</w:t>
      </w:r>
      <w:r>
        <w:rPr>
          <w:spacing w:val="16"/>
          <w:sz w:val="18"/>
          <w:u w:val="single"/>
        </w:rPr>
        <w:t> </w:t>
      </w:r>
      <w:r>
        <w:rPr>
          <w:sz w:val="18"/>
          <w:u w:val="single"/>
        </w:rPr>
        <w:t>Ins.</w:t>
      </w:r>
      <w:r>
        <w:rPr>
          <w:spacing w:val="19"/>
          <w:sz w:val="18"/>
          <w:u w:val="single"/>
        </w:rPr>
        <w:t> </w:t>
      </w:r>
      <w:r>
        <w:rPr>
          <w:sz w:val="18"/>
          <w:u w:val="single"/>
        </w:rPr>
        <w:t>Co.</w:t>
      </w:r>
      <w:r>
        <w:rPr>
          <w:spacing w:val="18"/>
          <w:sz w:val="18"/>
          <w:u w:val="single"/>
        </w:rPr>
        <w:t> </w:t>
      </w:r>
      <w:r>
        <w:rPr>
          <w:sz w:val="18"/>
          <w:u w:val="single"/>
        </w:rPr>
        <w:t>v.</w:t>
      </w:r>
      <w:r>
        <w:rPr>
          <w:spacing w:val="16"/>
          <w:sz w:val="18"/>
          <w:u w:val="single"/>
        </w:rPr>
        <w:t> </w:t>
      </w:r>
      <w:r>
        <w:rPr>
          <w:sz w:val="18"/>
          <w:u w:val="single"/>
        </w:rPr>
        <w:t>Beavers</w:t>
      </w:r>
      <w:r>
        <w:rPr>
          <w:sz w:val="18"/>
        </w:rPr>
        <w:t>,</w:t>
      </w:r>
      <w:r>
        <w:rPr>
          <w:spacing w:val="12"/>
          <w:sz w:val="18"/>
        </w:rPr>
        <w:t> </w:t>
      </w:r>
      <w:r>
        <w:rPr>
          <w:sz w:val="18"/>
        </w:rPr>
        <w:t>87</w:t>
      </w:r>
      <w:r>
        <w:rPr>
          <w:spacing w:val="14"/>
          <w:sz w:val="18"/>
        </w:rPr>
        <w:t> </w:t>
      </w:r>
      <w:r>
        <w:rPr>
          <w:sz w:val="18"/>
        </w:rPr>
        <w:t>Ga.</w:t>
      </w:r>
      <w:r>
        <w:rPr>
          <w:spacing w:val="12"/>
          <w:sz w:val="18"/>
        </w:rPr>
        <w:t> </w:t>
      </w:r>
      <w:r>
        <w:rPr>
          <w:sz w:val="18"/>
        </w:rPr>
        <w:t>App.</w:t>
      </w:r>
      <w:r>
        <w:rPr>
          <w:spacing w:val="14"/>
          <w:sz w:val="18"/>
        </w:rPr>
        <w:t> </w:t>
      </w:r>
      <w:r>
        <w:rPr>
          <w:sz w:val="18"/>
        </w:rPr>
        <w:t>294,</w:t>
      </w:r>
      <w:r>
        <w:rPr>
          <w:spacing w:val="13"/>
          <w:sz w:val="18"/>
        </w:rPr>
        <w:t> </w:t>
      </w:r>
      <w:r>
        <w:rPr>
          <w:sz w:val="18"/>
        </w:rPr>
        <w:t>73</w:t>
      </w:r>
      <w:r>
        <w:rPr>
          <w:spacing w:val="14"/>
          <w:sz w:val="18"/>
        </w:rPr>
        <w:t> </w:t>
      </w:r>
      <w:r>
        <w:rPr>
          <w:sz w:val="18"/>
        </w:rPr>
        <w:t>S.E.2d</w:t>
      </w:r>
      <w:r>
        <w:rPr>
          <w:spacing w:val="13"/>
          <w:sz w:val="18"/>
        </w:rPr>
        <w:t> </w:t>
      </w:r>
      <w:r>
        <w:rPr>
          <w:sz w:val="18"/>
        </w:rPr>
        <w:t>765</w:t>
      </w:r>
      <w:r>
        <w:rPr>
          <w:spacing w:val="14"/>
          <w:sz w:val="18"/>
        </w:rPr>
        <w:t> </w:t>
      </w:r>
      <w:r>
        <w:rPr>
          <w:sz w:val="18"/>
        </w:rPr>
        <w:t>(1952);</w:t>
      </w:r>
      <w:r>
        <w:rPr>
          <w:spacing w:val="13"/>
          <w:sz w:val="18"/>
        </w:rPr>
        <w:t> </w:t>
      </w:r>
      <w:r>
        <w:rPr>
          <w:sz w:val="18"/>
          <w:u w:val="single"/>
        </w:rPr>
        <w:t>In</w:t>
      </w:r>
      <w:r>
        <w:rPr>
          <w:spacing w:val="13"/>
          <w:sz w:val="18"/>
          <w:u w:val="single"/>
        </w:rPr>
        <w:t> </w:t>
      </w:r>
      <w:r>
        <w:rPr>
          <w:sz w:val="18"/>
          <w:u w:val="single"/>
        </w:rPr>
        <w:t>re</w:t>
      </w:r>
    </w:p>
    <w:p>
      <w:pPr>
        <w:spacing w:line="244" w:lineRule="auto" w:before="4"/>
        <w:ind w:left="1160" w:right="1159" w:firstLine="0"/>
        <w:jc w:val="both"/>
        <w:rPr>
          <w:rFonts w:ascii="Times New Roman"/>
          <w:sz w:val="18"/>
        </w:rPr>
      </w:pPr>
      <w:r>
        <w:rPr>
          <w:rFonts w:ascii="Times New Roman"/>
          <w:sz w:val="18"/>
          <w:u w:val="single"/>
        </w:rPr>
        <w:t>Falloon</w:t>
      </w:r>
      <w:r>
        <w:rPr>
          <w:rFonts w:ascii="Times New Roman"/>
          <w:sz w:val="18"/>
        </w:rPr>
        <w:t>, 161 Cal. App.2d 522, 327 P.2d 18 (1958); </w:t>
      </w:r>
      <w:r>
        <w:rPr>
          <w:rFonts w:ascii="Times New Roman"/>
          <w:i/>
          <w:sz w:val="18"/>
        </w:rPr>
        <w:t>See also</w:t>
      </w:r>
      <w:r>
        <w:rPr>
          <w:rFonts w:ascii="Times New Roman"/>
          <w:sz w:val="18"/>
        </w:rPr>
        <w:t>, D.E. Ytreberg, Annotation, </w:t>
      </w:r>
      <w:r>
        <w:rPr>
          <w:rFonts w:ascii="Times New Roman"/>
          <w:i/>
          <w:sz w:val="18"/>
        </w:rPr>
        <w:t>Insurance: Necessity and Sufficiency of Notice of and Hearings in Proceedings Before </w:t>
      </w:r>
      <w:r>
        <w:rPr>
          <w:rFonts w:ascii="Times New Roman"/>
          <w:i/>
          <w:sz w:val="18"/>
        </w:rPr>
        <w:t>Appraisers and Arbitrators Appointed to Determine the Amount of Loss</w:t>
      </w:r>
      <w:r>
        <w:rPr>
          <w:rFonts w:ascii="Times New Roman"/>
          <w:sz w:val="18"/>
        </w:rPr>
        <w:t>, 25 ALR 3d 680 (2003).</w:t>
      </w:r>
    </w:p>
    <w:p>
      <w:pPr>
        <w:spacing w:after="0" w:line="244" w:lineRule="auto"/>
        <w:jc w:val="both"/>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460" w:id="40"/>
      <w:bookmarkEnd w:id="40"/>
      <w:r>
        <w:rPr/>
      </w:r>
      <w:r>
        <w:rPr/>
        <w:t>notice of a proposed meeting. Although one elects not to appear, such non-appearance may not invalidate an award subsequently made.</w:t>
      </w:r>
      <w:r>
        <w:rPr>
          <w:vertAlign w:val="superscript"/>
        </w:rPr>
        <w:t>950</w:t>
      </w:r>
    </w:p>
    <w:p>
      <w:pPr>
        <w:pStyle w:val="BodyText"/>
        <w:spacing w:before="1"/>
      </w:pPr>
    </w:p>
    <w:p>
      <w:pPr>
        <w:pStyle w:val="BodyText"/>
        <w:spacing w:line="242" w:lineRule="auto"/>
        <w:ind w:left="1520" w:right="1515" w:firstLine="720"/>
        <w:jc w:val="both"/>
      </w:pPr>
      <w:r>
        <w:rPr/>
        <w:t>If one appraiser resigns, withdraws or refuses to act further, the umpire may complete the proceeding and make a valid award or seek immediate appointment of a replacement, if this can be accomplished without undue delay or prejudice.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5"/>
        </w:rPr>
      </w:pPr>
      <w:r>
        <w:rPr/>
        <w:pict>
          <v:shape style="position:absolute;margin-left:162pt;margin-top:18.158087pt;width:143.9pt;height:.1pt;mso-position-horizontal-relative:page;mso-position-vertical-relative:paragraph;z-index:-251630592;mso-wrap-distance-left:0;mso-wrap-distance-right:0" coordorigin="3240,363" coordsize="2878,0" path="m3240,363l6118,363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8"/>
        </w:numPr>
        <w:tabs>
          <w:tab w:pos="1435" w:val="left" w:leader="none"/>
        </w:tabs>
        <w:spacing w:line="240" w:lineRule="auto" w:before="71" w:after="0"/>
        <w:ind w:left="1434" w:right="0" w:hanging="275"/>
        <w:jc w:val="left"/>
        <w:rPr>
          <w:sz w:val="18"/>
        </w:rPr>
      </w:pPr>
      <w:r>
        <w:rPr>
          <w:sz w:val="18"/>
          <w:u w:val="single"/>
        </w:rPr>
        <w:t>In re Falloon</w:t>
      </w:r>
      <w:r>
        <w:rPr>
          <w:sz w:val="18"/>
        </w:rPr>
        <w:t>,</w:t>
      </w:r>
      <w:r>
        <w:rPr>
          <w:spacing w:val="1"/>
          <w:sz w:val="18"/>
        </w:rPr>
        <w:t> </w:t>
      </w:r>
      <w:r>
        <w:rPr>
          <w:sz w:val="18"/>
          <w:u w:val="single"/>
        </w:rPr>
        <w:t>Id.</w:t>
      </w:r>
    </w:p>
    <w:p>
      <w:pPr>
        <w:spacing w:after="0" w:line="240"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ListParagraph"/>
        <w:numPr>
          <w:ilvl w:val="0"/>
          <w:numId w:val="2"/>
        </w:numPr>
        <w:tabs>
          <w:tab w:pos="2239" w:val="left" w:leader="none"/>
          <w:tab w:pos="2240" w:val="left" w:leader="none"/>
        </w:tabs>
        <w:spacing w:line="240" w:lineRule="auto" w:before="42" w:after="0"/>
        <w:ind w:left="2240" w:right="0" w:hanging="720"/>
        <w:jc w:val="left"/>
        <w:rPr>
          <w:rFonts w:ascii="Century Gothic"/>
          <w:sz w:val="26"/>
        </w:rPr>
      </w:pPr>
      <w:bookmarkStart w:name="Law and Procedure 461" w:id="41"/>
      <w:bookmarkEnd w:id="41"/>
      <w:r>
        <w:rPr/>
      </w:r>
      <w:bookmarkStart w:name="Law and Procedure 461" w:id="42"/>
      <w:bookmarkEnd w:id="42"/>
      <w:r>
        <w:rPr>
          <w:rFonts w:ascii="Century Gothic"/>
          <w:sz w:val="26"/>
        </w:rPr>
        <w:t>HE</w:t>
      </w:r>
      <w:r>
        <w:rPr>
          <w:rFonts w:ascii="Century Gothic"/>
          <w:sz w:val="26"/>
        </w:rPr>
        <w:t>ARINGS AND</w:t>
      </w:r>
      <w:r>
        <w:rPr>
          <w:rFonts w:ascii="Century Gothic"/>
          <w:spacing w:val="-2"/>
          <w:sz w:val="26"/>
        </w:rPr>
        <w:t> </w:t>
      </w:r>
      <w:r>
        <w:rPr>
          <w:rFonts w:ascii="Century Gothic"/>
          <w:sz w:val="26"/>
        </w:rPr>
        <w:t>INSPECTIONS</w:t>
      </w:r>
    </w:p>
    <w:p>
      <w:pPr>
        <w:pStyle w:val="BodyText"/>
        <w:spacing w:before="5"/>
      </w:pPr>
    </w:p>
    <w:p>
      <w:pPr>
        <w:pStyle w:val="BodyText"/>
        <w:spacing w:line="242" w:lineRule="auto"/>
        <w:ind w:left="1520" w:right="1516" w:firstLine="720"/>
        <w:jc w:val="both"/>
      </w:pPr>
      <w:r>
        <w:rPr/>
        <w:t>The procedure to be followed for an appraisal hearing is not outlined by most insurance contracts. Generally, if either party to</w:t>
      </w:r>
      <w:r>
        <w:rPr>
          <w:spacing w:val="-27"/>
        </w:rPr>
        <w:t> </w:t>
      </w:r>
      <w:r>
        <w:rPr/>
        <w:t>an</w:t>
      </w:r>
      <w:r>
        <w:rPr>
          <w:spacing w:val="-25"/>
        </w:rPr>
        <w:t> </w:t>
      </w:r>
      <w:r>
        <w:rPr/>
        <w:t>appraisal</w:t>
      </w:r>
      <w:r>
        <w:rPr>
          <w:spacing w:val="-22"/>
        </w:rPr>
        <w:t> </w:t>
      </w:r>
      <w:r>
        <w:rPr/>
        <w:t>seeks</w:t>
      </w:r>
      <w:r>
        <w:rPr>
          <w:spacing w:val="-26"/>
        </w:rPr>
        <w:t> </w:t>
      </w:r>
      <w:r>
        <w:rPr/>
        <w:t>an</w:t>
      </w:r>
      <w:r>
        <w:rPr>
          <w:spacing w:val="-26"/>
        </w:rPr>
        <w:t> </w:t>
      </w:r>
      <w:r>
        <w:rPr/>
        <w:t>opportunity</w:t>
      </w:r>
      <w:r>
        <w:rPr>
          <w:spacing w:val="-32"/>
        </w:rPr>
        <w:t> </w:t>
      </w:r>
      <w:r>
        <w:rPr/>
        <w:t>to</w:t>
      </w:r>
      <w:r>
        <w:rPr>
          <w:spacing w:val="-26"/>
        </w:rPr>
        <w:t> </w:t>
      </w:r>
      <w:r>
        <w:rPr/>
        <w:t>present evidence, the request is normally honored. A request to present evidence at a certain time and place allows the appraisal to move forward</w:t>
      </w:r>
      <w:r>
        <w:rPr>
          <w:spacing w:val="-2"/>
        </w:rPr>
        <w:t> </w:t>
      </w:r>
      <w:r>
        <w:rPr/>
        <w:t>expeditiously.</w:t>
      </w:r>
    </w:p>
    <w:p>
      <w:pPr>
        <w:pStyle w:val="BodyText"/>
      </w:pPr>
    </w:p>
    <w:p>
      <w:pPr>
        <w:pStyle w:val="BodyText"/>
        <w:spacing w:line="242" w:lineRule="auto"/>
        <w:ind w:left="1520" w:right="1517" w:firstLine="720"/>
        <w:jc w:val="both"/>
      </w:pPr>
      <w:r>
        <w:rPr/>
        <w:t>In almost all states, there is no requirement that a formal “hearing” actually take place and in fact, an appraisal award can properly be made without the parties being given an opportunity to appear at a specific place and time to present their respective positions. Massachusetts and Connecticut are noteworthy exceptions.</w:t>
      </w:r>
    </w:p>
    <w:p>
      <w:pPr>
        <w:pStyle w:val="BodyText"/>
      </w:pPr>
    </w:p>
    <w:p>
      <w:pPr>
        <w:pStyle w:val="BodyText"/>
        <w:spacing w:line="242" w:lineRule="auto"/>
        <w:ind w:left="1520" w:right="1518" w:firstLine="720"/>
        <w:jc w:val="both"/>
      </w:pPr>
      <w:r>
        <w:rPr>
          <w:spacing w:val="2"/>
        </w:rPr>
        <w:t>As </w:t>
      </w:r>
      <w:r>
        <w:rPr/>
        <w:t>most policies generally do not </w:t>
      </w:r>
      <w:r>
        <w:rPr>
          <w:spacing w:val="-3"/>
        </w:rPr>
        <w:t>offer </w:t>
      </w:r>
      <w:r>
        <w:rPr/>
        <w:t>guidance as to the procedures to be used during</w:t>
      </w:r>
      <w:r>
        <w:rPr>
          <w:spacing w:val="-35"/>
        </w:rPr>
        <w:t> </w:t>
      </w:r>
      <w:r>
        <w:rPr/>
        <w:t>the</w:t>
      </w:r>
      <w:r>
        <w:rPr>
          <w:spacing w:val="-38"/>
        </w:rPr>
        <w:t> </w:t>
      </w:r>
      <w:r>
        <w:rPr/>
        <w:t>appraisal,</w:t>
      </w:r>
      <w:r>
        <w:rPr>
          <w:spacing w:val="-39"/>
        </w:rPr>
        <w:t> </w:t>
      </w:r>
      <w:r>
        <w:rPr>
          <w:spacing w:val="-3"/>
        </w:rPr>
        <w:t>the</w:t>
      </w:r>
      <w:r>
        <w:rPr>
          <w:spacing w:val="-38"/>
        </w:rPr>
        <w:t> </w:t>
      </w:r>
      <w:r>
        <w:rPr>
          <w:spacing w:val="-3"/>
        </w:rPr>
        <w:t>umpire</w:t>
      </w:r>
      <w:r>
        <w:rPr>
          <w:spacing w:val="-37"/>
        </w:rPr>
        <w:t> </w:t>
      </w:r>
      <w:r>
        <w:rPr/>
        <w:t>and</w:t>
      </w:r>
      <w:r>
        <w:rPr>
          <w:spacing w:val="-34"/>
        </w:rPr>
        <w:t> </w:t>
      </w:r>
      <w:r>
        <w:rPr/>
        <w:t>appraisers enjoy</w:t>
      </w:r>
      <w:r>
        <w:rPr>
          <w:spacing w:val="-15"/>
        </w:rPr>
        <w:t> </w:t>
      </w:r>
      <w:r>
        <w:rPr/>
        <w:t>significant</w:t>
      </w:r>
      <w:r>
        <w:rPr>
          <w:spacing w:val="-13"/>
        </w:rPr>
        <w:t> </w:t>
      </w:r>
      <w:r>
        <w:rPr/>
        <w:t>discretion</w:t>
      </w:r>
      <w:r>
        <w:rPr>
          <w:spacing w:val="-9"/>
        </w:rPr>
        <w:t> </w:t>
      </w:r>
      <w:r>
        <w:rPr/>
        <w:t>in</w:t>
      </w:r>
      <w:r>
        <w:rPr>
          <w:spacing w:val="-11"/>
        </w:rPr>
        <w:t> </w:t>
      </w:r>
      <w:r>
        <w:rPr/>
        <w:t>determining</w:t>
      </w:r>
      <w:r>
        <w:rPr>
          <w:spacing w:val="-11"/>
        </w:rPr>
        <w:t> </w:t>
      </w:r>
      <w:r>
        <w:rPr/>
        <w:t>how the appraisal shall proceed. </w:t>
      </w:r>
      <w:r>
        <w:rPr>
          <w:spacing w:val="3"/>
        </w:rPr>
        <w:t>It </w:t>
      </w:r>
      <w:r>
        <w:rPr/>
        <w:t>is patent that</w:t>
      </w:r>
      <w:r>
        <w:rPr>
          <w:spacing w:val="-28"/>
        </w:rPr>
        <w:t> </w:t>
      </w:r>
      <w:r>
        <w:rPr/>
        <w:t>in order</w:t>
      </w:r>
      <w:r>
        <w:rPr>
          <w:spacing w:val="-23"/>
        </w:rPr>
        <w:t> </w:t>
      </w:r>
      <w:r>
        <w:rPr/>
        <w:t>to</w:t>
      </w:r>
      <w:r>
        <w:rPr>
          <w:spacing w:val="-21"/>
        </w:rPr>
        <w:t> </w:t>
      </w:r>
      <w:r>
        <w:rPr/>
        <w:t>do</w:t>
      </w:r>
      <w:r>
        <w:rPr>
          <w:spacing w:val="-21"/>
        </w:rPr>
        <w:t> </w:t>
      </w:r>
      <w:r>
        <w:rPr/>
        <w:t>justice</w:t>
      </w:r>
      <w:r>
        <w:rPr>
          <w:spacing w:val="-24"/>
        </w:rPr>
        <w:t> </w:t>
      </w:r>
      <w:r>
        <w:rPr/>
        <w:t>to</w:t>
      </w:r>
      <w:r>
        <w:rPr>
          <w:spacing w:val="-21"/>
        </w:rPr>
        <w:t> </w:t>
      </w:r>
      <w:r>
        <w:rPr/>
        <w:t>the</w:t>
      </w:r>
      <w:r>
        <w:rPr>
          <w:spacing w:val="-23"/>
        </w:rPr>
        <w:t> </w:t>
      </w:r>
      <w:r>
        <w:rPr/>
        <w:t>intent</w:t>
      </w:r>
      <w:r>
        <w:rPr>
          <w:spacing w:val="-23"/>
        </w:rPr>
        <w:t> </w:t>
      </w:r>
      <w:r>
        <w:rPr/>
        <w:t>of</w:t>
      </w:r>
      <w:r>
        <w:rPr>
          <w:spacing w:val="-21"/>
        </w:rPr>
        <w:t> </w:t>
      </w:r>
      <w:r>
        <w:rPr/>
        <w:t>the</w:t>
      </w:r>
      <w:r>
        <w:rPr>
          <w:spacing w:val="-22"/>
        </w:rPr>
        <w:t> </w:t>
      </w:r>
      <w:r>
        <w:rPr/>
        <w:t>appraisal provision,</w:t>
      </w:r>
      <w:r>
        <w:rPr>
          <w:spacing w:val="4"/>
        </w:rPr>
        <w:t> </w:t>
      </w:r>
      <w:r>
        <w:rPr/>
        <w:t>a</w:t>
      </w:r>
      <w:r>
        <w:rPr>
          <w:spacing w:val="-36"/>
        </w:rPr>
        <w:t> </w:t>
      </w:r>
      <w:r>
        <w:rPr/>
        <w:t>procedure</w:t>
      </w:r>
      <w:r>
        <w:rPr>
          <w:spacing w:val="-34"/>
        </w:rPr>
        <w:t> </w:t>
      </w:r>
      <w:r>
        <w:rPr/>
        <w:t>should</w:t>
      </w:r>
      <w:r>
        <w:rPr>
          <w:spacing w:val="-30"/>
        </w:rPr>
        <w:t> </w:t>
      </w:r>
      <w:r>
        <w:rPr/>
        <w:t>be</w:t>
      </w:r>
      <w:r>
        <w:rPr>
          <w:spacing w:val="-32"/>
        </w:rPr>
        <w:t> </w:t>
      </w:r>
      <w:r>
        <w:rPr/>
        <w:t>agreed</w:t>
      </w:r>
      <w:r>
        <w:rPr>
          <w:spacing w:val="-34"/>
        </w:rPr>
        <w:t> </w:t>
      </w:r>
      <w:r>
        <w:rPr/>
        <w:t>upon that</w:t>
      </w:r>
      <w:r>
        <w:rPr>
          <w:spacing w:val="-26"/>
        </w:rPr>
        <w:t> </w:t>
      </w:r>
      <w:r>
        <w:rPr/>
        <w:t>allows</w:t>
      </w:r>
      <w:r>
        <w:rPr>
          <w:spacing w:val="-25"/>
        </w:rPr>
        <w:t> </w:t>
      </w:r>
      <w:r>
        <w:rPr/>
        <w:t>for</w:t>
      </w:r>
      <w:r>
        <w:rPr>
          <w:spacing w:val="-28"/>
        </w:rPr>
        <w:t> </w:t>
      </w:r>
      <w:r>
        <w:rPr/>
        <w:t>the</w:t>
      </w:r>
      <w:r>
        <w:rPr>
          <w:spacing w:val="-28"/>
        </w:rPr>
        <w:t> </w:t>
      </w:r>
      <w:r>
        <w:rPr/>
        <w:t>sharing</w:t>
      </w:r>
      <w:r>
        <w:rPr>
          <w:spacing w:val="-26"/>
        </w:rPr>
        <w:t> </w:t>
      </w:r>
      <w:r>
        <w:rPr/>
        <w:t>of</w:t>
      </w:r>
      <w:r>
        <w:rPr>
          <w:spacing w:val="-28"/>
        </w:rPr>
        <w:t> </w:t>
      </w:r>
      <w:r>
        <w:rPr/>
        <w:t>information</w:t>
      </w:r>
      <w:r>
        <w:rPr>
          <w:spacing w:val="-24"/>
        </w:rPr>
        <w:t> </w:t>
      </w:r>
      <w:r>
        <w:rPr/>
        <w:t>as</w:t>
      </w:r>
      <w:r>
        <w:rPr>
          <w:spacing w:val="-24"/>
        </w:rPr>
        <w:t> </w:t>
      </w:r>
      <w:r>
        <w:rPr/>
        <w:t>well as ideas and opinions in an expeditious and efficient</w:t>
      </w:r>
      <w:r>
        <w:rPr>
          <w:spacing w:val="-33"/>
        </w:rPr>
        <w:t> </w:t>
      </w:r>
      <w:r>
        <w:rPr/>
        <w:t>manner.</w:t>
      </w:r>
      <w:r>
        <w:rPr>
          <w:spacing w:val="10"/>
        </w:rPr>
        <w:t> </w:t>
      </w:r>
      <w:r>
        <w:rPr>
          <w:spacing w:val="2"/>
        </w:rPr>
        <w:t>An</w:t>
      </w:r>
      <w:r>
        <w:rPr>
          <w:spacing w:val="-30"/>
        </w:rPr>
        <w:t> </w:t>
      </w:r>
      <w:r>
        <w:rPr/>
        <w:t>expeditious</w:t>
      </w:r>
      <w:r>
        <w:rPr>
          <w:spacing w:val="-30"/>
        </w:rPr>
        <w:t> </w:t>
      </w:r>
      <w:r>
        <w:rPr/>
        <w:t>effort</w:t>
      </w:r>
      <w:r>
        <w:rPr>
          <w:spacing w:val="-33"/>
        </w:rPr>
        <w:t> </w:t>
      </w:r>
      <w:r>
        <w:rPr/>
        <w:t>is</w:t>
      </w:r>
      <w:r>
        <w:rPr>
          <w:spacing w:val="-31"/>
        </w:rPr>
        <w:t> </w:t>
      </w:r>
      <w:r>
        <w:rPr/>
        <w:t>made so</w:t>
      </w:r>
      <w:r>
        <w:rPr>
          <w:spacing w:val="-36"/>
        </w:rPr>
        <w:t> </w:t>
      </w:r>
      <w:r>
        <w:rPr>
          <w:spacing w:val="-3"/>
        </w:rPr>
        <w:t>that</w:t>
      </w:r>
      <w:r>
        <w:rPr>
          <w:spacing w:val="-36"/>
        </w:rPr>
        <w:t> </w:t>
      </w:r>
      <w:r>
        <w:rPr/>
        <w:t>agreements</w:t>
      </w:r>
      <w:r>
        <w:rPr>
          <w:spacing w:val="-34"/>
        </w:rPr>
        <w:t> </w:t>
      </w:r>
      <w:r>
        <w:rPr/>
        <w:t>and</w:t>
      </w:r>
      <w:r>
        <w:rPr>
          <w:spacing w:val="-32"/>
        </w:rPr>
        <w:t> </w:t>
      </w:r>
      <w:r>
        <w:rPr/>
        <w:t>disagreements</w:t>
      </w:r>
      <w:r>
        <w:rPr>
          <w:spacing w:val="-33"/>
        </w:rPr>
        <w:t> </w:t>
      </w:r>
      <w:r>
        <w:rPr/>
        <w:t>can</w:t>
      </w:r>
      <w:r>
        <w:rPr>
          <w:spacing w:val="-36"/>
        </w:rPr>
        <w:t> </w:t>
      </w:r>
      <w:r>
        <w:rPr/>
        <w:t>be clarified and issues refined for presentation</w:t>
      </w:r>
      <w:r>
        <w:rPr>
          <w:spacing w:val="45"/>
        </w:rPr>
        <w:t> </w:t>
      </w:r>
      <w:r>
        <w:rPr/>
        <w:t>to</w:t>
      </w:r>
    </w:p>
    <w:p>
      <w:pPr>
        <w:spacing w:after="0" w:line="242" w:lineRule="auto"/>
        <w:jc w:val="both"/>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1520" w:right="1516"/>
      </w:pPr>
      <w:bookmarkStart w:name="Law and Procedure 462" w:id="43"/>
      <w:bookmarkEnd w:id="43"/>
      <w:r>
        <w:rPr/>
      </w:r>
      <w:r>
        <w:rPr/>
        <w:t>an</w:t>
      </w:r>
      <w:r>
        <w:rPr>
          <w:spacing w:val="-17"/>
        </w:rPr>
        <w:t> </w:t>
      </w:r>
      <w:r>
        <w:rPr/>
        <w:t>umpire</w:t>
      </w:r>
      <w:r>
        <w:rPr>
          <w:spacing w:val="-19"/>
        </w:rPr>
        <w:t> </w:t>
      </w:r>
      <w:r>
        <w:rPr/>
        <w:t>should</w:t>
      </w:r>
      <w:r>
        <w:rPr>
          <w:spacing w:val="-15"/>
        </w:rPr>
        <w:t> </w:t>
      </w:r>
      <w:r>
        <w:rPr/>
        <w:t>a</w:t>
      </w:r>
      <w:r>
        <w:rPr>
          <w:spacing w:val="-18"/>
        </w:rPr>
        <w:t> </w:t>
      </w:r>
      <w:r>
        <w:rPr/>
        <w:t>disagreement</w:t>
      </w:r>
      <w:r>
        <w:rPr>
          <w:spacing w:val="-24"/>
        </w:rPr>
        <w:t> </w:t>
      </w:r>
      <w:r>
        <w:rPr/>
        <w:t>remain</w:t>
      </w:r>
      <w:r>
        <w:rPr>
          <w:spacing w:val="-19"/>
        </w:rPr>
        <w:t> </w:t>
      </w:r>
      <w:r>
        <w:rPr>
          <w:spacing w:val="-4"/>
        </w:rPr>
        <w:t>after </w:t>
      </w:r>
      <w:r>
        <w:rPr/>
        <w:t>their</w:t>
      </w:r>
      <w:r>
        <w:rPr>
          <w:spacing w:val="-3"/>
        </w:rPr>
        <w:t> </w:t>
      </w:r>
      <w:r>
        <w:rPr/>
        <w:t>consultation.</w:t>
      </w:r>
    </w:p>
    <w:p>
      <w:pPr>
        <w:pStyle w:val="BodyText"/>
        <w:spacing w:before="2"/>
      </w:pPr>
    </w:p>
    <w:p>
      <w:pPr>
        <w:pStyle w:val="BodyText"/>
        <w:spacing w:line="242" w:lineRule="auto"/>
        <w:ind w:left="1520" w:right="1518" w:firstLine="720"/>
        <w:jc w:val="both"/>
      </w:pPr>
      <w:r>
        <w:rPr/>
        <w:t>Once</w:t>
      </w:r>
      <w:r>
        <w:rPr>
          <w:spacing w:val="-20"/>
        </w:rPr>
        <w:t> </w:t>
      </w:r>
      <w:r>
        <w:rPr/>
        <w:t>the</w:t>
      </w:r>
      <w:r>
        <w:rPr>
          <w:spacing w:val="-22"/>
        </w:rPr>
        <w:t> </w:t>
      </w:r>
      <w:r>
        <w:rPr/>
        <w:t>umpire</w:t>
      </w:r>
      <w:r>
        <w:rPr>
          <w:spacing w:val="-21"/>
        </w:rPr>
        <w:t> </w:t>
      </w:r>
      <w:r>
        <w:rPr/>
        <w:t>enters</w:t>
      </w:r>
      <w:r>
        <w:rPr>
          <w:spacing w:val="-17"/>
        </w:rPr>
        <w:t> </w:t>
      </w:r>
      <w:r>
        <w:rPr/>
        <w:t>the</w:t>
      </w:r>
      <w:r>
        <w:rPr>
          <w:spacing w:val="-20"/>
        </w:rPr>
        <w:t> </w:t>
      </w:r>
      <w:r>
        <w:rPr/>
        <w:t>discussion</w:t>
      </w:r>
      <w:r>
        <w:rPr>
          <w:spacing w:val="-19"/>
        </w:rPr>
        <w:t> </w:t>
      </w:r>
      <w:r>
        <w:rPr/>
        <w:t>as a</w:t>
      </w:r>
      <w:r>
        <w:rPr>
          <w:spacing w:val="-25"/>
        </w:rPr>
        <w:t> </w:t>
      </w:r>
      <w:r>
        <w:rPr/>
        <w:t>result</w:t>
      </w:r>
      <w:r>
        <w:rPr>
          <w:spacing w:val="-24"/>
        </w:rPr>
        <w:t> </w:t>
      </w:r>
      <w:r>
        <w:rPr/>
        <w:t>of</w:t>
      </w:r>
      <w:r>
        <w:rPr>
          <w:spacing w:val="-24"/>
        </w:rPr>
        <w:t> </w:t>
      </w:r>
      <w:r>
        <w:rPr/>
        <w:t>the</w:t>
      </w:r>
      <w:r>
        <w:rPr>
          <w:spacing w:val="-24"/>
        </w:rPr>
        <w:t> </w:t>
      </w:r>
      <w:r>
        <w:rPr/>
        <w:t>failure</w:t>
      </w:r>
      <w:r>
        <w:rPr>
          <w:spacing w:val="-23"/>
        </w:rPr>
        <w:t> </w:t>
      </w:r>
      <w:r>
        <w:rPr/>
        <w:t>of</w:t>
      </w:r>
      <w:r>
        <w:rPr>
          <w:spacing w:val="-21"/>
        </w:rPr>
        <w:t> </w:t>
      </w:r>
      <w:r>
        <w:rPr/>
        <w:t>the</w:t>
      </w:r>
      <w:r>
        <w:rPr>
          <w:spacing w:val="-25"/>
        </w:rPr>
        <w:t> </w:t>
      </w:r>
      <w:r>
        <w:rPr/>
        <w:t>appraisers</w:t>
      </w:r>
      <w:r>
        <w:rPr>
          <w:spacing w:val="-24"/>
        </w:rPr>
        <w:t> </w:t>
      </w:r>
      <w:r>
        <w:rPr/>
        <w:t>to</w:t>
      </w:r>
      <w:r>
        <w:rPr>
          <w:spacing w:val="-24"/>
        </w:rPr>
        <w:t> </w:t>
      </w:r>
      <w:r>
        <w:rPr/>
        <w:t>agree, the umpire is free to suggest a process </w:t>
      </w:r>
      <w:r>
        <w:rPr>
          <w:spacing w:val="-4"/>
        </w:rPr>
        <w:t>and</w:t>
      </w:r>
      <w:r>
        <w:rPr>
          <w:spacing w:val="63"/>
        </w:rPr>
        <w:t> </w:t>
      </w:r>
      <w:r>
        <w:rPr/>
        <w:t>procedure for the resolution of the balance</w:t>
      </w:r>
      <w:r>
        <w:rPr>
          <w:spacing w:val="-39"/>
        </w:rPr>
        <w:t> </w:t>
      </w:r>
      <w:r>
        <w:rPr>
          <w:spacing w:val="-6"/>
        </w:rPr>
        <w:t>of </w:t>
      </w:r>
      <w:r>
        <w:rPr/>
        <w:t>the appraisal as long as it is not at odds with the Standard Fire Policy, or the terms of the contract between the</w:t>
      </w:r>
      <w:r>
        <w:rPr>
          <w:spacing w:val="-6"/>
        </w:rPr>
        <w:t> </w:t>
      </w:r>
      <w:r>
        <w:rPr/>
        <w:t>parties.</w:t>
      </w:r>
    </w:p>
    <w:p>
      <w:pPr>
        <w:pStyle w:val="BodyText"/>
      </w:pPr>
    </w:p>
    <w:p>
      <w:pPr>
        <w:pStyle w:val="BodyText"/>
        <w:spacing w:line="242" w:lineRule="auto"/>
        <w:ind w:left="1520" w:right="1516" w:firstLine="720"/>
        <w:jc w:val="both"/>
      </w:pPr>
      <w:r>
        <w:rPr>
          <w:spacing w:val="3"/>
        </w:rPr>
        <w:t>In </w:t>
      </w:r>
      <w:r>
        <w:rPr/>
        <w:t>order to avoid confusion and disagreement</w:t>
      </w:r>
      <w:r>
        <w:rPr>
          <w:spacing w:val="-42"/>
        </w:rPr>
        <w:t> </w:t>
      </w:r>
      <w:r>
        <w:rPr/>
        <w:t>as</w:t>
      </w:r>
      <w:r>
        <w:rPr>
          <w:spacing w:val="-37"/>
        </w:rPr>
        <w:t> </w:t>
      </w:r>
      <w:r>
        <w:rPr/>
        <w:t>well</w:t>
      </w:r>
      <w:r>
        <w:rPr>
          <w:spacing w:val="-37"/>
        </w:rPr>
        <w:t> </w:t>
      </w:r>
      <w:r>
        <w:rPr/>
        <w:t>as</w:t>
      </w:r>
      <w:r>
        <w:rPr>
          <w:spacing w:val="-38"/>
        </w:rPr>
        <w:t> </w:t>
      </w:r>
      <w:r>
        <w:rPr/>
        <w:t>subsequent</w:t>
      </w:r>
      <w:r>
        <w:rPr>
          <w:spacing w:val="-42"/>
        </w:rPr>
        <w:t> </w:t>
      </w:r>
      <w:r>
        <w:rPr>
          <w:spacing w:val="-3"/>
        </w:rPr>
        <w:t>challenge, </w:t>
      </w:r>
      <w:r>
        <w:rPr/>
        <w:t>it</w:t>
      </w:r>
      <w:r>
        <w:rPr>
          <w:spacing w:val="-29"/>
        </w:rPr>
        <w:t> </w:t>
      </w:r>
      <w:r>
        <w:rPr/>
        <w:t>is</w:t>
      </w:r>
      <w:r>
        <w:rPr>
          <w:spacing w:val="-27"/>
        </w:rPr>
        <w:t> </w:t>
      </w:r>
      <w:r>
        <w:rPr/>
        <w:t>often</w:t>
      </w:r>
      <w:r>
        <w:rPr>
          <w:spacing w:val="-24"/>
        </w:rPr>
        <w:t> </w:t>
      </w:r>
      <w:r>
        <w:rPr/>
        <w:t>appropriate</w:t>
      </w:r>
      <w:r>
        <w:rPr>
          <w:spacing w:val="-25"/>
        </w:rPr>
        <w:t> </w:t>
      </w:r>
      <w:r>
        <w:rPr/>
        <w:t>for</w:t>
      </w:r>
      <w:r>
        <w:rPr>
          <w:spacing w:val="-26"/>
        </w:rPr>
        <w:t> </w:t>
      </w:r>
      <w:r>
        <w:rPr/>
        <w:t>the</w:t>
      </w:r>
      <w:r>
        <w:rPr>
          <w:spacing w:val="-24"/>
        </w:rPr>
        <w:t> </w:t>
      </w:r>
      <w:r>
        <w:rPr/>
        <w:t>parties</w:t>
      </w:r>
      <w:r>
        <w:rPr>
          <w:spacing w:val="-28"/>
        </w:rPr>
        <w:t> </w:t>
      </w:r>
      <w:r>
        <w:rPr/>
        <w:t>to</w:t>
      </w:r>
      <w:r>
        <w:rPr>
          <w:spacing w:val="-26"/>
        </w:rPr>
        <w:t> </w:t>
      </w:r>
      <w:r>
        <w:rPr/>
        <w:t>execute an</w:t>
      </w:r>
      <w:r>
        <w:rPr>
          <w:spacing w:val="-11"/>
        </w:rPr>
        <w:t> </w:t>
      </w:r>
      <w:r>
        <w:rPr/>
        <w:t>appraisal</w:t>
      </w:r>
      <w:r>
        <w:rPr>
          <w:spacing w:val="-10"/>
        </w:rPr>
        <w:t> </w:t>
      </w:r>
      <w:r>
        <w:rPr/>
        <w:t>agreement</w:t>
      </w:r>
      <w:r>
        <w:rPr>
          <w:spacing w:val="-17"/>
        </w:rPr>
        <w:t> </w:t>
      </w:r>
      <w:r>
        <w:rPr/>
        <w:t>setting</w:t>
      </w:r>
      <w:r>
        <w:rPr>
          <w:spacing w:val="-10"/>
        </w:rPr>
        <w:t> </w:t>
      </w:r>
      <w:r>
        <w:rPr/>
        <w:t>forth</w:t>
      </w:r>
      <w:r>
        <w:rPr>
          <w:spacing w:val="-11"/>
        </w:rPr>
        <w:t> </w:t>
      </w:r>
      <w:r>
        <w:rPr/>
        <w:t>the</w:t>
      </w:r>
      <w:r>
        <w:rPr>
          <w:spacing w:val="-12"/>
        </w:rPr>
        <w:t> </w:t>
      </w:r>
      <w:r>
        <w:rPr/>
        <w:t>rules, definitions and procedures to be followed in the particular claim. </w:t>
      </w:r>
      <w:r>
        <w:rPr>
          <w:spacing w:val="3"/>
        </w:rPr>
        <w:t>It </w:t>
      </w:r>
      <w:r>
        <w:rPr/>
        <w:t>is appropriate for this agreement to set forth the matters to be determined by the appraisers. These should include</w:t>
      </w:r>
      <w:r>
        <w:rPr>
          <w:spacing w:val="23"/>
        </w:rPr>
        <w:t> </w:t>
      </w:r>
      <w:r>
        <w:rPr/>
        <w:t>the</w:t>
      </w:r>
      <w:r>
        <w:rPr>
          <w:spacing w:val="-26"/>
        </w:rPr>
        <w:t> </w:t>
      </w:r>
      <w:r>
        <w:rPr/>
        <w:t>level</w:t>
      </w:r>
      <w:r>
        <w:rPr>
          <w:spacing w:val="-23"/>
        </w:rPr>
        <w:t> </w:t>
      </w:r>
      <w:r>
        <w:rPr/>
        <w:t>of</w:t>
      </w:r>
      <w:r>
        <w:rPr>
          <w:spacing w:val="-22"/>
        </w:rPr>
        <w:t> </w:t>
      </w:r>
      <w:r>
        <w:rPr/>
        <w:t>specificity</w:t>
      </w:r>
      <w:r>
        <w:rPr>
          <w:spacing w:val="-26"/>
        </w:rPr>
        <w:t> </w:t>
      </w:r>
      <w:r>
        <w:rPr/>
        <w:t>to</w:t>
      </w:r>
      <w:r>
        <w:rPr>
          <w:spacing w:val="-22"/>
        </w:rPr>
        <w:t> </w:t>
      </w:r>
      <w:r>
        <w:rPr/>
        <w:t>be</w:t>
      </w:r>
      <w:r>
        <w:rPr>
          <w:spacing w:val="-23"/>
        </w:rPr>
        <w:t> </w:t>
      </w:r>
      <w:r>
        <w:rPr/>
        <w:t>required</w:t>
      </w:r>
      <w:r>
        <w:rPr>
          <w:spacing w:val="-24"/>
        </w:rPr>
        <w:t> </w:t>
      </w:r>
      <w:r>
        <w:rPr/>
        <w:t>in the award. The parties should resolve</w:t>
      </w:r>
      <w:r>
        <w:rPr>
          <w:spacing w:val="-14"/>
        </w:rPr>
        <w:t> </w:t>
      </w:r>
      <w:r>
        <w:rPr/>
        <w:t>whether a breakdown by type of coverage (i.e. building, personal property, etc.) or by trade shall be sufficient or whether the actual cash value or the amount of loss as to each board and nail will have to be stated. Further, the appraisers should consider providing for a determination</w:t>
      </w:r>
      <w:r>
        <w:rPr>
          <w:spacing w:val="-18"/>
        </w:rPr>
        <w:t> </w:t>
      </w:r>
      <w:r>
        <w:rPr/>
        <w:t>of</w:t>
      </w:r>
      <w:r>
        <w:rPr>
          <w:spacing w:val="-16"/>
        </w:rPr>
        <w:t> </w:t>
      </w:r>
      <w:r>
        <w:rPr/>
        <w:t>the</w:t>
      </w:r>
      <w:r>
        <w:rPr>
          <w:spacing w:val="-17"/>
        </w:rPr>
        <w:t> </w:t>
      </w:r>
      <w:r>
        <w:rPr/>
        <w:t>amount</w:t>
      </w:r>
      <w:r>
        <w:rPr>
          <w:spacing w:val="-17"/>
        </w:rPr>
        <w:t> </w:t>
      </w:r>
      <w:r>
        <w:rPr/>
        <w:t>of</w:t>
      </w:r>
      <w:r>
        <w:rPr>
          <w:spacing w:val="-16"/>
        </w:rPr>
        <w:t> </w:t>
      </w:r>
      <w:r>
        <w:rPr/>
        <w:t>time</w:t>
      </w:r>
      <w:r>
        <w:rPr>
          <w:spacing w:val="-19"/>
        </w:rPr>
        <w:t> </w:t>
      </w:r>
      <w:r>
        <w:rPr/>
        <w:t>to</w:t>
      </w:r>
      <w:r>
        <w:rPr>
          <w:spacing w:val="-19"/>
        </w:rPr>
        <w:t> </w:t>
      </w:r>
      <w:r>
        <w:rPr/>
        <w:t>restore the</w:t>
      </w:r>
      <w:r>
        <w:rPr>
          <w:spacing w:val="-32"/>
        </w:rPr>
        <w:t> </w:t>
      </w:r>
      <w:r>
        <w:rPr/>
        <w:t>damaged</w:t>
      </w:r>
      <w:r>
        <w:rPr>
          <w:spacing w:val="-35"/>
        </w:rPr>
        <w:t> </w:t>
      </w:r>
      <w:r>
        <w:rPr>
          <w:spacing w:val="-3"/>
        </w:rPr>
        <w:t>property</w:t>
      </w:r>
      <w:r>
        <w:rPr>
          <w:spacing w:val="-34"/>
        </w:rPr>
        <w:t> </w:t>
      </w:r>
      <w:r>
        <w:rPr/>
        <w:t>if</w:t>
      </w:r>
      <w:r>
        <w:rPr>
          <w:spacing w:val="-32"/>
        </w:rPr>
        <w:t> </w:t>
      </w:r>
      <w:r>
        <w:rPr/>
        <w:t>this</w:t>
      </w:r>
      <w:r>
        <w:rPr>
          <w:spacing w:val="-32"/>
        </w:rPr>
        <w:t> </w:t>
      </w:r>
      <w:r>
        <w:rPr/>
        <w:t>element</w:t>
      </w:r>
      <w:r>
        <w:rPr>
          <w:spacing w:val="-34"/>
        </w:rPr>
        <w:t> </w:t>
      </w:r>
      <w:r>
        <w:rPr/>
        <w:t>would</w:t>
      </w:r>
      <w:r>
        <w:rPr>
          <w:spacing w:val="-30"/>
        </w:rPr>
        <w:t> </w:t>
      </w:r>
      <w:r>
        <w:rPr/>
        <w:t>be</w:t>
      </w:r>
    </w:p>
    <w:p>
      <w:pPr>
        <w:spacing w:after="0" w:line="242" w:lineRule="auto"/>
        <w:jc w:val="both"/>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1520" w:right="1026"/>
      </w:pPr>
      <w:bookmarkStart w:name="Law and Procedure 463" w:id="44"/>
      <w:bookmarkEnd w:id="44"/>
      <w:r>
        <w:rPr/>
      </w:r>
      <w:r>
        <w:rPr/>
        <w:t>appropriate to a calculation of the economic loss.</w:t>
      </w:r>
      <w:r>
        <w:rPr>
          <w:vertAlign w:val="superscript"/>
        </w:rPr>
        <w:t>951</w:t>
      </w:r>
    </w:p>
    <w:p>
      <w:pPr>
        <w:pStyle w:val="BodyText"/>
        <w:spacing w:before="2"/>
      </w:pPr>
    </w:p>
    <w:p>
      <w:pPr>
        <w:pStyle w:val="BodyText"/>
        <w:spacing w:line="242" w:lineRule="auto"/>
        <w:ind w:left="1520" w:right="1518" w:firstLine="720"/>
        <w:jc w:val="both"/>
      </w:pPr>
      <w:r>
        <w:rPr/>
        <w:t>With</w:t>
      </w:r>
      <w:r>
        <w:rPr>
          <w:spacing w:val="-11"/>
        </w:rPr>
        <w:t> </w:t>
      </w:r>
      <w:r>
        <w:rPr/>
        <w:t>the</w:t>
      </w:r>
      <w:r>
        <w:rPr>
          <w:spacing w:val="-12"/>
        </w:rPr>
        <w:t> </w:t>
      </w:r>
      <w:r>
        <w:rPr/>
        <w:t>advent</w:t>
      </w:r>
      <w:r>
        <w:rPr>
          <w:spacing w:val="-10"/>
        </w:rPr>
        <w:t> </w:t>
      </w:r>
      <w:r>
        <w:rPr/>
        <w:t>and</w:t>
      </w:r>
      <w:r>
        <w:rPr>
          <w:spacing w:val="-7"/>
        </w:rPr>
        <w:t> </w:t>
      </w:r>
      <w:r>
        <w:rPr/>
        <w:t>wide-spread</w:t>
      </w:r>
      <w:r>
        <w:rPr>
          <w:spacing w:val="-10"/>
        </w:rPr>
        <w:t> </w:t>
      </w:r>
      <w:r>
        <w:rPr/>
        <w:t>use</w:t>
      </w:r>
      <w:r>
        <w:rPr>
          <w:spacing w:val="-11"/>
        </w:rPr>
        <w:t> </w:t>
      </w:r>
      <w:r>
        <w:rPr/>
        <w:t>of replacement cost policies, the parties should agree to a determination of a </w:t>
      </w:r>
      <w:r>
        <w:rPr>
          <w:spacing w:val="-3"/>
        </w:rPr>
        <w:t>proper </w:t>
      </w:r>
      <w:r>
        <w:rPr/>
        <w:t>calculation</w:t>
      </w:r>
      <w:r>
        <w:rPr>
          <w:spacing w:val="-20"/>
        </w:rPr>
        <w:t> </w:t>
      </w:r>
      <w:r>
        <w:rPr/>
        <w:t>of</w:t>
      </w:r>
      <w:r>
        <w:rPr>
          <w:spacing w:val="-19"/>
        </w:rPr>
        <w:t> </w:t>
      </w:r>
      <w:r>
        <w:rPr/>
        <w:t>depreciation</w:t>
      </w:r>
      <w:r>
        <w:rPr>
          <w:spacing w:val="-20"/>
        </w:rPr>
        <w:t> </w:t>
      </w:r>
      <w:r>
        <w:rPr/>
        <w:t>if</w:t>
      </w:r>
      <w:r>
        <w:rPr>
          <w:spacing w:val="-19"/>
        </w:rPr>
        <w:t> </w:t>
      </w:r>
      <w:r>
        <w:rPr/>
        <w:t>the</w:t>
      </w:r>
      <w:r>
        <w:rPr>
          <w:spacing w:val="-24"/>
        </w:rPr>
        <w:t> </w:t>
      </w:r>
      <w:r>
        <w:rPr/>
        <w:t>policy</w:t>
      </w:r>
      <w:r>
        <w:rPr>
          <w:spacing w:val="-22"/>
        </w:rPr>
        <w:t> </w:t>
      </w:r>
      <w:r>
        <w:rPr/>
        <w:t>makes this a factor in the calculation of a holdback until the damage is</w:t>
      </w:r>
      <w:r>
        <w:rPr>
          <w:spacing w:val="-5"/>
        </w:rPr>
        <w:t> </w:t>
      </w:r>
      <w:r>
        <w:rPr/>
        <w:t>repaired.</w:t>
      </w:r>
    </w:p>
    <w:p>
      <w:pPr>
        <w:pStyle w:val="BodyText"/>
        <w:spacing w:before="1"/>
      </w:pPr>
    </w:p>
    <w:p>
      <w:pPr>
        <w:pStyle w:val="BodyText"/>
        <w:spacing w:line="242" w:lineRule="auto"/>
        <w:ind w:left="1520" w:right="1521" w:firstLine="720"/>
        <w:jc w:val="both"/>
      </w:pPr>
      <w:r>
        <w:rPr>
          <w:spacing w:val="3"/>
        </w:rPr>
        <w:t>In </w:t>
      </w:r>
      <w:r>
        <w:rPr/>
        <w:t>any event, the goal of the process should mirror the terms of the policy insofar as they</w:t>
      </w:r>
      <w:r>
        <w:rPr>
          <w:spacing w:val="-27"/>
        </w:rPr>
        <w:t> </w:t>
      </w:r>
      <w:r>
        <w:rPr/>
        <w:t>relate</w:t>
      </w:r>
      <w:r>
        <w:rPr>
          <w:spacing w:val="-24"/>
        </w:rPr>
        <w:t> </w:t>
      </w:r>
      <w:r>
        <w:rPr/>
        <w:t>to</w:t>
      </w:r>
      <w:r>
        <w:rPr>
          <w:spacing w:val="-22"/>
        </w:rPr>
        <w:t> </w:t>
      </w:r>
      <w:r>
        <w:rPr/>
        <w:t>definitions</w:t>
      </w:r>
      <w:r>
        <w:rPr>
          <w:spacing w:val="-22"/>
        </w:rPr>
        <w:t> </w:t>
      </w:r>
      <w:r>
        <w:rPr/>
        <w:t>and</w:t>
      </w:r>
      <w:r>
        <w:rPr>
          <w:spacing w:val="-24"/>
        </w:rPr>
        <w:t> </w:t>
      </w:r>
      <w:r>
        <w:rPr/>
        <w:t>determinations</w:t>
      </w:r>
      <w:r>
        <w:rPr>
          <w:spacing w:val="-24"/>
        </w:rPr>
        <w:t> </w:t>
      </w:r>
      <w:r>
        <w:rPr/>
        <w:t>of value and</w:t>
      </w:r>
      <w:r>
        <w:rPr>
          <w:spacing w:val="-3"/>
        </w:rPr>
        <w:t> </w:t>
      </w:r>
      <w:r>
        <w:rPr/>
        <w:t>loss.</w:t>
      </w:r>
    </w:p>
    <w:p>
      <w:pPr>
        <w:pStyle w:val="BodyText"/>
        <w:spacing w:before="1"/>
      </w:pPr>
    </w:p>
    <w:p>
      <w:pPr>
        <w:pStyle w:val="BodyText"/>
        <w:spacing w:line="242" w:lineRule="auto"/>
        <w:ind w:left="1520" w:right="1518" w:firstLine="720"/>
        <w:jc w:val="both"/>
      </w:pPr>
      <w:r>
        <w:rPr>
          <w:spacing w:val="-3"/>
        </w:rPr>
        <w:t>The</w:t>
      </w:r>
      <w:r>
        <w:rPr>
          <w:spacing w:val="-33"/>
        </w:rPr>
        <w:t> </w:t>
      </w:r>
      <w:r>
        <w:rPr/>
        <w:t>procedures</w:t>
      </w:r>
      <w:r>
        <w:rPr>
          <w:spacing w:val="-33"/>
        </w:rPr>
        <w:t> </w:t>
      </w:r>
      <w:r>
        <w:rPr/>
        <w:t>to</w:t>
      </w:r>
      <w:r>
        <w:rPr>
          <w:spacing w:val="-32"/>
        </w:rPr>
        <w:t> </w:t>
      </w:r>
      <w:r>
        <w:rPr/>
        <w:t>be</w:t>
      </w:r>
      <w:r>
        <w:rPr>
          <w:spacing w:val="-32"/>
        </w:rPr>
        <w:t> </w:t>
      </w:r>
      <w:r>
        <w:rPr/>
        <w:t>followed</w:t>
      </w:r>
      <w:r>
        <w:rPr>
          <w:spacing w:val="-34"/>
        </w:rPr>
        <w:t> </w:t>
      </w:r>
      <w:r>
        <w:rPr/>
        <w:t>may</w:t>
      </w:r>
      <w:r>
        <w:rPr>
          <w:spacing w:val="-36"/>
        </w:rPr>
        <w:t> </w:t>
      </w:r>
      <w:r>
        <w:rPr/>
        <w:t>be</w:t>
      </w:r>
      <w:r>
        <w:rPr>
          <w:spacing w:val="-32"/>
        </w:rPr>
        <w:t> </w:t>
      </w:r>
      <w:r>
        <w:rPr/>
        <w:t>as formal or informal as the parties may agree</w:t>
      </w:r>
      <w:r>
        <w:rPr>
          <w:spacing w:val="-29"/>
        </w:rPr>
        <w:t> </w:t>
      </w:r>
      <w:r>
        <w:rPr/>
        <w:t>so long as they do not abrogate the contract of insurance.</w:t>
      </w:r>
      <w:r>
        <w:rPr>
          <w:vertAlign w:val="superscript"/>
        </w:rPr>
        <w:t>952</w:t>
      </w:r>
    </w:p>
    <w:p>
      <w:pPr>
        <w:pStyle w:val="BodyText"/>
        <w:spacing w:before="1"/>
      </w:pPr>
    </w:p>
    <w:p>
      <w:pPr>
        <w:pStyle w:val="BodyText"/>
        <w:spacing w:line="242" w:lineRule="auto" w:before="1"/>
        <w:ind w:left="1520" w:right="1519" w:firstLine="720"/>
        <w:jc w:val="both"/>
      </w:pPr>
      <w:r>
        <w:rPr/>
        <w:t>However, as discussed more fully in Chapter I[C] some jurisdictions equate appraisal with arbitration and mandate statutorily the specific procedures to be followed</w:t>
      </w:r>
      <w:r>
        <w:rPr>
          <w:spacing w:val="-19"/>
        </w:rPr>
        <w:t> </w:t>
      </w:r>
      <w:r>
        <w:rPr/>
        <w:t>before,</w:t>
      </w:r>
      <w:r>
        <w:rPr>
          <w:spacing w:val="-22"/>
        </w:rPr>
        <w:t> </w:t>
      </w:r>
      <w:r>
        <w:rPr/>
        <w:t>during</w:t>
      </w:r>
      <w:r>
        <w:rPr>
          <w:spacing w:val="-16"/>
        </w:rPr>
        <w:t> </w:t>
      </w:r>
      <w:r>
        <w:rPr/>
        <w:t>and</w:t>
      </w:r>
      <w:r>
        <w:rPr>
          <w:spacing w:val="-15"/>
        </w:rPr>
        <w:t> </w:t>
      </w:r>
      <w:r>
        <w:rPr/>
        <w:t>after</w:t>
      </w:r>
      <w:r>
        <w:rPr>
          <w:spacing w:val="-20"/>
        </w:rPr>
        <w:t> </w:t>
      </w:r>
      <w:r>
        <w:rPr/>
        <w:t>an</w:t>
      </w:r>
      <w:r>
        <w:rPr>
          <w:spacing w:val="-16"/>
        </w:rPr>
        <w:t> </w:t>
      </w:r>
      <w:r>
        <w:rPr/>
        <w:t>appraisal hearing. </w:t>
      </w:r>
      <w:r>
        <w:rPr>
          <w:spacing w:val="3"/>
        </w:rPr>
        <w:t>In </w:t>
      </w:r>
      <w:r>
        <w:rPr/>
        <w:t>these jurisdictions, great care must be</w:t>
      </w:r>
      <w:r>
        <w:rPr>
          <w:spacing w:val="-25"/>
        </w:rPr>
        <w:t> </w:t>
      </w:r>
      <w:r>
        <w:rPr/>
        <w:t>taken</w:t>
      </w:r>
      <w:r>
        <w:rPr>
          <w:spacing w:val="-25"/>
        </w:rPr>
        <w:t> </w:t>
      </w:r>
      <w:r>
        <w:rPr/>
        <w:t>in</w:t>
      </w:r>
      <w:r>
        <w:rPr>
          <w:spacing w:val="-26"/>
        </w:rPr>
        <w:t> </w:t>
      </w:r>
      <w:r>
        <w:rPr/>
        <w:t>educating</w:t>
      </w:r>
      <w:r>
        <w:rPr>
          <w:spacing w:val="-23"/>
        </w:rPr>
        <w:t> </w:t>
      </w:r>
      <w:r>
        <w:rPr/>
        <w:t>both</w:t>
      </w:r>
      <w:r>
        <w:rPr>
          <w:spacing w:val="-27"/>
        </w:rPr>
        <w:t> </w:t>
      </w:r>
      <w:r>
        <w:rPr/>
        <w:t>the</w:t>
      </w:r>
      <w:r>
        <w:rPr>
          <w:spacing w:val="-27"/>
        </w:rPr>
        <w:t> </w:t>
      </w:r>
      <w:r>
        <w:rPr/>
        <w:t>appraisers</w:t>
      </w:r>
      <w:r>
        <w:rPr>
          <w:spacing w:val="-25"/>
        </w:rPr>
        <w:t> </w:t>
      </w:r>
      <w:r>
        <w:rPr/>
        <w:t>and the umpire with respect to the</w:t>
      </w:r>
      <w:r>
        <w:rPr>
          <w:spacing w:val="5"/>
        </w:rPr>
        <w:t> </w:t>
      </w:r>
      <w:r>
        <w:rPr/>
        <w:t>mandated</w:t>
      </w:r>
    </w:p>
    <w:p>
      <w:pPr>
        <w:pStyle w:val="BodyText"/>
        <w:rPr>
          <w:sz w:val="20"/>
        </w:rPr>
      </w:pPr>
    </w:p>
    <w:p>
      <w:pPr>
        <w:pStyle w:val="BodyText"/>
        <w:rPr>
          <w:sz w:val="20"/>
        </w:rPr>
      </w:pPr>
    </w:p>
    <w:p>
      <w:pPr>
        <w:pStyle w:val="BodyText"/>
        <w:spacing w:before="1"/>
        <w:rPr>
          <w:sz w:val="11"/>
        </w:rPr>
      </w:pPr>
      <w:r>
        <w:rPr/>
        <w:pict>
          <v:shape style="position:absolute;margin-left:162pt;margin-top:9.21918pt;width:143.9pt;height:.1pt;mso-position-horizontal-relative:page;mso-position-vertical-relative:paragraph;z-index:-251629568;mso-wrap-distance-left:0;mso-wrap-distance-right:0" coordorigin="3240,184" coordsize="2878,0" path="m3240,184l6118,184e" filled="false" stroked="true" strokeweight=".84pt" strokecolor="#000000">
            <v:path arrowok="t"/>
            <v:stroke dashstyle="solid"/>
            <w10:wrap type="topAndBottom"/>
          </v:shape>
        </w:pict>
      </w:r>
    </w:p>
    <w:p>
      <w:pPr>
        <w:pStyle w:val="ListParagraph"/>
        <w:numPr>
          <w:ilvl w:val="0"/>
          <w:numId w:val="8"/>
        </w:numPr>
        <w:tabs>
          <w:tab w:pos="1442" w:val="left" w:leader="none"/>
        </w:tabs>
        <w:spacing w:line="244" w:lineRule="auto" w:before="140" w:after="0"/>
        <w:ind w:left="1160" w:right="1162" w:firstLine="0"/>
        <w:jc w:val="left"/>
        <w:rPr>
          <w:sz w:val="18"/>
        </w:rPr>
      </w:pPr>
      <w:r>
        <w:rPr>
          <w:sz w:val="18"/>
        </w:rPr>
        <w:t>Such as economic claims, claims for lost rent, additional living expenses, business interruption or extra expense.</w:t>
      </w:r>
    </w:p>
    <w:p>
      <w:pPr>
        <w:pStyle w:val="ListParagraph"/>
        <w:numPr>
          <w:ilvl w:val="0"/>
          <w:numId w:val="8"/>
        </w:numPr>
        <w:tabs>
          <w:tab w:pos="1421" w:val="left" w:leader="none"/>
        </w:tabs>
        <w:spacing w:line="206" w:lineRule="exact" w:before="0" w:after="0"/>
        <w:ind w:left="1420" w:right="0" w:hanging="261"/>
        <w:jc w:val="left"/>
        <w:rPr>
          <w:sz w:val="18"/>
        </w:rPr>
      </w:pPr>
      <w:r>
        <w:rPr>
          <w:i/>
          <w:sz w:val="18"/>
        </w:rPr>
        <w:t>See</w:t>
      </w:r>
      <w:r>
        <w:rPr>
          <w:sz w:val="18"/>
        </w:rPr>
        <w:t>, 6 Appleman </w:t>
      </w:r>
      <w:r>
        <w:rPr>
          <w:sz w:val="18"/>
          <w:u w:val="single"/>
        </w:rPr>
        <w:t>Insurance Law and Practice</w:t>
      </w:r>
      <w:r>
        <w:rPr>
          <w:sz w:val="18"/>
        </w:rPr>
        <w:t> §3931 (1972).</w:t>
      </w:r>
    </w:p>
    <w:p>
      <w:pPr>
        <w:spacing w:after="0" w:line="206" w:lineRule="exact"/>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1"/>
      </w:pPr>
      <w:bookmarkStart w:name="Law and Procedure 464" w:id="45"/>
      <w:bookmarkEnd w:id="45"/>
      <w:r>
        <w:rPr/>
      </w:r>
      <w:r>
        <w:rPr/>
        <w:t>procedures</w:t>
      </w:r>
      <w:r>
        <w:rPr>
          <w:spacing w:val="-32"/>
        </w:rPr>
        <w:t> </w:t>
      </w:r>
      <w:r>
        <w:rPr/>
        <w:t>for</w:t>
      </w:r>
      <w:r>
        <w:rPr>
          <w:spacing w:val="-31"/>
        </w:rPr>
        <w:t> </w:t>
      </w:r>
      <w:r>
        <w:rPr/>
        <w:t>a</w:t>
      </w:r>
      <w:r>
        <w:rPr>
          <w:spacing w:val="-30"/>
        </w:rPr>
        <w:t> </w:t>
      </w:r>
      <w:r>
        <w:rPr/>
        <w:t>valid</w:t>
      </w:r>
      <w:r>
        <w:rPr>
          <w:spacing w:val="-30"/>
        </w:rPr>
        <w:t> </w:t>
      </w:r>
      <w:r>
        <w:rPr/>
        <w:t>and</w:t>
      </w:r>
      <w:r>
        <w:rPr>
          <w:spacing w:val="-29"/>
        </w:rPr>
        <w:t> </w:t>
      </w:r>
      <w:r>
        <w:rPr/>
        <w:t>binding</w:t>
      </w:r>
      <w:r>
        <w:rPr>
          <w:spacing w:val="-28"/>
        </w:rPr>
        <w:t> </w:t>
      </w:r>
      <w:r>
        <w:rPr/>
        <w:t>appraisal</w:t>
      </w:r>
      <w:r>
        <w:rPr>
          <w:spacing w:val="-29"/>
        </w:rPr>
        <w:t> </w:t>
      </w:r>
      <w:r>
        <w:rPr/>
        <w:t>to take</w:t>
      </w:r>
      <w:r>
        <w:rPr>
          <w:spacing w:val="-2"/>
        </w:rPr>
        <w:t> </w:t>
      </w:r>
      <w:r>
        <w:rPr/>
        <w:t>place.</w:t>
      </w:r>
    </w:p>
    <w:p>
      <w:pPr>
        <w:pStyle w:val="BodyText"/>
        <w:spacing w:before="1"/>
      </w:pPr>
    </w:p>
    <w:p>
      <w:pPr>
        <w:pStyle w:val="BodyText"/>
        <w:spacing w:line="242" w:lineRule="auto" w:before="1"/>
        <w:ind w:left="1520" w:right="1521" w:firstLine="720"/>
        <w:jc w:val="both"/>
      </w:pPr>
      <w:r>
        <w:rPr/>
        <w:t>Even some of these jurisdictions have begun</w:t>
      </w:r>
      <w:r>
        <w:rPr>
          <w:spacing w:val="-35"/>
        </w:rPr>
        <w:t> </w:t>
      </w:r>
      <w:r>
        <w:rPr/>
        <w:t>to</w:t>
      </w:r>
      <w:r>
        <w:rPr>
          <w:spacing w:val="-36"/>
        </w:rPr>
        <w:t> </w:t>
      </w:r>
      <w:r>
        <w:rPr/>
        <w:t>recognize</w:t>
      </w:r>
      <w:r>
        <w:rPr>
          <w:spacing w:val="-39"/>
        </w:rPr>
        <w:t> </w:t>
      </w:r>
      <w:r>
        <w:rPr>
          <w:spacing w:val="-3"/>
        </w:rPr>
        <w:t>the</w:t>
      </w:r>
      <w:r>
        <w:rPr>
          <w:spacing w:val="-39"/>
        </w:rPr>
        <w:t> </w:t>
      </w:r>
      <w:r>
        <w:rPr/>
        <w:t>unambiguous</w:t>
      </w:r>
      <w:r>
        <w:rPr>
          <w:spacing w:val="-33"/>
        </w:rPr>
        <w:t> </w:t>
      </w:r>
      <w:r>
        <w:rPr/>
        <w:t>principle of the appraisal clause and have concluded that the formal procedures of the</w:t>
      </w:r>
      <w:r>
        <w:rPr>
          <w:spacing w:val="57"/>
        </w:rPr>
        <w:t> </w:t>
      </w:r>
      <w:r>
        <w:rPr/>
        <w:t>local arbitration code were</w:t>
      </w:r>
      <w:r>
        <w:rPr>
          <w:spacing w:val="-3"/>
        </w:rPr>
        <w:t> </w:t>
      </w:r>
      <w:r>
        <w:rPr/>
        <w:t>inapplicable.</w:t>
      </w:r>
      <w:r>
        <w:rPr>
          <w:vertAlign w:val="superscript"/>
        </w:rPr>
        <w:t>953</w:t>
      </w:r>
    </w:p>
    <w:p>
      <w:pPr>
        <w:pStyle w:val="BodyText"/>
      </w:pPr>
    </w:p>
    <w:p>
      <w:pPr>
        <w:pStyle w:val="BodyText"/>
        <w:spacing w:line="242" w:lineRule="auto" w:before="1"/>
        <w:ind w:left="1520" w:right="1516" w:firstLine="720"/>
        <w:jc w:val="both"/>
      </w:pPr>
      <w:r>
        <w:rPr>
          <w:spacing w:val="3"/>
        </w:rPr>
        <w:t>It </w:t>
      </w:r>
      <w:r>
        <w:rPr/>
        <w:t>may be advisable for each of the appraisers to present the umpire with</w:t>
      </w:r>
      <w:r>
        <w:rPr>
          <w:spacing w:val="50"/>
        </w:rPr>
        <w:t> </w:t>
      </w:r>
      <w:r>
        <w:rPr/>
        <w:t>a detailed, but concise and understandable tabbed and indexed presentation including expert</w:t>
      </w:r>
      <w:r>
        <w:rPr>
          <w:spacing w:val="-26"/>
        </w:rPr>
        <w:t> </w:t>
      </w:r>
      <w:r>
        <w:rPr/>
        <w:t>reports,</w:t>
      </w:r>
      <w:r>
        <w:rPr>
          <w:spacing w:val="-25"/>
        </w:rPr>
        <w:t> </w:t>
      </w:r>
      <w:r>
        <w:rPr/>
        <w:t>laboratory</w:t>
      </w:r>
      <w:r>
        <w:rPr>
          <w:spacing w:val="-28"/>
        </w:rPr>
        <w:t> </w:t>
      </w:r>
      <w:r>
        <w:rPr/>
        <w:t>results,</w:t>
      </w:r>
      <w:r>
        <w:rPr>
          <w:spacing w:val="-29"/>
        </w:rPr>
        <w:t> </w:t>
      </w:r>
      <w:r>
        <w:rPr/>
        <w:t>photographs, diagrams, inventories, building estimates, </w:t>
      </w:r>
      <w:r>
        <w:rPr>
          <w:spacing w:val="-4"/>
        </w:rPr>
        <w:t>etc. </w:t>
      </w:r>
      <w:r>
        <w:rPr/>
        <w:t>in</w:t>
      </w:r>
      <w:r>
        <w:rPr>
          <w:spacing w:val="-9"/>
        </w:rPr>
        <w:t> </w:t>
      </w:r>
      <w:r>
        <w:rPr/>
        <w:t>order</w:t>
      </w:r>
      <w:r>
        <w:rPr>
          <w:spacing w:val="-10"/>
        </w:rPr>
        <w:t> </w:t>
      </w:r>
      <w:r>
        <w:rPr/>
        <w:t>to</w:t>
      </w:r>
      <w:r>
        <w:rPr>
          <w:spacing w:val="-12"/>
        </w:rPr>
        <w:t> </w:t>
      </w:r>
      <w:r>
        <w:rPr/>
        <w:t>present</w:t>
      </w:r>
      <w:r>
        <w:rPr>
          <w:spacing w:val="-14"/>
        </w:rPr>
        <w:t> </w:t>
      </w:r>
      <w:r>
        <w:rPr/>
        <w:t>the</w:t>
      </w:r>
      <w:r>
        <w:rPr>
          <w:spacing w:val="-11"/>
        </w:rPr>
        <w:t> </w:t>
      </w:r>
      <w:r>
        <w:rPr/>
        <w:t>parties’</w:t>
      </w:r>
      <w:r>
        <w:rPr>
          <w:spacing w:val="-11"/>
        </w:rPr>
        <w:t> </w:t>
      </w:r>
      <w:r>
        <w:rPr/>
        <w:t>positions</w:t>
      </w:r>
      <w:r>
        <w:rPr>
          <w:spacing w:val="-12"/>
        </w:rPr>
        <w:t> </w:t>
      </w:r>
      <w:r>
        <w:rPr/>
        <w:t>in</w:t>
      </w:r>
      <w:r>
        <w:rPr>
          <w:spacing w:val="-11"/>
        </w:rPr>
        <w:t> </w:t>
      </w:r>
      <w:r>
        <w:rPr/>
        <w:t>their best light and in their most understandable format.</w:t>
      </w:r>
    </w:p>
    <w:p>
      <w:pPr>
        <w:pStyle w:val="BodyText"/>
        <w:spacing w:before="11"/>
        <w:rPr>
          <w:sz w:val="25"/>
        </w:rPr>
      </w:pPr>
    </w:p>
    <w:p>
      <w:pPr>
        <w:pStyle w:val="BodyText"/>
        <w:spacing w:line="242" w:lineRule="auto"/>
        <w:ind w:left="1520" w:right="1518" w:firstLine="720"/>
        <w:jc w:val="both"/>
      </w:pPr>
      <w:r>
        <w:rPr>
          <w:spacing w:val="3"/>
        </w:rPr>
        <w:t>In </w:t>
      </w:r>
      <w:r>
        <w:rPr/>
        <w:t>more formalistic jurisdictions, it is customary for appraisals to be conducted in </w:t>
      </w:r>
      <w:r>
        <w:rPr>
          <w:spacing w:val="-3"/>
        </w:rPr>
        <w:t>adherence</w:t>
      </w:r>
      <w:r>
        <w:rPr>
          <w:spacing w:val="-38"/>
        </w:rPr>
        <w:t> </w:t>
      </w:r>
      <w:r>
        <w:rPr>
          <w:spacing w:val="-3"/>
        </w:rPr>
        <w:t>with</w:t>
      </w:r>
      <w:r>
        <w:rPr>
          <w:spacing w:val="-36"/>
        </w:rPr>
        <w:t> </w:t>
      </w:r>
      <w:r>
        <w:rPr/>
        <w:t>procedural</w:t>
      </w:r>
      <w:r>
        <w:rPr>
          <w:spacing w:val="-34"/>
        </w:rPr>
        <w:t> </w:t>
      </w:r>
      <w:r>
        <w:rPr/>
        <w:t>requirements</w:t>
      </w:r>
      <w:r>
        <w:rPr>
          <w:spacing w:val="-36"/>
        </w:rPr>
        <w:t> </w:t>
      </w:r>
      <w:r>
        <w:rPr>
          <w:spacing w:val="-3"/>
        </w:rPr>
        <w:t>more </w:t>
      </w:r>
      <w:r>
        <w:rPr/>
        <w:t>akin to arbitrations. </w:t>
      </w:r>
      <w:r>
        <w:rPr>
          <w:spacing w:val="3"/>
        </w:rPr>
        <w:t>It </w:t>
      </w:r>
      <w:r>
        <w:rPr/>
        <w:t>is not unusual in these states for formal hearings to take place with </w:t>
      </w:r>
      <w:r>
        <w:rPr>
          <w:spacing w:val="5"/>
        </w:rPr>
        <w:t>testimony </w:t>
      </w:r>
      <w:r>
        <w:rPr>
          <w:spacing w:val="4"/>
        </w:rPr>
        <w:t>and </w:t>
      </w:r>
      <w:r>
        <w:rPr>
          <w:spacing w:val="7"/>
        </w:rPr>
        <w:t>documentary </w:t>
      </w:r>
      <w:r>
        <w:rPr>
          <w:spacing w:val="5"/>
        </w:rPr>
        <w:t>evidence </w:t>
      </w:r>
      <w:r>
        <w:rPr/>
        <w:t>received and a stenographic record</w:t>
      </w:r>
      <w:r>
        <w:rPr>
          <w:spacing w:val="-44"/>
        </w:rPr>
        <w:t> </w:t>
      </w:r>
      <w:r>
        <w:rPr/>
        <w:t>created. </w:t>
      </w:r>
      <w:r>
        <w:rPr>
          <w:spacing w:val="4"/>
        </w:rPr>
        <w:t>In </w:t>
      </w:r>
      <w:r>
        <w:rPr/>
        <w:t>fact, some jurisdictions require</w:t>
      </w:r>
      <w:r>
        <w:rPr>
          <w:spacing w:val="60"/>
        </w:rPr>
        <w:t> </w:t>
      </w:r>
      <w:r>
        <w:rPr/>
        <w:t>that</w:t>
      </w:r>
    </w:p>
    <w:p>
      <w:pPr>
        <w:pStyle w:val="BodyText"/>
        <w:rPr>
          <w:sz w:val="20"/>
        </w:rPr>
      </w:pPr>
    </w:p>
    <w:p>
      <w:pPr>
        <w:pStyle w:val="BodyText"/>
        <w:rPr>
          <w:sz w:val="20"/>
        </w:rPr>
      </w:pPr>
    </w:p>
    <w:p>
      <w:pPr>
        <w:pStyle w:val="BodyText"/>
        <w:spacing w:before="2"/>
        <w:rPr>
          <w:sz w:val="20"/>
        </w:rPr>
      </w:pPr>
      <w:r>
        <w:rPr/>
        <w:pict>
          <v:shape style="position:absolute;margin-left:162pt;margin-top:14.7833pt;width:143.9pt;height:.1pt;mso-position-horizontal-relative:page;mso-position-vertical-relative:paragraph;z-index:-251628544;mso-wrap-distance-left:0;mso-wrap-distance-right:0" coordorigin="3240,296" coordsize="2878,0" path="m3240,296l6118,296e" filled="false" stroked="true" strokeweight=".84pt" strokecolor="#000000">
            <v:path arrowok="t"/>
            <v:stroke dashstyle="solid"/>
            <w10:wrap type="topAndBottom"/>
          </v:shape>
        </w:pict>
      </w:r>
    </w:p>
    <w:p>
      <w:pPr>
        <w:pStyle w:val="ListParagraph"/>
        <w:numPr>
          <w:ilvl w:val="0"/>
          <w:numId w:val="8"/>
        </w:numPr>
        <w:tabs>
          <w:tab w:pos="1411" w:val="left" w:leader="none"/>
        </w:tabs>
        <w:spacing w:line="244" w:lineRule="auto" w:before="140" w:after="0"/>
        <w:ind w:left="1160" w:right="1166" w:firstLine="0"/>
        <w:jc w:val="both"/>
        <w:rPr>
          <w:sz w:val="18"/>
        </w:rPr>
      </w:pPr>
      <w:r>
        <w:rPr>
          <w:sz w:val="18"/>
          <w:u w:val="single"/>
        </w:rPr>
        <w:t>Allstate</w:t>
      </w:r>
      <w:r>
        <w:rPr>
          <w:spacing w:val="-11"/>
          <w:sz w:val="18"/>
          <w:u w:val="single"/>
        </w:rPr>
        <w:t> </w:t>
      </w:r>
      <w:r>
        <w:rPr>
          <w:sz w:val="18"/>
          <w:u w:val="single"/>
        </w:rPr>
        <w:t>Ins.</w:t>
      </w:r>
      <w:r>
        <w:rPr>
          <w:spacing w:val="-10"/>
          <w:sz w:val="18"/>
          <w:u w:val="single"/>
        </w:rPr>
        <w:t> </w:t>
      </w:r>
      <w:r>
        <w:rPr>
          <w:sz w:val="18"/>
          <w:u w:val="single"/>
        </w:rPr>
        <w:t>Co.</w:t>
      </w:r>
      <w:r>
        <w:rPr>
          <w:spacing w:val="-6"/>
          <w:sz w:val="18"/>
          <w:u w:val="single"/>
        </w:rPr>
        <w:t> </w:t>
      </w:r>
      <w:r>
        <w:rPr>
          <w:sz w:val="18"/>
          <w:u w:val="single"/>
        </w:rPr>
        <w:t>v.</w:t>
      </w:r>
      <w:r>
        <w:rPr>
          <w:spacing w:val="-6"/>
          <w:sz w:val="18"/>
          <w:u w:val="single"/>
        </w:rPr>
        <w:t> </w:t>
      </w:r>
      <w:r>
        <w:rPr>
          <w:sz w:val="18"/>
          <w:u w:val="single"/>
        </w:rPr>
        <w:t>Suarez</w:t>
      </w:r>
      <w:r>
        <w:rPr>
          <w:sz w:val="18"/>
        </w:rPr>
        <w:t>,</w:t>
      </w:r>
      <w:r>
        <w:rPr>
          <w:spacing w:val="-8"/>
          <w:sz w:val="18"/>
        </w:rPr>
        <w:t> </w:t>
      </w:r>
      <w:r>
        <w:rPr>
          <w:sz w:val="18"/>
        </w:rPr>
        <w:t>786</w:t>
      </w:r>
      <w:r>
        <w:rPr>
          <w:spacing w:val="-5"/>
          <w:sz w:val="18"/>
        </w:rPr>
        <w:t> </w:t>
      </w:r>
      <w:r>
        <w:rPr>
          <w:sz w:val="18"/>
        </w:rPr>
        <w:t>So.2d</w:t>
      </w:r>
      <w:r>
        <w:rPr>
          <w:spacing w:val="-6"/>
          <w:sz w:val="18"/>
        </w:rPr>
        <w:t> </w:t>
      </w:r>
      <w:r>
        <w:rPr>
          <w:sz w:val="18"/>
        </w:rPr>
        <w:t>645</w:t>
      </w:r>
      <w:r>
        <w:rPr>
          <w:spacing w:val="-6"/>
          <w:sz w:val="18"/>
        </w:rPr>
        <w:t> </w:t>
      </w:r>
      <w:r>
        <w:rPr>
          <w:sz w:val="18"/>
        </w:rPr>
        <w:t>(Fla.</w:t>
      </w:r>
      <w:r>
        <w:rPr>
          <w:spacing w:val="-6"/>
          <w:sz w:val="18"/>
        </w:rPr>
        <w:t> </w:t>
      </w:r>
      <w:r>
        <w:rPr>
          <w:sz w:val="18"/>
        </w:rPr>
        <w:t>Dist.</w:t>
      </w:r>
      <w:r>
        <w:rPr>
          <w:spacing w:val="-7"/>
          <w:sz w:val="18"/>
        </w:rPr>
        <w:t> </w:t>
      </w:r>
      <w:r>
        <w:rPr>
          <w:sz w:val="18"/>
        </w:rPr>
        <w:t>Ct.</w:t>
      </w:r>
      <w:r>
        <w:rPr>
          <w:spacing w:val="-5"/>
          <w:sz w:val="18"/>
        </w:rPr>
        <w:t> </w:t>
      </w:r>
      <w:r>
        <w:rPr>
          <w:sz w:val="18"/>
        </w:rPr>
        <w:t>App.</w:t>
      </w:r>
      <w:r>
        <w:rPr>
          <w:spacing w:val="-10"/>
          <w:sz w:val="18"/>
        </w:rPr>
        <w:t> </w:t>
      </w:r>
      <w:r>
        <w:rPr>
          <w:sz w:val="18"/>
        </w:rPr>
        <w:t>3d</w:t>
      </w:r>
      <w:r>
        <w:rPr>
          <w:spacing w:val="-8"/>
          <w:sz w:val="18"/>
        </w:rPr>
        <w:t> </w:t>
      </w:r>
      <w:r>
        <w:rPr>
          <w:sz w:val="18"/>
        </w:rPr>
        <w:t>Dist.</w:t>
      </w:r>
      <w:r>
        <w:rPr>
          <w:spacing w:val="-9"/>
          <w:sz w:val="18"/>
        </w:rPr>
        <w:t> </w:t>
      </w:r>
      <w:r>
        <w:rPr>
          <w:sz w:val="18"/>
        </w:rPr>
        <w:t>2001)</w:t>
      </w:r>
      <w:r>
        <w:rPr>
          <w:i/>
          <w:sz w:val="18"/>
        </w:rPr>
        <w:t>,</w:t>
      </w:r>
      <w:r>
        <w:rPr>
          <w:i/>
          <w:spacing w:val="-9"/>
          <w:sz w:val="18"/>
        </w:rPr>
        <w:t> </w:t>
      </w:r>
      <w:r>
        <w:rPr>
          <w:i/>
          <w:sz w:val="18"/>
        </w:rPr>
        <w:t>aff’d,</w:t>
      </w:r>
      <w:r>
        <w:rPr>
          <w:i/>
          <w:spacing w:val="-9"/>
          <w:sz w:val="18"/>
        </w:rPr>
        <w:t> </w:t>
      </w:r>
      <w:r>
        <w:rPr>
          <w:sz w:val="18"/>
        </w:rPr>
        <w:t>833 So.2d</w:t>
      </w:r>
      <w:r>
        <w:rPr>
          <w:spacing w:val="-8"/>
          <w:sz w:val="18"/>
        </w:rPr>
        <w:t> </w:t>
      </w:r>
      <w:r>
        <w:rPr>
          <w:sz w:val="18"/>
        </w:rPr>
        <w:t>762</w:t>
      </w:r>
      <w:r>
        <w:rPr>
          <w:spacing w:val="-8"/>
          <w:sz w:val="18"/>
        </w:rPr>
        <w:t> </w:t>
      </w:r>
      <w:r>
        <w:rPr>
          <w:sz w:val="18"/>
        </w:rPr>
        <w:t>(Fla.</w:t>
      </w:r>
      <w:r>
        <w:rPr>
          <w:spacing w:val="-7"/>
          <w:sz w:val="18"/>
        </w:rPr>
        <w:t> </w:t>
      </w:r>
      <w:r>
        <w:rPr>
          <w:sz w:val="18"/>
        </w:rPr>
        <w:t>2002)</w:t>
      </w:r>
      <w:r>
        <w:rPr>
          <w:spacing w:val="-9"/>
          <w:sz w:val="18"/>
        </w:rPr>
        <w:t> </w:t>
      </w:r>
      <w:r>
        <w:rPr>
          <w:sz w:val="18"/>
        </w:rPr>
        <w:t>(</w:t>
      </w:r>
      <w:r>
        <w:rPr>
          <w:i/>
          <w:sz w:val="18"/>
        </w:rPr>
        <w:t>overruling</w:t>
      </w:r>
      <w:r>
        <w:rPr>
          <w:sz w:val="18"/>
        </w:rPr>
        <w:t>,</w:t>
      </w:r>
      <w:r>
        <w:rPr>
          <w:spacing w:val="-8"/>
          <w:sz w:val="18"/>
        </w:rPr>
        <w:t> </w:t>
      </w:r>
      <w:r>
        <w:rPr>
          <w:sz w:val="18"/>
          <w:u w:val="single"/>
        </w:rPr>
        <w:t>Hoenstine</w:t>
      </w:r>
      <w:r>
        <w:rPr>
          <w:spacing w:val="-10"/>
          <w:sz w:val="18"/>
          <w:u w:val="single"/>
        </w:rPr>
        <w:t> </w:t>
      </w:r>
      <w:r>
        <w:rPr>
          <w:sz w:val="18"/>
          <w:u w:val="single"/>
        </w:rPr>
        <w:t>v.</w:t>
      </w:r>
      <w:r>
        <w:rPr>
          <w:spacing w:val="-8"/>
          <w:sz w:val="18"/>
          <w:u w:val="single"/>
        </w:rPr>
        <w:t> </w:t>
      </w:r>
      <w:r>
        <w:rPr>
          <w:sz w:val="18"/>
          <w:u w:val="single"/>
        </w:rPr>
        <w:t>State</w:t>
      </w:r>
      <w:r>
        <w:rPr>
          <w:spacing w:val="-9"/>
          <w:sz w:val="18"/>
          <w:u w:val="single"/>
        </w:rPr>
        <w:t> </w:t>
      </w:r>
      <w:r>
        <w:rPr>
          <w:sz w:val="18"/>
          <w:u w:val="single"/>
        </w:rPr>
        <w:t>Farm</w:t>
      </w:r>
      <w:r>
        <w:rPr>
          <w:spacing w:val="-12"/>
          <w:sz w:val="18"/>
          <w:u w:val="single"/>
        </w:rPr>
        <w:t> </w:t>
      </w:r>
      <w:r>
        <w:rPr>
          <w:sz w:val="18"/>
          <w:u w:val="single"/>
        </w:rPr>
        <w:t>Fire</w:t>
      </w:r>
      <w:r>
        <w:rPr>
          <w:spacing w:val="-9"/>
          <w:sz w:val="18"/>
          <w:u w:val="single"/>
        </w:rPr>
        <w:t> </w:t>
      </w:r>
      <w:r>
        <w:rPr>
          <w:sz w:val="18"/>
          <w:u w:val="single"/>
        </w:rPr>
        <w:t>&amp;</w:t>
      </w:r>
      <w:r>
        <w:rPr>
          <w:spacing w:val="-9"/>
          <w:sz w:val="18"/>
          <w:u w:val="single"/>
        </w:rPr>
        <w:t> </w:t>
      </w:r>
      <w:r>
        <w:rPr>
          <w:sz w:val="18"/>
          <w:u w:val="single"/>
        </w:rPr>
        <w:t>Cas.</w:t>
      </w:r>
      <w:r>
        <w:rPr>
          <w:spacing w:val="-9"/>
          <w:sz w:val="18"/>
          <w:u w:val="single"/>
        </w:rPr>
        <w:t> </w:t>
      </w:r>
      <w:r>
        <w:rPr>
          <w:sz w:val="18"/>
          <w:u w:val="single"/>
        </w:rPr>
        <w:t>Co.</w:t>
      </w:r>
      <w:r>
        <w:rPr>
          <w:sz w:val="18"/>
        </w:rPr>
        <w:t>,</w:t>
      </w:r>
      <w:r>
        <w:rPr>
          <w:spacing w:val="-8"/>
          <w:sz w:val="18"/>
        </w:rPr>
        <w:t> </w:t>
      </w:r>
      <w:r>
        <w:rPr>
          <w:sz w:val="18"/>
        </w:rPr>
        <w:t>736</w:t>
      </w:r>
      <w:r>
        <w:rPr>
          <w:spacing w:val="-8"/>
          <w:sz w:val="18"/>
        </w:rPr>
        <w:t> </w:t>
      </w:r>
      <w:r>
        <w:rPr>
          <w:sz w:val="18"/>
        </w:rPr>
        <w:t>So.2d</w:t>
      </w:r>
      <w:r>
        <w:rPr>
          <w:spacing w:val="-7"/>
          <w:sz w:val="18"/>
        </w:rPr>
        <w:t> </w:t>
      </w:r>
      <w:r>
        <w:rPr>
          <w:sz w:val="18"/>
        </w:rPr>
        <w:t>761 (Fla. 5</w:t>
      </w:r>
      <w:r>
        <w:rPr>
          <w:position w:val="7"/>
          <w:sz w:val="10"/>
        </w:rPr>
        <w:t>th </w:t>
      </w:r>
      <w:r>
        <w:rPr>
          <w:sz w:val="18"/>
        </w:rPr>
        <w:t>DCA </w:t>
      </w:r>
      <w:r>
        <w:rPr>
          <w:spacing w:val="2"/>
          <w:sz w:val="18"/>
        </w:rPr>
        <w:t>1999); </w:t>
      </w:r>
      <w:r>
        <w:rPr>
          <w:sz w:val="18"/>
        </w:rPr>
        <w:t>and </w:t>
      </w:r>
      <w:r>
        <w:rPr>
          <w:sz w:val="18"/>
          <w:u w:val="single"/>
        </w:rPr>
        <w:t>Florida Farm Bureau Cas. Ins. Co. v. Sheaffer</w:t>
      </w:r>
      <w:r>
        <w:rPr>
          <w:sz w:val="18"/>
        </w:rPr>
        <w:t>, 687 So.2d 1331 (Fla. </w:t>
      </w:r>
      <w:r>
        <w:rPr>
          <w:spacing w:val="2"/>
          <w:sz w:val="18"/>
        </w:rPr>
        <w:t>1</w:t>
      </w:r>
      <w:r>
        <w:rPr>
          <w:spacing w:val="2"/>
          <w:position w:val="7"/>
          <w:sz w:val="10"/>
        </w:rPr>
        <w:t>st </w:t>
      </w:r>
      <w:r>
        <w:rPr>
          <w:sz w:val="18"/>
        </w:rPr>
        <w:t>DCA</w:t>
      </w:r>
      <w:r>
        <w:rPr>
          <w:spacing w:val="-10"/>
          <w:sz w:val="18"/>
        </w:rPr>
        <w:t> </w:t>
      </w:r>
      <w:r>
        <w:rPr>
          <w:sz w:val="18"/>
        </w:rPr>
        <w:t>1997).</w:t>
      </w:r>
    </w:p>
    <w:p>
      <w:pPr>
        <w:spacing w:after="0" w:line="244" w:lineRule="auto"/>
        <w:jc w:val="both"/>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6"/>
      </w:pPr>
      <w:bookmarkStart w:name="Law and Procedure 465" w:id="46"/>
      <w:bookmarkEnd w:id="46"/>
      <w:r>
        <w:rPr/>
      </w:r>
      <w:r>
        <w:rPr/>
        <w:t>appraisers</w:t>
      </w:r>
      <w:r>
        <w:rPr>
          <w:spacing w:val="-34"/>
        </w:rPr>
        <w:t> </w:t>
      </w:r>
      <w:r>
        <w:rPr/>
        <w:t>hear</w:t>
      </w:r>
      <w:r>
        <w:rPr>
          <w:spacing w:val="-35"/>
        </w:rPr>
        <w:t> </w:t>
      </w:r>
      <w:r>
        <w:rPr/>
        <w:t>evidence</w:t>
      </w:r>
      <w:r>
        <w:rPr>
          <w:spacing w:val="-34"/>
        </w:rPr>
        <w:t> </w:t>
      </w:r>
      <w:r>
        <w:rPr/>
        <w:t>as</w:t>
      </w:r>
      <w:r>
        <w:rPr>
          <w:spacing w:val="-33"/>
        </w:rPr>
        <w:t> </w:t>
      </w:r>
      <w:r>
        <w:rPr/>
        <w:t>a</w:t>
      </w:r>
      <w:r>
        <w:rPr>
          <w:spacing w:val="-35"/>
        </w:rPr>
        <w:t> </w:t>
      </w:r>
      <w:r>
        <w:rPr/>
        <w:t>matter</w:t>
      </w:r>
      <w:r>
        <w:rPr>
          <w:spacing w:val="-35"/>
        </w:rPr>
        <w:t> </w:t>
      </w:r>
      <w:r>
        <w:rPr/>
        <w:t>of</w:t>
      </w:r>
      <w:r>
        <w:rPr>
          <w:spacing w:val="-32"/>
        </w:rPr>
        <w:t> </w:t>
      </w:r>
      <w:r>
        <w:rPr/>
        <w:t>course during all appraisal</w:t>
      </w:r>
      <w:r>
        <w:rPr>
          <w:spacing w:val="-2"/>
        </w:rPr>
        <w:t> </w:t>
      </w:r>
      <w:r>
        <w:rPr/>
        <w:t>proceedings.</w:t>
      </w:r>
      <w:r>
        <w:rPr>
          <w:vertAlign w:val="superscript"/>
        </w:rPr>
        <w:t>954</w:t>
      </w:r>
    </w:p>
    <w:p>
      <w:pPr>
        <w:pStyle w:val="BodyText"/>
        <w:spacing w:before="1"/>
      </w:pPr>
    </w:p>
    <w:p>
      <w:pPr>
        <w:pStyle w:val="BodyText"/>
        <w:spacing w:line="242" w:lineRule="auto" w:before="1"/>
        <w:ind w:left="1520" w:right="1519" w:firstLine="720"/>
        <w:jc w:val="both"/>
      </w:pPr>
      <w:r>
        <w:rPr>
          <w:spacing w:val="3"/>
        </w:rPr>
        <w:t>An </w:t>
      </w:r>
      <w:r>
        <w:rPr/>
        <w:t>example of this is illustrated by California Code of Civil Procedure § </w:t>
      </w:r>
      <w:r>
        <w:rPr>
          <w:spacing w:val="-3"/>
        </w:rPr>
        <w:t>1282.2(g) </w:t>
      </w:r>
      <w:r>
        <w:rPr/>
        <w:t>which provides </w:t>
      </w:r>
      <w:r>
        <w:rPr>
          <w:spacing w:val="2"/>
        </w:rPr>
        <w:t>in </w:t>
      </w:r>
      <w:r>
        <w:rPr/>
        <w:t>relevant part, “[I]f a neutral arbitrator intends to base an award </w:t>
      </w:r>
      <w:r>
        <w:rPr>
          <w:spacing w:val="2"/>
        </w:rPr>
        <w:t>upon </w:t>
      </w:r>
      <w:r>
        <w:rPr/>
        <w:t>information not obtained at the hearing, he shall disclose the information to all parties to the arbitration...”.</w:t>
      </w:r>
    </w:p>
    <w:p>
      <w:pPr>
        <w:pStyle w:val="BodyText"/>
      </w:pPr>
    </w:p>
    <w:p>
      <w:pPr>
        <w:pStyle w:val="BodyText"/>
        <w:spacing w:line="242" w:lineRule="auto"/>
        <w:ind w:left="1520" w:right="1519" w:firstLine="720"/>
        <w:jc w:val="both"/>
      </w:pPr>
      <w:r>
        <w:rPr/>
        <w:t>The clear intent of this provision is to</w:t>
      </w:r>
      <w:r>
        <w:rPr>
          <w:spacing w:val="-53"/>
        </w:rPr>
        <w:t> </w:t>
      </w:r>
      <w:r>
        <w:rPr/>
        <w:t>give the</w:t>
      </w:r>
      <w:r>
        <w:rPr>
          <w:spacing w:val="-22"/>
        </w:rPr>
        <w:t> </w:t>
      </w:r>
      <w:r>
        <w:rPr/>
        <w:t>parties</w:t>
      </w:r>
      <w:r>
        <w:rPr>
          <w:spacing w:val="-21"/>
        </w:rPr>
        <w:t> </w:t>
      </w:r>
      <w:r>
        <w:rPr/>
        <w:t>an</w:t>
      </w:r>
      <w:r>
        <w:rPr>
          <w:spacing w:val="-18"/>
        </w:rPr>
        <w:t> </w:t>
      </w:r>
      <w:r>
        <w:rPr/>
        <w:t>opportunity</w:t>
      </w:r>
      <w:r>
        <w:rPr>
          <w:spacing w:val="-21"/>
        </w:rPr>
        <w:t> </w:t>
      </w:r>
      <w:r>
        <w:rPr/>
        <w:t>to</w:t>
      </w:r>
      <w:r>
        <w:rPr>
          <w:spacing w:val="-22"/>
        </w:rPr>
        <w:t> </w:t>
      </w:r>
      <w:r>
        <w:rPr/>
        <w:t>confront</w:t>
      </w:r>
      <w:r>
        <w:rPr>
          <w:spacing w:val="-22"/>
        </w:rPr>
        <w:t> </w:t>
      </w:r>
      <w:r>
        <w:rPr/>
        <w:t>contrary information and rebut it if</w:t>
      </w:r>
      <w:r>
        <w:rPr>
          <w:spacing w:val="-7"/>
        </w:rPr>
        <w:t> </w:t>
      </w:r>
      <w:r>
        <w:rPr/>
        <w:t>possible.</w:t>
      </w:r>
    </w:p>
    <w:p>
      <w:pPr>
        <w:pStyle w:val="BodyText"/>
        <w:spacing w:before="1"/>
      </w:pPr>
    </w:p>
    <w:p>
      <w:pPr>
        <w:pStyle w:val="BodyText"/>
        <w:spacing w:line="242" w:lineRule="auto" w:before="1"/>
        <w:ind w:left="1520" w:right="1516" w:firstLine="720"/>
        <w:jc w:val="both"/>
      </w:pPr>
      <w:r>
        <w:rPr/>
        <w:t>However, early California common law held differently. The California Supreme Court had stated that arbitrators may educate themselves</w:t>
      </w:r>
      <w:r>
        <w:rPr>
          <w:spacing w:val="-32"/>
        </w:rPr>
        <w:t> </w:t>
      </w:r>
      <w:r>
        <w:rPr/>
        <w:t>by</w:t>
      </w:r>
      <w:r>
        <w:rPr>
          <w:spacing w:val="-34"/>
        </w:rPr>
        <w:t> </w:t>
      </w:r>
      <w:r>
        <w:rPr/>
        <w:t>“consulting</w:t>
      </w:r>
      <w:r>
        <w:rPr>
          <w:spacing w:val="-30"/>
        </w:rPr>
        <w:t> </w:t>
      </w:r>
      <w:r>
        <w:rPr/>
        <w:t>price</w:t>
      </w:r>
      <w:r>
        <w:rPr>
          <w:spacing w:val="-28"/>
        </w:rPr>
        <w:t> </w:t>
      </w:r>
      <w:r>
        <w:rPr/>
        <w:t>lists,</w:t>
      </w:r>
      <w:r>
        <w:rPr>
          <w:spacing w:val="-33"/>
        </w:rPr>
        <w:t> </w:t>
      </w:r>
      <w:r>
        <w:rPr/>
        <w:t>examining materials,</w:t>
      </w:r>
      <w:r>
        <w:rPr>
          <w:spacing w:val="-27"/>
        </w:rPr>
        <w:t> </w:t>
      </w:r>
      <w:r>
        <w:rPr/>
        <w:t>and</w:t>
      </w:r>
      <w:r>
        <w:rPr>
          <w:spacing w:val="-25"/>
        </w:rPr>
        <w:t> </w:t>
      </w:r>
      <w:r>
        <w:rPr/>
        <w:t>receiving</w:t>
      </w:r>
      <w:r>
        <w:rPr>
          <w:spacing w:val="-24"/>
        </w:rPr>
        <w:t> </w:t>
      </w:r>
      <w:r>
        <w:rPr/>
        <w:t>cost</w:t>
      </w:r>
      <w:r>
        <w:rPr>
          <w:spacing w:val="-26"/>
        </w:rPr>
        <w:t> </w:t>
      </w:r>
      <w:r>
        <w:rPr/>
        <w:t>estimates,”</w:t>
      </w:r>
      <w:r>
        <w:rPr>
          <w:spacing w:val="-26"/>
        </w:rPr>
        <w:t> </w:t>
      </w:r>
      <w:r>
        <w:rPr/>
        <w:t>on</w:t>
      </w:r>
      <w:r>
        <w:rPr>
          <w:spacing w:val="-26"/>
        </w:rPr>
        <w:t> </w:t>
      </w:r>
      <w:r>
        <w:rPr/>
        <w:t>an </w:t>
      </w:r>
      <w:r>
        <w:rPr>
          <w:i/>
        </w:rPr>
        <w:t>ex parte </w:t>
      </w:r>
      <w:r>
        <w:rPr/>
        <w:t>basis, determining that it is entirely </w:t>
      </w:r>
      <w:r>
        <w:rPr>
          <w:spacing w:val="5"/>
        </w:rPr>
        <w:t>proper </w:t>
      </w:r>
      <w:r>
        <w:rPr>
          <w:spacing w:val="3"/>
        </w:rPr>
        <w:t>for </w:t>
      </w:r>
      <w:r>
        <w:rPr>
          <w:spacing w:val="4"/>
        </w:rPr>
        <w:t>appraisers </w:t>
      </w:r>
      <w:r>
        <w:rPr/>
        <w:t>to </w:t>
      </w:r>
      <w:r>
        <w:rPr>
          <w:spacing w:val="4"/>
        </w:rPr>
        <w:t>obtain such </w:t>
      </w:r>
      <w:r>
        <w:rPr/>
        <w:t>information from disinterested persons </w:t>
      </w:r>
      <w:r>
        <w:rPr>
          <w:spacing w:val="-3"/>
        </w:rPr>
        <w:t>expert </w:t>
      </w:r>
      <w:r>
        <w:rPr/>
        <w:t>with respect to such</w:t>
      </w:r>
      <w:r>
        <w:rPr>
          <w:spacing w:val="-6"/>
        </w:rPr>
        <w:t> </w:t>
      </w:r>
      <w:r>
        <w:rPr/>
        <w:t>information.</w:t>
      </w:r>
      <w:r>
        <w:rPr>
          <w:vertAlign w:val="superscript"/>
        </w:rPr>
        <w:t>955</w:t>
      </w:r>
    </w:p>
    <w:p>
      <w:pPr>
        <w:pStyle w:val="BodyText"/>
        <w:spacing w:before="11"/>
        <w:rPr>
          <w:sz w:val="25"/>
        </w:rPr>
      </w:pPr>
    </w:p>
    <w:p>
      <w:pPr>
        <w:pStyle w:val="BodyText"/>
        <w:spacing w:line="242" w:lineRule="auto"/>
        <w:ind w:left="1520" w:right="1518" w:firstLine="720"/>
        <w:jc w:val="both"/>
      </w:pPr>
      <w:r>
        <w:rPr/>
        <w:t>California has amended its appraisal provision to impose a much less </w:t>
      </w:r>
      <w:r>
        <w:rPr>
          <w:spacing w:val="-3"/>
        </w:rPr>
        <w:t>formal </w:t>
      </w:r>
      <w:r>
        <w:rPr/>
        <w:t>approach</w:t>
      </w:r>
      <w:r>
        <w:rPr>
          <w:spacing w:val="-25"/>
        </w:rPr>
        <w:t> </w:t>
      </w:r>
      <w:r>
        <w:rPr/>
        <w:t>then</w:t>
      </w:r>
      <w:r>
        <w:rPr>
          <w:spacing w:val="-24"/>
        </w:rPr>
        <w:t> </w:t>
      </w:r>
      <w:r>
        <w:rPr/>
        <w:t>had</w:t>
      </w:r>
      <w:r>
        <w:rPr>
          <w:spacing w:val="-23"/>
        </w:rPr>
        <w:t> </w:t>
      </w:r>
      <w:r>
        <w:rPr/>
        <w:t>been</w:t>
      </w:r>
      <w:r>
        <w:rPr>
          <w:spacing w:val="-25"/>
        </w:rPr>
        <w:t> </w:t>
      </w:r>
      <w:r>
        <w:rPr/>
        <w:t>in</w:t>
      </w:r>
      <w:r>
        <w:rPr>
          <w:spacing w:val="-26"/>
        </w:rPr>
        <w:t> </w:t>
      </w:r>
      <w:r>
        <w:rPr/>
        <w:t>previous</w:t>
      </w:r>
      <w:r>
        <w:rPr>
          <w:spacing w:val="-25"/>
        </w:rPr>
        <w:t> </w:t>
      </w:r>
      <w:r>
        <w:rPr/>
        <w:t>practice.</w:t>
      </w:r>
    </w:p>
    <w:p>
      <w:pPr>
        <w:pStyle w:val="BodyText"/>
        <w:rPr>
          <w:sz w:val="20"/>
        </w:rPr>
      </w:pPr>
    </w:p>
    <w:p>
      <w:pPr>
        <w:pStyle w:val="BodyText"/>
        <w:rPr>
          <w:sz w:val="20"/>
        </w:rPr>
      </w:pPr>
    </w:p>
    <w:p>
      <w:pPr>
        <w:pStyle w:val="BodyText"/>
        <w:spacing w:before="11"/>
        <w:rPr>
          <w:sz w:val="16"/>
        </w:rPr>
      </w:pPr>
    </w:p>
    <w:p>
      <w:pPr>
        <w:pStyle w:val="ListParagraph"/>
        <w:numPr>
          <w:ilvl w:val="0"/>
          <w:numId w:val="8"/>
        </w:numPr>
        <w:tabs>
          <w:tab w:pos="1435" w:val="left" w:leader="none"/>
        </w:tabs>
        <w:spacing w:line="240" w:lineRule="auto" w:before="72" w:after="0"/>
        <w:ind w:left="1434" w:right="0" w:hanging="275"/>
        <w:jc w:val="left"/>
        <w:rPr>
          <w:sz w:val="18"/>
        </w:rPr>
      </w:pPr>
      <w:r>
        <w:rPr>
          <w:i/>
          <w:sz w:val="18"/>
        </w:rPr>
        <w:t>See e.g</w:t>
      </w:r>
      <w:r>
        <w:rPr>
          <w:sz w:val="18"/>
        </w:rPr>
        <w:t>., </w:t>
      </w:r>
      <w:r>
        <w:rPr>
          <w:sz w:val="18"/>
          <w:u w:val="single"/>
        </w:rPr>
        <w:t>Schoenich v. American Ins. Co.</w:t>
      </w:r>
      <w:r>
        <w:rPr>
          <w:sz w:val="18"/>
        </w:rPr>
        <w:t>, 109 Mn. 388, 124 N.W. 5 (1910); </w:t>
      </w:r>
      <w:r>
        <w:rPr>
          <w:sz w:val="18"/>
          <w:u w:val="single"/>
        </w:rPr>
        <w:t>Mason</w:t>
      </w:r>
      <w:r>
        <w:rPr>
          <w:spacing w:val="4"/>
          <w:sz w:val="18"/>
          <w:u w:val="single"/>
        </w:rPr>
        <w:t> </w:t>
      </w:r>
      <w:r>
        <w:rPr>
          <w:sz w:val="18"/>
          <w:u w:val="single"/>
        </w:rPr>
        <w:t>v.</w:t>
      </w:r>
    </w:p>
    <w:p>
      <w:pPr>
        <w:spacing w:line="207" w:lineRule="exact" w:before="18"/>
        <w:ind w:left="1160" w:right="0" w:firstLine="0"/>
        <w:jc w:val="left"/>
        <w:rPr>
          <w:rFonts w:ascii="Times New Roman"/>
          <w:sz w:val="18"/>
        </w:rPr>
      </w:pPr>
      <w:r>
        <w:rPr>
          <w:rFonts w:ascii="Times New Roman"/>
          <w:sz w:val="18"/>
          <w:u w:val="single"/>
        </w:rPr>
        <w:t>Fire Assoc. of Philadelphia</w:t>
      </w:r>
      <w:r>
        <w:rPr>
          <w:rFonts w:ascii="Times New Roman"/>
          <w:sz w:val="18"/>
        </w:rPr>
        <w:t>, 23 S.D. 431, 122 N.W. 423 (1909).</w:t>
      </w:r>
    </w:p>
    <w:p>
      <w:pPr>
        <w:spacing w:line="269" w:lineRule="exact" w:before="0"/>
        <w:ind w:left="1160" w:right="0" w:firstLine="0"/>
        <w:jc w:val="left"/>
        <w:rPr>
          <w:rFonts w:ascii="Times New Roman"/>
          <w:sz w:val="18"/>
        </w:rPr>
      </w:pPr>
      <w:r>
        <w:rPr>
          <w:rFonts w:ascii="Times New Roman"/>
          <w:position w:val="10"/>
          <w:sz w:val="14"/>
        </w:rPr>
        <w:t>955 </w:t>
      </w:r>
      <w:r>
        <w:rPr>
          <w:rFonts w:ascii="Times New Roman"/>
          <w:sz w:val="18"/>
          <w:u w:val="single"/>
        </w:rPr>
        <w:t>Sapp v. Barenfeld</w:t>
      </w:r>
      <w:r>
        <w:rPr>
          <w:rFonts w:ascii="Times New Roman"/>
          <w:sz w:val="18"/>
        </w:rPr>
        <w:t>, 34 Cal.2d 515, 521, 212 P.2d 233, 238 (1950).</w:t>
      </w:r>
    </w:p>
    <w:p>
      <w:pPr>
        <w:spacing w:after="0" w:line="269" w:lineRule="exact"/>
        <w:jc w:val="left"/>
        <w:rPr>
          <w:rFonts w:ascii="Times New Roman"/>
          <w:sz w:val="18"/>
        </w:rPr>
        <w:sectPr>
          <w:footerReference w:type="default" r:id="rId14"/>
          <w:pgSz w:w="12240" w:h="15840"/>
          <w:pgMar w:footer="2490" w:header="0" w:top="1500" w:bottom="268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026"/>
      </w:pPr>
      <w:bookmarkStart w:name="Law and Procedure 466" w:id="47"/>
      <w:bookmarkEnd w:id="47"/>
      <w:r>
        <w:rPr/>
      </w:r>
      <w:r>
        <w:rPr/>
        <w:t>The relevant portion of the newly adopted standard form states the</w:t>
      </w:r>
      <w:r>
        <w:rPr>
          <w:spacing w:val="-8"/>
        </w:rPr>
        <w:t> </w:t>
      </w:r>
      <w:r>
        <w:rPr/>
        <w:t>following:</w:t>
      </w:r>
    </w:p>
    <w:p>
      <w:pPr>
        <w:pStyle w:val="BodyText"/>
        <w:spacing w:before="1"/>
      </w:pPr>
    </w:p>
    <w:p>
      <w:pPr>
        <w:pStyle w:val="BodyText"/>
        <w:spacing w:line="242" w:lineRule="auto" w:before="1"/>
        <w:ind w:left="2240" w:right="2236"/>
        <w:jc w:val="both"/>
      </w:pPr>
      <w:r>
        <w:rPr>
          <w:spacing w:val="10"/>
        </w:rPr>
        <w:t>“Appraisal </w:t>
      </w:r>
      <w:r>
        <w:rPr>
          <w:spacing w:val="8"/>
        </w:rPr>
        <w:t>proceedings </w:t>
      </w:r>
      <w:r>
        <w:rPr>
          <w:spacing w:val="6"/>
        </w:rPr>
        <w:t>are </w:t>
      </w:r>
      <w:r>
        <w:rPr/>
        <w:t>informal unless the insured and</w:t>
      </w:r>
      <w:r>
        <w:rPr>
          <w:spacing w:val="-26"/>
        </w:rPr>
        <w:t> </w:t>
      </w:r>
      <w:r>
        <w:rPr/>
        <w:t>this </w:t>
      </w:r>
      <w:r>
        <w:rPr>
          <w:spacing w:val="26"/>
        </w:rPr>
        <w:t>company </w:t>
      </w:r>
      <w:r>
        <w:rPr/>
        <w:t>m u </w:t>
      </w:r>
      <w:r>
        <w:rPr>
          <w:spacing w:val="16"/>
        </w:rPr>
        <w:t>tu </w:t>
      </w:r>
      <w:r>
        <w:rPr/>
        <w:t>a l l y</w:t>
      </w:r>
      <w:r>
        <w:rPr>
          <w:spacing w:val="11"/>
        </w:rPr>
        <w:t> </w:t>
      </w:r>
      <w:r>
        <w:rPr>
          <w:spacing w:val="24"/>
        </w:rPr>
        <w:t>agree </w:t>
      </w:r>
      <w:r>
        <w:rPr/>
        <w:t>otherwise. For purposes of this section, informal means that </w:t>
      </w:r>
      <w:r>
        <w:rPr>
          <w:spacing w:val="-6"/>
        </w:rPr>
        <w:t>no </w:t>
      </w:r>
      <w:r>
        <w:rPr>
          <w:spacing w:val="19"/>
        </w:rPr>
        <w:t>formal </w:t>
      </w:r>
      <w:r>
        <w:rPr>
          <w:spacing w:val="20"/>
        </w:rPr>
        <w:t>discovery </w:t>
      </w:r>
      <w:r>
        <w:rPr>
          <w:spacing w:val="19"/>
        </w:rPr>
        <w:t>shall </w:t>
      </w:r>
      <w:r>
        <w:rPr>
          <w:spacing w:val="12"/>
        </w:rPr>
        <w:t>be </w:t>
      </w:r>
      <w:r>
        <w:rPr/>
        <w:t>conducted, including depositions, </w:t>
      </w:r>
      <w:r>
        <w:rPr>
          <w:spacing w:val="16"/>
        </w:rPr>
        <w:t>interrogatories, </w:t>
      </w:r>
      <w:r>
        <w:rPr>
          <w:spacing w:val="14"/>
        </w:rPr>
        <w:t>requests </w:t>
      </w:r>
      <w:r>
        <w:rPr>
          <w:spacing w:val="11"/>
        </w:rPr>
        <w:t>for </w:t>
      </w:r>
      <w:r>
        <w:rPr/>
        <w:t>admissions,</w:t>
      </w:r>
      <w:r>
        <w:rPr>
          <w:spacing w:val="-18"/>
        </w:rPr>
        <w:t> </w:t>
      </w:r>
      <w:r>
        <w:rPr/>
        <w:t>or</w:t>
      </w:r>
      <w:r>
        <w:rPr>
          <w:spacing w:val="-20"/>
        </w:rPr>
        <w:t> </w:t>
      </w:r>
      <w:r>
        <w:rPr/>
        <w:t>other</w:t>
      </w:r>
      <w:r>
        <w:rPr>
          <w:spacing w:val="-21"/>
        </w:rPr>
        <w:t> </w:t>
      </w:r>
      <w:r>
        <w:rPr/>
        <w:t>forms</w:t>
      </w:r>
      <w:r>
        <w:rPr>
          <w:spacing w:val="-19"/>
        </w:rPr>
        <w:t> </w:t>
      </w:r>
      <w:r>
        <w:rPr/>
        <w:t>of</w:t>
      </w:r>
      <w:r>
        <w:rPr>
          <w:spacing w:val="-20"/>
        </w:rPr>
        <w:t> </w:t>
      </w:r>
      <w:r>
        <w:rPr/>
        <w:t>formal civil discovery; no formal rules of evidence shall be applied, and</w:t>
      </w:r>
      <w:r>
        <w:rPr>
          <w:spacing w:val="-38"/>
        </w:rPr>
        <w:t> </w:t>
      </w:r>
      <w:r>
        <w:rPr>
          <w:spacing w:val="-6"/>
        </w:rPr>
        <w:t>no </w:t>
      </w:r>
      <w:r>
        <w:rPr/>
        <w:t>court reporter shall be used for</w:t>
      </w:r>
      <w:r>
        <w:rPr>
          <w:spacing w:val="-29"/>
        </w:rPr>
        <w:t> </w:t>
      </w:r>
      <w:r>
        <w:rPr/>
        <w:t>the proceedings. </w:t>
      </w:r>
      <w:r>
        <w:rPr>
          <w:spacing w:val="3"/>
        </w:rPr>
        <w:t>In </w:t>
      </w:r>
      <w:r>
        <w:rPr/>
        <w:t>the event of a government-declared disaster, as defined </w:t>
      </w:r>
      <w:r>
        <w:rPr>
          <w:spacing w:val="2"/>
        </w:rPr>
        <w:t>in </w:t>
      </w:r>
      <w:r>
        <w:rPr/>
        <w:t>the Government </w:t>
      </w:r>
      <w:r>
        <w:rPr>
          <w:spacing w:val="-3"/>
        </w:rPr>
        <w:t>Code, </w:t>
      </w:r>
      <w:r>
        <w:rPr/>
        <w:t>appraisal may be requested </w:t>
      </w:r>
      <w:r>
        <w:rPr>
          <w:spacing w:val="-7"/>
        </w:rPr>
        <w:t>by </w:t>
      </w:r>
      <w:r>
        <w:rPr/>
        <w:t>either the insured or this company but shall not be</w:t>
      </w:r>
      <w:r>
        <w:rPr>
          <w:spacing w:val="-4"/>
        </w:rPr>
        <w:t> </w:t>
      </w:r>
      <w:r>
        <w:rPr/>
        <w:t>compelled.”</w:t>
      </w:r>
    </w:p>
    <w:p>
      <w:pPr>
        <w:pStyle w:val="BodyText"/>
        <w:spacing w:before="8"/>
        <w:rPr>
          <w:sz w:val="25"/>
        </w:rPr>
      </w:pPr>
    </w:p>
    <w:p>
      <w:pPr>
        <w:pStyle w:val="BodyText"/>
        <w:spacing w:line="242" w:lineRule="auto"/>
        <w:ind w:left="1520" w:right="1519" w:firstLine="720"/>
        <w:jc w:val="both"/>
      </w:pPr>
      <w:r>
        <w:rPr/>
        <w:t>Except</w:t>
      </w:r>
      <w:r>
        <w:rPr>
          <w:spacing w:val="-37"/>
        </w:rPr>
        <w:t> </w:t>
      </w:r>
      <w:r>
        <w:rPr/>
        <w:t>in</w:t>
      </w:r>
      <w:r>
        <w:rPr>
          <w:spacing w:val="-33"/>
        </w:rPr>
        <w:t> </w:t>
      </w:r>
      <w:r>
        <w:rPr/>
        <w:t>those</w:t>
      </w:r>
      <w:r>
        <w:rPr>
          <w:spacing w:val="-35"/>
        </w:rPr>
        <w:t> </w:t>
      </w:r>
      <w:r>
        <w:rPr/>
        <w:t>states</w:t>
      </w:r>
      <w:r>
        <w:rPr>
          <w:spacing w:val="-34"/>
        </w:rPr>
        <w:t> </w:t>
      </w:r>
      <w:r>
        <w:rPr/>
        <w:t>that</w:t>
      </w:r>
      <w:r>
        <w:rPr>
          <w:spacing w:val="-35"/>
        </w:rPr>
        <w:t> </w:t>
      </w:r>
      <w:r>
        <w:rPr/>
        <w:t>view</w:t>
      </w:r>
      <w:r>
        <w:rPr>
          <w:spacing w:val="-38"/>
        </w:rPr>
        <w:t> </w:t>
      </w:r>
      <w:r>
        <w:rPr/>
        <w:t>insurance appraisals like arbitrations, appraisal</w:t>
      </w:r>
      <w:r>
        <w:rPr>
          <w:spacing w:val="-14"/>
        </w:rPr>
        <w:t> </w:t>
      </w:r>
      <w:r>
        <w:rPr/>
        <w:t>meetings are</w:t>
      </w:r>
      <w:r>
        <w:rPr>
          <w:spacing w:val="-24"/>
        </w:rPr>
        <w:t> </w:t>
      </w:r>
      <w:r>
        <w:rPr/>
        <w:t>not</w:t>
      </w:r>
      <w:r>
        <w:rPr>
          <w:spacing w:val="-23"/>
        </w:rPr>
        <w:t> </w:t>
      </w:r>
      <w:r>
        <w:rPr/>
        <w:t>quasi-judicial</w:t>
      </w:r>
      <w:r>
        <w:rPr>
          <w:spacing w:val="-18"/>
        </w:rPr>
        <w:t> </w:t>
      </w:r>
      <w:r>
        <w:rPr/>
        <w:t>proceedings</w:t>
      </w:r>
      <w:r>
        <w:rPr>
          <w:spacing w:val="-18"/>
        </w:rPr>
        <w:t> </w:t>
      </w:r>
      <w:r>
        <w:rPr/>
        <w:t>and</w:t>
      </w:r>
      <w:r>
        <w:rPr>
          <w:spacing w:val="-22"/>
        </w:rPr>
        <w:t> </w:t>
      </w:r>
      <w:r>
        <w:rPr/>
        <w:t>can</w:t>
      </w:r>
      <w:r>
        <w:rPr>
          <w:spacing w:val="-21"/>
        </w:rPr>
        <w:t> </w:t>
      </w:r>
      <w:r>
        <w:rPr>
          <w:spacing w:val="-6"/>
        </w:rPr>
        <w:t>be </w:t>
      </w:r>
      <w:r>
        <w:rPr/>
        <w:t>conducted without the formalities of a formal arbitration. </w:t>
      </w:r>
      <w:r>
        <w:rPr>
          <w:spacing w:val="2"/>
        </w:rPr>
        <w:t>In </w:t>
      </w:r>
      <w:r>
        <w:rPr/>
        <w:t>the majority of jurisdictions, the viability of an appraisal award will turn on whether all sides had an opportunity to be heard and share</w:t>
      </w:r>
      <w:r>
        <w:rPr>
          <w:spacing w:val="-4"/>
        </w:rPr>
        <w:t> </w:t>
      </w:r>
      <w:r>
        <w:rPr/>
        <w:t>information.</w:t>
      </w:r>
    </w:p>
    <w:p>
      <w:pPr>
        <w:spacing w:after="0" w:line="242" w:lineRule="auto"/>
        <w:jc w:val="both"/>
        <w:sectPr>
          <w:footerReference w:type="default" r:id="rId15"/>
          <w:pgSz w:w="12240" w:h="15840"/>
          <w:pgMar w:footer="2273" w:header="0" w:top="1500" w:bottom="2460" w:left="1720" w:right="1720"/>
          <w:pgNumType w:start="505"/>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1520" w:right="1517" w:firstLine="720"/>
        <w:jc w:val="both"/>
      </w:pPr>
      <w:bookmarkStart w:name="Law and Procedure 467" w:id="48"/>
      <w:bookmarkEnd w:id="48"/>
      <w:r>
        <w:rPr/>
      </w:r>
      <w:r>
        <w:rPr/>
        <w:t>Additionally, the process could </w:t>
      </w:r>
      <w:r>
        <w:rPr>
          <w:spacing w:val="-4"/>
        </w:rPr>
        <w:t>and </w:t>
      </w:r>
      <w:r>
        <w:rPr/>
        <w:t>should include site inspections where</w:t>
      </w:r>
      <w:r>
        <w:rPr>
          <w:spacing w:val="-30"/>
        </w:rPr>
        <w:t> </w:t>
      </w:r>
      <w:r>
        <w:rPr/>
        <w:t>possible, the review of building damage estimates, appraisals, engineering reports, and </w:t>
      </w:r>
      <w:r>
        <w:rPr>
          <w:spacing w:val="-4"/>
        </w:rPr>
        <w:t>other </w:t>
      </w:r>
      <w:r>
        <w:rPr/>
        <w:t>information</w:t>
      </w:r>
      <w:r>
        <w:rPr>
          <w:spacing w:val="-20"/>
        </w:rPr>
        <w:t> </w:t>
      </w:r>
      <w:r>
        <w:rPr/>
        <w:t>relevant</w:t>
      </w:r>
      <w:r>
        <w:rPr>
          <w:spacing w:val="-22"/>
        </w:rPr>
        <w:t> </w:t>
      </w:r>
      <w:r>
        <w:rPr/>
        <w:t>to</w:t>
      </w:r>
      <w:r>
        <w:rPr>
          <w:spacing w:val="-21"/>
        </w:rPr>
        <w:t> </w:t>
      </w:r>
      <w:r>
        <w:rPr/>
        <w:t>a</w:t>
      </w:r>
      <w:r>
        <w:rPr>
          <w:spacing w:val="-22"/>
        </w:rPr>
        <w:t> </w:t>
      </w:r>
      <w:r>
        <w:rPr/>
        <w:t>determination</w:t>
      </w:r>
      <w:r>
        <w:rPr>
          <w:spacing w:val="-19"/>
        </w:rPr>
        <w:t> </w:t>
      </w:r>
      <w:r>
        <w:rPr/>
        <w:t>of</w:t>
      </w:r>
      <w:r>
        <w:rPr>
          <w:spacing w:val="-18"/>
        </w:rPr>
        <w:t> </w:t>
      </w:r>
      <w:r>
        <w:rPr/>
        <w:t>loss, damage and value.</w:t>
      </w:r>
      <w:r>
        <w:rPr>
          <w:spacing w:val="-3"/>
        </w:rPr>
        <w:t> </w:t>
      </w:r>
      <w:r>
        <w:rPr>
          <w:vertAlign w:val="superscript"/>
        </w:rPr>
        <w:t>956</w:t>
      </w:r>
    </w:p>
    <w:p>
      <w:pPr>
        <w:pStyle w:val="BodyText"/>
        <w:spacing w:before="1"/>
      </w:pPr>
    </w:p>
    <w:p>
      <w:pPr>
        <w:pStyle w:val="BodyText"/>
        <w:spacing w:line="242" w:lineRule="auto"/>
        <w:ind w:left="1520" w:right="1518" w:firstLine="720"/>
        <w:jc w:val="both"/>
      </w:pPr>
      <w:r>
        <w:rPr/>
        <w:t>In the state of Massachusetts, statute requires a reference procedure whereby referees determine the amount of loss and actual cash value by holding a “hearing,” impliedly requiring an opportunity for both parties to be present and offer evidence.</w:t>
      </w:r>
      <w:r>
        <w:rPr>
          <w:vertAlign w:val="superscript"/>
        </w:rPr>
        <w:t>957</w:t>
      </w:r>
    </w:p>
    <w:p>
      <w:pPr>
        <w:pStyle w:val="BodyText"/>
      </w:pPr>
    </w:p>
    <w:p>
      <w:pPr>
        <w:pStyle w:val="BodyText"/>
        <w:spacing w:line="242" w:lineRule="auto"/>
        <w:ind w:left="1520" w:right="1518" w:firstLine="720"/>
        <w:jc w:val="both"/>
      </w:pPr>
      <w:r>
        <w:rPr/>
        <w:t>A very good practice is exemplified by the</w:t>
      </w:r>
      <w:r>
        <w:rPr>
          <w:spacing w:val="-31"/>
        </w:rPr>
        <w:t> </w:t>
      </w:r>
      <w:r>
        <w:rPr/>
        <w:t>process</w:t>
      </w:r>
      <w:r>
        <w:rPr>
          <w:spacing w:val="-29"/>
        </w:rPr>
        <w:t> </w:t>
      </w:r>
      <w:r>
        <w:rPr/>
        <w:t>used</w:t>
      </w:r>
      <w:r>
        <w:rPr>
          <w:spacing w:val="-32"/>
        </w:rPr>
        <w:t> </w:t>
      </w:r>
      <w:r>
        <w:rPr/>
        <w:t>in</w:t>
      </w:r>
      <w:r>
        <w:rPr>
          <w:spacing w:val="-32"/>
        </w:rPr>
        <w:t> </w:t>
      </w:r>
      <w:r>
        <w:rPr/>
        <w:t>the</w:t>
      </w:r>
      <w:r>
        <w:rPr>
          <w:spacing w:val="-32"/>
        </w:rPr>
        <w:t> </w:t>
      </w:r>
      <w:r>
        <w:rPr/>
        <w:t>Province</w:t>
      </w:r>
      <w:r>
        <w:rPr>
          <w:spacing w:val="-31"/>
        </w:rPr>
        <w:t> </w:t>
      </w:r>
      <w:r>
        <w:rPr/>
        <w:t>of</w:t>
      </w:r>
      <w:r>
        <w:rPr>
          <w:spacing w:val="-30"/>
        </w:rPr>
        <w:t> </w:t>
      </w:r>
      <w:r>
        <w:rPr/>
        <w:t>Ontario.</w:t>
      </w:r>
      <w:r>
        <w:rPr>
          <w:spacing w:val="-31"/>
        </w:rPr>
        <w:t> </w:t>
      </w:r>
      <w:r>
        <w:rPr/>
        <w:t>The procedure is for each appraiser to prepare a brief which includes all</w:t>
      </w:r>
      <w:r>
        <w:rPr>
          <w:spacing w:val="59"/>
        </w:rPr>
        <w:t> </w:t>
      </w:r>
      <w:r>
        <w:rPr/>
        <w:t>documentation supporting</w:t>
      </w:r>
      <w:r>
        <w:rPr>
          <w:spacing w:val="-29"/>
        </w:rPr>
        <w:t> </w:t>
      </w:r>
      <w:r>
        <w:rPr/>
        <w:t>the</w:t>
      </w:r>
      <w:r>
        <w:rPr>
          <w:spacing w:val="-30"/>
        </w:rPr>
        <w:t> </w:t>
      </w:r>
      <w:r>
        <w:rPr/>
        <w:t>appraiser’s</w:t>
      </w:r>
      <w:r>
        <w:rPr>
          <w:spacing w:val="-30"/>
        </w:rPr>
        <w:t> </w:t>
      </w:r>
      <w:r>
        <w:rPr/>
        <w:t>position.</w:t>
      </w:r>
      <w:r>
        <w:rPr>
          <w:spacing w:val="12"/>
        </w:rPr>
        <w:t> </w:t>
      </w:r>
      <w:r>
        <w:rPr>
          <w:spacing w:val="-4"/>
        </w:rPr>
        <w:t>Two</w:t>
      </w:r>
      <w:r>
        <w:rPr>
          <w:spacing w:val="-30"/>
        </w:rPr>
        <w:t> </w:t>
      </w:r>
      <w:r>
        <w:rPr/>
        <w:t>copies of the brief are provided to the umpire which he</w:t>
      </w:r>
      <w:r>
        <w:rPr>
          <w:spacing w:val="-11"/>
        </w:rPr>
        <w:t> </w:t>
      </w:r>
      <w:r>
        <w:rPr/>
        <w:t>then</w:t>
      </w:r>
      <w:r>
        <w:rPr>
          <w:spacing w:val="-11"/>
        </w:rPr>
        <w:t> </w:t>
      </w:r>
      <w:r>
        <w:rPr/>
        <w:t>shares</w:t>
      </w:r>
      <w:r>
        <w:rPr>
          <w:spacing w:val="-11"/>
        </w:rPr>
        <w:t> </w:t>
      </w:r>
      <w:r>
        <w:rPr/>
        <w:t>with</w:t>
      </w:r>
      <w:r>
        <w:rPr>
          <w:spacing w:val="-10"/>
        </w:rPr>
        <w:t> </w:t>
      </w:r>
      <w:r>
        <w:rPr/>
        <w:t>the</w:t>
      </w:r>
      <w:r>
        <w:rPr>
          <w:spacing w:val="-8"/>
        </w:rPr>
        <w:t> </w:t>
      </w:r>
      <w:r>
        <w:rPr/>
        <w:t>other</w:t>
      </w:r>
      <w:r>
        <w:rPr>
          <w:spacing w:val="-11"/>
        </w:rPr>
        <w:t> </w:t>
      </w:r>
      <w:r>
        <w:rPr/>
        <w:t>appraiser</w:t>
      </w:r>
      <w:r>
        <w:rPr>
          <w:spacing w:val="-10"/>
        </w:rPr>
        <w:t> </w:t>
      </w:r>
      <w:r>
        <w:rPr/>
        <w:t>so</w:t>
      </w:r>
      <w:r>
        <w:rPr>
          <w:spacing w:val="-8"/>
        </w:rPr>
        <w:t> </w:t>
      </w:r>
      <w:r>
        <w:rPr/>
        <w:t>that each has a copy of the other’s brief. Thereafter,</w:t>
      </w:r>
      <w:r>
        <w:rPr>
          <w:spacing w:val="-15"/>
        </w:rPr>
        <w:t> </w:t>
      </w:r>
      <w:r>
        <w:rPr/>
        <w:t>a</w:t>
      </w:r>
      <w:r>
        <w:rPr>
          <w:spacing w:val="-11"/>
        </w:rPr>
        <w:t> </w:t>
      </w:r>
      <w:r>
        <w:rPr/>
        <w:t>meeting</w:t>
      </w:r>
      <w:r>
        <w:rPr>
          <w:spacing w:val="-10"/>
        </w:rPr>
        <w:t> </w:t>
      </w:r>
      <w:r>
        <w:rPr/>
        <w:t>is</w:t>
      </w:r>
      <w:r>
        <w:rPr>
          <w:spacing w:val="-10"/>
        </w:rPr>
        <w:t> </w:t>
      </w:r>
      <w:r>
        <w:rPr/>
        <w:t>conducted</w:t>
      </w:r>
      <w:r>
        <w:rPr>
          <w:spacing w:val="-9"/>
        </w:rPr>
        <w:t> </w:t>
      </w:r>
      <w:r>
        <w:rPr/>
        <w:t>where</w:t>
      </w:r>
      <w:r>
        <w:rPr>
          <w:spacing w:val="-11"/>
        </w:rPr>
        <w:t> </w:t>
      </w:r>
      <w:r>
        <w:rPr/>
        <w:t>the appraisers can bring witnesses or experts to assist in their presentation. </w:t>
      </w:r>
      <w:r>
        <w:rPr>
          <w:spacing w:val="3"/>
        </w:rPr>
        <w:t>If </w:t>
      </w:r>
      <w:r>
        <w:rPr/>
        <w:t>expert testimony is</w:t>
      </w:r>
      <w:r>
        <w:rPr>
          <w:spacing w:val="-29"/>
        </w:rPr>
        <w:t> </w:t>
      </w:r>
      <w:r>
        <w:rPr/>
        <w:t>anticipated,</w:t>
      </w:r>
      <w:r>
        <w:rPr>
          <w:spacing w:val="-31"/>
        </w:rPr>
        <w:t> </w:t>
      </w:r>
      <w:r>
        <w:rPr/>
        <w:t>it</w:t>
      </w:r>
      <w:r>
        <w:rPr>
          <w:spacing w:val="-29"/>
        </w:rPr>
        <w:t> </w:t>
      </w:r>
      <w:r>
        <w:rPr/>
        <w:t>is</w:t>
      </w:r>
      <w:r>
        <w:rPr>
          <w:spacing w:val="-30"/>
        </w:rPr>
        <w:t> </w:t>
      </w:r>
      <w:r>
        <w:rPr/>
        <w:t>customary</w:t>
      </w:r>
      <w:r>
        <w:rPr>
          <w:spacing w:val="-33"/>
        </w:rPr>
        <w:t> </w:t>
      </w:r>
      <w:r>
        <w:rPr/>
        <w:t>for</w:t>
      </w:r>
      <w:r>
        <w:rPr>
          <w:spacing w:val="-31"/>
        </w:rPr>
        <w:t> </w:t>
      </w:r>
      <w:r>
        <w:rPr/>
        <w:t>the</w:t>
      </w:r>
      <w:r>
        <w:rPr>
          <w:spacing w:val="-30"/>
        </w:rPr>
        <w:t> </w:t>
      </w:r>
      <w:r>
        <w:rPr/>
        <w:t>appraiser’s counterpart to be advised in advance so</w:t>
      </w:r>
      <w:r>
        <w:rPr>
          <w:spacing w:val="-29"/>
        </w:rPr>
        <w:t> </w:t>
      </w:r>
      <w:r>
        <w:rPr>
          <w:spacing w:val="-4"/>
        </w:rPr>
        <w:t>that</w:t>
      </w:r>
    </w:p>
    <w:p>
      <w:pPr>
        <w:pStyle w:val="BodyText"/>
        <w:rPr>
          <w:sz w:val="20"/>
        </w:rPr>
      </w:pPr>
    </w:p>
    <w:p>
      <w:pPr>
        <w:pStyle w:val="BodyText"/>
        <w:rPr>
          <w:sz w:val="11"/>
        </w:rPr>
      </w:pPr>
      <w:r>
        <w:rPr/>
        <w:pict>
          <v:shape style="position:absolute;margin-left:162pt;margin-top:9.189497pt;width:143.9pt;height:.1pt;mso-position-horizontal-relative:page;mso-position-vertical-relative:paragraph;z-index:-251627520;mso-wrap-distance-left:0;mso-wrap-distance-right:0" coordorigin="3240,184" coordsize="2878,0" path="m3240,184l6118,184e" filled="false" stroked="true" strokeweight=".84pt" strokecolor="#000000">
            <v:path arrowok="t"/>
            <v:stroke dashstyle="solid"/>
            <w10:wrap type="topAndBottom"/>
          </v:shape>
        </w:pict>
      </w:r>
    </w:p>
    <w:p>
      <w:pPr>
        <w:pStyle w:val="BodyText"/>
        <w:spacing w:before="4"/>
        <w:rPr>
          <w:sz w:val="10"/>
        </w:rPr>
      </w:pPr>
    </w:p>
    <w:p>
      <w:pPr>
        <w:spacing w:line="254" w:lineRule="auto" w:before="71"/>
        <w:ind w:left="1160" w:right="1160" w:firstLine="0"/>
        <w:jc w:val="both"/>
        <w:rPr>
          <w:rFonts w:ascii="Times New Roman"/>
          <w:sz w:val="18"/>
        </w:rPr>
      </w:pPr>
      <w:r>
        <w:rPr>
          <w:rFonts w:ascii="Times New Roman"/>
          <w:position w:val="10"/>
          <w:sz w:val="14"/>
        </w:rPr>
        <w:t>956 </w:t>
      </w:r>
      <w:r>
        <w:rPr>
          <w:rFonts w:ascii="Times New Roman"/>
          <w:sz w:val="18"/>
        </w:rPr>
        <w:t>D.E. Ytreberg, Annotation, </w:t>
      </w:r>
      <w:r>
        <w:rPr>
          <w:rFonts w:ascii="Times New Roman"/>
          <w:i/>
          <w:sz w:val="18"/>
        </w:rPr>
        <w:t>Insurance: Necessity and Sufficiency of Notice of and </w:t>
      </w:r>
      <w:r>
        <w:rPr>
          <w:rFonts w:ascii="Times New Roman"/>
          <w:i/>
          <w:sz w:val="18"/>
        </w:rPr>
        <w:t>Hearings in Proceedings Before Appraisers and Arbitrators Appointed to Determine the Amount of Loss</w:t>
      </w:r>
      <w:r>
        <w:rPr>
          <w:rFonts w:ascii="Times New Roman"/>
          <w:sz w:val="18"/>
        </w:rPr>
        <w:t>, 25 ALR 3d. 680 (2003).</w:t>
      </w:r>
    </w:p>
    <w:p>
      <w:pPr>
        <w:spacing w:line="226" w:lineRule="exact" w:before="35"/>
        <w:ind w:left="1160" w:right="1166" w:firstLine="0"/>
        <w:jc w:val="both"/>
        <w:rPr>
          <w:rFonts w:ascii="Times New Roman" w:hAnsi="Times New Roman"/>
          <w:sz w:val="18"/>
        </w:rPr>
      </w:pPr>
      <w:r>
        <w:rPr>
          <w:rFonts w:ascii="Times New Roman" w:hAnsi="Times New Roman"/>
          <w:position w:val="10"/>
          <w:sz w:val="14"/>
        </w:rPr>
        <w:t>957</w:t>
      </w:r>
      <w:r>
        <w:rPr>
          <w:rFonts w:ascii="Times New Roman" w:hAnsi="Times New Roman"/>
          <w:spacing w:val="17"/>
          <w:position w:val="10"/>
          <w:sz w:val="14"/>
        </w:rPr>
        <w:t> </w:t>
      </w:r>
      <w:r>
        <w:rPr>
          <w:rFonts w:ascii="Times New Roman" w:hAnsi="Times New Roman"/>
          <w:sz w:val="18"/>
        </w:rPr>
        <w:t>Referees;</w:t>
      </w:r>
      <w:r>
        <w:rPr>
          <w:rFonts w:ascii="Times New Roman" w:hAnsi="Times New Roman"/>
          <w:spacing w:val="-10"/>
          <w:sz w:val="18"/>
        </w:rPr>
        <w:t> </w:t>
      </w:r>
      <w:r>
        <w:rPr>
          <w:rFonts w:ascii="Times New Roman" w:hAnsi="Times New Roman"/>
          <w:sz w:val="18"/>
        </w:rPr>
        <w:t>Meetings,</w:t>
      </w:r>
      <w:r>
        <w:rPr>
          <w:rFonts w:ascii="Times New Roman" w:hAnsi="Times New Roman"/>
          <w:spacing w:val="-10"/>
          <w:sz w:val="18"/>
        </w:rPr>
        <w:t> </w:t>
      </w:r>
      <w:r>
        <w:rPr>
          <w:rFonts w:ascii="Times New Roman" w:hAnsi="Times New Roman"/>
          <w:sz w:val="18"/>
        </w:rPr>
        <w:t>Mass.</w:t>
      </w:r>
      <w:r>
        <w:rPr>
          <w:rFonts w:ascii="Times New Roman" w:hAnsi="Times New Roman"/>
          <w:spacing w:val="-11"/>
          <w:sz w:val="18"/>
        </w:rPr>
        <w:t> </w:t>
      </w:r>
      <w:r>
        <w:rPr>
          <w:rFonts w:ascii="Times New Roman" w:hAnsi="Times New Roman"/>
          <w:sz w:val="18"/>
        </w:rPr>
        <w:t>Gen.</w:t>
      </w:r>
      <w:r>
        <w:rPr>
          <w:rFonts w:ascii="Times New Roman" w:hAnsi="Times New Roman"/>
          <w:spacing w:val="-9"/>
          <w:sz w:val="18"/>
        </w:rPr>
        <w:t> </w:t>
      </w:r>
      <w:r>
        <w:rPr>
          <w:rFonts w:ascii="Times New Roman" w:hAnsi="Times New Roman"/>
          <w:sz w:val="18"/>
        </w:rPr>
        <w:t>Laws</w:t>
      </w:r>
      <w:r>
        <w:rPr>
          <w:rFonts w:ascii="Times New Roman" w:hAnsi="Times New Roman"/>
          <w:spacing w:val="-11"/>
          <w:sz w:val="18"/>
        </w:rPr>
        <w:t> </w:t>
      </w:r>
      <w:r>
        <w:rPr>
          <w:rFonts w:ascii="Times New Roman" w:hAnsi="Times New Roman"/>
          <w:sz w:val="18"/>
        </w:rPr>
        <w:t>Ch.</w:t>
      </w:r>
      <w:r>
        <w:rPr>
          <w:rFonts w:ascii="Times New Roman" w:hAnsi="Times New Roman"/>
          <w:spacing w:val="-7"/>
          <w:sz w:val="18"/>
        </w:rPr>
        <w:t> </w:t>
      </w:r>
      <w:r>
        <w:rPr>
          <w:rFonts w:ascii="Times New Roman" w:hAnsi="Times New Roman"/>
          <w:sz w:val="18"/>
        </w:rPr>
        <w:t>175</w:t>
      </w:r>
      <w:r>
        <w:rPr>
          <w:rFonts w:ascii="Times New Roman" w:hAnsi="Times New Roman"/>
          <w:spacing w:val="-7"/>
          <w:sz w:val="18"/>
        </w:rPr>
        <w:t> </w:t>
      </w:r>
      <w:r>
        <w:rPr>
          <w:rFonts w:ascii="Times New Roman" w:hAnsi="Times New Roman"/>
          <w:sz w:val="18"/>
        </w:rPr>
        <w:t>§101</w:t>
      </w:r>
      <w:r>
        <w:rPr>
          <w:rFonts w:ascii="Times New Roman" w:hAnsi="Times New Roman"/>
          <w:spacing w:val="-8"/>
          <w:sz w:val="18"/>
        </w:rPr>
        <w:t> </w:t>
      </w:r>
      <w:r>
        <w:rPr>
          <w:rFonts w:ascii="Times New Roman" w:hAnsi="Times New Roman"/>
          <w:sz w:val="18"/>
        </w:rPr>
        <w:t>(2003);</w:t>
      </w:r>
      <w:r>
        <w:rPr>
          <w:rFonts w:ascii="Times New Roman" w:hAnsi="Times New Roman"/>
          <w:spacing w:val="-8"/>
          <w:sz w:val="18"/>
        </w:rPr>
        <w:t> </w:t>
      </w:r>
      <w:r>
        <w:rPr>
          <w:rFonts w:ascii="Times New Roman" w:hAnsi="Times New Roman"/>
          <w:sz w:val="18"/>
          <w:u w:val="single"/>
        </w:rPr>
        <w:t>Ritson</w:t>
      </w:r>
      <w:r>
        <w:rPr>
          <w:rFonts w:ascii="Times New Roman" w:hAnsi="Times New Roman"/>
          <w:spacing w:val="-7"/>
          <w:sz w:val="18"/>
          <w:u w:val="single"/>
        </w:rPr>
        <w:t> </w:t>
      </w:r>
      <w:r>
        <w:rPr>
          <w:rFonts w:ascii="Times New Roman" w:hAnsi="Times New Roman"/>
          <w:sz w:val="18"/>
          <w:u w:val="single"/>
        </w:rPr>
        <w:t>v.</w:t>
      </w:r>
      <w:r>
        <w:rPr>
          <w:rFonts w:ascii="Times New Roman" w:hAnsi="Times New Roman"/>
          <w:spacing w:val="-7"/>
          <w:sz w:val="18"/>
          <w:u w:val="single"/>
        </w:rPr>
        <w:t> </w:t>
      </w:r>
      <w:r>
        <w:rPr>
          <w:rFonts w:ascii="Times New Roman" w:hAnsi="Times New Roman"/>
          <w:sz w:val="18"/>
          <w:u w:val="single"/>
        </w:rPr>
        <w:t>Atlas</w:t>
      </w:r>
      <w:r>
        <w:rPr>
          <w:rFonts w:ascii="Times New Roman" w:hAnsi="Times New Roman"/>
          <w:spacing w:val="-9"/>
          <w:sz w:val="18"/>
          <w:u w:val="single"/>
        </w:rPr>
        <w:t> </w:t>
      </w:r>
      <w:r>
        <w:rPr>
          <w:rFonts w:ascii="Times New Roman" w:hAnsi="Times New Roman"/>
          <w:sz w:val="18"/>
          <w:u w:val="single"/>
        </w:rPr>
        <w:t>Assur.</w:t>
      </w:r>
      <w:r>
        <w:rPr>
          <w:rFonts w:ascii="Times New Roman" w:hAnsi="Times New Roman"/>
          <w:spacing w:val="-7"/>
          <w:sz w:val="18"/>
          <w:u w:val="single"/>
        </w:rPr>
        <w:t> </w:t>
      </w:r>
      <w:r>
        <w:rPr>
          <w:rFonts w:ascii="Times New Roman" w:hAnsi="Times New Roman"/>
          <w:sz w:val="18"/>
          <w:u w:val="single"/>
        </w:rPr>
        <w:t>Co.</w:t>
      </w:r>
      <w:r>
        <w:rPr>
          <w:rFonts w:ascii="Times New Roman" w:hAnsi="Times New Roman"/>
          <w:sz w:val="18"/>
        </w:rPr>
        <w:t>, 272 Mass 73, 171 N.E. 448</w:t>
      </w:r>
      <w:r>
        <w:rPr>
          <w:rFonts w:ascii="Times New Roman" w:hAnsi="Times New Roman"/>
          <w:spacing w:val="1"/>
          <w:sz w:val="18"/>
        </w:rPr>
        <w:t> </w:t>
      </w:r>
      <w:r>
        <w:rPr>
          <w:rFonts w:ascii="Times New Roman" w:hAnsi="Times New Roman"/>
          <w:sz w:val="18"/>
        </w:rPr>
        <w:t>(1930).</w:t>
      </w:r>
    </w:p>
    <w:p>
      <w:pPr>
        <w:spacing w:after="0" w:line="226" w:lineRule="exact"/>
        <w:jc w:val="both"/>
        <w:rPr>
          <w:rFonts w:ascii="Times New Roman" w:hAns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23"/>
        <w:jc w:val="both"/>
      </w:pPr>
      <w:bookmarkStart w:name="Law and Procedure 468" w:id="49"/>
      <w:bookmarkEnd w:id="49"/>
      <w:r>
        <w:rPr/>
      </w:r>
      <w:r>
        <w:rPr/>
        <w:t>he may do likewise. The appraisal process </w:t>
      </w:r>
      <w:r>
        <w:rPr>
          <w:spacing w:val="-6"/>
        </w:rPr>
        <w:t>is </w:t>
      </w:r>
      <w:r>
        <w:rPr/>
        <w:t>informal</w:t>
      </w:r>
      <w:r>
        <w:rPr>
          <w:spacing w:val="-32"/>
        </w:rPr>
        <w:t> </w:t>
      </w:r>
      <w:r>
        <w:rPr/>
        <w:t>though</w:t>
      </w:r>
      <w:r>
        <w:rPr>
          <w:spacing w:val="-33"/>
        </w:rPr>
        <w:t> </w:t>
      </w:r>
      <w:r>
        <w:rPr/>
        <w:t>premised</w:t>
      </w:r>
      <w:r>
        <w:rPr>
          <w:spacing w:val="-32"/>
        </w:rPr>
        <w:t> </w:t>
      </w:r>
      <w:r>
        <w:rPr/>
        <w:t>on</w:t>
      </w:r>
      <w:r>
        <w:rPr>
          <w:spacing w:val="-31"/>
        </w:rPr>
        <w:t> </w:t>
      </w:r>
      <w:r>
        <w:rPr/>
        <w:t>full</w:t>
      </w:r>
      <w:r>
        <w:rPr>
          <w:spacing w:val="-29"/>
        </w:rPr>
        <w:t> </w:t>
      </w:r>
      <w:r>
        <w:rPr/>
        <w:t>disclosure</w:t>
      </w:r>
      <w:r>
        <w:rPr>
          <w:spacing w:val="-33"/>
        </w:rPr>
        <w:t> </w:t>
      </w:r>
      <w:r>
        <w:rPr/>
        <w:t>and an opportunity to be</w:t>
      </w:r>
      <w:r>
        <w:rPr>
          <w:spacing w:val="-8"/>
        </w:rPr>
        <w:t> </w:t>
      </w:r>
      <w:r>
        <w:rPr/>
        <w:t>heard.</w:t>
      </w:r>
    </w:p>
    <w:p>
      <w:pPr>
        <w:pStyle w:val="BodyText"/>
        <w:spacing w:before="1"/>
      </w:pPr>
    </w:p>
    <w:p>
      <w:pPr>
        <w:pStyle w:val="BodyText"/>
        <w:spacing w:line="242" w:lineRule="auto"/>
        <w:ind w:left="1520" w:right="1517" w:firstLine="720"/>
        <w:jc w:val="both"/>
      </w:pPr>
      <w:r>
        <w:rPr>
          <w:spacing w:val="3"/>
        </w:rPr>
        <w:t>If </w:t>
      </w:r>
      <w:r>
        <w:rPr/>
        <w:t>the property to be appraised,</w:t>
      </w:r>
      <w:r>
        <w:rPr>
          <w:spacing w:val="-50"/>
        </w:rPr>
        <w:t> </w:t>
      </w:r>
      <w:r>
        <w:rPr/>
        <w:t>whether real or personal, has been lost or destroyed</w:t>
      </w:r>
      <w:r>
        <w:rPr>
          <w:spacing w:val="-20"/>
        </w:rPr>
        <w:t> </w:t>
      </w:r>
      <w:r>
        <w:rPr/>
        <w:t>so as to make personal observation impossible, the</w:t>
      </w:r>
      <w:r>
        <w:rPr>
          <w:spacing w:val="-13"/>
        </w:rPr>
        <w:t> </w:t>
      </w:r>
      <w:r>
        <w:rPr/>
        <w:t>parties</w:t>
      </w:r>
      <w:r>
        <w:rPr>
          <w:spacing w:val="-13"/>
        </w:rPr>
        <w:t> </w:t>
      </w:r>
      <w:r>
        <w:rPr/>
        <w:t>should</w:t>
      </w:r>
      <w:r>
        <w:rPr>
          <w:spacing w:val="-10"/>
        </w:rPr>
        <w:t> </w:t>
      </w:r>
      <w:r>
        <w:rPr/>
        <w:t>discuss</w:t>
      </w:r>
      <w:r>
        <w:rPr>
          <w:spacing w:val="-11"/>
        </w:rPr>
        <w:t> </w:t>
      </w:r>
      <w:r>
        <w:rPr/>
        <w:t>alternative</w:t>
      </w:r>
      <w:r>
        <w:rPr>
          <w:spacing w:val="-14"/>
        </w:rPr>
        <w:t> </w:t>
      </w:r>
      <w:r>
        <w:rPr/>
        <w:t>means</w:t>
      </w:r>
      <w:r>
        <w:rPr>
          <w:spacing w:val="-11"/>
        </w:rPr>
        <w:t> </w:t>
      </w:r>
      <w:r>
        <w:rPr/>
        <w:t>of verifying the amount of loss and value under the specific circumstances of the claim. Indeed, by the very nature of the business of insurance,</w:t>
      </w:r>
      <w:r>
        <w:rPr>
          <w:spacing w:val="-10"/>
        </w:rPr>
        <w:t> </w:t>
      </w:r>
      <w:r>
        <w:rPr/>
        <w:t>the</w:t>
      </w:r>
      <w:r>
        <w:rPr>
          <w:spacing w:val="-8"/>
        </w:rPr>
        <w:t> </w:t>
      </w:r>
      <w:r>
        <w:rPr/>
        <w:t>unavailability</w:t>
      </w:r>
      <w:r>
        <w:rPr>
          <w:spacing w:val="-12"/>
        </w:rPr>
        <w:t> </w:t>
      </w:r>
      <w:r>
        <w:rPr/>
        <w:t>of</w:t>
      </w:r>
      <w:r>
        <w:rPr>
          <w:spacing w:val="-7"/>
        </w:rPr>
        <w:t> </w:t>
      </w:r>
      <w:r>
        <w:rPr/>
        <w:t>the</w:t>
      </w:r>
      <w:r>
        <w:rPr>
          <w:spacing w:val="-10"/>
        </w:rPr>
        <w:t> </w:t>
      </w:r>
      <w:r>
        <w:rPr/>
        <w:t>property</w:t>
      </w:r>
      <w:r>
        <w:rPr>
          <w:spacing w:val="-9"/>
        </w:rPr>
        <w:t> </w:t>
      </w:r>
      <w:r>
        <w:rPr/>
        <w:t>to be appraised is all too common and with respect to some claims, </w:t>
      </w:r>
      <w:r>
        <w:rPr>
          <w:spacing w:val="2"/>
        </w:rPr>
        <w:t>is </w:t>
      </w:r>
      <w:r>
        <w:rPr/>
        <w:t>all but inevitable. Nevertheless, the parties to the contract are entitled to have these issues appraised and a fair and equitable result achieved in order to do</w:t>
      </w:r>
      <w:r>
        <w:rPr>
          <w:spacing w:val="-19"/>
        </w:rPr>
        <w:t> </w:t>
      </w:r>
      <w:r>
        <w:rPr/>
        <w:t>justice</w:t>
      </w:r>
      <w:r>
        <w:rPr>
          <w:spacing w:val="-19"/>
        </w:rPr>
        <w:t> </w:t>
      </w:r>
      <w:r>
        <w:rPr/>
        <w:t>to</w:t>
      </w:r>
      <w:r>
        <w:rPr>
          <w:spacing w:val="-21"/>
        </w:rPr>
        <w:t> </w:t>
      </w:r>
      <w:r>
        <w:rPr/>
        <w:t>the</w:t>
      </w:r>
      <w:r>
        <w:rPr>
          <w:spacing w:val="-21"/>
        </w:rPr>
        <w:t> </w:t>
      </w:r>
      <w:r>
        <w:rPr/>
        <w:t>contract</w:t>
      </w:r>
      <w:r>
        <w:rPr>
          <w:spacing w:val="-22"/>
        </w:rPr>
        <w:t> </w:t>
      </w:r>
      <w:r>
        <w:rPr/>
        <w:t>between</w:t>
      </w:r>
      <w:r>
        <w:rPr>
          <w:spacing w:val="-20"/>
        </w:rPr>
        <w:t> </w:t>
      </w:r>
      <w:r>
        <w:rPr/>
        <w:t>the</w:t>
      </w:r>
      <w:r>
        <w:rPr>
          <w:spacing w:val="-19"/>
        </w:rPr>
        <w:t> </w:t>
      </w:r>
      <w:r>
        <w:rPr/>
        <w:t>parties.</w:t>
      </w:r>
    </w:p>
    <w:p>
      <w:pPr>
        <w:pStyle w:val="BodyText"/>
        <w:spacing w:before="10"/>
        <w:rPr>
          <w:sz w:val="25"/>
        </w:rPr>
      </w:pPr>
    </w:p>
    <w:p>
      <w:pPr>
        <w:pStyle w:val="BodyText"/>
        <w:spacing w:line="242" w:lineRule="auto"/>
        <w:ind w:left="1520" w:right="1517" w:firstLine="720"/>
        <w:jc w:val="both"/>
      </w:pPr>
      <w:r>
        <w:rPr>
          <w:spacing w:val="3"/>
        </w:rPr>
        <w:t>Photographs, videotapes, </w:t>
      </w:r>
      <w:r>
        <w:rPr>
          <w:spacing w:val="4"/>
        </w:rPr>
        <w:t>building </w:t>
      </w:r>
      <w:r>
        <w:rPr/>
        <w:t>department records and </w:t>
      </w:r>
      <w:r>
        <w:rPr>
          <w:spacing w:val="3"/>
        </w:rPr>
        <w:t>plans, </w:t>
      </w:r>
      <w:r>
        <w:rPr>
          <w:spacing w:val="2"/>
        </w:rPr>
        <w:t>and </w:t>
      </w:r>
      <w:r>
        <w:rPr/>
        <w:t>computerized inventory records or records of purchases and sales as well as the</w:t>
      </w:r>
      <w:r>
        <w:rPr>
          <w:spacing w:val="-42"/>
        </w:rPr>
        <w:t> </w:t>
      </w:r>
      <w:r>
        <w:rPr/>
        <w:t>calculation of a book-to-physical reconciliation of the insured’s inventory may all be utilized to assist in verifying an out-of-sight claim. Indeed, the parties to the appraisal should be free to present whatever probative methods and means</w:t>
      </w:r>
      <w:r>
        <w:rPr>
          <w:spacing w:val="-33"/>
        </w:rPr>
        <w:t> </w:t>
      </w:r>
      <w:r>
        <w:rPr/>
        <w:t>of</w:t>
      </w:r>
      <w:r>
        <w:rPr>
          <w:spacing w:val="-33"/>
        </w:rPr>
        <w:t> </w:t>
      </w:r>
      <w:r>
        <w:rPr/>
        <w:t>calculating</w:t>
      </w:r>
      <w:r>
        <w:rPr>
          <w:spacing w:val="-31"/>
        </w:rPr>
        <w:t> </w:t>
      </w:r>
      <w:r>
        <w:rPr/>
        <w:t>the</w:t>
      </w:r>
      <w:r>
        <w:rPr>
          <w:spacing w:val="-33"/>
        </w:rPr>
        <w:t> </w:t>
      </w:r>
      <w:r>
        <w:rPr/>
        <w:t>loss</w:t>
      </w:r>
      <w:r>
        <w:rPr>
          <w:spacing w:val="-36"/>
        </w:rPr>
        <w:t> </w:t>
      </w:r>
      <w:r>
        <w:rPr>
          <w:spacing w:val="-3"/>
        </w:rPr>
        <w:t>that</w:t>
      </w:r>
      <w:r>
        <w:rPr>
          <w:spacing w:val="-36"/>
        </w:rPr>
        <w:t> </w:t>
      </w:r>
      <w:r>
        <w:rPr/>
        <w:t>are</w:t>
      </w:r>
      <w:r>
        <w:rPr>
          <w:spacing w:val="-33"/>
        </w:rPr>
        <w:t> </w:t>
      </w:r>
      <w:r>
        <w:rPr/>
        <w:t>available as long as they are not inconsistent with the terms of the policy or local</w:t>
      </w:r>
      <w:r>
        <w:rPr>
          <w:spacing w:val="-12"/>
        </w:rPr>
        <w:t> </w:t>
      </w:r>
      <w:r>
        <w:rPr/>
        <w:t>statutes.</w:t>
      </w:r>
    </w:p>
    <w:p>
      <w:pPr>
        <w:spacing w:after="0" w:line="242" w:lineRule="auto"/>
        <w:jc w:val="both"/>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1520" w:right="1516" w:firstLine="720"/>
        <w:jc w:val="both"/>
      </w:pPr>
      <w:bookmarkStart w:name="Law and Procedure 469" w:id="50"/>
      <w:bookmarkEnd w:id="50"/>
      <w:r>
        <w:rPr/>
      </w:r>
      <w:r>
        <w:rPr/>
        <w:t>Logic</w:t>
      </w:r>
      <w:r>
        <w:rPr>
          <w:spacing w:val="-14"/>
        </w:rPr>
        <w:t> </w:t>
      </w:r>
      <w:r>
        <w:rPr/>
        <w:t>and</w:t>
      </w:r>
      <w:r>
        <w:rPr>
          <w:spacing w:val="-13"/>
        </w:rPr>
        <w:t> </w:t>
      </w:r>
      <w:r>
        <w:rPr/>
        <w:t>reason</w:t>
      </w:r>
      <w:r>
        <w:rPr>
          <w:spacing w:val="-13"/>
        </w:rPr>
        <w:t> </w:t>
      </w:r>
      <w:r>
        <w:rPr/>
        <w:t>would</w:t>
      </w:r>
      <w:r>
        <w:rPr>
          <w:spacing w:val="-12"/>
        </w:rPr>
        <w:t> </w:t>
      </w:r>
      <w:r>
        <w:rPr/>
        <w:t>dictate</w:t>
      </w:r>
      <w:r>
        <w:rPr>
          <w:spacing w:val="-15"/>
        </w:rPr>
        <w:t> </w:t>
      </w:r>
      <w:r>
        <w:rPr/>
        <w:t>that</w:t>
      </w:r>
      <w:r>
        <w:rPr>
          <w:spacing w:val="-15"/>
        </w:rPr>
        <w:t> </w:t>
      </w:r>
      <w:r>
        <w:rPr/>
        <w:t>the absence of a hearing should only result in a successful challenge to an award where </w:t>
      </w:r>
      <w:r>
        <w:rPr>
          <w:spacing w:val="-11"/>
        </w:rPr>
        <w:t>a </w:t>
      </w:r>
      <w:r>
        <w:rPr/>
        <w:t>hearing</w:t>
      </w:r>
      <w:r>
        <w:rPr>
          <w:spacing w:val="-15"/>
        </w:rPr>
        <w:t> </w:t>
      </w:r>
      <w:r>
        <w:rPr/>
        <w:t>would</w:t>
      </w:r>
      <w:r>
        <w:rPr>
          <w:spacing w:val="-12"/>
        </w:rPr>
        <w:t> </w:t>
      </w:r>
      <w:r>
        <w:rPr/>
        <w:t>have</w:t>
      </w:r>
      <w:r>
        <w:rPr>
          <w:spacing w:val="-17"/>
        </w:rPr>
        <w:t> </w:t>
      </w:r>
      <w:r>
        <w:rPr/>
        <w:t>been</w:t>
      </w:r>
      <w:r>
        <w:rPr>
          <w:spacing w:val="-17"/>
        </w:rPr>
        <w:t> </w:t>
      </w:r>
      <w:r>
        <w:rPr/>
        <w:t>beneficial</w:t>
      </w:r>
      <w:r>
        <w:rPr>
          <w:spacing w:val="-17"/>
        </w:rPr>
        <w:t> </w:t>
      </w:r>
      <w:r>
        <w:rPr/>
        <w:t>in</w:t>
      </w:r>
      <w:r>
        <w:rPr>
          <w:spacing w:val="-14"/>
        </w:rPr>
        <w:t> </w:t>
      </w:r>
      <w:r>
        <w:rPr/>
        <w:t>the</w:t>
      </w:r>
      <w:r>
        <w:rPr>
          <w:spacing w:val="-14"/>
        </w:rPr>
        <w:t> </w:t>
      </w:r>
      <w:r>
        <w:rPr/>
        <w:t>first place. </w:t>
      </w:r>
      <w:r>
        <w:rPr>
          <w:spacing w:val="3"/>
        </w:rPr>
        <w:t>In </w:t>
      </w:r>
      <w:r>
        <w:rPr>
          <w:u w:val="single"/>
        </w:rPr>
        <w:t>Aetna Ins. Co. v. Murray</w:t>
      </w:r>
      <w:r>
        <w:rPr/>
        <w:t>,</w:t>
      </w:r>
      <w:r>
        <w:rPr>
          <w:vertAlign w:val="superscript"/>
        </w:rPr>
        <w:t>958</w:t>
      </w:r>
      <w:r>
        <w:rPr>
          <w:vertAlign w:val="baseline"/>
        </w:rPr>
        <w:t> the </w:t>
      </w:r>
      <w:r>
        <w:rPr>
          <w:spacing w:val="-8"/>
          <w:vertAlign w:val="baseline"/>
        </w:rPr>
        <w:t>court </w:t>
      </w:r>
      <w:r>
        <w:rPr>
          <w:vertAlign w:val="baseline"/>
        </w:rPr>
        <w:t>concluded that an appraisal hearing was not necessary</w:t>
      </w:r>
      <w:r>
        <w:rPr>
          <w:spacing w:val="-14"/>
          <w:vertAlign w:val="baseline"/>
        </w:rPr>
        <w:t> </w:t>
      </w:r>
      <w:r>
        <w:rPr>
          <w:vertAlign w:val="baseline"/>
        </w:rPr>
        <w:t>where</w:t>
      </w:r>
      <w:r>
        <w:rPr>
          <w:spacing w:val="-12"/>
          <w:vertAlign w:val="baseline"/>
        </w:rPr>
        <w:t> </w:t>
      </w:r>
      <w:r>
        <w:rPr>
          <w:vertAlign w:val="baseline"/>
        </w:rPr>
        <w:t>the</w:t>
      </w:r>
      <w:r>
        <w:rPr>
          <w:spacing w:val="-13"/>
          <w:vertAlign w:val="baseline"/>
        </w:rPr>
        <w:t> </w:t>
      </w:r>
      <w:r>
        <w:rPr>
          <w:vertAlign w:val="baseline"/>
        </w:rPr>
        <w:t>appraisers</w:t>
      </w:r>
      <w:r>
        <w:rPr>
          <w:spacing w:val="-9"/>
          <w:vertAlign w:val="baseline"/>
        </w:rPr>
        <w:t> </w:t>
      </w:r>
      <w:r>
        <w:rPr>
          <w:vertAlign w:val="baseline"/>
        </w:rPr>
        <w:t>had</w:t>
      </w:r>
      <w:r>
        <w:rPr>
          <w:spacing w:val="-11"/>
          <w:vertAlign w:val="baseline"/>
        </w:rPr>
        <w:t> </w:t>
      </w:r>
      <w:r>
        <w:rPr>
          <w:vertAlign w:val="baseline"/>
        </w:rPr>
        <w:t>from</w:t>
      </w:r>
      <w:r>
        <w:rPr>
          <w:spacing w:val="-12"/>
          <w:vertAlign w:val="baseline"/>
        </w:rPr>
        <w:t> </w:t>
      </w:r>
      <w:r>
        <w:rPr>
          <w:vertAlign w:val="baseline"/>
        </w:rPr>
        <w:t>their </w:t>
      </w:r>
      <w:r>
        <w:rPr>
          <w:spacing w:val="3"/>
          <w:vertAlign w:val="baseline"/>
        </w:rPr>
        <w:t>own </w:t>
      </w:r>
      <w:r>
        <w:rPr>
          <w:spacing w:val="5"/>
          <w:vertAlign w:val="baseline"/>
        </w:rPr>
        <w:t>knowledge </w:t>
      </w:r>
      <w:r>
        <w:rPr>
          <w:spacing w:val="4"/>
          <w:vertAlign w:val="baseline"/>
        </w:rPr>
        <w:t>and </w:t>
      </w:r>
      <w:r>
        <w:rPr>
          <w:spacing w:val="6"/>
          <w:vertAlign w:val="baseline"/>
        </w:rPr>
        <w:t>experience,</w:t>
      </w:r>
      <w:r>
        <w:rPr>
          <w:spacing w:val="83"/>
          <w:vertAlign w:val="baseline"/>
        </w:rPr>
        <w:t> </w:t>
      </w:r>
      <w:r>
        <w:rPr>
          <w:spacing w:val="4"/>
          <w:vertAlign w:val="baseline"/>
        </w:rPr>
        <w:t>the </w:t>
      </w:r>
      <w:r>
        <w:rPr>
          <w:vertAlign w:val="baseline"/>
        </w:rPr>
        <w:t>information necessary to determine the issues before</w:t>
      </w:r>
      <w:r>
        <w:rPr>
          <w:spacing w:val="-23"/>
          <w:vertAlign w:val="baseline"/>
        </w:rPr>
        <w:t> </w:t>
      </w:r>
      <w:r>
        <w:rPr>
          <w:vertAlign w:val="baseline"/>
        </w:rPr>
        <w:t>them.</w:t>
      </w:r>
      <w:r>
        <w:rPr>
          <w:spacing w:val="24"/>
          <w:vertAlign w:val="baseline"/>
        </w:rPr>
        <w:t> </w:t>
      </w:r>
      <w:r>
        <w:rPr>
          <w:vertAlign w:val="baseline"/>
        </w:rPr>
        <w:t>This</w:t>
      </w:r>
      <w:r>
        <w:rPr>
          <w:spacing w:val="-22"/>
          <w:vertAlign w:val="baseline"/>
        </w:rPr>
        <w:t> </w:t>
      </w:r>
      <w:r>
        <w:rPr>
          <w:vertAlign w:val="baseline"/>
        </w:rPr>
        <w:t>was</w:t>
      </w:r>
      <w:r>
        <w:rPr>
          <w:spacing w:val="-22"/>
          <w:vertAlign w:val="baseline"/>
        </w:rPr>
        <w:t> </w:t>
      </w:r>
      <w:r>
        <w:rPr>
          <w:vertAlign w:val="baseline"/>
        </w:rPr>
        <w:t>found</w:t>
      </w:r>
      <w:r>
        <w:rPr>
          <w:spacing w:val="-21"/>
          <w:vertAlign w:val="baseline"/>
        </w:rPr>
        <w:t> </w:t>
      </w:r>
      <w:r>
        <w:rPr>
          <w:vertAlign w:val="baseline"/>
        </w:rPr>
        <w:t>to</w:t>
      </w:r>
      <w:r>
        <w:rPr>
          <w:spacing w:val="-22"/>
          <w:vertAlign w:val="baseline"/>
        </w:rPr>
        <w:t> </w:t>
      </w:r>
      <w:r>
        <w:rPr>
          <w:vertAlign w:val="baseline"/>
        </w:rPr>
        <w:t>be</w:t>
      </w:r>
      <w:r>
        <w:rPr>
          <w:spacing w:val="-24"/>
          <w:vertAlign w:val="baseline"/>
        </w:rPr>
        <w:t> </w:t>
      </w:r>
      <w:r>
        <w:rPr>
          <w:vertAlign w:val="baseline"/>
        </w:rPr>
        <w:t>distinct</w:t>
      </w:r>
      <w:r>
        <w:rPr>
          <w:spacing w:val="-23"/>
          <w:vertAlign w:val="baseline"/>
        </w:rPr>
        <w:t> </w:t>
      </w:r>
      <w:r>
        <w:rPr>
          <w:vertAlign w:val="baseline"/>
        </w:rPr>
        <w:t>from the situation where appraisers might be required to do fact finding in coming to a conclusion,</w:t>
      </w:r>
      <w:r>
        <w:rPr>
          <w:spacing w:val="-29"/>
          <w:vertAlign w:val="baseline"/>
        </w:rPr>
        <w:t> </w:t>
      </w:r>
      <w:r>
        <w:rPr>
          <w:vertAlign w:val="baseline"/>
        </w:rPr>
        <w:t>such</w:t>
      </w:r>
      <w:r>
        <w:rPr>
          <w:spacing w:val="-24"/>
          <w:vertAlign w:val="baseline"/>
        </w:rPr>
        <w:t> </w:t>
      </w:r>
      <w:r>
        <w:rPr>
          <w:vertAlign w:val="baseline"/>
        </w:rPr>
        <w:t>as</w:t>
      </w:r>
      <w:r>
        <w:rPr>
          <w:spacing w:val="-25"/>
          <w:vertAlign w:val="baseline"/>
        </w:rPr>
        <w:t> </w:t>
      </w:r>
      <w:r>
        <w:rPr>
          <w:vertAlign w:val="baseline"/>
        </w:rPr>
        <w:t>where</w:t>
      </w:r>
      <w:r>
        <w:rPr>
          <w:spacing w:val="-24"/>
          <w:vertAlign w:val="baseline"/>
        </w:rPr>
        <w:t> </w:t>
      </w:r>
      <w:r>
        <w:rPr>
          <w:vertAlign w:val="baseline"/>
        </w:rPr>
        <w:t>the</w:t>
      </w:r>
      <w:r>
        <w:rPr>
          <w:spacing w:val="-27"/>
          <w:vertAlign w:val="baseline"/>
        </w:rPr>
        <w:t> </w:t>
      </w:r>
      <w:r>
        <w:rPr>
          <w:vertAlign w:val="baseline"/>
        </w:rPr>
        <w:t>property</w:t>
      </w:r>
      <w:r>
        <w:rPr>
          <w:spacing w:val="-28"/>
          <w:vertAlign w:val="baseline"/>
        </w:rPr>
        <w:t> </w:t>
      </w:r>
      <w:r>
        <w:rPr>
          <w:vertAlign w:val="baseline"/>
        </w:rPr>
        <w:t>insured had</w:t>
      </w:r>
      <w:r>
        <w:rPr>
          <w:spacing w:val="-10"/>
          <w:vertAlign w:val="baseline"/>
        </w:rPr>
        <w:t> </w:t>
      </w:r>
      <w:r>
        <w:rPr>
          <w:vertAlign w:val="baseline"/>
        </w:rPr>
        <w:t>been</w:t>
      </w:r>
      <w:r>
        <w:rPr>
          <w:spacing w:val="-11"/>
          <w:vertAlign w:val="baseline"/>
        </w:rPr>
        <w:t> </w:t>
      </w:r>
      <w:r>
        <w:rPr>
          <w:vertAlign w:val="baseline"/>
        </w:rPr>
        <w:t>lost</w:t>
      </w:r>
      <w:r>
        <w:rPr>
          <w:spacing w:val="-10"/>
          <w:vertAlign w:val="baseline"/>
        </w:rPr>
        <w:t> </w:t>
      </w:r>
      <w:r>
        <w:rPr>
          <w:vertAlign w:val="baseline"/>
        </w:rPr>
        <w:t>or</w:t>
      </w:r>
      <w:r>
        <w:rPr>
          <w:spacing w:val="-11"/>
          <w:vertAlign w:val="baseline"/>
        </w:rPr>
        <w:t> </w:t>
      </w:r>
      <w:r>
        <w:rPr>
          <w:vertAlign w:val="baseline"/>
        </w:rPr>
        <w:t>damaged</w:t>
      </w:r>
      <w:r>
        <w:rPr>
          <w:spacing w:val="-9"/>
          <w:vertAlign w:val="baseline"/>
        </w:rPr>
        <w:t> </w:t>
      </w:r>
      <w:r>
        <w:rPr>
          <w:vertAlign w:val="baseline"/>
        </w:rPr>
        <w:t>to</w:t>
      </w:r>
      <w:r>
        <w:rPr>
          <w:spacing w:val="-8"/>
          <w:vertAlign w:val="baseline"/>
        </w:rPr>
        <w:t> </w:t>
      </w:r>
      <w:r>
        <w:rPr>
          <w:vertAlign w:val="baseline"/>
        </w:rPr>
        <w:t>the</w:t>
      </w:r>
      <w:r>
        <w:rPr>
          <w:spacing w:val="-12"/>
          <w:vertAlign w:val="baseline"/>
        </w:rPr>
        <w:t> </w:t>
      </w:r>
      <w:r>
        <w:rPr>
          <w:vertAlign w:val="baseline"/>
        </w:rPr>
        <w:t>point</w:t>
      </w:r>
      <w:r>
        <w:rPr>
          <w:spacing w:val="-12"/>
          <w:vertAlign w:val="baseline"/>
        </w:rPr>
        <w:t> </w:t>
      </w:r>
      <w:r>
        <w:rPr>
          <w:vertAlign w:val="baseline"/>
        </w:rPr>
        <w:t>where it is out-of-sight and unavailable and the appraisers require evidence of the property’s age, condition, size and</w:t>
      </w:r>
      <w:r>
        <w:rPr>
          <w:spacing w:val="-7"/>
          <w:vertAlign w:val="baseline"/>
        </w:rPr>
        <w:t> </w:t>
      </w:r>
      <w:r>
        <w:rPr>
          <w:vertAlign w:val="baseline"/>
        </w:rPr>
        <w:t>description.</w:t>
      </w:r>
    </w:p>
    <w:p>
      <w:pPr>
        <w:pStyle w:val="BodyText"/>
        <w:spacing w:before="9"/>
        <w:rPr>
          <w:sz w:val="25"/>
        </w:rPr>
      </w:pPr>
    </w:p>
    <w:p>
      <w:pPr>
        <w:pStyle w:val="BodyText"/>
        <w:spacing w:line="242" w:lineRule="auto"/>
        <w:ind w:left="1520" w:right="1519" w:firstLine="720"/>
        <w:jc w:val="both"/>
      </w:pPr>
      <w:r>
        <w:rPr/>
        <w:t>Courts have been reluctant to impose their will or judgment retrospectively on the appraisal process and overturn an appraisal award</w:t>
      </w:r>
      <w:r>
        <w:rPr>
          <w:spacing w:val="-25"/>
        </w:rPr>
        <w:t> </w:t>
      </w:r>
      <w:r>
        <w:rPr/>
        <w:t>based</w:t>
      </w:r>
      <w:r>
        <w:rPr>
          <w:spacing w:val="-24"/>
        </w:rPr>
        <w:t> </w:t>
      </w:r>
      <w:r>
        <w:rPr/>
        <w:t>on</w:t>
      </w:r>
      <w:r>
        <w:rPr>
          <w:spacing w:val="-23"/>
        </w:rPr>
        <w:t> </w:t>
      </w:r>
      <w:r>
        <w:rPr/>
        <w:t>the</w:t>
      </w:r>
      <w:r>
        <w:rPr>
          <w:spacing w:val="-25"/>
        </w:rPr>
        <w:t> </w:t>
      </w:r>
      <w:r>
        <w:rPr/>
        <w:t>procedure</w:t>
      </w:r>
      <w:r>
        <w:rPr>
          <w:spacing w:val="-25"/>
        </w:rPr>
        <w:t> </w:t>
      </w:r>
      <w:r>
        <w:rPr/>
        <w:t>utilized</w:t>
      </w:r>
      <w:r>
        <w:rPr>
          <w:spacing w:val="-23"/>
        </w:rPr>
        <w:t> </w:t>
      </w:r>
      <w:r>
        <w:rPr/>
        <w:t>as</w:t>
      </w:r>
      <w:r>
        <w:rPr>
          <w:spacing w:val="-24"/>
        </w:rPr>
        <w:t> </w:t>
      </w:r>
      <w:r>
        <w:rPr/>
        <w:t>long as the result was obtained honestly and in good</w:t>
      </w:r>
      <w:r>
        <w:rPr>
          <w:spacing w:val="-1"/>
        </w:rPr>
        <w:t> </w:t>
      </w:r>
      <w:r>
        <w:rPr/>
        <w:t>faith.</w:t>
      </w:r>
      <w:r>
        <w:rPr>
          <w:vertAlign w:val="superscript"/>
        </w:rPr>
        <w:t>959</w:t>
      </w:r>
    </w:p>
    <w:p>
      <w:pPr>
        <w:pStyle w:val="BodyText"/>
      </w:pPr>
    </w:p>
    <w:p>
      <w:pPr>
        <w:pStyle w:val="BodyText"/>
        <w:spacing w:line="242" w:lineRule="auto" w:before="1"/>
        <w:ind w:left="1520" w:right="1519" w:firstLine="720"/>
        <w:jc w:val="both"/>
      </w:pPr>
      <w:r>
        <w:rPr>
          <w:spacing w:val="3"/>
        </w:rPr>
        <w:t>It </w:t>
      </w:r>
      <w:r>
        <w:rPr/>
        <w:t>has been held that an opportunity to introduce</w:t>
      </w:r>
      <w:r>
        <w:rPr>
          <w:spacing w:val="-10"/>
        </w:rPr>
        <w:t> </w:t>
      </w:r>
      <w:r>
        <w:rPr/>
        <w:t>evidence</w:t>
      </w:r>
      <w:r>
        <w:rPr>
          <w:spacing w:val="-12"/>
        </w:rPr>
        <w:t> </w:t>
      </w:r>
      <w:r>
        <w:rPr/>
        <w:t>of</w:t>
      </w:r>
      <w:r>
        <w:rPr>
          <w:spacing w:val="-13"/>
        </w:rPr>
        <w:t> </w:t>
      </w:r>
      <w:r>
        <w:rPr/>
        <w:t>value</w:t>
      </w:r>
      <w:r>
        <w:rPr>
          <w:spacing w:val="-12"/>
        </w:rPr>
        <w:t> </w:t>
      </w:r>
      <w:r>
        <w:rPr/>
        <w:t>is</w:t>
      </w:r>
      <w:r>
        <w:rPr>
          <w:spacing w:val="-14"/>
        </w:rPr>
        <w:t> </w:t>
      </w:r>
      <w:r>
        <w:rPr/>
        <w:t>essential</w:t>
      </w:r>
      <w:r>
        <w:rPr>
          <w:spacing w:val="-13"/>
        </w:rPr>
        <w:t> </w:t>
      </w:r>
      <w:r>
        <w:rPr/>
        <w:t>where the appraisers are unacquainted with the insured property or are selected to estimate</w:t>
      </w:r>
      <w:r>
        <w:rPr>
          <w:spacing w:val="-20"/>
        </w:rPr>
        <w:t> </w:t>
      </w:r>
      <w:r>
        <w:rPr/>
        <w:t>a</w:t>
      </w:r>
    </w:p>
    <w:p>
      <w:pPr>
        <w:pStyle w:val="BodyText"/>
        <w:rPr>
          <w:sz w:val="25"/>
        </w:rPr>
      </w:pPr>
      <w:r>
        <w:rPr/>
        <w:pict>
          <v:shape style="position:absolute;margin-left:162pt;margin-top:17.736567pt;width:143.9pt;height:.1pt;mso-position-horizontal-relative:page;mso-position-vertical-relative:paragraph;z-index:-251626496;mso-wrap-distance-left:0;mso-wrap-distance-right:0" coordorigin="3240,355" coordsize="2878,0" path="m3240,355l6118,355e" filled="false" stroked="true" strokeweight=".84pt" strokecolor="#000000">
            <v:path arrowok="t"/>
            <v:stroke dashstyle="solid"/>
            <w10:wrap type="topAndBottom"/>
          </v:shape>
        </w:pict>
      </w:r>
    </w:p>
    <w:p>
      <w:pPr>
        <w:spacing w:line="240" w:lineRule="exact" w:before="140"/>
        <w:ind w:left="1160" w:right="0" w:firstLine="0"/>
        <w:jc w:val="left"/>
        <w:rPr>
          <w:rFonts w:ascii="Times New Roman"/>
          <w:sz w:val="18"/>
        </w:rPr>
      </w:pPr>
      <w:r>
        <w:rPr>
          <w:rFonts w:ascii="Times New Roman"/>
          <w:position w:val="10"/>
          <w:sz w:val="14"/>
        </w:rPr>
        <w:t>958 </w:t>
      </w:r>
      <w:r>
        <w:rPr>
          <w:rFonts w:ascii="Times New Roman"/>
          <w:sz w:val="18"/>
        </w:rPr>
        <w:t>66 F.2d 289 (10</w:t>
      </w:r>
      <w:r>
        <w:rPr>
          <w:rFonts w:ascii="Times New Roman"/>
          <w:position w:val="7"/>
          <w:sz w:val="10"/>
        </w:rPr>
        <w:t>th </w:t>
      </w:r>
      <w:r>
        <w:rPr>
          <w:rFonts w:ascii="Times New Roman"/>
          <w:sz w:val="18"/>
        </w:rPr>
        <w:t>Cir. 1933).</w:t>
      </w:r>
    </w:p>
    <w:p>
      <w:pPr>
        <w:spacing w:line="240" w:lineRule="exact" w:before="0"/>
        <w:ind w:left="1160" w:right="0" w:firstLine="0"/>
        <w:jc w:val="left"/>
        <w:rPr>
          <w:rFonts w:ascii="Times New Roman"/>
          <w:sz w:val="18"/>
        </w:rPr>
      </w:pPr>
      <w:r>
        <w:rPr>
          <w:rFonts w:ascii="Times New Roman"/>
          <w:position w:val="10"/>
          <w:sz w:val="14"/>
        </w:rPr>
        <w:t>959</w:t>
      </w:r>
      <w:r>
        <w:rPr>
          <w:rFonts w:ascii="Times New Roman"/>
          <w:sz w:val="14"/>
        </w:rPr>
        <w:t> </w:t>
      </w:r>
      <w:r>
        <w:rPr>
          <w:rFonts w:ascii="Times New Roman"/>
          <w:sz w:val="18"/>
          <w:u w:val="single"/>
        </w:rPr>
        <w:t>Mitchell v. Aetna Cas. &amp; Sur. Co.</w:t>
      </w:r>
      <w:r>
        <w:rPr>
          <w:rFonts w:ascii="Times New Roman"/>
          <w:sz w:val="18"/>
        </w:rPr>
        <w:t>, 579 F.2d 342 (5</w:t>
      </w:r>
      <w:r>
        <w:rPr>
          <w:rFonts w:ascii="Times New Roman"/>
          <w:position w:val="7"/>
          <w:sz w:val="10"/>
        </w:rPr>
        <w:t>th </w:t>
      </w:r>
      <w:r>
        <w:rPr>
          <w:rFonts w:ascii="Times New Roman"/>
          <w:sz w:val="18"/>
        </w:rPr>
        <w:t>Cir. 1978); </w:t>
      </w:r>
      <w:r>
        <w:rPr>
          <w:rFonts w:ascii="Times New Roman"/>
          <w:sz w:val="18"/>
          <w:u w:val="single"/>
        </w:rPr>
        <w:t>Atlas Const. Co., Inc.</w:t>
      </w:r>
    </w:p>
    <w:p>
      <w:pPr>
        <w:spacing w:before="4"/>
        <w:ind w:left="1160" w:right="0" w:firstLine="0"/>
        <w:jc w:val="left"/>
        <w:rPr>
          <w:rFonts w:ascii="Times New Roman"/>
          <w:sz w:val="18"/>
        </w:rPr>
      </w:pPr>
      <w:r>
        <w:rPr>
          <w:rFonts w:ascii="Times New Roman"/>
          <w:sz w:val="18"/>
          <w:u w:val="single"/>
        </w:rPr>
        <w:t>v. Indiana Ins. Co. Inc.</w:t>
      </w:r>
      <w:r>
        <w:rPr>
          <w:rFonts w:ascii="Times New Roman"/>
          <w:sz w:val="18"/>
        </w:rPr>
        <w:t>, 160 Ind. App. 33, 309 N.E. 2d 810 (1974).</w:t>
      </w:r>
    </w:p>
    <w:p>
      <w:pPr>
        <w:spacing w:after="0"/>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470" w:id="51"/>
      <w:bookmarkEnd w:id="51"/>
      <w:r>
        <w:rPr/>
      </w:r>
      <w:r>
        <w:rPr/>
        <w:t>loss arising from the total destruction of the property. But where experts had been sent to estimate the value of an insured building before its destruction or after it had been</w:t>
      </w:r>
      <w:r>
        <w:rPr>
          <w:spacing w:val="-17"/>
        </w:rPr>
        <w:t> </w:t>
      </w:r>
      <w:r>
        <w:rPr/>
        <w:t>only partially destroyed and sufficient portions of it remained to disclose the size, general character of the architecture and quality of material used, a hearing was not </w:t>
      </w:r>
      <w:r>
        <w:rPr>
          <w:spacing w:val="-3"/>
        </w:rPr>
        <w:t>deemed </w:t>
      </w:r>
      <w:r>
        <w:rPr/>
        <w:t>essential.</w:t>
      </w:r>
      <w:r>
        <w:rPr>
          <w:vertAlign w:val="superscript"/>
        </w:rPr>
        <w:t>960</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5"/>
        </w:rPr>
      </w:pPr>
      <w:r>
        <w:rPr/>
        <w:pict>
          <v:shape style="position:absolute;margin-left:162pt;margin-top:11.605405pt;width:143.9pt;height:.1pt;mso-position-horizontal-relative:page;mso-position-vertical-relative:paragraph;z-index:-251625472;mso-wrap-distance-left:0;mso-wrap-distance-right:0" coordorigin="3240,232" coordsize="2878,0" path="m3240,232l6118,232e" filled="false" stroked="true" strokeweight=".84pt" strokecolor="#000000">
            <v:path arrowok="t"/>
            <v:stroke dashstyle="solid"/>
            <w10:wrap type="topAndBottom"/>
          </v:shape>
        </w:pict>
      </w:r>
    </w:p>
    <w:p>
      <w:pPr>
        <w:spacing w:line="244" w:lineRule="auto" w:before="140"/>
        <w:ind w:left="1160" w:right="1163" w:firstLine="0"/>
        <w:jc w:val="both"/>
        <w:rPr>
          <w:rFonts w:ascii="Times New Roman" w:hAnsi="Times New Roman"/>
          <w:sz w:val="18"/>
        </w:rPr>
      </w:pPr>
      <w:r>
        <w:rPr>
          <w:rFonts w:ascii="Times New Roman" w:hAnsi="Times New Roman"/>
          <w:position w:val="10"/>
          <w:sz w:val="14"/>
        </w:rPr>
        <w:t>960</w:t>
      </w:r>
      <w:r>
        <w:rPr>
          <w:rFonts w:ascii="Times New Roman" w:hAnsi="Times New Roman"/>
          <w:sz w:val="14"/>
        </w:rPr>
        <w:t> </w:t>
      </w:r>
      <w:r>
        <w:rPr>
          <w:rFonts w:ascii="Times New Roman" w:hAnsi="Times New Roman"/>
          <w:sz w:val="18"/>
          <w:u w:val="single"/>
        </w:rPr>
        <w:t>Carlston v. St. Paul Fire &amp; Marine Ins. Co.</w:t>
      </w:r>
      <w:r>
        <w:rPr>
          <w:rFonts w:ascii="Times New Roman" w:hAnsi="Times New Roman"/>
          <w:sz w:val="18"/>
        </w:rPr>
        <w:t>, 37 Mont. 118, 94 P. 756 (1908); </w:t>
      </w:r>
      <w:r>
        <w:rPr>
          <w:rFonts w:ascii="Times New Roman" w:hAnsi="Times New Roman"/>
          <w:sz w:val="18"/>
          <w:u w:val="single"/>
        </w:rPr>
        <w:t>St. Paul Fire &amp; Marine Ins. Co. v. The Tire Clearing House</w:t>
      </w:r>
      <w:r>
        <w:rPr>
          <w:rFonts w:ascii="Times New Roman" w:hAnsi="Times New Roman"/>
          <w:sz w:val="18"/>
        </w:rPr>
        <w:t>, 58 F.2d 610, (8</w:t>
      </w:r>
      <w:r>
        <w:rPr>
          <w:rFonts w:ascii="Times New Roman" w:hAnsi="Times New Roman"/>
          <w:position w:val="7"/>
          <w:sz w:val="10"/>
        </w:rPr>
        <w:t>th </w:t>
      </w:r>
      <w:r>
        <w:rPr>
          <w:rFonts w:ascii="Times New Roman" w:hAnsi="Times New Roman"/>
          <w:sz w:val="18"/>
        </w:rPr>
        <w:t>Cir. 1932); </w:t>
      </w:r>
      <w:r>
        <w:rPr>
          <w:rFonts w:ascii="Times New Roman" w:hAnsi="Times New Roman"/>
          <w:sz w:val="18"/>
          <w:u w:val="single"/>
        </w:rPr>
        <w:t>Franklin v.</w:t>
      </w:r>
      <w:r>
        <w:rPr>
          <w:rFonts w:ascii="Times New Roman" w:hAnsi="Times New Roman"/>
          <w:spacing w:val="-7"/>
          <w:sz w:val="18"/>
          <w:u w:val="single"/>
        </w:rPr>
        <w:t> </w:t>
      </w:r>
      <w:r>
        <w:rPr>
          <w:rFonts w:ascii="Times New Roman" w:hAnsi="Times New Roman"/>
          <w:sz w:val="18"/>
          <w:u w:val="single"/>
        </w:rPr>
        <w:t>Fireman’s</w:t>
      </w:r>
      <w:r>
        <w:rPr>
          <w:rFonts w:ascii="Times New Roman" w:hAnsi="Times New Roman"/>
          <w:spacing w:val="-7"/>
          <w:sz w:val="18"/>
          <w:u w:val="single"/>
        </w:rPr>
        <w:t> </w:t>
      </w:r>
      <w:r>
        <w:rPr>
          <w:rFonts w:ascii="Times New Roman" w:hAnsi="Times New Roman"/>
          <w:sz w:val="18"/>
          <w:u w:val="single"/>
        </w:rPr>
        <w:t>Fund</w:t>
      </w:r>
      <w:r>
        <w:rPr>
          <w:rFonts w:ascii="Times New Roman" w:hAnsi="Times New Roman"/>
          <w:spacing w:val="-5"/>
          <w:sz w:val="18"/>
          <w:u w:val="single"/>
        </w:rPr>
        <w:t> </w:t>
      </w:r>
      <w:r>
        <w:rPr>
          <w:rFonts w:ascii="Times New Roman" w:hAnsi="Times New Roman"/>
          <w:sz w:val="18"/>
          <w:u w:val="single"/>
        </w:rPr>
        <w:t>Ins.</w:t>
      </w:r>
      <w:r>
        <w:rPr>
          <w:rFonts w:ascii="Times New Roman" w:hAnsi="Times New Roman"/>
          <w:spacing w:val="-6"/>
          <w:sz w:val="18"/>
          <w:u w:val="single"/>
        </w:rPr>
        <w:t> </w:t>
      </w:r>
      <w:r>
        <w:rPr>
          <w:rFonts w:ascii="Times New Roman" w:hAnsi="Times New Roman"/>
          <w:sz w:val="18"/>
          <w:u w:val="single"/>
        </w:rPr>
        <w:t>Co.</w:t>
      </w:r>
      <w:r>
        <w:rPr>
          <w:rFonts w:ascii="Times New Roman" w:hAnsi="Times New Roman"/>
          <w:sz w:val="18"/>
        </w:rPr>
        <w:t>,</w:t>
      </w:r>
      <w:r>
        <w:rPr>
          <w:rFonts w:ascii="Times New Roman" w:hAnsi="Times New Roman"/>
          <w:spacing w:val="-3"/>
          <w:sz w:val="18"/>
        </w:rPr>
        <w:t> </w:t>
      </w:r>
      <w:r>
        <w:rPr>
          <w:rFonts w:ascii="Times New Roman" w:hAnsi="Times New Roman"/>
          <w:sz w:val="18"/>
        </w:rPr>
        <w:t>4</w:t>
      </w:r>
      <w:r>
        <w:rPr>
          <w:rFonts w:ascii="Times New Roman" w:hAnsi="Times New Roman"/>
          <w:spacing w:val="-3"/>
          <w:sz w:val="18"/>
        </w:rPr>
        <w:t> </w:t>
      </w:r>
      <w:r>
        <w:rPr>
          <w:rFonts w:ascii="Times New Roman" w:hAnsi="Times New Roman"/>
          <w:sz w:val="18"/>
        </w:rPr>
        <w:t>Tenn.</w:t>
      </w:r>
      <w:r>
        <w:rPr>
          <w:rFonts w:ascii="Times New Roman" w:hAnsi="Times New Roman"/>
          <w:spacing w:val="-5"/>
          <w:sz w:val="18"/>
        </w:rPr>
        <w:t> </w:t>
      </w:r>
      <w:r>
        <w:rPr>
          <w:rFonts w:ascii="Times New Roman" w:hAnsi="Times New Roman"/>
          <w:sz w:val="18"/>
        </w:rPr>
        <w:t>App.</w:t>
      </w:r>
      <w:r>
        <w:rPr>
          <w:rFonts w:ascii="Times New Roman" w:hAnsi="Times New Roman"/>
          <w:spacing w:val="-4"/>
          <w:sz w:val="18"/>
        </w:rPr>
        <w:t> </w:t>
      </w:r>
      <w:r>
        <w:rPr>
          <w:rFonts w:ascii="Times New Roman" w:hAnsi="Times New Roman"/>
          <w:sz w:val="18"/>
        </w:rPr>
        <w:t>688</w:t>
      </w:r>
      <w:r>
        <w:rPr>
          <w:rFonts w:ascii="Times New Roman" w:hAnsi="Times New Roman"/>
          <w:spacing w:val="-3"/>
          <w:sz w:val="18"/>
        </w:rPr>
        <w:t> </w:t>
      </w:r>
      <w:r>
        <w:rPr>
          <w:rFonts w:ascii="Times New Roman" w:hAnsi="Times New Roman"/>
          <w:sz w:val="18"/>
        </w:rPr>
        <w:t>(Tenn.</w:t>
      </w:r>
      <w:r>
        <w:rPr>
          <w:rFonts w:ascii="Times New Roman" w:hAnsi="Times New Roman"/>
          <w:spacing w:val="-4"/>
          <w:sz w:val="18"/>
        </w:rPr>
        <w:t> </w:t>
      </w:r>
      <w:r>
        <w:rPr>
          <w:rFonts w:ascii="Times New Roman" w:hAnsi="Times New Roman"/>
          <w:sz w:val="18"/>
        </w:rPr>
        <w:t>Ct.</w:t>
      </w:r>
      <w:r>
        <w:rPr>
          <w:rFonts w:ascii="Times New Roman" w:hAnsi="Times New Roman"/>
          <w:spacing w:val="-7"/>
          <w:sz w:val="18"/>
        </w:rPr>
        <w:t> </w:t>
      </w:r>
      <w:r>
        <w:rPr>
          <w:rFonts w:ascii="Times New Roman" w:hAnsi="Times New Roman"/>
          <w:sz w:val="18"/>
        </w:rPr>
        <w:t>App.</w:t>
      </w:r>
      <w:r>
        <w:rPr>
          <w:rFonts w:ascii="Times New Roman" w:hAnsi="Times New Roman"/>
          <w:spacing w:val="-6"/>
          <w:sz w:val="18"/>
        </w:rPr>
        <w:t> </w:t>
      </w:r>
      <w:r>
        <w:rPr>
          <w:rFonts w:ascii="Times New Roman" w:hAnsi="Times New Roman"/>
          <w:sz w:val="18"/>
        </w:rPr>
        <w:t>1927)</w:t>
      </w:r>
      <w:r>
        <w:rPr>
          <w:rFonts w:ascii="Times New Roman" w:hAnsi="Times New Roman"/>
          <w:spacing w:val="-8"/>
          <w:sz w:val="18"/>
        </w:rPr>
        <w:t> </w:t>
      </w:r>
      <w:r>
        <w:rPr>
          <w:rFonts w:ascii="Times New Roman" w:hAnsi="Times New Roman"/>
          <w:sz w:val="18"/>
        </w:rPr>
        <w:t>(old</w:t>
      </w:r>
      <w:r>
        <w:rPr>
          <w:rFonts w:ascii="Times New Roman" w:hAnsi="Times New Roman"/>
          <w:spacing w:val="-7"/>
          <w:sz w:val="18"/>
        </w:rPr>
        <w:t> </w:t>
      </w:r>
      <w:r>
        <w:rPr>
          <w:rFonts w:ascii="Times New Roman" w:hAnsi="Times New Roman"/>
          <w:sz w:val="18"/>
        </w:rPr>
        <w:t>wood</w:t>
      </w:r>
      <w:r>
        <w:rPr>
          <w:rFonts w:ascii="Times New Roman" w:hAnsi="Times New Roman"/>
          <w:spacing w:val="-6"/>
          <w:sz w:val="18"/>
        </w:rPr>
        <w:t> </w:t>
      </w:r>
      <w:r>
        <w:rPr>
          <w:rFonts w:ascii="Times New Roman" w:hAnsi="Times New Roman"/>
          <w:sz w:val="18"/>
        </w:rPr>
        <w:t>house</w:t>
      </w:r>
      <w:r>
        <w:rPr>
          <w:rFonts w:ascii="Times New Roman" w:hAnsi="Times New Roman"/>
          <w:spacing w:val="-8"/>
          <w:sz w:val="18"/>
        </w:rPr>
        <w:t> </w:t>
      </w:r>
      <w:r>
        <w:rPr>
          <w:rFonts w:ascii="Times New Roman" w:hAnsi="Times New Roman"/>
          <w:sz w:val="18"/>
        </w:rPr>
        <w:t>with exceptionally fine details was totally destroyed and hearing was necessary to acquaint the appraisers with the quality of</w:t>
      </w:r>
      <w:r>
        <w:rPr>
          <w:rFonts w:ascii="Times New Roman" w:hAnsi="Times New Roman"/>
          <w:spacing w:val="-7"/>
          <w:sz w:val="18"/>
        </w:rPr>
        <w:t> </w:t>
      </w:r>
      <w:r>
        <w:rPr>
          <w:rFonts w:ascii="Times New Roman" w:hAnsi="Times New Roman"/>
          <w:sz w:val="18"/>
        </w:rPr>
        <w:t>construction).</w:t>
      </w:r>
    </w:p>
    <w:sectPr>
      <w:pgSz w:w="12240" w:h="15840"/>
      <w:pgMar w:header="0" w:footer="2273" w:top="1500" w:bottom="2460" w:left="172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94pt;margin-top:667.371460pt;width:24pt;height:14pt;mso-position-horizontal-relative:page;mso-position-vertical-relative:page;z-index:-252660736"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464</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2648448" from="162pt,603.299988pt" to="305.88pt,603.299988pt" stroked="true" strokeweight=".84pt" strokecolor="#000000">
          <v:stroke dashstyle="solid"/>
          <w10:wrap type="none"/>
        </v:line>
      </w:pict>
    </w:r>
    <w:r>
      <w:rPr/>
      <w:pict>
        <v:shape style="position:absolute;margin-left:296pt;margin-top:667.371460pt;width:20pt;height:14pt;mso-position-horizontal-relative:page;mso-position-vertical-relative:page;z-index:-252647424" type="#_x0000_t202" filled="false" stroked="false">
          <v:textbox inset="0,0,0,0">
            <w:txbxContent>
              <w:p>
                <w:pPr>
                  <w:spacing w:line="255" w:lineRule="exact" w:before="0"/>
                  <w:ind w:left="20" w:right="0" w:firstLine="0"/>
                  <w:jc w:val="left"/>
                  <w:rPr>
                    <w:rFonts w:ascii="Times New Roman"/>
                    <w:sz w:val="24"/>
                  </w:rPr>
                </w:pPr>
                <w:r>
                  <w:rPr>
                    <w:rFonts w:ascii="Times New Roman"/>
                    <w:sz w:val="24"/>
                  </w:rPr>
                  <w:t>504</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4pt;margin-top:667.371460pt;width:24pt;height:14pt;mso-position-horizontal-relative:page;mso-position-vertical-relative:page;z-index:-252646400"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505</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2659712" from="162pt,606.900024pt" to="305.88pt,606.900024pt" stroked="true" strokeweight=".84pt" strokecolor="#000000">
          <v:stroke dashstyle="solid"/>
          <w10:wrap type="none"/>
        </v:line>
      </w:pict>
    </w:r>
    <w:r>
      <w:rPr/>
      <w:pict>
        <v:shape style="position:absolute;margin-left:296pt;margin-top:667.371460pt;width:20pt;height:14pt;mso-position-horizontal-relative:page;mso-position-vertical-relative:page;z-index:-252658688" type="#_x0000_t202" filled="false" stroked="false">
          <v:textbox inset="0,0,0,0">
            <w:txbxContent>
              <w:p>
                <w:pPr>
                  <w:spacing w:line="255" w:lineRule="exact" w:before="0"/>
                  <w:ind w:left="20" w:right="0" w:firstLine="0"/>
                  <w:jc w:val="left"/>
                  <w:rPr>
                    <w:rFonts w:ascii="Times New Roman"/>
                    <w:sz w:val="24"/>
                  </w:rPr>
                </w:pPr>
                <w:r>
                  <w:rPr>
                    <w:rFonts w:ascii="Times New Roman"/>
                    <w:sz w:val="24"/>
                  </w:rPr>
                  <w:t>472</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4pt;margin-top:667.371460pt;width:24pt;height:14pt;mso-position-horizontal-relative:page;mso-position-vertical-relative:page;z-index:-252657664"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473</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pt;margin-top:667.371460pt;width:20pt;height:14pt;mso-position-horizontal-relative:page;mso-position-vertical-relative:page;z-index:-252656640" type="#_x0000_t202" filled="false" stroked="false">
          <v:textbox inset="0,0,0,0">
            <w:txbxContent>
              <w:p>
                <w:pPr>
                  <w:spacing w:line="255" w:lineRule="exact" w:before="0"/>
                  <w:ind w:left="20" w:right="0" w:firstLine="0"/>
                  <w:jc w:val="left"/>
                  <w:rPr>
                    <w:rFonts w:ascii="Times New Roman"/>
                    <w:sz w:val="24"/>
                  </w:rPr>
                </w:pPr>
                <w:r>
                  <w:rPr>
                    <w:rFonts w:ascii="Times New Roman"/>
                    <w:sz w:val="24"/>
                  </w:rPr>
                  <w:t>477</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4pt;margin-top:667.371460pt;width:24pt;height:14pt;mso-position-horizontal-relative:page;mso-position-vertical-relative:page;z-index:-252655616"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478</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2654592" from="162pt,617.460022pt" to="305.88pt,617.460022pt" stroked="true" strokeweight=".84pt" strokecolor="#000000">
          <v:stroke dashstyle="solid"/>
          <w10:wrap type="none"/>
        </v:line>
      </w:pict>
    </w:r>
    <w:r>
      <w:rPr/>
      <w:pict>
        <v:shape style="position:absolute;margin-left:294pt;margin-top:667.371460pt;width:24pt;height:14pt;mso-position-horizontal-relative:page;mso-position-vertical-relative:page;z-index:-252653568"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487</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4pt;margin-top:667.371460pt;width:24pt;height:14pt;mso-position-horizontal-relative:page;mso-position-vertical-relative:page;z-index:-252652544"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489</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2651520" from="162pt,592.73999pt" to="305.88pt,592.73999pt" stroked="true" strokeweight=".84pt" strokecolor="#000000">
          <v:stroke dashstyle="solid"/>
          <w10:wrap type="none"/>
        </v:line>
      </w:pict>
    </w:r>
    <w:r>
      <w:rPr/>
      <w:pict>
        <v:shape style="position:absolute;margin-left:296pt;margin-top:667.371460pt;width:20pt;height:14pt;mso-position-horizontal-relative:page;mso-position-vertical-relative:page;z-index:-252650496" type="#_x0000_t202" filled="false" stroked="false">
          <v:textbox inset="0,0,0,0">
            <w:txbxContent>
              <w:p>
                <w:pPr>
                  <w:spacing w:line="255" w:lineRule="exact" w:before="0"/>
                  <w:ind w:left="20" w:right="0" w:firstLine="0"/>
                  <w:jc w:val="left"/>
                  <w:rPr>
                    <w:rFonts w:ascii="Times New Roman"/>
                    <w:sz w:val="24"/>
                  </w:rPr>
                </w:pPr>
                <w:r>
                  <w:rPr>
                    <w:rFonts w:ascii="Times New Roman"/>
                    <w:sz w:val="24"/>
                  </w:rPr>
                  <w:t>493</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4pt;margin-top:667.371460pt;width:24pt;height:14pt;mso-position-horizontal-relative:page;mso-position-vertical-relative:page;z-index:-252649472"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494</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2240" w:hanging="428"/>
        <w:jc w:val="left"/>
      </w:pPr>
      <w:rPr>
        <w:rFonts w:hint="default" w:ascii="Century Gothic" w:hAnsi="Century Gothic" w:eastAsia="Century Gothic" w:cs="Century Gothic"/>
        <w:spacing w:val="-5"/>
        <w:w w:val="99"/>
        <w:sz w:val="26"/>
        <w:szCs w:val="26"/>
      </w:rPr>
    </w:lvl>
    <w:lvl w:ilvl="1">
      <w:start w:val="0"/>
      <w:numFmt w:val="bullet"/>
      <w:lvlText w:val="•"/>
      <w:lvlJc w:val="left"/>
      <w:pPr>
        <w:ind w:left="2896" w:hanging="428"/>
      </w:pPr>
      <w:rPr>
        <w:rFonts w:hint="default"/>
      </w:rPr>
    </w:lvl>
    <w:lvl w:ilvl="2">
      <w:start w:val="0"/>
      <w:numFmt w:val="bullet"/>
      <w:lvlText w:val="•"/>
      <w:lvlJc w:val="left"/>
      <w:pPr>
        <w:ind w:left="3552" w:hanging="428"/>
      </w:pPr>
      <w:rPr>
        <w:rFonts w:hint="default"/>
      </w:rPr>
    </w:lvl>
    <w:lvl w:ilvl="3">
      <w:start w:val="0"/>
      <w:numFmt w:val="bullet"/>
      <w:lvlText w:val="•"/>
      <w:lvlJc w:val="left"/>
      <w:pPr>
        <w:ind w:left="4208" w:hanging="428"/>
      </w:pPr>
      <w:rPr>
        <w:rFonts w:hint="default"/>
      </w:rPr>
    </w:lvl>
    <w:lvl w:ilvl="4">
      <w:start w:val="0"/>
      <w:numFmt w:val="bullet"/>
      <w:lvlText w:val="•"/>
      <w:lvlJc w:val="left"/>
      <w:pPr>
        <w:ind w:left="4864" w:hanging="428"/>
      </w:pPr>
      <w:rPr>
        <w:rFonts w:hint="default"/>
      </w:rPr>
    </w:lvl>
    <w:lvl w:ilvl="5">
      <w:start w:val="0"/>
      <w:numFmt w:val="bullet"/>
      <w:lvlText w:val="•"/>
      <w:lvlJc w:val="left"/>
      <w:pPr>
        <w:ind w:left="5520" w:hanging="428"/>
      </w:pPr>
      <w:rPr>
        <w:rFonts w:hint="default"/>
      </w:rPr>
    </w:lvl>
    <w:lvl w:ilvl="6">
      <w:start w:val="0"/>
      <w:numFmt w:val="bullet"/>
      <w:lvlText w:val="•"/>
      <w:lvlJc w:val="left"/>
      <w:pPr>
        <w:ind w:left="6176" w:hanging="428"/>
      </w:pPr>
      <w:rPr>
        <w:rFonts w:hint="default"/>
      </w:rPr>
    </w:lvl>
    <w:lvl w:ilvl="7">
      <w:start w:val="0"/>
      <w:numFmt w:val="bullet"/>
      <w:lvlText w:val="•"/>
      <w:lvlJc w:val="left"/>
      <w:pPr>
        <w:ind w:left="6832" w:hanging="428"/>
      </w:pPr>
      <w:rPr>
        <w:rFonts w:hint="default"/>
      </w:rPr>
    </w:lvl>
    <w:lvl w:ilvl="8">
      <w:start w:val="0"/>
      <w:numFmt w:val="bullet"/>
      <w:lvlText w:val="•"/>
      <w:lvlJc w:val="left"/>
      <w:pPr>
        <w:ind w:left="7488" w:hanging="428"/>
      </w:pPr>
      <w:rPr>
        <w:rFonts w:hint="default"/>
      </w:rPr>
    </w:lvl>
  </w:abstractNum>
  <w:abstractNum w:abstractNumId="7">
    <w:multiLevelType w:val="hybridMultilevel"/>
    <w:lvl w:ilvl="0">
      <w:start w:val="942"/>
      <w:numFmt w:val="decimal"/>
      <w:lvlText w:val="%1"/>
      <w:lvlJc w:val="left"/>
      <w:pPr>
        <w:ind w:left="1160" w:hanging="270"/>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1924" w:hanging="270"/>
      </w:pPr>
      <w:rPr>
        <w:rFonts w:hint="default"/>
      </w:rPr>
    </w:lvl>
    <w:lvl w:ilvl="2">
      <w:start w:val="0"/>
      <w:numFmt w:val="bullet"/>
      <w:lvlText w:val="•"/>
      <w:lvlJc w:val="left"/>
      <w:pPr>
        <w:ind w:left="2688" w:hanging="270"/>
      </w:pPr>
      <w:rPr>
        <w:rFonts w:hint="default"/>
      </w:rPr>
    </w:lvl>
    <w:lvl w:ilvl="3">
      <w:start w:val="0"/>
      <w:numFmt w:val="bullet"/>
      <w:lvlText w:val="•"/>
      <w:lvlJc w:val="left"/>
      <w:pPr>
        <w:ind w:left="3452" w:hanging="270"/>
      </w:pPr>
      <w:rPr>
        <w:rFonts w:hint="default"/>
      </w:rPr>
    </w:lvl>
    <w:lvl w:ilvl="4">
      <w:start w:val="0"/>
      <w:numFmt w:val="bullet"/>
      <w:lvlText w:val="•"/>
      <w:lvlJc w:val="left"/>
      <w:pPr>
        <w:ind w:left="4216" w:hanging="270"/>
      </w:pPr>
      <w:rPr>
        <w:rFonts w:hint="default"/>
      </w:rPr>
    </w:lvl>
    <w:lvl w:ilvl="5">
      <w:start w:val="0"/>
      <w:numFmt w:val="bullet"/>
      <w:lvlText w:val="•"/>
      <w:lvlJc w:val="left"/>
      <w:pPr>
        <w:ind w:left="4980" w:hanging="270"/>
      </w:pPr>
      <w:rPr>
        <w:rFonts w:hint="default"/>
      </w:rPr>
    </w:lvl>
    <w:lvl w:ilvl="6">
      <w:start w:val="0"/>
      <w:numFmt w:val="bullet"/>
      <w:lvlText w:val="•"/>
      <w:lvlJc w:val="left"/>
      <w:pPr>
        <w:ind w:left="5744" w:hanging="270"/>
      </w:pPr>
      <w:rPr>
        <w:rFonts w:hint="default"/>
      </w:rPr>
    </w:lvl>
    <w:lvl w:ilvl="7">
      <w:start w:val="0"/>
      <w:numFmt w:val="bullet"/>
      <w:lvlText w:val="•"/>
      <w:lvlJc w:val="left"/>
      <w:pPr>
        <w:ind w:left="6508" w:hanging="270"/>
      </w:pPr>
      <w:rPr>
        <w:rFonts w:hint="default"/>
      </w:rPr>
    </w:lvl>
    <w:lvl w:ilvl="8">
      <w:start w:val="0"/>
      <w:numFmt w:val="bullet"/>
      <w:lvlText w:val="•"/>
      <w:lvlJc w:val="left"/>
      <w:pPr>
        <w:ind w:left="7272" w:hanging="270"/>
      </w:pPr>
      <w:rPr>
        <w:rFonts w:hint="default"/>
      </w:rPr>
    </w:lvl>
  </w:abstractNum>
  <w:abstractNum w:abstractNumId="6">
    <w:multiLevelType w:val="hybridMultilevel"/>
    <w:lvl w:ilvl="0">
      <w:start w:val="931"/>
      <w:numFmt w:val="decimal"/>
      <w:lvlText w:val="%1"/>
      <w:lvlJc w:val="left"/>
      <w:pPr>
        <w:ind w:left="1430" w:hanging="270"/>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1520" w:hanging="270"/>
      </w:pPr>
      <w:rPr>
        <w:rFonts w:hint="default"/>
      </w:rPr>
    </w:lvl>
    <w:lvl w:ilvl="2">
      <w:start w:val="0"/>
      <w:numFmt w:val="bullet"/>
      <w:lvlText w:val="•"/>
      <w:lvlJc w:val="left"/>
      <w:pPr>
        <w:ind w:left="2328" w:hanging="270"/>
      </w:pPr>
      <w:rPr>
        <w:rFonts w:hint="default"/>
      </w:rPr>
    </w:lvl>
    <w:lvl w:ilvl="3">
      <w:start w:val="0"/>
      <w:numFmt w:val="bullet"/>
      <w:lvlText w:val="•"/>
      <w:lvlJc w:val="left"/>
      <w:pPr>
        <w:ind w:left="3137" w:hanging="270"/>
      </w:pPr>
      <w:rPr>
        <w:rFonts w:hint="default"/>
      </w:rPr>
    </w:lvl>
    <w:lvl w:ilvl="4">
      <w:start w:val="0"/>
      <w:numFmt w:val="bullet"/>
      <w:lvlText w:val="•"/>
      <w:lvlJc w:val="left"/>
      <w:pPr>
        <w:ind w:left="3946" w:hanging="270"/>
      </w:pPr>
      <w:rPr>
        <w:rFonts w:hint="default"/>
      </w:rPr>
    </w:lvl>
    <w:lvl w:ilvl="5">
      <w:start w:val="0"/>
      <w:numFmt w:val="bullet"/>
      <w:lvlText w:val="•"/>
      <w:lvlJc w:val="left"/>
      <w:pPr>
        <w:ind w:left="4755" w:hanging="270"/>
      </w:pPr>
      <w:rPr>
        <w:rFonts w:hint="default"/>
      </w:rPr>
    </w:lvl>
    <w:lvl w:ilvl="6">
      <w:start w:val="0"/>
      <w:numFmt w:val="bullet"/>
      <w:lvlText w:val="•"/>
      <w:lvlJc w:val="left"/>
      <w:pPr>
        <w:ind w:left="5564" w:hanging="270"/>
      </w:pPr>
      <w:rPr>
        <w:rFonts w:hint="default"/>
      </w:rPr>
    </w:lvl>
    <w:lvl w:ilvl="7">
      <w:start w:val="0"/>
      <w:numFmt w:val="bullet"/>
      <w:lvlText w:val="•"/>
      <w:lvlJc w:val="left"/>
      <w:pPr>
        <w:ind w:left="6373" w:hanging="270"/>
      </w:pPr>
      <w:rPr>
        <w:rFonts w:hint="default"/>
      </w:rPr>
    </w:lvl>
    <w:lvl w:ilvl="8">
      <w:start w:val="0"/>
      <w:numFmt w:val="bullet"/>
      <w:lvlText w:val="•"/>
      <w:lvlJc w:val="left"/>
      <w:pPr>
        <w:ind w:left="7182" w:hanging="270"/>
      </w:pPr>
      <w:rPr>
        <w:rFonts w:hint="default"/>
      </w:rPr>
    </w:lvl>
  </w:abstractNum>
  <w:abstractNum w:abstractNumId="5">
    <w:multiLevelType w:val="hybridMultilevel"/>
    <w:lvl w:ilvl="0">
      <w:start w:val="911"/>
      <w:numFmt w:val="decimal"/>
      <w:lvlText w:val="%1"/>
      <w:lvlJc w:val="left"/>
      <w:pPr>
        <w:ind w:left="1160" w:hanging="297"/>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1924" w:hanging="297"/>
      </w:pPr>
      <w:rPr>
        <w:rFonts w:hint="default"/>
      </w:rPr>
    </w:lvl>
    <w:lvl w:ilvl="2">
      <w:start w:val="0"/>
      <w:numFmt w:val="bullet"/>
      <w:lvlText w:val="•"/>
      <w:lvlJc w:val="left"/>
      <w:pPr>
        <w:ind w:left="2688" w:hanging="297"/>
      </w:pPr>
      <w:rPr>
        <w:rFonts w:hint="default"/>
      </w:rPr>
    </w:lvl>
    <w:lvl w:ilvl="3">
      <w:start w:val="0"/>
      <w:numFmt w:val="bullet"/>
      <w:lvlText w:val="•"/>
      <w:lvlJc w:val="left"/>
      <w:pPr>
        <w:ind w:left="3452" w:hanging="297"/>
      </w:pPr>
      <w:rPr>
        <w:rFonts w:hint="default"/>
      </w:rPr>
    </w:lvl>
    <w:lvl w:ilvl="4">
      <w:start w:val="0"/>
      <w:numFmt w:val="bullet"/>
      <w:lvlText w:val="•"/>
      <w:lvlJc w:val="left"/>
      <w:pPr>
        <w:ind w:left="4216" w:hanging="297"/>
      </w:pPr>
      <w:rPr>
        <w:rFonts w:hint="default"/>
      </w:rPr>
    </w:lvl>
    <w:lvl w:ilvl="5">
      <w:start w:val="0"/>
      <w:numFmt w:val="bullet"/>
      <w:lvlText w:val="•"/>
      <w:lvlJc w:val="left"/>
      <w:pPr>
        <w:ind w:left="4980" w:hanging="297"/>
      </w:pPr>
      <w:rPr>
        <w:rFonts w:hint="default"/>
      </w:rPr>
    </w:lvl>
    <w:lvl w:ilvl="6">
      <w:start w:val="0"/>
      <w:numFmt w:val="bullet"/>
      <w:lvlText w:val="•"/>
      <w:lvlJc w:val="left"/>
      <w:pPr>
        <w:ind w:left="5744" w:hanging="297"/>
      </w:pPr>
      <w:rPr>
        <w:rFonts w:hint="default"/>
      </w:rPr>
    </w:lvl>
    <w:lvl w:ilvl="7">
      <w:start w:val="0"/>
      <w:numFmt w:val="bullet"/>
      <w:lvlText w:val="•"/>
      <w:lvlJc w:val="left"/>
      <w:pPr>
        <w:ind w:left="6508" w:hanging="297"/>
      </w:pPr>
      <w:rPr>
        <w:rFonts w:hint="default"/>
      </w:rPr>
    </w:lvl>
    <w:lvl w:ilvl="8">
      <w:start w:val="0"/>
      <w:numFmt w:val="bullet"/>
      <w:lvlText w:val="•"/>
      <w:lvlJc w:val="left"/>
      <w:pPr>
        <w:ind w:left="7272" w:hanging="297"/>
      </w:pPr>
      <w:rPr>
        <w:rFonts w:hint="default"/>
      </w:rPr>
    </w:lvl>
  </w:abstractNum>
  <w:abstractNum w:abstractNumId="4">
    <w:multiLevelType w:val="hybridMultilevel"/>
    <w:lvl w:ilvl="0">
      <w:start w:val="901"/>
      <w:numFmt w:val="decimal"/>
      <w:lvlText w:val="%1"/>
      <w:lvlJc w:val="left"/>
      <w:pPr>
        <w:ind w:left="1160" w:hanging="273"/>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1924" w:hanging="273"/>
      </w:pPr>
      <w:rPr>
        <w:rFonts w:hint="default"/>
      </w:rPr>
    </w:lvl>
    <w:lvl w:ilvl="2">
      <w:start w:val="0"/>
      <w:numFmt w:val="bullet"/>
      <w:lvlText w:val="•"/>
      <w:lvlJc w:val="left"/>
      <w:pPr>
        <w:ind w:left="2688" w:hanging="273"/>
      </w:pPr>
      <w:rPr>
        <w:rFonts w:hint="default"/>
      </w:rPr>
    </w:lvl>
    <w:lvl w:ilvl="3">
      <w:start w:val="0"/>
      <w:numFmt w:val="bullet"/>
      <w:lvlText w:val="•"/>
      <w:lvlJc w:val="left"/>
      <w:pPr>
        <w:ind w:left="3452" w:hanging="273"/>
      </w:pPr>
      <w:rPr>
        <w:rFonts w:hint="default"/>
      </w:rPr>
    </w:lvl>
    <w:lvl w:ilvl="4">
      <w:start w:val="0"/>
      <w:numFmt w:val="bullet"/>
      <w:lvlText w:val="•"/>
      <w:lvlJc w:val="left"/>
      <w:pPr>
        <w:ind w:left="4216" w:hanging="273"/>
      </w:pPr>
      <w:rPr>
        <w:rFonts w:hint="default"/>
      </w:rPr>
    </w:lvl>
    <w:lvl w:ilvl="5">
      <w:start w:val="0"/>
      <w:numFmt w:val="bullet"/>
      <w:lvlText w:val="•"/>
      <w:lvlJc w:val="left"/>
      <w:pPr>
        <w:ind w:left="4980" w:hanging="273"/>
      </w:pPr>
      <w:rPr>
        <w:rFonts w:hint="default"/>
      </w:rPr>
    </w:lvl>
    <w:lvl w:ilvl="6">
      <w:start w:val="0"/>
      <w:numFmt w:val="bullet"/>
      <w:lvlText w:val="•"/>
      <w:lvlJc w:val="left"/>
      <w:pPr>
        <w:ind w:left="5744" w:hanging="273"/>
      </w:pPr>
      <w:rPr>
        <w:rFonts w:hint="default"/>
      </w:rPr>
    </w:lvl>
    <w:lvl w:ilvl="7">
      <w:start w:val="0"/>
      <w:numFmt w:val="bullet"/>
      <w:lvlText w:val="•"/>
      <w:lvlJc w:val="left"/>
      <w:pPr>
        <w:ind w:left="6508" w:hanging="273"/>
      </w:pPr>
      <w:rPr>
        <w:rFonts w:hint="default"/>
      </w:rPr>
    </w:lvl>
    <w:lvl w:ilvl="8">
      <w:start w:val="0"/>
      <w:numFmt w:val="bullet"/>
      <w:lvlText w:val="•"/>
      <w:lvlJc w:val="left"/>
      <w:pPr>
        <w:ind w:left="7272" w:hanging="273"/>
      </w:pPr>
      <w:rPr>
        <w:rFonts w:hint="default"/>
      </w:rPr>
    </w:lvl>
  </w:abstractNum>
  <w:abstractNum w:abstractNumId="3">
    <w:multiLevelType w:val="hybridMultilevel"/>
    <w:lvl w:ilvl="0">
      <w:start w:val="885"/>
      <w:numFmt w:val="decimal"/>
      <w:lvlText w:val="%1"/>
      <w:lvlJc w:val="left"/>
      <w:pPr>
        <w:ind w:left="1432" w:hanging="273"/>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2176" w:hanging="273"/>
      </w:pPr>
      <w:rPr>
        <w:rFonts w:hint="default"/>
      </w:rPr>
    </w:lvl>
    <w:lvl w:ilvl="2">
      <w:start w:val="0"/>
      <w:numFmt w:val="bullet"/>
      <w:lvlText w:val="•"/>
      <w:lvlJc w:val="left"/>
      <w:pPr>
        <w:ind w:left="2912" w:hanging="273"/>
      </w:pPr>
      <w:rPr>
        <w:rFonts w:hint="default"/>
      </w:rPr>
    </w:lvl>
    <w:lvl w:ilvl="3">
      <w:start w:val="0"/>
      <w:numFmt w:val="bullet"/>
      <w:lvlText w:val="•"/>
      <w:lvlJc w:val="left"/>
      <w:pPr>
        <w:ind w:left="3648" w:hanging="273"/>
      </w:pPr>
      <w:rPr>
        <w:rFonts w:hint="default"/>
      </w:rPr>
    </w:lvl>
    <w:lvl w:ilvl="4">
      <w:start w:val="0"/>
      <w:numFmt w:val="bullet"/>
      <w:lvlText w:val="•"/>
      <w:lvlJc w:val="left"/>
      <w:pPr>
        <w:ind w:left="4384" w:hanging="273"/>
      </w:pPr>
      <w:rPr>
        <w:rFonts w:hint="default"/>
      </w:rPr>
    </w:lvl>
    <w:lvl w:ilvl="5">
      <w:start w:val="0"/>
      <w:numFmt w:val="bullet"/>
      <w:lvlText w:val="•"/>
      <w:lvlJc w:val="left"/>
      <w:pPr>
        <w:ind w:left="5120" w:hanging="273"/>
      </w:pPr>
      <w:rPr>
        <w:rFonts w:hint="default"/>
      </w:rPr>
    </w:lvl>
    <w:lvl w:ilvl="6">
      <w:start w:val="0"/>
      <w:numFmt w:val="bullet"/>
      <w:lvlText w:val="•"/>
      <w:lvlJc w:val="left"/>
      <w:pPr>
        <w:ind w:left="5856" w:hanging="273"/>
      </w:pPr>
      <w:rPr>
        <w:rFonts w:hint="default"/>
      </w:rPr>
    </w:lvl>
    <w:lvl w:ilvl="7">
      <w:start w:val="0"/>
      <w:numFmt w:val="bullet"/>
      <w:lvlText w:val="•"/>
      <w:lvlJc w:val="left"/>
      <w:pPr>
        <w:ind w:left="6592" w:hanging="273"/>
      </w:pPr>
      <w:rPr>
        <w:rFonts w:hint="default"/>
      </w:rPr>
    </w:lvl>
    <w:lvl w:ilvl="8">
      <w:start w:val="0"/>
      <w:numFmt w:val="bullet"/>
      <w:lvlText w:val="•"/>
      <w:lvlJc w:val="left"/>
      <w:pPr>
        <w:ind w:left="7328" w:hanging="273"/>
      </w:pPr>
      <w:rPr>
        <w:rFonts w:hint="default"/>
      </w:rPr>
    </w:lvl>
  </w:abstractNum>
  <w:abstractNum w:abstractNumId="1">
    <w:multiLevelType w:val="hybridMultilevel"/>
    <w:lvl w:ilvl="0">
      <w:start w:val="1"/>
      <w:numFmt w:val="upperLetter"/>
      <w:lvlText w:val="%1]"/>
      <w:lvlJc w:val="left"/>
      <w:pPr>
        <w:ind w:left="2311" w:hanging="792"/>
        <w:jc w:val="left"/>
      </w:pPr>
      <w:rPr>
        <w:rFonts w:hint="default" w:ascii="Century Gothic" w:hAnsi="Century Gothic" w:eastAsia="Century Gothic" w:cs="Century Gothic"/>
        <w:spacing w:val="0"/>
        <w:w w:val="99"/>
        <w:sz w:val="26"/>
        <w:szCs w:val="26"/>
      </w:rPr>
    </w:lvl>
    <w:lvl w:ilvl="1">
      <w:start w:val="1"/>
      <w:numFmt w:val="decimal"/>
      <w:lvlText w:val="%2."/>
      <w:lvlJc w:val="left"/>
      <w:pPr>
        <w:ind w:left="2240" w:hanging="662"/>
        <w:jc w:val="left"/>
      </w:pPr>
      <w:rPr>
        <w:rFonts w:hint="default" w:ascii="Century Gothic" w:hAnsi="Century Gothic" w:eastAsia="Century Gothic" w:cs="Century Gothic"/>
        <w:spacing w:val="0"/>
        <w:w w:val="99"/>
        <w:sz w:val="26"/>
        <w:szCs w:val="26"/>
      </w:rPr>
    </w:lvl>
    <w:lvl w:ilvl="2">
      <w:start w:val="0"/>
      <w:numFmt w:val="bullet"/>
      <w:lvlText w:val="•"/>
      <w:lvlJc w:val="left"/>
      <w:pPr>
        <w:ind w:left="3040" w:hanging="662"/>
      </w:pPr>
      <w:rPr>
        <w:rFonts w:hint="default"/>
      </w:rPr>
    </w:lvl>
    <w:lvl w:ilvl="3">
      <w:start w:val="0"/>
      <w:numFmt w:val="bullet"/>
      <w:lvlText w:val="•"/>
      <w:lvlJc w:val="left"/>
      <w:pPr>
        <w:ind w:left="3760" w:hanging="662"/>
      </w:pPr>
      <w:rPr>
        <w:rFonts w:hint="default"/>
      </w:rPr>
    </w:lvl>
    <w:lvl w:ilvl="4">
      <w:start w:val="0"/>
      <w:numFmt w:val="bullet"/>
      <w:lvlText w:val="•"/>
      <w:lvlJc w:val="left"/>
      <w:pPr>
        <w:ind w:left="4480" w:hanging="662"/>
      </w:pPr>
      <w:rPr>
        <w:rFonts w:hint="default"/>
      </w:rPr>
    </w:lvl>
    <w:lvl w:ilvl="5">
      <w:start w:val="0"/>
      <w:numFmt w:val="bullet"/>
      <w:lvlText w:val="•"/>
      <w:lvlJc w:val="left"/>
      <w:pPr>
        <w:ind w:left="5200" w:hanging="662"/>
      </w:pPr>
      <w:rPr>
        <w:rFonts w:hint="default"/>
      </w:rPr>
    </w:lvl>
    <w:lvl w:ilvl="6">
      <w:start w:val="0"/>
      <w:numFmt w:val="bullet"/>
      <w:lvlText w:val="•"/>
      <w:lvlJc w:val="left"/>
      <w:pPr>
        <w:ind w:left="5920" w:hanging="662"/>
      </w:pPr>
      <w:rPr>
        <w:rFonts w:hint="default"/>
      </w:rPr>
    </w:lvl>
    <w:lvl w:ilvl="7">
      <w:start w:val="0"/>
      <w:numFmt w:val="bullet"/>
      <w:lvlText w:val="•"/>
      <w:lvlJc w:val="left"/>
      <w:pPr>
        <w:ind w:left="6640" w:hanging="662"/>
      </w:pPr>
      <w:rPr>
        <w:rFonts w:hint="default"/>
      </w:rPr>
    </w:lvl>
    <w:lvl w:ilvl="8">
      <w:start w:val="0"/>
      <w:numFmt w:val="bullet"/>
      <w:lvlText w:val="•"/>
      <w:lvlJc w:val="left"/>
      <w:pPr>
        <w:ind w:left="7360" w:hanging="662"/>
      </w:pPr>
      <w:rPr>
        <w:rFonts w:hint="default"/>
      </w:rPr>
    </w:lvl>
  </w:abstractNum>
  <w:abstractNum w:abstractNumId="0">
    <w:multiLevelType w:val="hybridMultilevel"/>
    <w:lvl w:ilvl="0">
      <w:start w:val="1"/>
      <w:numFmt w:val="upperLetter"/>
      <w:lvlText w:val="%1]"/>
      <w:lvlJc w:val="left"/>
      <w:pPr>
        <w:ind w:left="1841" w:hanging="322"/>
        <w:jc w:val="left"/>
      </w:pPr>
      <w:rPr>
        <w:rFonts w:hint="default" w:ascii="Century Gothic" w:hAnsi="Century Gothic" w:eastAsia="Century Gothic" w:cs="Century Gothic"/>
        <w:spacing w:val="-6"/>
        <w:w w:val="99"/>
        <w:sz w:val="20"/>
        <w:szCs w:val="20"/>
      </w:rPr>
    </w:lvl>
    <w:lvl w:ilvl="1">
      <w:start w:val="1"/>
      <w:numFmt w:val="decimal"/>
      <w:lvlText w:val="%2."/>
      <w:lvlJc w:val="left"/>
      <w:pPr>
        <w:ind w:left="2290" w:hanging="219"/>
        <w:jc w:val="left"/>
      </w:pPr>
      <w:rPr>
        <w:rFonts w:hint="default" w:ascii="Century Gothic" w:hAnsi="Century Gothic" w:eastAsia="Century Gothic" w:cs="Century Gothic"/>
        <w:w w:val="99"/>
        <w:sz w:val="20"/>
        <w:szCs w:val="20"/>
      </w:rPr>
    </w:lvl>
    <w:lvl w:ilvl="2">
      <w:start w:val="0"/>
      <w:numFmt w:val="bullet"/>
      <w:lvlText w:val="•"/>
      <w:lvlJc w:val="left"/>
      <w:pPr>
        <w:ind w:left="3022" w:hanging="219"/>
      </w:pPr>
      <w:rPr>
        <w:rFonts w:hint="default"/>
      </w:rPr>
    </w:lvl>
    <w:lvl w:ilvl="3">
      <w:start w:val="0"/>
      <w:numFmt w:val="bullet"/>
      <w:lvlText w:val="•"/>
      <w:lvlJc w:val="left"/>
      <w:pPr>
        <w:ind w:left="3744" w:hanging="219"/>
      </w:pPr>
      <w:rPr>
        <w:rFonts w:hint="default"/>
      </w:rPr>
    </w:lvl>
    <w:lvl w:ilvl="4">
      <w:start w:val="0"/>
      <w:numFmt w:val="bullet"/>
      <w:lvlText w:val="•"/>
      <w:lvlJc w:val="left"/>
      <w:pPr>
        <w:ind w:left="4466" w:hanging="219"/>
      </w:pPr>
      <w:rPr>
        <w:rFonts w:hint="default"/>
      </w:rPr>
    </w:lvl>
    <w:lvl w:ilvl="5">
      <w:start w:val="0"/>
      <w:numFmt w:val="bullet"/>
      <w:lvlText w:val="•"/>
      <w:lvlJc w:val="left"/>
      <w:pPr>
        <w:ind w:left="5188" w:hanging="219"/>
      </w:pPr>
      <w:rPr>
        <w:rFonts w:hint="default"/>
      </w:rPr>
    </w:lvl>
    <w:lvl w:ilvl="6">
      <w:start w:val="0"/>
      <w:numFmt w:val="bullet"/>
      <w:lvlText w:val="•"/>
      <w:lvlJc w:val="left"/>
      <w:pPr>
        <w:ind w:left="5911" w:hanging="219"/>
      </w:pPr>
      <w:rPr>
        <w:rFonts w:hint="default"/>
      </w:rPr>
    </w:lvl>
    <w:lvl w:ilvl="7">
      <w:start w:val="0"/>
      <w:numFmt w:val="bullet"/>
      <w:lvlText w:val="•"/>
      <w:lvlJc w:val="left"/>
      <w:pPr>
        <w:ind w:left="6633" w:hanging="219"/>
      </w:pPr>
      <w:rPr>
        <w:rFonts w:hint="default"/>
      </w:rPr>
    </w:lvl>
    <w:lvl w:ilvl="8">
      <w:start w:val="0"/>
      <w:numFmt w:val="bullet"/>
      <w:lvlText w:val="•"/>
      <w:lvlJc w:val="left"/>
      <w:pPr>
        <w:ind w:left="7355" w:hanging="219"/>
      </w:pPr>
      <w:rPr>
        <w:rFonts w:hint="default"/>
      </w:rPr>
    </w:lvl>
  </w:abstractNum>
  <w:num w:numId="3">
    <w:abstractNumId w:val="2"/>
  </w:num>
  <w:num w:numId="8">
    <w:abstractNumId w:val="7"/>
  </w:num>
  <w:num w:numId="7">
    <w:abstractNumId w:val="6"/>
  </w:num>
  <w:num w:numId="6">
    <w:abstractNumId w:val="5"/>
  </w:num>
  <w:num w:numId="5">
    <w:abstractNumId w:val="4"/>
  </w:num>
  <w:num w:numId="4">
    <w:abstractNumId w:val="3"/>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rPr>
  </w:style>
  <w:style w:styleId="BodyText" w:type="paragraph">
    <w:name w:val="Body Text"/>
    <w:basedOn w:val="Normal"/>
    <w:uiPriority w:val="1"/>
    <w:qFormat/>
    <w:pPr/>
    <w:rPr>
      <w:rFonts w:ascii="Century Gothic" w:hAnsi="Century Gothic" w:eastAsia="Century Gothic" w:cs="Century Gothic"/>
      <w:sz w:val="26"/>
      <w:szCs w:val="26"/>
    </w:rPr>
  </w:style>
  <w:style w:styleId="ListParagraph" w:type="paragraph">
    <w:name w:val="List Paragraph"/>
    <w:basedOn w:val="Normal"/>
    <w:uiPriority w:val="1"/>
    <w:qFormat/>
    <w:pPr>
      <w:ind w:left="1160"/>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footer" Target="footer7.xml"/><Relationship Id="rId12" Type="http://schemas.openxmlformats.org/officeDocument/2006/relationships/footer" Target="footer8.xml"/><Relationship Id="rId13" Type="http://schemas.openxmlformats.org/officeDocument/2006/relationships/footer" Target="footer9.xml"/><Relationship Id="rId14" Type="http://schemas.openxmlformats.org/officeDocument/2006/relationships/footer" Target="footer10.xml"/><Relationship Id="rId15" Type="http://schemas.openxmlformats.org/officeDocument/2006/relationships/footer" Target="footer11.xm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2024-05-06T07:12:44Z</dcterms:created>
  <dcterms:modified xsi:type="dcterms:W3CDTF">2024-05-06T07:12:44Z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2024-05-06T00:00:00Z</vt:filetime>
  </property>
  <property fmtid="{D5CDD505-2E9C-101B-9397-08002B2CF9AE}" pid="3" name="Creator">
    <vt:lpwstr>Adobe Acrobat Pro DC 20.6.20034</vt:lpwstr>
  </property>
  <property fmtid="{D5CDD505-2E9C-101B-9397-08002B2CF9AE}" pid="4" name="LastSaved">
    <vt:filetime>2024-05-06T00:00:00Z</vt:filetime>
  </property>
</Properties>
</file>