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86250" w14:textId="30CB611B" w:rsidR="00E20CCF" w:rsidRPr="00E20CCF" w:rsidRDefault="00E20CCF">
      <w:pPr>
        <w:rPr>
          <w:b/>
          <w:bCs/>
          <w:sz w:val="36"/>
          <w:szCs w:val="36"/>
          <w:u w:val="single"/>
        </w:rPr>
      </w:pPr>
      <w:r w:rsidRPr="00E20CCF">
        <w:rPr>
          <w:b/>
          <w:bCs/>
          <w:sz w:val="36"/>
          <w:szCs w:val="36"/>
          <w:u w:val="single"/>
        </w:rPr>
        <w:t xml:space="preserve">Timing Issues in Insurance Appraisal </w:t>
      </w:r>
    </w:p>
    <w:p w14:paraId="29F50780" w14:textId="77777777" w:rsidR="00E20CCF" w:rsidRDefault="00E20CCF"/>
    <w:p w14:paraId="42CB9835" w14:textId="77777777" w:rsidR="00E20CCF" w:rsidRDefault="00E20CCF"/>
    <w:p w14:paraId="22EA4E08" w14:textId="08E82E6E"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kern w:val="0"/>
          <w:sz w:val="30"/>
          <w:szCs w:val="30"/>
          <w14:ligatures w14:val="none"/>
        </w:rPr>
      </w:pPr>
      <w:proofErr w:type="spellStart"/>
      <w:r>
        <w:rPr>
          <w:rFonts w:ascii="Segoe UI" w:eastAsia="Times New Roman" w:hAnsi="Segoe UI" w:cs="Segoe UI"/>
          <w:b/>
          <w:bCs/>
          <w:color w:val="0D0D0D"/>
          <w:kern w:val="0"/>
          <w:sz w:val="30"/>
          <w:szCs w:val="30"/>
          <w14:ligatures w14:val="none"/>
        </w:rPr>
        <w:t>L</w:t>
      </w:r>
      <w:r w:rsidRPr="00E20CCF">
        <w:rPr>
          <w:rFonts w:ascii="Segoe UI" w:eastAsia="Times New Roman" w:hAnsi="Segoe UI" w:cs="Segoe UI"/>
          <w:b/>
          <w:bCs/>
          <w:color w:val="0D0D0D"/>
          <w:kern w:val="0"/>
          <w:sz w:val="30"/>
          <w:szCs w:val="30"/>
          <w14:ligatures w14:val="none"/>
        </w:rPr>
        <w:t>earnDash</w:t>
      </w:r>
      <w:proofErr w:type="spellEnd"/>
      <w:r w:rsidRPr="00E20CCF">
        <w:rPr>
          <w:rFonts w:ascii="Segoe UI" w:eastAsia="Times New Roman" w:hAnsi="Segoe UI" w:cs="Segoe UI"/>
          <w:b/>
          <w:bCs/>
          <w:color w:val="0D0D0D"/>
          <w:kern w:val="0"/>
          <w:sz w:val="30"/>
          <w:szCs w:val="30"/>
          <w14:ligatures w14:val="none"/>
        </w:rPr>
        <w:t xml:space="preserve"> Pro Lesson Plan for Chapter V: Timing Issues</w:t>
      </w:r>
    </w:p>
    <w:p w14:paraId="11C042C1"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Lesson Title:</w:t>
      </w:r>
      <w:r w:rsidRPr="00E20CCF">
        <w:rPr>
          <w:rFonts w:ascii="Segoe UI" w:eastAsia="Times New Roman" w:hAnsi="Segoe UI" w:cs="Segoe UI"/>
          <w:color w:val="0D0D0D"/>
          <w:kern w:val="0"/>
          <w14:ligatures w14:val="none"/>
        </w:rPr>
        <w:t xml:space="preserve"> Timing Issues in Insurance Appraisals</w:t>
      </w:r>
    </w:p>
    <w:p w14:paraId="17CDA249"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Overview:</w:t>
      </w:r>
      <w:r w:rsidRPr="00E20CCF">
        <w:rPr>
          <w:rFonts w:ascii="Segoe UI" w:eastAsia="Times New Roman" w:hAnsi="Segoe UI" w:cs="Segoe UI"/>
          <w:color w:val="0D0D0D"/>
          <w:kern w:val="0"/>
          <w14:ligatures w14:val="none"/>
        </w:rPr>
        <w:t xml:space="preserve"> This lesson provides a comprehensive understanding of the timing issues in insurance appraisals. Key topics include when and how to demand appraisal, the reasonable time frames for response, and the priority between appraisal and litigation. The lesson also explores case studies and legal precedents that illustrate these principles.</w:t>
      </w:r>
    </w:p>
    <w:p w14:paraId="46D77887"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Lesson Objectives:</w:t>
      </w:r>
    </w:p>
    <w:p w14:paraId="53379AC0" w14:textId="77777777" w:rsidR="00E20CCF" w:rsidRPr="00E20CCF" w:rsidRDefault="00E20CCF" w:rsidP="00E20CCF">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Understand when an appraisal should be demanded.</w:t>
      </w:r>
    </w:p>
    <w:p w14:paraId="17388B13" w14:textId="77777777" w:rsidR="00E20CCF" w:rsidRPr="00E20CCF" w:rsidRDefault="00E20CCF" w:rsidP="00E20CCF">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Learn how to respond to an appraisal demand.</w:t>
      </w:r>
    </w:p>
    <w:p w14:paraId="6F3C0AC7" w14:textId="77777777" w:rsidR="00E20CCF" w:rsidRPr="00E20CCF" w:rsidRDefault="00E20CCF" w:rsidP="00E20CCF">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Comprehend the order of priority between appraisal and litigation.</w:t>
      </w:r>
    </w:p>
    <w:p w14:paraId="6D765AF1" w14:textId="77777777" w:rsidR="00E20CCF" w:rsidRPr="00E20CCF" w:rsidRDefault="00E20CCF" w:rsidP="00E20CCF">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Recognize the timing of awards and when losses are payable.</w:t>
      </w:r>
    </w:p>
    <w:p w14:paraId="708BCA0E" w14:textId="77777777" w:rsidR="00E20CCF" w:rsidRPr="00E20CCF" w:rsidRDefault="00E20CCF" w:rsidP="00E20CCF">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Understand the timing to bring a lawsuit, handle competing demands, and comply with post-loss policy provisions.</w:t>
      </w:r>
    </w:p>
    <w:p w14:paraId="3DD37AB0" w14:textId="77777777" w:rsidR="00E20CCF" w:rsidRPr="00E20CCF" w:rsidRDefault="00E20CCF" w:rsidP="00E20CCF">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Know how to move to set aside an award.</w:t>
      </w:r>
    </w:p>
    <w:p w14:paraId="751698A9"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Course Structure:</w:t>
      </w:r>
    </w:p>
    <w:p w14:paraId="7EEB8CB8"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Introduction</w:t>
      </w:r>
    </w:p>
    <w:p w14:paraId="2D825C77"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241-327</w:t>
      </w:r>
    </w:p>
    <w:p w14:paraId="7D22112D"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Learning Objectives:</w:t>
      </w:r>
    </w:p>
    <w:p w14:paraId="1EF9E449"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Introduce the core topics and outline the significance of timing in the appraisal process.</w:t>
      </w:r>
    </w:p>
    <w:p w14:paraId="73B77E96"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When Appraisal Should Be Demanded</w:t>
      </w:r>
    </w:p>
    <w:p w14:paraId="618037ED"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241-279</w:t>
      </w:r>
    </w:p>
    <w:p w14:paraId="0EEE6D9F"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Key Concepts:</w:t>
      </w:r>
    </w:p>
    <w:p w14:paraId="6BF01D2A"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Honest attempts to agree before invoking the appraisal clause.</w:t>
      </w:r>
    </w:p>
    <w:p w14:paraId="759BBB22"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Good faith demands made within a reasonable timeframe.</w:t>
      </w:r>
    </w:p>
    <w:p w14:paraId="7266F053"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 xml:space="preserve">Specific case studies: </w:t>
      </w:r>
      <w:r w:rsidRPr="00E20CCF">
        <w:rPr>
          <w:rFonts w:ascii="Segoe UI" w:eastAsia="Times New Roman" w:hAnsi="Segoe UI" w:cs="Segoe UI"/>
          <w:i/>
          <w:iCs/>
          <w:color w:val="0D0D0D"/>
          <w:kern w:val="0"/>
          <w:bdr w:val="single" w:sz="2" w:space="0" w:color="E3E3E3" w:frame="1"/>
          <w14:ligatures w14:val="none"/>
        </w:rPr>
        <w:t>Harrison v. Hartford Fire Ins. Co.</w:t>
      </w:r>
      <w:r w:rsidRPr="00E20CCF">
        <w:rPr>
          <w:rFonts w:ascii="Segoe UI" w:eastAsia="Times New Roman" w:hAnsi="Segoe UI" w:cs="Segoe UI"/>
          <w:color w:val="0D0D0D"/>
          <w:kern w:val="0"/>
          <w14:ligatures w14:val="none"/>
        </w:rPr>
        <w:t xml:space="preserve">, </w:t>
      </w:r>
      <w:r w:rsidRPr="00E20CCF">
        <w:rPr>
          <w:rFonts w:ascii="Segoe UI" w:eastAsia="Times New Roman" w:hAnsi="Segoe UI" w:cs="Segoe UI"/>
          <w:i/>
          <w:iCs/>
          <w:color w:val="0D0D0D"/>
          <w:kern w:val="0"/>
          <w:bdr w:val="single" w:sz="2" w:space="0" w:color="E3E3E3" w:frame="1"/>
          <w14:ligatures w14:val="none"/>
        </w:rPr>
        <w:t>Hanover Fire Ins. Co. v. Harper</w:t>
      </w:r>
      <w:r w:rsidRPr="00E20CCF">
        <w:rPr>
          <w:rFonts w:ascii="Segoe UI" w:eastAsia="Times New Roman" w:hAnsi="Segoe UI" w:cs="Segoe UI"/>
          <w:color w:val="0D0D0D"/>
          <w:kern w:val="0"/>
          <w14:ligatures w14:val="none"/>
        </w:rPr>
        <w:t>.</w:t>
      </w:r>
    </w:p>
    <w:p w14:paraId="721E8C6C"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Activity:</w:t>
      </w:r>
    </w:p>
    <w:p w14:paraId="18FDF735"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Case analysis exercise: Participants analyze recent case law to determine if appraisal was invoked within a reasonable time.</w:t>
      </w:r>
    </w:p>
    <w:p w14:paraId="62017C5A"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Responding to a Demand for Appraisal</w:t>
      </w:r>
    </w:p>
    <w:p w14:paraId="6E0C6933"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279-284</w:t>
      </w:r>
    </w:p>
    <w:p w14:paraId="6D2CC7EE"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Key Concepts:</w:t>
      </w:r>
    </w:p>
    <w:p w14:paraId="69FEDFC8"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Timely responses (typically 20 days).</w:t>
      </w:r>
    </w:p>
    <w:p w14:paraId="71DBF244"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Legal consequences of delayed responses.</w:t>
      </w:r>
    </w:p>
    <w:p w14:paraId="1DEA0926"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 xml:space="preserve">Case study: </w:t>
      </w:r>
      <w:r w:rsidRPr="00E20CCF">
        <w:rPr>
          <w:rFonts w:ascii="Segoe UI" w:eastAsia="Times New Roman" w:hAnsi="Segoe UI" w:cs="Segoe UI"/>
          <w:i/>
          <w:iCs/>
          <w:color w:val="0D0D0D"/>
          <w:kern w:val="0"/>
          <w:bdr w:val="single" w:sz="2" w:space="0" w:color="E3E3E3" w:frame="1"/>
          <w14:ligatures w14:val="none"/>
        </w:rPr>
        <w:t xml:space="preserve">Saxena v. New York Property Insurance </w:t>
      </w:r>
      <w:proofErr w:type="spellStart"/>
      <w:r w:rsidRPr="00E20CCF">
        <w:rPr>
          <w:rFonts w:ascii="Segoe UI" w:eastAsia="Times New Roman" w:hAnsi="Segoe UI" w:cs="Segoe UI"/>
          <w:i/>
          <w:iCs/>
          <w:color w:val="0D0D0D"/>
          <w:kern w:val="0"/>
          <w:bdr w:val="single" w:sz="2" w:space="0" w:color="E3E3E3" w:frame="1"/>
          <w14:ligatures w14:val="none"/>
        </w:rPr>
        <w:t>Und</w:t>
      </w:r>
      <w:proofErr w:type="spellEnd"/>
      <w:r w:rsidRPr="00E20CCF">
        <w:rPr>
          <w:rFonts w:ascii="Segoe UI" w:eastAsia="Times New Roman" w:hAnsi="Segoe UI" w:cs="Segoe UI"/>
          <w:i/>
          <w:iCs/>
          <w:color w:val="0D0D0D"/>
          <w:kern w:val="0"/>
          <w:bdr w:val="single" w:sz="2" w:space="0" w:color="E3E3E3" w:frame="1"/>
          <w14:ligatures w14:val="none"/>
        </w:rPr>
        <w:t xml:space="preserve">. </w:t>
      </w:r>
      <w:proofErr w:type="spellStart"/>
      <w:r w:rsidRPr="00E20CCF">
        <w:rPr>
          <w:rFonts w:ascii="Segoe UI" w:eastAsia="Times New Roman" w:hAnsi="Segoe UI" w:cs="Segoe UI"/>
          <w:i/>
          <w:iCs/>
          <w:color w:val="0D0D0D"/>
          <w:kern w:val="0"/>
          <w:bdr w:val="single" w:sz="2" w:space="0" w:color="E3E3E3" w:frame="1"/>
          <w14:ligatures w14:val="none"/>
        </w:rPr>
        <w:t>Ass’n</w:t>
      </w:r>
      <w:proofErr w:type="spellEnd"/>
      <w:r w:rsidRPr="00E20CCF">
        <w:rPr>
          <w:rFonts w:ascii="Segoe UI" w:eastAsia="Times New Roman" w:hAnsi="Segoe UI" w:cs="Segoe UI"/>
          <w:i/>
          <w:iCs/>
          <w:color w:val="0D0D0D"/>
          <w:kern w:val="0"/>
          <w:bdr w:val="single" w:sz="2" w:space="0" w:color="E3E3E3" w:frame="1"/>
          <w14:ligatures w14:val="none"/>
        </w:rPr>
        <w:t>.</w:t>
      </w:r>
    </w:p>
    <w:p w14:paraId="366DC6C1"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Activity:</w:t>
      </w:r>
    </w:p>
    <w:p w14:paraId="2C6EACB0"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Interactive discussion on effective response strategies and potential legal implications of delays.</w:t>
      </w:r>
    </w:p>
    <w:p w14:paraId="2CE395DC"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The Order of Priority Between Appraisal and Litigation</w:t>
      </w:r>
    </w:p>
    <w:p w14:paraId="31F8DC0F"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284-299</w:t>
      </w:r>
    </w:p>
    <w:p w14:paraId="331EFBB3"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Key Concepts:</w:t>
      </w:r>
    </w:p>
    <w:p w14:paraId="46AACA1C"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Priority guidelines between appraisal and litigation.</w:t>
      </w:r>
    </w:p>
    <w:p w14:paraId="211863F9"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Factors determining practicality and necessity of appraisal before litigation.</w:t>
      </w:r>
    </w:p>
    <w:p w14:paraId="3FC00C17"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Activity:</w:t>
      </w:r>
    </w:p>
    <w:p w14:paraId="459CB6E1"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Mock scenario: Participants decide whether appraisal or litigation should take priority in a hypothetical insurance dispute.</w:t>
      </w:r>
    </w:p>
    <w:p w14:paraId="2820BE7D"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Timing of the Award</w:t>
      </w:r>
    </w:p>
    <w:p w14:paraId="0B3898B5"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299-301</w:t>
      </w:r>
    </w:p>
    <w:p w14:paraId="1546FC52"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Key Concepts:</w:t>
      </w:r>
    </w:p>
    <w:p w14:paraId="5F4AA1D7"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The timeframe for issuing awards.</w:t>
      </w:r>
    </w:p>
    <w:p w14:paraId="4D2F9CF5"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Case studies: Reasonable time limits for issuing awards.</w:t>
      </w:r>
    </w:p>
    <w:p w14:paraId="36A53367"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Activity:</w:t>
      </w:r>
    </w:p>
    <w:p w14:paraId="7AB1CC6F"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Case analysis of past awards to establish reasonable time limits.</w:t>
      </w:r>
    </w:p>
    <w:p w14:paraId="11FCAC3F"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When the Loss is Payable</w:t>
      </w:r>
    </w:p>
    <w:p w14:paraId="2568B259"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301-306</w:t>
      </w:r>
    </w:p>
    <w:p w14:paraId="3C8EC26B"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Key Concepts:</w:t>
      </w:r>
    </w:p>
    <w:p w14:paraId="4BC564A7"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Understanding when insurance losses should be payable.</w:t>
      </w:r>
    </w:p>
    <w:p w14:paraId="6EB33614"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 xml:space="preserve">Relevant legal </w:t>
      </w:r>
      <w:proofErr w:type="gramStart"/>
      <w:r w:rsidRPr="00E20CCF">
        <w:rPr>
          <w:rFonts w:ascii="Segoe UI" w:eastAsia="Times New Roman" w:hAnsi="Segoe UI" w:cs="Segoe UI"/>
          <w:color w:val="0D0D0D"/>
          <w:kern w:val="0"/>
          <w14:ligatures w14:val="none"/>
        </w:rPr>
        <w:t>precedents that</w:t>
      </w:r>
      <w:proofErr w:type="gramEnd"/>
      <w:r w:rsidRPr="00E20CCF">
        <w:rPr>
          <w:rFonts w:ascii="Segoe UI" w:eastAsia="Times New Roman" w:hAnsi="Segoe UI" w:cs="Segoe UI"/>
          <w:color w:val="0D0D0D"/>
          <w:kern w:val="0"/>
          <w14:ligatures w14:val="none"/>
        </w:rPr>
        <w:t xml:space="preserve"> outline this.</w:t>
      </w:r>
    </w:p>
    <w:p w14:paraId="6C2E8E2E"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Activity:</w:t>
      </w:r>
    </w:p>
    <w:p w14:paraId="511170B9"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Scenario exploration: Participants determine payment timelines in different insurance scenarios.</w:t>
      </w:r>
    </w:p>
    <w:p w14:paraId="251E4658"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Time to Bring Suit</w:t>
      </w:r>
    </w:p>
    <w:p w14:paraId="157D6F58"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306-316</w:t>
      </w:r>
    </w:p>
    <w:p w14:paraId="0825407D"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Key Concepts:</w:t>
      </w:r>
    </w:p>
    <w:p w14:paraId="1827B3C2"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Statutory limitations and conditions that influence suit filing.</w:t>
      </w:r>
    </w:p>
    <w:p w14:paraId="4627E3BB"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Practical considerations and challenges.</w:t>
      </w:r>
    </w:p>
    <w:p w14:paraId="03585700"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Activity:</w:t>
      </w:r>
    </w:p>
    <w:p w14:paraId="6F0E5B36"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Interactive group discussion about balancing appraisal and legal timelines.</w:t>
      </w:r>
    </w:p>
    <w:p w14:paraId="14CE1A02"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Competing Demands</w:t>
      </w:r>
    </w:p>
    <w:p w14:paraId="41C88E13"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316-324</w:t>
      </w:r>
    </w:p>
    <w:p w14:paraId="45FF5674"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Key Concepts:</w:t>
      </w:r>
    </w:p>
    <w:p w14:paraId="6FA47B07"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Managing multiple appraisal and litigation demands.</w:t>
      </w:r>
    </w:p>
    <w:p w14:paraId="1410A20C"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Legal precedents regarding prioritization.</w:t>
      </w:r>
    </w:p>
    <w:p w14:paraId="5D256C6A"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Activity:</w:t>
      </w:r>
    </w:p>
    <w:p w14:paraId="7FBD1856"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Case study analysis: Participants evaluate different approaches to prioritizing demands.</w:t>
      </w:r>
    </w:p>
    <w:p w14:paraId="145BA8C9"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Compliance with Post-Loss Policy Provisions</w:t>
      </w:r>
    </w:p>
    <w:p w14:paraId="1B66DF25"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324-327</w:t>
      </w:r>
    </w:p>
    <w:p w14:paraId="548B43CA"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Key Concepts:</w:t>
      </w:r>
    </w:p>
    <w:p w14:paraId="7DB482CE"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How to ensure compliance with post-loss policy provisions.</w:t>
      </w:r>
    </w:p>
    <w:p w14:paraId="110B24A8"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Impact of non-compliance on the appraisal process.</w:t>
      </w:r>
    </w:p>
    <w:p w14:paraId="7389F268"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Activity:</w:t>
      </w:r>
    </w:p>
    <w:p w14:paraId="0E257486"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Practical exercises involving policy review and compliance analysis.</w:t>
      </w:r>
    </w:p>
    <w:p w14:paraId="4DF3EC28" w14:textId="77777777" w:rsidR="00E20CCF" w:rsidRPr="00E20CCF" w:rsidRDefault="00E20CCF" w:rsidP="00E20CCF">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Moving to Set Aside an Award</w:t>
      </w:r>
    </w:p>
    <w:p w14:paraId="21B78C35"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Pages Covered:</w:t>
      </w:r>
      <w:r w:rsidRPr="00E20CCF">
        <w:rPr>
          <w:rFonts w:ascii="Segoe UI" w:eastAsia="Times New Roman" w:hAnsi="Segoe UI" w:cs="Segoe UI"/>
          <w:color w:val="0D0D0D"/>
          <w:kern w:val="0"/>
          <w14:ligatures w14:val="none"/>
        </w:rPr>
        <w:t xml:space="preserve"> 327-332</w:t>
      </w:r>
    </w:p>
    <w:p w14:paraId="198A8048"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Key Concepts:</w:t>
      </w:r>
    </w:p>
    <w:p w14:paraId="71681861"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Legal grounds and procedures for setting aside awards.</w:t>
      </w:r>
    </w:p>
    <w:p w14:paraId="417C335B"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 xml:space="preserve">Case studies </w:t>
      </w:r>
      <w:proofErr w:type="gramStart"/>
      <w:r w:rsidRPr="00E20CCF">
        <w:rPr>
          <w:rFonts w:ascii="Segoe UI" w:eastAsia="Times New Roman" w:hAnsi="Segoe UI" w:cs="Segoe UI"/>
          <w:color w:val="0D0D0D"/>
          <w:kern w:val="0"/>
          <w14:ligatures w14:val="none"/>
        </w:rPr>
        <w:t>highlighting</w:t>
      </w:r>
      <w:proofErr w:type="gramEnd"/>
      <w:r w:rsidRPr="00E20CCF">
        <w:rPr>
          <w:rFonts w:ascii="Segoe UI" w:eastAsia="Times New Roman" w:hAnsi="Segoe UI" w:cs="Segoe UI"/>
          <w:color w:val="0D0D0D"/>
          <w:kern w:val="0"/>
          <w14:ligatures w14:val="none"/>
        </w:rPr>
        <w:t xml:space="preserve"> successful and unsuccessful challenges.</w:t>
      </w:r>
    </w:p>
    <w:p w14:paraId="54CAF61C" w14:textId="77777777" w:rsidR="00E20CCF" w:rsidRPr="00E20CCF" w:rsidRDefault="00E20CCF" w:rsidP="00E20CCF">
      <w:pPr>
        <w:numPr>
          <w:ilvl w:val="1"/>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Activity:</w:t>
      </w:r>
    </w:p>
    <w:p w14:paraId="09507807" w14:textId="77777777" w:rsidR="00E20CCF" w:rsidRPr="00E20CCF" w:rsidRDefault="00E20CCF" w:rsidP="00E20CCF">
      <w:pPr>
        <w:numPr>
          <w:ilvl w:val="2"/>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Role-playing exercise: Students represent insurers or insureds to argue for or against setting aside an award.</w:t>
      </w:r>
    </w:p>
    <w:p w14:paraId="6F194E93"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Assessment:</w:t>
      </w:r>
    </w:p>
    <w:p w14:paraId="38E859C9" w14:textId="77777777" w:rsidR="00E20CCF" w:rsidRPr="00E20CCF" w:rsidRDefault="00E20CCF" w:rsidP="00E20CCF">
      <w:pPr>
        <w:numPr>
          <w:ilvl w:val="0"/>
          <w:numId w:val="1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Quiz:</w:t>
      </w:r>
      <w:r w:rsidRPr="00E20CCF">
        <w:rPr>
          <w:rFonts w:ascii="Segoe UI" w:eastAsia="Times New Roman" w:hAnsi="Segoe UI" w:cs="Segoe UI"/>
          <w:color w:val="0D0D0D"/>
          <w:kern w:val="0"/>
          <w14:ligatures w14:val="none"/>
        </w:rPr>
        <w:t xml:space="preserve"> Multiple-choice questions testing knowledge of appraisal demands, litigation priority, and timing issues.</w:t>
      </w:r>
    </w:p>
    <w:p w14:paraId="44C93B93" w14:textId="77777777" w:rsidR="00E20CCF" w:rsidRPr="00E20CCF" w:rsidRDefault="00E20CCF" w:rsidP="00E20CCF">
      <w:pPr>
        <w:numPr>
          <w:ilvl w:val="0"/>
          <w:numId w:val="1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Case Study Analysis:</w:t>
      </w:r>
      <w:r w:rsidRPr="00E20CCF">
        <w:rPr>
          <w:rFonts w:ascii="Segoe UI" w:eastAsia="Times New Roman" w:hAnsi="Segoe UI" w:cs="Segoe UI"/>
          <w:color w:val="0D0D0D"/>
          <w:kern w:val="0"/>
          <w14:ligatures w14:val="none"/>
        </w:rPr>
        <w:t xml:space="preserve"> Written analysis of a hypothetical case where students determine the reasonable timeframe for demanding or responding to an appraisal.</w:t>
      </w:r>
    </w:p>
    <w:p w14:paraId="76FF6225"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Conclusion:</w:t>
      </w:r>
    </w:p>
    <w:p w14:paraId="3E652D49" w14:textId="77777777" w:rsidR="00E20CCF" w:rsidRPr="00E20CCF" w:rsidRDefault="00E20CCF" w:rsidP="00E20CCF">
      <w:pPr>
        <w:numPr>
          <w:ilvl w:val="0"/>
          <w:numId w:val="1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Summary:</w:t>
      </w:r>
      <w:r w:rsidRPr="00E20CCF">
        <w:rPr>
          <w:rFonts w:ascii="Segoe UI" w:eastAsia="Times New Roman" w:hAnsi="Segoe UI" w:cs="Segoe UI"/>
          <w:color w:val="0D0D0D"/>
          <w:kern w:val="0"/>
          <w14:ligatures w14:val="none"/>
        </w:rPr>
        <w:t xml:space="preserve"> Recap the importance of understanding timing issues in the appraisal process and how they impact the broader insurance industry.</w:t>
      </w:r>
    </w:p>
    <w:p w14:paraId="4A872F7F" w14:textId="77777777" w:rsidR="00E20CCF" w:rsidRPr="00E20CCF" w:rsidRDefault="00E20CCF" w:rsidP="00E20CCF">
      <w:pPr>
        <w:numPr>
          <w:ilvl w:val="0"/>
          <w:numId w:val="1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Final Thoughts:</w:t>
      </w:r>
      <w:r w:rsidRPr="00E20CCF">
        <w:rPr>
          <w:rFonts w:ascii="Segoe UI" w:eastAsia="Times New Roman" w:hAnsi="Segoe UI" w:cs="Segoe UI"/>
          <w:color w:val="0D0D0D"/>
          <w:kern w:val="0"/>
          <w14:ligatures w14:val="none"/>
        </w:rPr>
        <w:t xml:space="preserve"> Encourage learners to apply the lesson concepts to practical appraisal scenarios in their professional roles.</w:t>
      </w:r>
    </w:p>
    <w:p w14:paraId="2F936FBF" w14:textId="77777777" w:rsidR="00E20CCF" w:rsidRDefault="00E20CCF"/>
    <w:p w14:paraId="25504490" w14:textId="77777777" w:rsidR="00E20CCF" w:rsidRDefault="00E20CCF"/>
    <w:p w14:paraId="5C1C6F9B" w14:textId="77777777" w:rsidR="00E20CCF" w:rsidRDefault="00E20CCF"/>
    <w:p w14:paraId="77CFDBE8" w14:textId="77777777" w:rsidR="00E20CCF" w:rsidRDefault="00E20CCF"/>
    <w:p w14:paraId="7E5F6E9F" w14:textId="77777777" w:rsidR="00E20CCF" w:rsidRDefault="00E20CCF"/>
    <w:p w14:paraId="2C8C6B8D" w14:textId="77777777" w:rsidR="00E20CCF" w:rsidRDefault="00E20CCF"/>
    <w:p w14:paraId="782B348C" w14:textId="77777777" w:rsidR="00E20CCF" w:rsidRDefault="00E20CCF"/>
    <w:p w14:paraId="0B97AA65" w14:textId="77777777" w:rsidR="00E20CCF" w:rsidRDefault="00E20CCF"/>
    <w:p w14:paraId="7FB28DF8" w14:textId="77777777" w:rsidR="00E20CCF" w:rsidRDefault="00E20CCF"/>
    <w:p w14:paraId="36671153" w14:textId="77777777" w:rsidR="00E20CCF" w:rsidRDefault="00E20CCF"/>
    <w:p w14:paraId="32BA340C" w14:textId="77777777" w:rsidR="00E20CCF" w:rsidRDefault="00E20CCF"/>
    <w:p w14:paraId="353CD137" w14:textId="77777777" w:rsidR="00E20CCF" w:rsidRDefault="00E20CCF"/>
    <w:p w14:paraId="5676E71A"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kern w:val="0"/>
          <w:sz w:val="36"/>
          <w:szCs w:val="36"/>
          <w14:ligatures w14:val="none"/>
        </w:rPr>
      </w:pPr>
      <w:r w:rsidRPr="00E20CCF">
        <w:rPr>
          <w:rFonts w:ascii="Segoe UI" w:eastAsia="Times New Roman" w:hAnsi="Segoe UI" w:cs="Segoe UI"/>
          <w:b/>
          <w:bCs/>
          <w:color w:val="0D0D0D"/>
          <w:kern w:val="0"/>
          <w:sz w:val="36"/>
          <w:szCs w:val="36"/>
          <w14:ligatures w14:val="none"/>
        </w:rPr>
        <w:t>Course Plan: Saba v. Homeland Ins. Co. of America Case Study</w:t>
      </w:r>
    </w:p>
    <w:p w14:paraId="2A8CB8AC"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1. Introduction and Overview</w:t>
      </w:r>
    </w:p>
    <w:p w14:paraId="73956B5C" w14:textId="77777777" w:rsidR="00E20CCF" w:rsidRPr="00E20CCF" w:rsidRDefault="00E20CCF" w:rsidP="00E20CCF">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Objective:</w:t>
      </w:r>
      <w:r w:rsidRPr="00E20CCF">
        <w:rPr>
          <w:rFonts w:ascii="Segoe UI" w:eastAsia="Times New Roman" w:hAnsi="Segoe UI" w:cs="Segoe UI"/>
          <w:color w:val="0D0D0D"/>
          <w:kern w:val="0"/>
          <w14:ligatures w14:val="none"/>
        </w:rPr>
        <w:t xml:space="preserve"> </w:t>
      </w:r>
      <w:proofErr w:type="gramStart"/>
      <w:r w:rsidRPr="00E20CCF">
        <w:rPr>
          <w:rFonts w:ascii="Segoe UI" w:eastAsia="Times New Roman" w:hAnsi="Segoe UI" w:cs="Segoe UI"/>
          <w:color w:val="0D0D0D"/>
          <w:kern w:val="0"/>
          <w14:ligatures w14:val="none"/>
        </w:rPr>
        <w:t>Provide an introduction to</w:t>
      </w:r>
      <w:proofErr w:type="gramEnd"/>
      <w:r w:rsidRPr="00E20CCF">
        <w:rPr>
          <w:rFonts w:ascii="Segoe UI" w:eastAsia="Times New Roman" w:hAnsi="Segoe UI" w:cs="Segoe UI"/>
          <w:color w:val="0D0D0D"/>
          <w:kern w:val="0"/>
          <w14:ligatures w14:val="none"/>
        </w:rPr>
        <w:t xml:space="preserve"> the Saba case, its background, and its significance in insurance appraisal litigation.</w:t>
      </w:r>
    </w:p>
    <w:p w14:paraId="46449033" w14:textId="77777777" w:rsidR="00E20CCF" w:rsidRPr="00E20CCF" w:rsidRDefault="00E20CCF" w:rsidP="00E20CCF">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Content:</w:t>
      </w:r>
    </w:p>
    <w:p w14:paraId="4F5CBE08" w14:textId="77777777" w:rsidR="00E20CCF" w:rsidRPr="00E20CCF" w:rsidRDefault="00E20CCF" w:rsidP="00E20CCF">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Case background: Key facts and timeline.</w:t>
      </w:r>
    </w:p>
    <w:p w14:paraId="33F31A04" w14:textId="77777777" w:rsidR="00E20CCF" w:rsidRPr="00E20CCF" w:rsidRDefault="00E20CCF" w:rsidP="00E20CCF">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Legal context: Importance of appraisal clauses in insurance policies.</w:t>
      </w:r>
    </w:p>
    <w:p w14:paraId="1039CE84" w14:textId="77777777" w:rsidR="00E20CCF" w:rsidRPr="00E20CCF" w:rsidRDefault="00E20CCF" w:rsidP="00E20CCF">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Outcome and its impact on future litigation.</w:t>
      </w:r>
    </w:p>
    <w:p w14:paraId="14B4673C"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2. Key Legal Issues in the Saba Case</w:t>
      </w:r>
    </w:p>
    <w:p w14:paraId="67E934FF" w14:textId="77777777" w:rsidR="00E20CCF" w:rsidRPr="00E20CCF" w:rsidRDefault="00E20CCF" w:rsidP="00E20CCF">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Objective:</w:t>
      </w:r>
      <w:r w:rsidRPr="00E20CCF">
        <w:rPr>
          <w:rFonts w:ascii="Segoe UI" w:eastAsia="Times New Roman" w:hAnsi="Segoe UI" w:cs="Segoe UI"/>
          <w:color w:val="0D0D0D"/>
          <w:kern w:val="0"/>
          <w14:ligatures w14:val="none"/>
        </w:rPr>
        <w:t xml:space="preserve"> Identify and analyze the core legal issues and conflicting interpretations regarding appraisal and litigation.</w:t>
      </w:r>
    </w:p>
    <w:p w14:paraId="78A3106C" w14:textId="77777777" w:rsidR="00E20CCF" w:rsidRPr="00E20CCF" w:rsidRDefault="00E20CCF" w:rsidP="00E20CCF">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Content:</w:t>
      </w:r>
    </w:p>
    <w:p w14:paraId="22B9EDC1" w14:textId="77777777" w:rsidR="00E20CCF" w:rsidRPr="00E20CCF" w:rsidRDefault="00E20CCF" w:rsidP="00E20CCF">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The Order of Priority between Appraisal and Litigation: Analysis of why appraisal should precede litigation when specified.</w:t>
      </w:r>
    </w:p>
    <w:p w14:paraId="51E2DBF4" w14:textId="77777777" w:rsidR="00E20CCF" w:rsidRPr="00E20CCF" w:rsidRDefault="00E20CCF" w:rsidP="00E20CCF">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Timing of the Award: Understanding deadlines and the impact of delays in appointing appraisers.</w:t>
      </w:r>
    </w:p>
    <w:p w14:paraId="071D0D7D"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3. Appraisal Clauses vs. Litigation Rights</w:t>
      </w:r>
    </w:p>
    <w:p w14:paraId="009B32D4" w14:textId="77777777" w:rsidR="00E20CCF" w:rsidRPr="00E20CCF" w:rsidRDefault="00E20CCF" w:rsidP="00E20CCF">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Objective:</w:t>
      </w:r>
      <w:r w:rsidRPr="00E20CCF">
        <w:rPr>
          <w:rFonts w:ascii="Segoe UI" w:eastAsia="Times New Roman" w:hAnsi="Segoe UI" w:cs="Segoe UI"/>
          <w:color w:val="0D0D0D"/>
          <w:kern w:val="0"/>
          <w14:ligatures w14:val="none"/>
        </w:rPr>
        <w:t xml:space="preserve"> Understand the balance between appraisal clauses and the right to sue.</w:t>
      </w:r>
    </w:p>
    <w:p w14:paraId="5CF9AE41" w14:textId="77777777" w:rsidR="00E20CCF" w:rsidRPr="00E20CCF" w:rsidRDefault="00E20CCF" w:rsidP="00E20CCF">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Content:</w:t>
      </w:r>
    </w:p>
    <w:p w14:paraId="719ED924" w14:textId="77777777" w:rsidR="00E20CCF" w:rsidRPr="00E20CCF" w:rsidRDefault="00E20CCF" w:rsidP="00E20CCF">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Examination of the mandatory nature of appraisal clauses.</w:t>
      </w:r>
    </w:p>
    <w:p w14:paraId="75FD2419" w14:textId="77777777" w:rsidR="00E20CCF" w:rsidRPr="00E20CCF" w:rsidRDefault="00E20CCF" w:rsidP="00E20CCF">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Differing interpretations in the majority opinion (WEYGANDT, C.J.) and dissenting opinions (MATTHIAS and HART, JJ.).</w:t>
      </w:r>
    </w:p>
    <w:p w14:paraId="0B5ED430"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4. Jurisdictional and Statutory Analysis</w:t>
      </w:r>
    </w:p>
    <w:p w14:paraId="4FFEE7B7" w14:textId="77777777" w:rsidR="00E20CCF" w:rsidRPr="00E20CCF" w:rsidRDefault="00E20CCF" w:rsidP="00E20CCF">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Objective:</w:t>
      </w:r>
      <w:r w:rsidRPr="00E20CCF">
        <w:rPr>
          <w:rFonts w:ascii="Segoe UI" w:eastAsia="Times New Roman" w:hAnsi="Segoe UI" w:cs="Segoe UI"/>
          <w:color w:val="0D0D0D"/>
          <w:kern w:val="0"/>
          <w14:ligatures w14:val="none"/>
        </w:rPr>
        <w:t xml:space="preserve"> Review the statutory framework guiding appraisal clauses and litigation.</w:t>
      </w:r>
    </w:p>
    <w:p w14:paraId="010C2CC1" w14:textId="77777777" w:rsidR="00E20CCF" w:rsidRPr="00E20CCF" w:rsidRDefault="00E20CCF" w:rsidP="00E20CCF">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Content:</w:t>
      </w:r>
    </w:p>
    <w:p w14:paraId="4B1D9059" w14:textId="77777777" w:rsidR="00E20CCF" w:rsidRPr="00E20CCF" w:rsidRDefault="00E20CCF" w:rsidP="00E20CCF">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Analysis of Ohio's General Code provisions on arbitration (Section 12148-1 et seq.).</w:t>
      </w:r>
    </w:p>
    <w:p w14:paraId="483794ED" w14:textId="77777777" w:rsidR="00E20CCF" w:rsidRPr="00E20CCF" w:rsidRDefault="00E20CCF" w:rsidP="00E20CCF">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Comparison to similar statutes in other jurisdictions like Minnesota and Ontario.</w:t>
      </w:r>
    </w:p>
    <w:p w14:paraId="1759314D" w14:textId="77777777" w:rsidR="00E20CCF" w:rsidRPr="00E20CCF" w:rsidRDefault="00E20CCF" w:rsidP="00E20CCF">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Case law review: Fire Assn. of Philadelphia v. Agresta (Ohio), National Fire Ins. Co. v. Shuman (Georgia), and other relevant precedents.</w:t>
      </w:r>
    </w:p>
    <w:p w14:paraId="53C50B59"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5. Procedural and Ethical Considerations</w:t>
      </w:r>
    </w:p>
    <w:p w14:paraId="49512DE6" w14:textId="77777777" w:rsidR="00E20CCF" w:rsidRPr="00E20CCF" w:rsidRDefault="00E20CCF" w:rsidP="00E20CCF">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Objective:</w:t>
      </w:r>
      <w:r w:rsidRPr="00E20CCF">
        <w:rPr>
          <w:rFonts w:ascii="Segoe UI" w:eastAsia="Times New Roman" w:hAnsi="Segoe UI" w:cs="Segoe UI"/>
          <w:color w:val="0D0D0D"/>
          <w:kern w:val="0"/>
          <w14:ligatures w14:val="none"/>
        </w:rPr>
        <w:t xml:space="preserve"> Explore the procedural requirements and ethical dilemmas involved in the Saba case.</w:t>
      </w:r>
    </w:p>
    <w:p w14:paraId="4A5A9EDB" w14:textId="77777777" w:rsidR="00E20CCF" w:rsidRPr="00E20CCF" w:rsidRDefault="00E20CCF" w:rsidP="00E20CCF">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Content:</w:t>
      </w:r>
    </w:p>
    <w:p w14:paraId="118D0A48" w14:textId="77777777" w:rsidR="00E20CCF" w:rsidRPr="00E20CCF" w:rsidRDefault="00E20CCF" w:rsidP="00E20CCF">
      <w:pPr>
        <w:numPr>
          <w:ilvl w:val="1"/>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Proper procedure for appointing appraisers and umpires.</w:t>
      </w:r>
    </w:p>
    <w:p w14:paraId="6AD03403" w14:textId="77777777" w:rsidR="00E20CCF" w:rsidRPr="00E20CCF" w:rsidRDefault="00E20CCF" w:rsidP="00E20CCF">
      <w:pPr>
        <w:numPr>
          <w:ilvl w:val="1"/>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Timing issues and avoiding over-aggressiveness.</w:t>
      </w:r>
    </w:p>
    <w:p w14:paraId="50683859" w14:textId="77777777" w:rsidR="00E20CCF" w:rsidRPr="00E20CCF" w:rsidRDefault="00E20CCF" w:rsidP="00E20CCF">
      <w:pPr>
        <w:numPr>
          <w:ilvl w:val="1"/>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Strategies for challenging an appraiser's competence or conflict of interest.</w:t>
      </w:r>
    </w:p>
    <w:p w14:paraId="49467F7B"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6. Practical Application and Hypotheticals</w:t>
      </w:r>
    </w:p>
    <w:p w14:paraId="309560A9" w14:textId="77777777" w:rsidR="00E20CCF" w:rsidRPr="00E20CCF" w:rsidRDefault="00E20CCF" w:rsidP="00E20CCF">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Objective:</w:t>
      </w:r>
      <w:r w:rsidRPr="00E20CCF">
        <w:rPr>
          <w:rFonts w:ascii="Segoe UI" w:eastAsia="Times New Roman" w:hAnsi="Segoe UI" w:cs="Segoe UI"/>
          <w:color w:val="0D0D0D"/>
          <w:kern w:val="0"/>
          <w14:ligatures w14:val="none"/>
        </w:rPr>
        <w:t xml:space="preserve"> Apply the principles learned from the Saba case to hypothetical scenarios.</w:t>
      </w:r>
    </w:p>
    <w:p w14:paraId="6DA9F81A" w14:textId="77777777" w:rsidR="00E20CCF" w:rsidRPr="00E20CCF" w:rsidRDefault="00E20CCF" w:rsidP="00E20CCF">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Content:</w:t>
      </w:r>
    </w:p>
    <w:p w14:paraId="2C9FECF1" w14:textId="77777777" w:rsidR="00E20CCF" w:rsidRPr="00E20CCF" w:rsidRDefault="00E20CCF" w:rsidP="00E20CCF">
      <w:pPr>
        <w:numPr>
          <w:ilvl w:val="1"/>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Real-world scenarios involving the refusal to appoint appraisers.</w:t>
      </w:r>
    </w:p>
    <w:p w14:paraId="0E5197D2" w14:textId="77777777" w:rsidR="00E20CCF" w:rsidRPr="00E20CCF" w:rsidRDefault="00E20CCF" w:rsidP="00E20CCF">
      <w:pPr>
        <w:numPr>
          <w:ilvl w:val="1"/>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Strategic steps to avoid unnecessary delays in appraisal.</w:t>
      </w:r>
    </w:p>
    <w:p w14:paraId="6B3A0497"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7. Conclusion and Implications for Practitioners</w:t>
      </w:r>
    </w:p>
    <w:p w14:paraId="2BCF02A1" w14:textId="77777777" w:rsidR="00E20CCF" w:rsidRPr="00E20CCF" w:rsidRDefault="00E20CCF" w:rsidP="00E20CCF">
      <w:pPr>
        <w:numPr>
          <w:ilvl w:val="0"/>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Objective:</w:t>
      </w:r>
      <w:r w:rsidRPr="00E20CCF">
        <w:rPr>
          <w:rFonts w:ascii="Segoe UI" w:eastAsia="Times New Roman" w:hAnsi="Segoe UI" w:cs="Segoe UI"/>
          <w:color w:val="0D0D0D"/>
          <w:kern w:val="0"/>
          <w14:ligatures w14:val="none"/>
        </w:rPr>
        <w:t xml:space="preserve"> Summarize the case's lessons and provide guidance for insurance professionals and attorneys.</w:t>
      </w:r>
    </w:p>
    <w:p w14:paraId="3FA49203" w14:textId="77777777" w:rsidR="00E20CCF" w:rsidRPr="00E20CCF" w:rsidRDefault="00E20CCF" w:rsidP="00E20CCF">
      <w:pPr>
        <w:numPr>
          <w:ilvl w:val="0"/>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Content:</w:t>
      </w:r>
    </w:p>
    <w:p w14:paraId="2782476C" w14:textId="77777777" w:rsidR="00E20CCF" w:rsidRPr="00E20CCF" w:rsidRDefault="00E20CCF" w:rsidP="00E20CCF">
      <w:pPr>
        <w:numPr>
          <w:ilvl w:val="1"/>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Key takeaways from Saba v. Homeland.</w:t>
      </w:r>
    </w:p>
    <w:p w14:paraId="4BFAB4E7" w14:textId="77777777" w:rsidR="00E20CCF" w:rsidRPr="00E20CCF" w:rsidRDefault="00E20CCF" w:rsidP="00E20CCF">
      <w:pPr>
        <w:numPr>
          <w:ilvl w:val="1"/>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Best practices for insurance professionals in managing appraisal clauses.</w:t>
      </w:r>
    </w:p>
    <w:p w14:paraId="6BFAE45F" w14:textId="77777777" w:rsidR="00E20CCF" w:rsidRPr="00E20CCF" w:rsidRDefault="00E20CCF" w:rsidP="00E20CCF">
      <w:pPr>
        <w:numPr>
          <w:ilvl w:val="1"/>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Recommendations for legal practitioners.</w:t>
      </w:r>
    </w:p>
    <w:p w14:paraId="13180447"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8. Assessment and Feedback</w:t>
      </w:r>
    </w:p>
    <w:p w14:paraId="1B68E3B3" w14:textId="77777777" w:rsidR="00E20CCF" w:rsidRPr="00E20CCF" w:rsidRDefault="00E20CCF" w:rsidP="00E20CCF">
      <w:pPr>
        <w:numPr>
          <w:ilvl w:val="0"/>
          <w:numId w:val="8"/>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Objective:</w:t>
      </w:r>
      <w:r w:rsidRPr="00E20CCF">
        <w:rPr>
          <w:rFonts w:ascii="Segoe UI" w:eastAsia="Times New Roman" w:hAnsi="Segoe UI" w:cs="Segoe UI"/>
          <w:color w:val="0D0D0D"/>
          <w:kern w:val="0"/>
          <w14:ligatures w14:val="none"/>
        </w:rPr>
        <w:t xml:space="preserve"> Evaluate understanding and provide feedback.</w:t>
      </w:r>
    </w:p>
    <w:p w14:paraId="21F3FD95" w14:textId="77777777" w:rsidR="00E20CCF" w:rsidRPr="00E20CCF" w:rsidRDefault="00E20CCF" w:rsidP="00E20CCF">
      <w:pPr>
        <w:numPr>
          <w:ilvl w:val="0"/>
          <w:numId w:val="8"/>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Content:</w:t>
      </w:r>
    </w:p>
    <w:p w14:paraId="2853EF68" w14:textId="77777777" w:rsidR="00E20CCF" w:rsidRPr="00E20CCF" w:rsidRDefault="00E20CCF" w:rsidP="00E20CCF">
      <w:pPr>
        <w:numPr>
          <w:ilvl w:val="1"/>
          <w:numId w:val="8"/>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Quiz or case-based questions on core concepts.</w:t>
      </w:r>
    </w:p>
    <w:p w14:paraId="37143E0D" w14:textId="77777777" w:rsidR="00E20CCF" w:rsidRPr="00E20CCF" w:rsidRDefault="00E20CCF" w:rsidP="00E20CCF">
      <w:pPr>
        <w:numPr>
          <w:ilvl w:val="1"/>
          <w:numId w:val="8"/>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Reflection prompts on how to handle similar situations in practice.</w:t>
      </w:r>
    </w:p>
    <w:p w14:paraId="1E9D4753"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This plan will guide the creation of a detailed course, ensuring students receive comprehensive insights into Saba v. Homeland and its broader implications in insurance appraisal.</w:t>
      </w:r>
    </w:p>
    <w:p w14:paraId="3660B18C" w14:textId="77777777" w:rsidR="00E20CCF" w:rsidRDefault="00E20CCF"/>
    <w:p w14:paraId="3820B100"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kern w:val="0"/>
          <w:sz w:val="30"/>
          <w:szCs w:val="30"/>
          <w14:ligatures w14:val="none"/>
        </w:rPr>
      </w:pPr>
      <w:proofErr w:type="spellStart"/>
      <w:r w:rsidRPr="00E20CCF">
        <w:rPr>
          <w:rFonts w:ascii="Segoe UI" w:eastAsia="Times New Roman" w:hAnsi="Segoe UI" w:cs="Segoe UI"/>
          <w:b/>
          <w:bCs/>
          <w:color w:val="0D0D0D"/>
          <w:kern w:val="0"/>
          <w:sz w:val="30"/>
          <w:szCs w:val="30"/>
          <w14:ligatures w14:val="none"/>
        </w:rPr>
        <w:t>LearnDash</w:t>
      </w:r>
      <w:proofErr w:type="spellEnd"/>
      <w:r w:rsidRPr="00E20CCF">
        <w:rPr>
          <w:rFonts w:ascii="Segoe UI" w:eastAsia="Times New Roman" w:hAnsi="Segoe UI" w:cs="Segoe UI"/>
          <w:b/>
          <w:bCs/>
          <w:color w:val="0D0D0D"/>
          <w:kern w:val="0"/>
          <w:sz w:val="30"/>
          <w:szCs w:val="30"/>
          <w14:ligatures w14:val="none"/>
        </w:rPr>
        <w:t xml:space="preserve"> Pro Lesson Plan: Timing Issues in Appraisal</w:t>
      </w:r>
    </w:p>
    <w:p w14:paraId="59331694"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Lesson Title:</w:t>
      </w:r>
      <w:r w:rsidRPr="00E20CCF">
        <w:rPr>
          <w:rFonts w:ascii="Segoe UI" w:eastAsia="Times New Roman" w:hAnsi="Segoe UI" w:cs="Segoe UI"/>
          <w:color w:val="0D0D0D"/>
          <w:kern w:val="0"/>
          <w14:ligatures w14:val="none"/>
        </w:rPr>
        <w:t xml:space="preserve"> Understanding Timing Issues in Appraisal</w:t>
      </w:r>
    </w:p>
    <w:p w14:paraId="17F613D8"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Overview:</w:t>
      </w:r>
      <w:r w:rsidRPr="00E20CCF">
        <w:rPr>
          <w:rFonts w:ascii="Segoe UI" w:eastAsia="Times New Roman" w:hAnsi="Segoe UI" w:cs="Segoe UI"/>
          <w:color w:val="0D0D0D"/>
          <w:kern w:val="0"/>
          <w14:ligatures w14:val="none"/>
        </w:rPr>
        <w:t xml:space="preserve"> This lesson will examine the critical timing issues that arise during insurance appraisals, such as deadlines for </w:t>
      </w:r>
      <w:proofErr w:type="gramStart"/>
      <w:r w:rsidRPr="00E20CCF">
        <w:rPr>
          <w:rFonts w:ascii="Segoe UI" w:eastAsia="Times New Roman" w:hAnsi="Segoe UI" w:cs="Segoe UI"/>
          <w:color w:val="0D0D0D"/>
          <w:kern w:val="0"/>
          <w14:ligatures w14:val="none"/>
        </w:rPr>
        <w:t>bringing suit</w:t>
      </w:r>
      <w:proofErr w:type="gramEnd"/>
      <w:r w:rsidRPr="00E20CCF">
        <w:rPr>
          <w:rFonts w:ascii="Segoe UI" w:eastAsia="Times New Roman" w:hAnsi="Segoe UI" w:cs="Segoe UI"/>
          <w:color w:val="0D0D0D"/>
          <w:kern w:val="0"/>
          <w14:ligatures w14:val="none"/>
        </w:rPr>
        <w:t>, managing competing demands, fulfilling post-loss requirements, and seeking to set aside an award.</w:t>
      </w:r>
    </w:p>
    <w:p w14:paraId="56640468"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Objectives:</w:t>
      </w:r>
    </w:p>
    <w:p w14:paraId="5609F9CC" w14:textId="77777777" w:rsidR="00E20CCF" w:rsidRPr="00E20CCF" w:rsidRDefault="00E20CCF" w:rsidP="00E20CCF">
      <w:pPr>
        <w:numPr>
          <w:ilvl w:val="0"/>
          <w:numId w:val="1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Learn the statutes and contractual limitations for filing litigation.</w:t>
      </w:r>
    </w:p>
    <w:p w14:paraId="57C0F627" w14:textId="77777777" w:rsidR="00E20CCF" w:rsidRPr="00E20CCF" w:rsidRDefault="00E20CCF" w:rsidP="00E20CCF">
      <w:pPr>
        <w:numPr>
          <w:ilvl w:val="0"/>
          <w:numId w:val="1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Understand how competing demands impact the appraisal process.</w:t>
      </w:r>
    </w:p>
    <w:p w14:paraId="20B0175A" w14:textId="77777777" w:rsidR="00E20CCF" w:rsidRPr="00E20CCF" w:rsidRDefault="00E20CCF" w:rsidP="00E20CCF">
      <w:pPr>
        <w:numPr>
          <w:ilvl w:val="0"/>
          <w:numId w:val="1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Grasp the significance of compliance with post-loss provisions.</w:t>
      </w:r>
    </w:p>
    <w:p w14:paraId="1E7CA1BA" w14:textId="77777777" w:rsidR="00E20CCF" w:rsidRPr="00E20CCF" w:rsidRDefault="00E20CCF" w:rsidP="00E20CCF">
      <w:pPr>
        <w:numPr>
          <w:ilvl w:val="0"/>
          <w:numId w:val="1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Comprehend the legal grounds for setting aside an award.</w:t>
      </w:r>
    </w:p>
    <w:p w14:paraId="2E5521BB"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Course Outline:</w:t>
      </w:r>
    </w:p>
    <w:p w14:paraId="12FBCF83" w14:textId="77777777" w:rsidR="00E20CCF" w:rsidRPr="00E20CCF" w:rsidRDefault="00E20CCF" w:rsidP="00E20CCF">
      <w:pPr>
        <w:numPr>
          <w:ilvl w:val="0"/>
          <w:numId w:val="1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Introduction:</w:t>
      </w:r>
    </w:p>
    <w:p w14:paraId="6154A07E"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Brief overview of the importance of timing in insurance appraisals.</w:t>
      </w:r>
    </w:p>
    <w:p w14:paraId="069DDBB1" w14:textId="77777777" w:rsidR="00E20CCF" w:rsidRPr="00E20CCF" w:rsidRDefault="00E20CCF" w:rsidP="00E20CCF">
      <w:pPr>
        <w:numPr>
          <w:ilvl w:val="0"/>
          <w:numId w:val="1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Time to Bring Suit:</w:t>
      </w:r>
    </w:p>
    <w:p w14:paraId="7101C793"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Key Statutes: Statutory deadlines across states (e.g., Arizona, New York, Florida).</w:t>
      </w:r>
    </w:p>
    <w:p w14:paraId="6C524E08"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 xml:space="preserve">Case Studies: Examples of tolling and limitations periods (e.g., </w:t>
      </w:r>
      <w:r w:rsidRPr="00E20CCF">
        <w:rPr>
          <w:rFonts w:ascii="Segoe UI" w:eastAsia="Times New Roman" w:hAnsi="Segoe UI" w:cs="Segoe UI"/>
          <w:i/>
          <w:iCs/>
          <w:color w:val="0D0D0D"/>
          <w:kern w:val="0"/>
          <w:bdr w:val="single" w:sz="2" w:space="0" w:color="E3E3E3" w:frame="1"/>
          <w14:ligatures w14:val="none"/>
        </w:rPr>
        <w:t>Reed v. Allstate</w:t>
      </w:r>
      <w:r w:rsidRPr="00E20CCF">
        <w:rPr>
          <w:rFonts w:ascii="Segoe UI" w:eastAsia="Times New Roman" w:hAnsi="Segoe UI" w:cs="Segoe UI"/>
          <w:color w:val="0D0D0D"/>
          <w:kern w:val="0"/>
          <w14:ligatures w14:val="none"/>
        </w:rPr>
        <w:t>).</w:t>
      </w:r>
    </w:p>
    <w:p w14:paraId="2C887E05"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Activity: Group exercise to identify relevant deadlines for various jurisdictions.</w:t>
      </w:r>
    </w:p>
    <w:p w14:paraId="0B575C10" w14:textId="77777777" w:rsidR="00E20CCF" w:rsidRPr="00E20CCF" w:rsidRDefault="00E20CCF" w:rsidP="00E20CCF">
      <w:pPr>
        <w:numPr>
          <w:ilvl w:val="0"/>
          <w:numId w:val="1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Competing Demands:</w:t>
      </w:r>
    </w:p>
    <w:p w14:paraId="317387E9"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Managing Policy Conditions: Examination under oath, proof of loss.</w:t>
      </w:r>
    </w:p>
    <w:p w14:paraId="3831D507"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 xml:space="preserve">Case Study: </w:t>
      </w:r>
      <w:r w:rsidRPr="00E20CCF">
        <w:rPr>
          <w:rFonts w:ascii="Segoe UI" w:eastAsia="Times New Roman" w:hAnsi="Segoe UI" w:cs="Segoe UI"/>
          <w:i/>
          <w:iCs/>
          <w:color w:val="0D0D0D"/>
          <w:kern w:val="0"/>
          <w:bdr w:val="single" w:sz="2" w:space="0" w:color="E3E3E3" w:frame="1"/>
          <w14:ligatures w14:val="none"/>
        </w:rPr>
        <w:t>Pando v. US Fidelity</w:t>
      </w:r>
      <w:r w:rsidRPr="00E20CCF">
        <w:rPr>
          <w:rFonts w:ascii="Segoe UI" w:eastAsia="Times New Roman" w:hAnsi="Segoe UI" w:cs="Segoe UI"/>
          <w:color w:val="0D0D0D"/>
          <w:kern w:val="0"/>
          <w14:ligatures w14:val="none"/>
        </w:rPr>
        <w:t xml:space="preserve"> - precedence of policy conditions.</w:t>
      </w:r>
    </w:p>
    <w:p w14:paraId="6AC65025"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Discussion: How to prioritize multiple demands.</w:t>
      </w:r>
    </w:p>
    <w:p w14:paraId="54FD9D24" w14:textId="77777777" w:rsidR="00E20CCF" w:rsidRPr="00E20CCF" w:rsidRDefault="00E20CCF" w:rsidP="00E20CCF">
      <w:pPr>
        <w:numPr>
          <w:ilvl w:val="0"/>
          <w:numId w:val="1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Compliance with Post-Loss Provisions:</w:t>
      </w:r>
    </w:p>
    <w:p w14:paraId="2082581B"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Key Requirements: Documentation, sworn statements, inventory.</w:t>
      </w:r>
    </w:p>
    <w:p w14:paraId="437AB81C"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 xml:space="preserve">Florida Example: </w:t>
      </w:r>
      <w:r w:rsidRPr="00E20CCF">
        <w:rPr>
          <w:rFonts w:ascii="Segoe UI" w:eastAsia="Times New Roman" w:hAnsi="Segoe UI" w:cs="Segoe UI"/>
          <w:i/>
          <w:iCs/>
          <w:color w:val="0D0D0D"/>
          <w:kern w:val="0"/>
          <w:bdr w:val="single" w:sz="2" w:space="0" w:color="E3E3E3" w:frame="1"/>
          <w14:ligatures w14:val="none"/>
        </w:rPr>
        <w:t>United Prop. &amp; Cas. Ins. v. Concepcion</w:t>
      </w:r>
      <w:r w:rsidRPr="00E20CCF">
        <w:rPr>
          <w:rFonts w:ascii="Segoe UI" w:eastAsia="Times New Roman" w:hAnsi="Segoe UI" w:cs="Segoe UI"/>
          <w:color w:val="0D0D0D"/>
          <w:kern w:val="0"/>
          <w14:ligatures w14:val="none"/>
        </w:rPr>
        <w:t xml:space="preserve"> - importance of compliance.</w:t>
      </w:r>
    </w:p>
    <w:p w14:paraId="55F5DBC5"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Interactive Exercise: Evaluating compliance scenarios.</w:t>
      </w:r>
    </w:p>
    <w:p w14:paraId="53FCE6FD" w14:textId="77777777" w:rsidR="00E20CCF" w:rsidRPr="00E20CCF" w:rsidRDefault="00E20CCF" w:rsidP="00E20CCF">
      <w:pPr>
        <w:numPr>
          <w:ilvl w:val="0"/>
          <w:numId w:val="1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Moving to Set Aside an Award:</w:t>
      </w:r>
    </w:p>
    <w:p w14:paraId="28364A42"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Arbitration vs. Appraisal: Differences and statutory deadlines.</w:t>
      </w:r>
    </w:p>
    <w:p w14:paraId="45CB915B"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 xml:space="preserve">Case Law: </w:t>
      </w:r>
      <w:r w:rsidRPr="00E20CCF">
        <w:rPr>
          <w:rFonts w:ascii="Segoe UI" w:eastAsia="Times New Roman" w:hAnsi="Segoe UI" w:cs="Segoe UI"/>
          <w:i/>
          <w:iCs/>
          <w:color w:val="0D0D0D"/>
          <w:kern w:val="0"/>
          <w:bdr w:val="single" w:sz="2" w:space="0" w:color="E3E3E3" w:frame="1"/>
          <w14:ligatures w14:val="none"/>
        </w:rPr>
        <w:t>Travelers Home v. Kravitz</w:t>
      </w:r>
      <w:r w:rsidRPr="00E20CCF">
        <w:rPr>
          <w:rFonts w:ascii="Segoe UI" w:eastAsia="Times New Roman" w:hAnsi="Segoe UI" w:cs="Segoe UI"/>
          <w:color w:val="0D0D0D"/>
          <w:kern w:val="0"/>
          <w14:ligatures w14:val="none"/>
        </w:rPr>
        <w:t xml:space="preserve"> - filing motions within time limits.</w:t>
      </w:r>
    </w:p>
    <w:p w14:paraId="2D941F8F" w14:textId="77777777" w:rsidR="00E20CCF" w:rsidRPr="00E20CCF" w:rsidRDefault="00E20CCF" w:rsidP="00E20CCF">
      <w:pPr>
        <w:numPr>
          <w:ilvl w:val="1"/>
          <w:numId w:val="1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Role-play: Arguing for or against setting aside an award.</w:t>
      </w:r>
    </w:p>
    <w:p w14:paraId="268B8013"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Assessment:</w:t>
      </w:r>
    </w:p>
    <w:p w14:paraId="50BD2B8C" w14:textId="77777777" w:rsidR="00E20CCF" w:rsidRPr="00E20CCF" w:rsidRDefault="00E20CCF" w:rsidP="00E20CCF">
      <w:pPr>
        <w:numPr>
          <w:ilvl w:val="0"/>
          <w:numId w:val="1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Quiz:</w:t>
      </w:r>
      <w:r w:rsidRPr="00E20CCF">
        <w:rPr>
          <w:rFonts w:ascii="Segoe UI" w:eastAsia="Times New Roman" w:hAnsi="Segoe UI" w:cs="Segoe UI"/>
          <w:color w:val="0D0D0D"/>
          <w:kern w:val="0"/>
          <w14:ligatures w14:val="none"/>
        </w:rPr>
        <w:t xml:space="preserve"> A set of questions about deadlines and compliance requirements.</w:t>
      </w:r>
    </w:p>
    <w:p w14:paraId="043C811D" w14:textId="77777777" w:rsidR="00E20CCF" w:rsidRPr="00E20CCF" w:rsidRDefault="00E20CCF" w:rsidP="00E20CCF">
      <w:pPr>
        <w:numPr>
          <w:ilvl w:val="0"/>
          <w:numId w:val="1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Case Study Analysis:</w:t>
      </w:r>
      <w:r w:rsidRPr="00E20CCF">
        <w:rPr>
          <w:rFonts w:ascii="Segoe UI" w:eastAsia="Times New Roman" w:hAnsi="Segoe UI" w:cs="Segoe UI"/>
          <w:color w:val="0D0D0D"/>
          <w:kern w:val="0"/>
          <w14:ligatures w14:val="none"/>
        </w:rPr>
        <w:t xml:space="preserve"> Students assess a hypothetical appraisal process.</w:t>
      </w:r>
    </w:p>
    <w:p w14:paraId="2031F48D" w14:textId="77777777" w:rsidR="00E20CCF" w:rsidRPr="00E20CCF" w:rsidRDefault="00E20CCF" w:rsidP="00E20CCF">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14:ligatures w14:val="none"/>
        </w:rPr>
      </w:pPr>
      <w:r w:rsidRPr="00E20CCF">
        <w:rPr>
          <w:rFonts w:ascii="Segoe UI" w:eastAsia="Times New Roman" w:hAnsi="Segoe UI" w:cs="Segoe UI"/>
          <w:b/>
          <w:bCs/>
          <w:color w:val="0D0D0D"/>
          <w:kern w:val="0"/>
          <w:bdr w:val="single" w:sz="2" w:space="0" w:color="E3E3E3" w:frame="1"/>
          <w14:ligatures w14:val="none"/>
        </w:rPr>
        <w:t>Conclusion:</w:t>
      </w:r>
    </w:p>
    <w:p w14:paraId="377F95D9" w14:textId="77777777" w:rsidR="00E20CCF" w:rsidRPr="00E20CCF" w:rsidRDefault="00E20CCF" w:rsidP="00E20CCF">
      <w:pPr>
        <w:numPr>
          <w:ilvl w:val="0"/>
          <w:numId w:val="1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14:ligatures w14:val="none"/>
        </w:rPr>
      </w:pPr>
      <w:r w:rsidRPr="00E20CCF">
        <w:rPr>
          <w:rFonts w:ascii="Segoe UI" w:eastAsia="Times New Roman" w:hAnsi="Segoe UI" w:cs="Segoe UI"/>
          <w:color w:val="0D0D0D"/>
          <w:kern w:val="0"/>
          <w14:ligatures w14:val="none"/>
        </w:rPr>
        <w:t>Recap the importance of adhering to statutory and contractual timelines and how proper timing ensures a fair and efficient appraisal process.</w:t>
      </w:r>
    </w:p>
    <w:p w14:paraId="1DAA36E9" w14:textId="77777777" w:rsidR="00E20CCF" w:rsidRDefault="00E20CCF"/>
    <w:sectPr w:rsidR="00E20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397D"/>
    <w:multiLevelType w:val="multilevel"/>
    <w:tmpl w:val="5F0E2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862090"/>
    <w:multiLevelType w:val="multilevel"/>
    <w:tmpl w:val="FA60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D60357"/>
    <w:multiLevelType w:val="multilevel"/>
    <w:tmpl w:val="ADE484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61D6D"/>
    <w:multiLevelType w:val="multilevel"/>
    <w:tmpl w:val="290640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CD4924"/>
    <w:multiLevelType w:val="multilevel"/>
    <w:tmpl w:val="4AA2AB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3D39C1"/>
    <w:multiLevelType w:val="multilevel"/>
    <w:tmpl w:val="D7B2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AA0EAD"/>
    <w:multiLevelType w:val="multilevel"/>
    <w:tmpl w:val="7CFA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4165BE"/>
    <w:multiLevelType w:val="multilevel"/>
    <w:tmpl w:val="F246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AD68ED"/>
    <w:multiLevelType w:val="multilevel"/>
    <w:tmpl w:val="4090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983DF3"/>
    <w:multiLevelType w:val="multilevel"/>
    <w:tmpl w:val="982AE7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D5205F"/>
    <w:multiLevelType w:val="multilevel"/>
    <w:tmpl w:val="2B7C8B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B76966"/>
    <w:multiLevelType w:val="multilevel"/>
    <w:tmpl w:val="95848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A03ACF"/>
    <w:multiLevelType w:val="multilevel"/>
    <w:tmpl w:val="8D9E4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B83C0A"/>
    <w:multiLevelType w:val="multilevel"/>
    <w:tmpl w:val="3B5C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4B458E"/>
    <w:multiLevelType w:val="multilevel"/>
    <w:tmpl w:val="361EAC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FA56B2"/>
    <w:multiLevelType w:val="multilevel"/>
    <w:tmpl w:val="60C0F9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3013420">
    <w:abstractNumId w:val="11"/>
  </w:num>
  <w:num w:numId="2" w16cid:durableId="469399766">
    <w:abstractNumId w:val="15"/>
  </w:num>
  <w:num w:numId="3" w16cid:durableId="55859069">
    <w:abstractNumId w:val="0"/>
  </w:num>
  <w:num w:numId="4" w16cid:durableId="1654483960">
    <w:abstractNumId w:val="2"/>
  </w:num>
  <w:num w:numId="5" w16cid:durableId="554508398">
    <w:abstractNumId w:val="9"/>
  </w:num>
  <w:num w:numId="6" w16cid:durableId="700713068">
    <w:abstractNumId w:val="12"/>
  </w:num>
  <w:num w:numId="7" w16cid:durableId="574048941">
    <w:abstractNumId w:val="10"/>
  </w:num>
  <w:num w:numId="8" w16cid:durableId="1776822177">
    <w:abstractNumId w:val="3"/>
  </w:num>
  <w:num w:numId="9" w16cid:durableId="124276671">
    <w:abstractNumId w:val="7"/>
  </w:num>
  <w:num w:numId="10" w16cid:durableId="1996031851">
    <w:abstractNumId w:val="4"/>
  </w:num>
  <w:num w:numId="11" w16cid:durableId="713770172">
    <w:abstractNumId w:val="8"/>
  </w:num>
  <w:num w:numId="12" w16cid:durableId="415593263">
    <w:abstractNumId w:val="6"/>
  </w:num>
  <w:num w:numId="13" w16cid:durableId="969483061">
    <w:abstractNumId w:val="5"/>
  </w:num>
  <w:num w:numId="14" w16cid:durableId="1595550955">
    <w:abstractNumId w:val="14"/>
  </w:num>
  <w:num w:numId="15" w16cid:durableId="1066612519">
    <w:abstractNumId w:val="13"/>
  </w:num>
  <w:num w:numId="16" w16cid:durableId="1218784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CF"/>
    <w:rsid w:val="001E3686"/>
    <w:rsid w:val="00270F30"/>
    <w:rsid w:val="008A4671"/>
    <w:rsid w:val="00E20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DB537"/>
  <w15:chartTrackingRefBased/>
  <w15:docId w15:val="{81105155-2F35-4737-A5A0-35279B394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C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C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C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C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C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C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C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C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C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C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C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C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C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C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C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C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C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CCF"/>
    <w:rPr>
      <w:rFonts w:eastAsiaTheme="majorEastAsia" w:cstheme="majorBidi"/>
      <w:color w:val="272727" w:themeColor="text1" w:themeTint="D8"/>
    </w:rPr>
  </w:style>
  <w:style w:type="paragraph" w:styleId="Title">
    <w:name w:val="Title"/>
    <w:basedOn w:val="Normal"/>
    <w:next w:val="Normal"/>
    <w:link w:val="TitleChar"/>
    <w:uiPriority w:val="10"/>
    <w:qFormat/>
    <w:rsid w:val="00E20C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C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C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C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CCF"/>
    <w:pPr>
      <w:spacing w:before="160"/>
      <w:jc w:val="center"/>
    </w:pPr>
    <w:rPr>
      <w:i/>
      <w:iCs/>
      <w:color w:val="404040" w:themeColor="text1" w:themeTint="BF"/>
    </w:rPr>
  </w:style>
  <w:style w:type="character" w:customStyle="1" w:styleId="QuoteChar">
    <w:name w:val="Quote Char"/>
    <w:basedOn w:val="DefaultParagraphFont"/>
    <w:link w:val="Quote"/>
    <w:uiPriority w:val="29"/>
    <w:rsid w:val="00E20CCF"/>
    <w:rPr>
      <w:i/>
      <w:iCs/>
      <w:color w:val="404040" w:themeColor="text1" w:themeTint="BF"/>
    </w:rPr>
  </w:style>
  <w:style w:type="paragraph" w:styleId="ListParagraph">
    <w:name w:val="List Paragraph"/>
    <w:basedOn w:val="Normal"/>
    <w:uiPriority w:val="34"/>
    <w:qFormat/>
    <w:rsid w:val="00E20CCF"/>
    <w:pPr>
      <w:ind w:left="720"/>
      <w:contextualSpacing/>
    </w:pPr>
  </w:style>
  <w:style w:type="character" w:styleId="IntenseEmphasis">
    <w:name w:val="Intense Emphasis"/>
    <w:basedOn w:val="DefaultParagraphFont"/>
    <w:uiPriority w:val="21"/>
    <w:qFormat/>
    <w:rsid w:val="00E20CCF"/>
    <w:rPr>
      <w:i/>
      <w:iCs/>
      <w:color w:val="0F4761" w:themeColor="accent1" w:themeShade="BF"/>
    </w:rPr>
  </w:style>
  <w:style w:type="paragraph" w:styleId="IntenseQuote">
    <w:name w:val="Intense Quote"/>
    <w:basedOn w:val="Normal"/>
    <w:next w:val="Normal"/>
    <w:link w:val="IntenseQuoteChar"/>
    <w:uiPriority w:val="30"/>
    <w:qFormat/>
    <w:rsid w:val="00E20C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CCF"/>
    <w:rPr>
      <w:i/>
      <w:iCs/>
      <w:color w:val="0F4761" w:themeColor="accent1" w:themeShade="BF"/>
    </w:rPr>
  </w:style>
  <w:style w:type="character" w:styleId="IntenseReference">
    <w:name w:val="Intense Reference"/>
    <w:basedOn w:val="DefaultParagraphFont"/>
    <w:uiPriority w:val="32"/>
    <w:qFormat/>
    <w:rsid w:val="00E20C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109484">
      <w:bodyDiv w:val="1"/>
      <w:marLeft w:val="0"/>
      <w:marRight w:val="0"/>
      <w:marTop w:val="0"/>
      <w:marBottom w:val="0"/>
      <w:divBdr>
        <w:top w:val="none" w:sz="0" w:space="0" w:color="auto"/>
        <w:left w:val="none" w:sz="0" w:space="0" w:color="auto"/>
        <w:bottom w:val="none" w:sz="0" w:space="0" w:color="auto"/>
        <w:right w:val="none" w:sz="0" w:space="0" w:color="auto"/>
      </w:divBdr>
    </w:div>
    <w:div w:id="470100166">
      <w:bodyDiv w:val="1"/>
      <w:marLeft w:val="0"/>
      <w:marRight w:val="0"/>
      <w:marTop w:val="0"/>
      <w:marBottom w:val="0"/>
      <w:divBdr>
        <w:top w:val="none" w:sz="0" w:space="0" w:color="auto"/>
        <w:left w:val="none" w:sz="0" w:space="0" w:color="auto"/>
        <w:bottom w:val="none" w:sz="0" w:space="0" w:color="auto"/>
        <w:right w:val="none" w:sz="0" w:space="0" w:color="auto"/>
      </w:divBdr>
    </w:div>
    <w:div w:id="209335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1350</Words>
  <Characters>7700</Characters>
  <Application>Microsoft Office Word</Application>
  <DocSecurity>0</DocSecurity>
  <Lines>64</Lines>
  <Paragraphs>18</Paragraphs>
  <ScaleCrop>false</ScaleCrop>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3</cp:revision>
  <dcterms:created xsi:type="dcterms:W3CDTF">2024-05-10T02:17:00Z</dcterms:created>
  <dcterms:modified xsi:type="dcterms:W3CDTF">2024-05-20T04:46:00Z</dcterms:modified>
</cp:coreProperties>
</file>