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26496" w14:textId="5A7C84ED"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213" w:line="240" w:lineRule="auto"/>
        <w:outlineLvl w:val="0"/>
        <w:rPr>
          <w:rFonts w:ascii="Segoe UI" w:eastAsia="Times New Roman" w:hAnsi="Segoe UI" w:cs="Segoe UI"/>
          <w:b/>
          <w:bCs/>
          <w:color w:val="0D0D0D"/>
          <w:kern w:val="36"/>
          <w:sz w:val="54"/>
          <w:szCs w:val="54"/>
          <w:lang w:val="en-US"/>
        </w:rPr>
      </w:pPr>
      <w:r w:rsidRPr="00AA0A1E">
        <w:rPr>
          <w:rFonts w:ascii="Segoe UI" w:eastAsia="Times New Roman" w:hAnsi="Segoe UI" w:cs="Segoe UI"/>
          <w:b/>
          <w:bCs/>
          <w:color w:val="0D0D0D"/>
          <w:kern w:val="36"/>
          <w:sz w:val="54"/>
          <w:szCs w:val="54"/>
          <w:lang w:val="en-US"/>
        </w:rPr>
        <w:t>Additional Coverage and Costs in Insurance Claims Appraisals</w:t>
      </w:r>
      <w:r w:rsidR="00472FE4">
        <w:rPr>
          <w:rFonts w:ascii="Segoe UI" w:eastAsia="Times New Roman" w:hAnsi="Segoe UI" w:cs="Segoe UI"/>
          <w:b/>
          <w:bCs/>
          <w:color w:val="0D0D0D"/>
          <w:kern w:val="36"/>
          <w:sz w:val="54"/>
          <w:szCs w:val="54"/>
          <w:lang w:val="en-US"/>
        </w:rPr>
        <w:t xml:space="preserve"> Text to Speech Script</w:t>
      </w:r>
    </w:p>
    <w:p w14:paraId="5A699047"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 Introduction to Additional Coverage and Costs</w:t>
      </w:r>
    </w:p>
    <w:p w14:paraId="1ED0E011" w14:textId="77777777" w:rsidR="00AA0A1E" w:rsidRPr="00DE0246"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070C0"/>
          <w:sz w:val="24"/>
          <w:szCs w:val="24"/>
          <w:u w:val="single"/>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In this lesson, we will delve into the topic of 'Exploring Additional Coverage and Costs in Insurance Claims Appraisals.' We will examine the importance of considering supplementary coverages beyond the primary insurance and the various costs associated with them during the appraisal process.”</w:t>
      </w:r>
    </w:p>
    <w:p w14:paraId="4E30B1B5"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2: Importance of Supplementary Insurance</w:t>
      </w:r>
    </w:p>
    <w:p w14:paraId="3D1E5C2C" w14:textId="40A7EC85"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 xml:space="preserve">Script: </w:t>
      </w:r>
      <w:r w:rsidRPr="00DE0246">
        <w:rPr>
          <w:rFonts w:ascii="Segoe UI" w:eastAsia="Times New Roman" w:hAnsi="Segoe UI" w:cs="Segoe UI"/>
          <w:color w:val="0070C0"/>
          <w:sz w:val="24"/>
          <w:szCs w:val="24"/>
          <w:u w:val="single"/>
          <w:lang w:val="en-US"/>
        </w:rPr>
        <w:t xml:space="preserve">“When assessing an insurance claim, it is not only the primary coverage that matters but also the additional </w:t>
      </w:r>
      <w:proofErr w:type="gramStart"/>
      <w:r w:rsidRPr="00DE0246">
        <w:rPr>
          <w:rFonts w:ascii="Segoe UI" w:eastAsia="Times New Roman" w:hAnsi="Segoe UI" w:cs="Segoe UI"/>
          <w:color w:val="0070C0"/>
          <w:sz w:val="24"/>
          <w:szCs w:val="24"/>
          <w:u w:val="single"/>
          <w:lang w:val="en-US"/>
        </w:rPr>
        <w:t>coverages</w:t>
      </w:r>
      <w:proofErr w:type="gramEnd"/>
      <w:r w:rsidRPr="00DE0246">
        <w:rPr>
          <w:rFonts w:ascii="Segoe UI" w:eastAsia="Times New Roman" w:hAnsi="Segoe UI" w:cs="Segoe UI"/>
          <w:color w:val="0070C0"/>
          <w:sz w:val="24"/>
          <w:szCs w:val="24"/>
          <w:u w:val="single"/>
          <w:lang w:val="en-US"/>
        </w:rPr>
        <w:t xml:space="preserve"> that can significantly impact the final settlement. We will discuss supplementary insurance and explore how it can cover expenses like debris removal, demolition, and other costs associated with the incurred loss.”</w:t>
      </w:r>
      <w:r w:rsidRPr="00DE0246">
        <w:rPr>
          <w:rFonts w:ascii="Segoe UI" w:eastAsia="Times New Roman" w:hAnsi="Segoe UI" w:cs="Segoe UI"/>
          <w:color w:val="0070C0"/>
          <w:sz w:val="24"/>
          <w:szCs w:val="24"/>
          <w:lang w:val="en-US"/>
        </w:rPr>
        <w:t xml:space="preserve"> </w:t>
      </w:r>
    </w:p>
    <w:p w14:paraId="50C2E1A5"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3: Debris Removal and Demolition Costs</w:t>
      </w:r>
    </w:p>
    <w:p w14:paraId="5F5752BA" w14:textId="38D1121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 xml:space="preserve">It is common for insurance policies to provide additional support for debris removal and demolition costs. </w:t>
      </w:r>
      <w:proofErr w:type="gramStart"/>
      <w:r w:rsidRPr="00DE0246">
        <w:rPr>
          <w:rFonts w:ascii="Segoe UI" w:eastAsia="Times New Roman" w:hAnsi="Segoe UI" w:cs="Segoe UI"/>
          <w:color w:val="0070C0"/>
          <w:sz w:val="24"/>
          <w:szCs w:val="24"/>
          <w:u w:val="single"/>
          <w:lang w:val="en-US"/>
        </w:rPr>
        <w:t>These coverages extend</w:t>
      </w:r>
      <w:proofErr w:type="gramEnd"/>
      <w:r w:rsidRPr="00DE0246">
        <w:rPr>
          <w:rFonts w:ascii="Segoe UI" w:eastAsia="Times New Roman" w:hAnsi="Segoe UI" w:cs="Segoe UI"/>
          <w:color w:val="0070C0"/>
          <w:sz w:val="24"/>
          <w:szCs w:val="24"/>
          <w:u w:val="single"/>
          <w:lang w:val="en-US"/>
        </w:rPr>
        <w:t xml:space="preserve"> beyond the standard policy limits, and in cases of significant damage, the expenses can be quite substantial. For example, in California, insurance policies generally include debris removal coverage, as required by the state’s Department of Insurance, which mandates that insurers inform policyholders about this coverage following a loss (Cal. Ins. Code § 2051.5).”</w:t>
      </w:r>
    </w:p>
    <w:p w14:paraId="340D96F7"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4: Competitive Insurance Coverage</w:t>
      </w:r>
    </w:p>
    <w:p w14:paraId="349634C8"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5: Scenario Analysis</w:t>
      </w:r>
    </w:p>
    <w:p w14:paraId="01739994" w14:textId="3CCA13D3"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 xml:space="preserve">Script: </w:t>
      </w:r>
      <w:r w:rsidRPr="00DE0246">
        <w:rPr>
          <w:rFonts w:ascii="Segoe UI" w:eastAsia="Times New Roman" w:hAnsi="Segoe UI" w:cs="Segoe UI"/>
          <w:color w:val="0070C0"/>
          <w:sz w:val="24"/>
          <w:szCs w:val="24"/>
          <w:lang w:val="en-US"/>
        </w:rPr>
        <w:t>“</w:t>
      </w:r>
      <w:r w:rsidRPr="00DE0246">
        <w:rPr>
          <w:rFonts w:ascii="Segoe UI" w:eastAsia="Times New Roman" w:hAnsi="Segoe UI" w:cs="Segoe UI"/>
          <w:color w:val="0070C0"/>
          <w:sz w:val="24"/>
          <w:szCs w:val="24"/>
          <w:u w:val="single"/>
          <w:lang w:val="en-US"/>
        </w:rPr>
        <w:t>Imagine a scenario where a disaster strikes, causing extensive damage to a policyholder’s property. The costs of debris removal and demolition can quickly accumulate, becoming a burden for homeowners and businesses alike. However, as most policies include coverage for these expenses, it is crucial to account for all aspects of the loss.</w:t>
      </w:r>
      <w:r w:rsidRPr="00AA0A1E">
        <w:rPr>
          <w:rFonts w:ascii="Segoe UI" w:eastAsia="Times New Roman" w:hAnsi="Segoe UI" w:cs="Segoe UI"/>
          <w:color w:val="0D0D0D"/>
          <w:sz w:val="24"/>
          <w:szCs w:val="24"/>
          <w:lang w:val="en-US"/>
        </w:rPr>
        <w:t xml:space="preserve">” </w:t>
      </w:r>
    </w:p>
    <w:p w14:paraId="4AD769BA"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6: California Example</w:t>
      </w:r>
    </w:p>
    <w:p w14:paraId="44FFEFCB" w14:textId="2F674CD6"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 xml:space="preserve">Script: </w:t>
      </w:r>
      <w:r w:rsidRPr="00DE0246">
        <w:rPr>
          <w:rFonts w:ascii="Segoe UI" w:eastAsia="Times New Roman" w:hAnsi="Segoe UI" w:cs="Segoe UI"/>
          <w:color w:val="0070C0"/>
          <w:sz w:val="24"/>
          <w:szCs w:val="24"/>
          <w:u w:val="single"/>
          <w:lang w:val="en-US"/>
        </w:rPr>
        <w:t>“In California, for instance, insurance policies generally include debris removal coverage. This means that in the aftermath of a loss, policyholders should have these additional expenses included in the appraisal of the amount of loss.”</w:t>
      </w:r>
    </w:p>
    <w:p w14:paraId="299F2147"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7: Regulatory Requirements</w:t>
      </w:r>
    </w:p>
    <w:p w14:paraId="36B793F7"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8: Transparency and Clarity</w:t>
      </w:r>
    </w:p>
    <w:p w14:paraId="3BB43E0D"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By enforcing this regulation, the Department of Insurance aims to provide transparency and clarity to policyholders. Although it may not always work out as intended, it is meant to help policyholders know exactly what is covered and reduce confusion during the claims process</w:t>
      </w:r>
      <w:r w:rsidRPr="00AA0A1E">
        <w:rPr>
          <w:rFonts w:ascii="Segoe UI" w:eastAsia="Times New Roman" w:hAnsi="Segoe UI" w:cs="Segoe UI"/>
          <w:color w:val="0D0D0D"/>
          <w:sz w:val="24"/>
          <w:szCs w:val="24"/>
          <w:lang w:val="en-US"/>
        </w:rPr>
        <w:t>.”</w:t>
      </w:r>
    </w:p>
    <w:p w14:paraId="0CBD51F7"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9: Other Supplementary Coverages</w:t>
      </w:r>
    </w:p>
    <w:p w14:paraId="55FE3105" w14:textId="4006AA58" w:rsidR="00AA0A1E" w:rsidRPr="00DE0246"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070C0"/>
          <w:sz w:val="24"/>
          <w:szCs w:val="24"/>
          <w:u w:val="single"/>
          <w:lang w:val="en-US"/>
        </w:rPr>
      </w:pPr>
      <w:r w:rsidRPr="00AA0A1E">
        <w:rPr>
          <w:rFonts w:ascii="Segoe UI" w:eastAsia="Times New Roman" w:hAnsi="Segoe UI" w:cs="Segoe UI"/>
          <w:color w:val="0D0D0D"/>
          <w:sz w:val="24"/>
          <w:szCs w:val="24"/>
          <w:lang w:val="en-US"/>
        </w:rPr>
        <w:t xml:space="preserve">Script: </w:t>
      </w:r>
      <w:r w:rsidRPr="00DE0246">
        <w:rPr>
          <w:rFonts w:ascii="Segoe UI" w:eastAsia="Times New Roman" w:hAnsi="Segoe UI" w:cs="Segoe UI"/>
          <w:color w:val="0070C0"/>
          <w:sz w:val="24"/>
          <w:szCs w:val="24"/>
          <w:u w:val="single"/>
          <w:lang w:val="en-US"/>
        </w:rPr>
        <w:t xml:space="preserve">“Within the insurance policy, it is common to find supplementary </w:t>
      </w:r>
      <w:proofErr w:type="gramStart"/>
      <w:r w:rsidRPr="00DE0246">
        <w:rPr>
          <w:rFonts w:ascii="Segoe UI" w:eastAsia="Times New Roman" w:hAnsi="Segoe UI" w:cs="Segoe UI"/>
          <w:color w:val="0070C0"/>
          <w:sz w:val="24"/>
          <w:szCs w:val="24"/>
          <w:u w:val="single"/>
          <w:lang w:val="en-US"/>
        </w:rPr>
        <w:t>coverages</w:t>
      </w:r>
      <w:proofErr w:type="gramEnd"/>
      <w:r w:rsidRPr="00DE0246">
        <w:rPr>
          <w:rFonts w:ascii="Segoe UI" w:eastAsia="Times New Roman" w:hAnsi="Segoe UI" w:cs="Segoe UI"/>
          <w:color w:val="0070C0"/>
          <w:sz w:val="24"/>
          <w:szCs w:val="24"/>
          <w:u w:val="single"/>
          <w:lang w:val="en-US"/>
        </w:rPr>
        <w:t xml:space="preserve"> addressing various expenses related to the loss. These additional costs might include emergency repairs and extra living expenses. In many states, homeowners' insurance policies often include coverage for additional living expenses, helping to cover increased costs during the repair or reconstruction period (Ariz. Rev. Stat. § 20-1632).”</w:t>
      </w:r>
    </w:p>
    <w:p w14:paraId="13AB60D0"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10: Comprehensive Coverage Consideration</w:t>
      </w:r>
    </w:p>
    <w:p w14:paraId="30ADD6CB" w14:textId="17CE94E9"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Life is full of unexpected events. When the unforeseen happens, modern policies that go beyond basic coverage allow for a more comprehensive consideration of the loss. It is important for the appraisal panel to evaluate all elements of the loss, allowing the parties or the courts to determine what aspects are covered</w:t>
      </w:r>
      <w:r w:rsidRPr="00AA0A1E">
        <w:rPr>
          <w:rFonts w:ascii="Segoe UI" w:eastAsia="Times New Roman" w:hAnsi="Segoe UI" w:cs="Segoe UI"/>
          <w:color w:val="0D0D0D"/>
          <w:sz w:val="24"/>
          <w:szCs w:val="24"/>
          <w:lang w:val="en-US"/>
        </w:rPr>
        <w:t xml:space="preserve">.” </w:t>
      </w:r>
    </w:p>
    <w:p w14:paraId="1815EB50"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11: Realistic Coverage in Modern Policies</w:t>
      </w:r>
    </w:p>
    <w:p w14:paraId="098F1713"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12: Arizona Example</w:t>
      </w:r>
    </w:p>
    <w:p w14:paraId="5174FBD5" w14:textId="2AF8E1D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Consider Arizona, where homeowners' insurance policies frequently include coverage for additional living expenses. If this coverage is in dispute, it must be factored in by the appraisal panel</w:t>
      </w:r>
      <w:r w:rsidRPr="00AA0A1E">
        <w:rPr>
          <w:rFonts w:ascii="Segoe UI" w:eastAsia="Times New Roman" w:hAnsi="Segoe UI" w:cs="Segoe UI"/>
          <w:color w:val="0D0D0D"/>
          <w:sz w:val="24"/>
          <w:szCs w:val="24"/>
          <w:lang w:val="en-US"/>
        </w:rPr>
        <w:t xml:space="preserve">.” </w:t>
      </w:r>
    </w:p>
    <w:p w14:paraId="0FEE029B"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13: Importance of Comprehensive Coverage</w:t>
      </w:r>
    </w:p>
    <w:p w14:paraId="38E6C130" w14:textId="1AEC4B64"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As we delve into the appraisal process, it is crucial to consider and integrate these additional coverages, especially when they are in dispute. Overlooking their inclusion can lead to disputes and extended delays in settling claims. In Texas, the Texas Department of Insurance emphasizes accounting for all relevant coverages tied to the loss when determining the appraisal award (Tex. Ins. Code Ann. § 4101.002).”</w:t>
      </w:r>
    </w:p>
    <w:p w14:paraId="078E0FDB"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14: Post-Award Discoveries</w:t>
      </w:r>
    </w:p>
    <w:p w14:paraId="7002E79F" w14:textId="22015CEF"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 xml:space="preserve">Sometimes, unforeseen damages or unexpected expenses emerge after the appraisal award is issued. In such cases, it becomes necessary to reevaluate the appraisal process to ensure proper coverage for these newly identified costs. In Florida, the Florida Department of Financial Services allows reopening the appraisal process when concealed damages appear after the initial award </w:t>
      </w:r>
      <w:r w:rsidRPr="00AA0A1E">
        <w:rPr>
          <w:rFonts w:ascii="Segoe UI" w:eastAsia="Times New Roman" w:hAnsi="Segoe UI" w:cs="Segoe UI"/>
          <w:color w:val="0D0D0D"/>
          <w:sz w:val="24"/>
          <w:szCs w:val="24"/>
          <w:lang w:val="en-US"/>
        </w:rPr>
        <w:t>(Fla. Stat. § 626.9744).”</w:t>
      </w:r>
    </w:p>
    <w:p w14:paraId="3A1FC6D2" w14:textId="0D0C4BDA" w:rsidR="00DE0246" w:rsidRPr="00C01489" w:rsidRDefault="00AA0A1E" w:rsidP="00C01489">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15: Significance of Cost Consideration</w:t>
      </w:r>
    </w:p>
    <w:p w14:paraId="5EC25AF5" w14:textId="33435BA6" w:rsidR="00AA0A1E" w:rsidRPr="00DE0246"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070C0"/>
          <w:sz w:val="24"/>
          <w:szCs w:val="24"/>
          <w:u w:val="single"/>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Recognizing the significance of costs in the appraisal process is paramount. By doing so, we enable better allocation of resources, informed decisions, and improved outcomes. Neglecting to consider costs can lead to disputes and frustrating delays. To ensure a fair appraisal, it is essential to carefully account for all pertinent coverages.”</w:t>
      </w:r>
    </w:p>
    <w:p w14:paraId="61285F3D"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16: Key Points on Cost Consideration</w:t>
      </w:r>
    </w:p>
    <w:p w14:paraId="64DA9920" w14:textId="77777777" w:rsidR="00AA0A1E" w:rsidRPr="00DE0246"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b/>
          <w:bCs/>
          <w:color w:val="0D0D0D"/>
          <w:sz w:val="24"/>
          <w:szCs w:val="24"/>
          <w:lang w:val="en-US"/>
        </w:rPr>
      </w:pPr>
      <w:r w:rsidRPr="00DE0246">
        <w:rPr>
          <w:rFonts w:ascii="Segoe UI" w:eastAsia="Times New Roman" w:hAnsi="Segoe UI" w:cs="Segoe UI"/>
          <w:b/>
          <w:bCs/>
          <w:color w:val="0D0D0D"/>
          <w:sz w:val="24"/>
          <w:szCs w:val="24"/>
          <w:lang w:val="en-US"/>
        </w:rPr>
        <w:t>Text:</w:t>
      </w:r>
    </w:p>
    <w:p w14:paraId="56ED8483" w14:textId="44C7299D" w:rsidR="00AA0A1E" w:rsidRPr="00AA0A1E" w:rsidRDefault="00AA0A1E" w:rsidP="00C01489">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ind w:left="720"/>
        <w:rPr>
          <w:rFonts w:ascii="Segoe UI" w:eastAsia="Times New Roman" w:hAnsi="Segoe UI" w:cs="Segoe UI"/>
          <w:color w:val="0D0D0D"/>
          <w:sz w:val="24"/>
          <w:szCs w:val="24"/>
          <w:lang w:val="en-US"/>
        </w:rPr>
      </w:pPr>
      <w:r w:rsidRPr="00AA0A1E">
        <w:rPr>
          <w:rFonts w:ascii="Segoe UI" w:eastAsia="Times New Roman" w:hAnsi="Segoe UI" w:cs="Segoe UI"/>
          <w:color w:val="0D0D0D"/>
          <w:sz w:val="24"/>
          <w:szCs w:val="24"/>
          <w:lang w:val="en-US"/>
        </w:rPr>
        <w:t xml:space="preserve">Script: </w:t>
      </w:r>
      <w:r w:rsidRPr="00D93214">
        <w:rPr>
          <w:rFonts w:ascii="Segoe UI" w:eastAsia="Times New Roman" w:hAnsi="Segoe UI" w:cs="Segoe UI"/>
          <w:color w:val="0070C0"/>
          <w:sz w:val="24"/>
          <w:szCs w:val="24"/>
          <w:u w:val="single"/>
          <w:lang w:val="en-US"/>
        </w:rPr>
        <w:t>“Here are some key points on the importance of considering costs in the award. Cost consideration in the appraisal process enables informed decision-making and optimal resource allocation. It leads to improved outcomes, cost-saving opportunities, and better financial risk management. Factoring in all relevant coverages ensures comprehensive coverage, helps avoid post-award disputes and delays, and promotes compliance with regulations, fostering transparency and accountability</w:t>
      </w:r>
      <w:r w:rsidRPr="00AA0A1E">
        <w:rPr>
          <w:rFonts w:ascii="Segoe UI" w:eastAsia="Times New Roman" w:hAnsi="Segoe UI" w:cs="Segoe UI"/>
          <w:color w:val="0D0D0D"/>
          <w:sz w:val="24"/>
          <w:szCs w:val="24"/>
          <w:lang w:val="en-US"/>
        </w:rPr>
        <w:t>.”</w:t>
      </w:r>
    </w:p>
    <w:p w14:paraId="710189F3" w14:textId="77777777" w:rsidR="00AA0A1E" w:rsidRPr="00AA0A1E" w:rsidRDefault="00AA0A1E" w:rsidP="00AA0A1E">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AA0A1E">
        <w:rPr>
          <w:rFonts w:ascii="Segoe UI" w:eastAsia="Times New Roman" w:hAnsi="Segoe UI" w:cs="Segoe UI"/>
          <w:b/>
          <w:bCs/>
          <w:color w:val="0D0D0D"/>
          <w:sz w:val="36"/>
          <w:szCs w:val="36"/>
          <w:lang w:val="en-US"/>
        </w:rPr>
        <w:t>Slide 17: Conclusion</w:t>
      </w:r>
    </w:p>
    <w:p w14:paraId="631632D9" w14:textId="701B461F" w:rsidR="00AA0A1E" w:rsidRPr="00DE0246" w:rsidRDefault="00AA0A1E" w:rsidP="00AA0A1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070C0"/>
          <w:sz w:val="24"/>
          <w:szCs w:val="24"/>
          <w:u w:val="single"/>
          <w:lang w:val="en-US"/>
        </w:rPr>
      </w:pPr>
      <w:r w:rsidRPr="00AA0A1E">
        <w:rPr>
          <w:rFonts w:ascii="Segoe UI" w:eastAsia="Times New Roman" w:hAnsi="Segoe UI" w:cs="Segoe UI"/>
          <w:color w:val="0D0D0D"/>
          <w:sz w:val="24"/>
          <w:szCs w:val="24"/>
          <w:lang w:val="en-US"/>
        </w:rPr>
        <w:t>Script: “</w:t>
      </w:r>
      <w:r w:rsidRPr="00DE0246">
        <w:rPr>
          <w:rFonts w:ascii="Segoe UI" w:eastAsia="Times New Roman" w:hAnsi="Segoe UI" w:cs="Segoe UI"/>
          <w:color w:val="0070C0"/>
          <w:sz w:val="24"/>
          <w:szCs w:val="24"/>
          <w:u w:val="single"/>
          <w:lang w:val="en-US"/>
        </w:rPr>
        <w:t>In conclusion, factoring in costs during the appraisal process empowers us to make well-informed decisions, leading to better outcomes and opportunities to reduce post-award complexities. It ensures that all aspects are comprehensively accounted for, promoting transparency and accountability. This understanding is crucial for conducting a fair appraisal, giving policyholders the peace of mind they rightfully deserve.”</w:t>
      </w:r>
    </w:p>
    <w:p w14:paraId="1D268FC2" w14:textId="77777777" w:rsidR="00AA0A1E" w:rsidRDefault="00AA0A1E">
      <w:pPr>
        <w:jc w:val="both"/>
        <w:rPr>
          <w:b/>
          <w:color w:val="FF0000"/>
          <w:sz w:val="28"/>
          <w:szCs w:val="28"/>
        </w:rPr>
      </w:pPr>
    </w:p>
    <w:p w14:paraId="2BF8FC0D" w14:textId="77777777" w:rsidR="007B5132" w:rsidRPr="007B5132" w:rsidRDefault="007B5132" w:rsidP="007B5132">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1"/>
        <w:rPr>
          <w:rFonts w:ascii="Segoe UI" w:eastAsia="Times New Roman" w:hAnsi="Segoe UI" w:cs="Segoe UI"/>
          <w:b/>
          <w:bCs/>
          <w:color w:val="0D0D0D"/>
          <w:sz w:val="36"/>
          <w:szCs w:val="36"/>
          <w:lang w:val="en-US"/>
        </w:rPr>
      </w:pPr>
      <w:r w:rsidRPr="007B5132">
        <w:rPr>
          <w:rFonts w:ascii="Segoe UI" w:eastAsia="Times New Roman" w:hAnsi="Segoe UI" w:cs="Segoe UI"/>
          <w:b/>
          <w:bCs/>
          <w:color w:val="0D0D0D"/>
          <w:sz w:val="36"/>
          <w:szCs w:val="36"/>
          <w:lang w:val="en-US"/>
        </w:rPr>
        <w:t>Slide 18: Key Questions for Understanding Additional Coverage and Costs</w:t>
      </w:r>
    </w:p>
    <w:p w14:paraId="50504229" w14:textId="77777777" w:rsidR="007B5132" w:rsidRPr="00C01489" w:rsidRDefault="007B5132" w:rsidP="007B5132">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070C0"/>
          <w:sz w:val="24"/>
          <w:szCs w:val="24"/>
          <w:u w:val="single"/>
          <w:lang w:val="en-US"/>
        </w:rPr>
      </w:pPr>
      <w:r w:rsidRPr="007B5132">
        <w:rPr>
          <w:rFonts w:ascii="Segoe UI" w:eastAsia="Times New Roman" w:hAnsi="Segoe UI" w:cs="Segoe UI"/>
          <w:color w:val="0D0D0D"/>
          <w:sz w:val="24"/>
          <w:szCs w:val="24"/>
          <w:lang w:val="en-US"/>
        </w:rPr>
        <w:t>Script</w:t>
      </w:r>
      <w:r w:rsidRPr="00C01489">
        <w:rPr>
          <w:rFonts w:ascii="Segoe UI" w:eastAsia="Times New Roman" w:hAnsi="Segoe UI" w:cs="Segoe UI"/>
          <w:color w:val="0070C0"/>
          <w:sz w:val="24"/>
          <w:szCs w:val="24"/>
          <w:u w:val="single"/>
          <w:lang w:val="en-US"/>
        </w:rPr>
        <w:t>: “Take your time to consider and answer the following questions. By doing so, you will gain a comprehensive understanding of the topic and be better equipped to navigate insurance claims appraisals with confidence.”</w:t>
      </w:r>
    </w:p>
    <w:p w14:paraId="38137EB6" w14:textId="77777777" w:rsidR="00AA0A1E" w:rsidRDefault="00AA0A1E">
      <w:pPr>
        <w:jc w:val="both"/>
        <w:rPr>
          <w:b/>
          <w:color w:val="FF0000"/>
          <w:sz w:val="28"/>
          <w:szCs w:val="28"/>
        </w:rPr>
      </w:pPr>
    </w:p>
    <w:p w14:paraId="00000069" w14:textId="77777777" w:rsidR="008D343F" w:rsidRDefault="008D343F">
      <w:pPr>
        <w:jc w:val="both"/>
        <w:rPr>
          <w:sz w:val="24"/>
          <w:szCs w:val="24"/>
        </w:rPr>
      </w:pPr>
    </w:p>
    <w:sectPr w:rsidR="008D343F">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FF15" w14:textId="77777777" w:rsidR="003D0270" w:rsidRDefault="003D0270">
      <w:pPr>
        <w:spacing w:line="240" w:lineRule="auto"/>
      </w:pPr>
      <w:r>
        <w:separator/>
      </w:r>
    </w:p>
  </w:endnote>
  <w:endnote w:type="continuationSeparator" w:id="0">
    <w:p w14:paraId="24C23FA3" w14:textId="77777777" w:rsidR="003D0270" w:rsidRDefault="003D02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F6ADD" w14:textId="77777777" w:rsidR="003D0270" w:rsidRDefault="003D0270">
      <w:pPr>
        <w:spacing w:line="240" w:lineRule="auto"/>
      </w:pPr>
      <w:r>
        <w:separator/>
      </w:r>
    </w:p>
  </w:footnote>
  <w:footnote w:type="continuationSeparator" w:id="0">
    <w:p w14:paraId="701A17E3" w14:textId="77777777" w:rsidR="003D0270" w:rsidRDefault="003D02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A" w14:textId="77777777" w:rsidR="008D343F" w:rsidRDefault="00880A9F">
    <w:r>
      <w:rPr>
        <w:noProof/>
      </w:rPr>
      <w:drawing>
        <wp:inline distT="114300" distB="114300" distL="114300" distR="114300" wp14:anchorId="17CE1CF4" wp14:editId="59397CDA">
          <wp:extent cx="1586880" cy="5191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86880" cy="5191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C2781"/>
    <w:multiLevelType w:val="multilevel"/>
    <w:tmpl w:val="7410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32B71"/>
    <w:multiLevelType w:val="multilevel"/>
    <w:tmpl w:val="87AC69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5B6815"/>
    <w:multiLevelType w:val="multilevel"/>
    <w:tmpl w:val="6EFE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7C0474"/>
    <w:multiLevelType w:val="multilevel"/>
    <w:tmpl w:val="0F2693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83947955">
    <w:abstractNumId w:val="3"/>
  </w:num>
  <w:num w:numId="2" w16cid:durableId="617563279">
    <w:abstractNumId w:val="2"/>
  </w:num>
  <w:num w:numId="3" w16cid:durableId="1093208732">
    <w:abstractNumId w:val="0"/>
  </w:num>
  <w:num w:numId="4" w16cid:durableId="1525705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3F"/>
    <w:rsid w:val="00161E35"/>
    <w:rsid w:val="002B70E6"/>
    <w:rsid w:val="003D0270"/>
    <w:rsid w:val="00472FE4"/>
    <w:rsid w:val="004A20EA"/>
    <w:rsid w:val="005632C9"/>
    <w:rsid w:val="00706D27"/>
    <w:rsid w:val="007B5132"/>
    <w:rsid w:val="008D343F"/>
    <w:rsid w:val="00AA0A1E"/>
    <w:rsid w:val="00C01489"/>
    <w:rsid w:val="00D93214"/>
    <w:rsid w:val="00DE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EDEB"/>
  <w15:docId w15:val="{9AAC283B-2235-4C9C-881E-3F0144FD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090381">
      <w:bodyDiv w:val="1"/>
      <w:marLeft w:val="0"/>
      <w:marRight w:val="0"/>
      <w:marTop w:val="0"/>
      <w:marBottom w:val="0"/>
      <w:divBdr>
        <w:top w:val="none" w:sz="0" w:space="0" w:color="auto"/>
        <w:left w:val="none" w:sz="0" w:space="0" w:color="auto"/>
        <w:bottom w:val="none" w:sz="0" w:space="0" w:color="auto"/>
        <w:right w:val="none" w:sz="0" w:space="0" w:color="auto"/>
      </w:divBdr>
    </w:div>
    <w:div w:id="1502239123">
      <w:bodyDiv w:val="1"/>
      <w:marLeft w:val="0"/>
      <w:marRight w:val="0"/>
      <w:marTop w:val="0"/>
      <w:marBottom w:val="0"/>
      <w:divBdr>
        <w:top w:val="none" w:sz="0" w:space="0" w:color="auto"/>
        <w:left w:val="none" w:sz="0" w:space="0" w:color="auto"/>
        <w:bottom w:val="none" w:sz="0" w:space="0" w:color="auto"/>
        <w:right w:val="none" w:sz="0" w:space="0" w:color="auto"/>
      </w:divBdr>
    </w:div>
    <w:div w:id="1774938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f+s4g/jwujhCDCgJl4F0JIsgg==">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DISIENO</dc:creator>
  <cp:lastModifiedBy>THOMAS DISIENO</cp:lastModifiedBy>
  <cp:revision>2</cp:revision>
  <dcterms:created xsi:type="dcterms:W3CDTF">2024-05-20T22:48:00Z</dcterms:created>
  <dcterms:modified xsi:type="dcterms:W3CDTF">2024-05-20T22:48:00Z</dcterms:modified>
</cp:coreProperties>
</file>