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t>WHITE PAPER</w:t>
      </w:r>
    </w:p>
    <w:p>
      <w:pPr>
        <w:jc w:val="center"/>
      </w:pPr>
      <w:r>
        <w:t>PROPERTY &amp; CASUALTY INSURANCE APPRAISAL SERIES</w:t>
      </w:r>
    </w:p>
    <w:p>
      <w:pPr>
        <w:pStyle w:val="Title"/>
        <w:jc w:val="center"/>
      </w:pPr>
      <w:r>
        <w:t>The Form and Substance of the Insurance Appraisal Award</w:t>
      </w:r>
    </w:p>
    <w:p>
      <w:pPr>
        <w:pStyle w:val="Subtitle"/>
        <w:jc w:val="center"/>
      </w:pPr>
      <w:r>
        <w:t>A Practitioner's Analysis of the Authoritative Case Law Governing Itemization, Scope, and Enforceability of Appraisal Awards</w:t>
      </w:r>
    </w:p>
    <w:p>
      <w:pPr>
        <w:jc w:val="center"/>
      </w:pPr>
      <w:r>
        <w:t>Prepared for Policyholder Counsel, Public Adjusters, and Coverage Consultants</w:t>
      </w:r>
    </w:p>
    <w:p>
      <w:pPr>
        <w:jc w:val="center"/>
      </w:pPr>
      <w:r>
        <w:t>July 2026</w:t>
      </w:r>
    </w:p>
    <w:p>
      <w:pPr>
        <w:pStyle w:val="Heading1"/>
      </w:pPr>
      <w:r>
        <w:t>Table of Contents</w:t>
      </w:r>
    </w:p>
    <w:tbl>
      <w:tblPr>
        <w:tblStyle w:val="LightGrid-Accent1"/>
        <w:tblW w:type="auto" w:w="0"/>
        <w:tblLook w:firstColumn="1" w:firstRow="1" w:lastColumn="0" w:lastRow="0" w:noHBand="0" w:noVBand="1" w:val="04A0"/>
      </w:tblPr>
      <w:tblGrid>
        <w:gridCol w:w="4320"/>
        <w:gridCol w:w="4320"/>
      </w:tblGrid>
      <w:tr>
        <w:tc>
          <w:tcPr>
            <w:tcW w:type="dxa" w:w="4320"/>
          </w:tcPr>
          <w:p>
            <w:r>
              <w:t>Executive Summary</w:t>
            </w:r>
          </w:p>
        </w:tc>
        <w:tc>
          <w:tcPr>
            <w:tcW w:type="dxa" w:w="4320"/>
          </w:tcPr>
          <w:p>
            <w:r>
              <w:t>3</w:t>
            </w:r>
          </w:p>
        </w:tc>
      </w:tr>
      <w:tr>
        <w:tc>
          <w:tcPr>
            <w:tcW w:type="dxa" w:w="4320"/>
          </w:tcPr>
          <w:p>
            <w:r>
              <w:t>I. Introduction</w:t>
            </w:r>
          </w:p>
        </w:tc>
        <w:tc>
          <w:tcPr>
            <w:tcW w:type="dxa" w:w="4320"/>
          </w:tcPr>
          <w:p>
            <w:r>
              <w:t>4</w:t>
            </w:r>
          </w:p>
        </w:tc>
      </w:tr>
      <w:tr>
        <w:tc>
          <w:tcPr>
            <w:tcW w:type="dxa" w:w="4320"/>
          </w:tcPr>
          <w:p>
            <w:r>
              <w:t>II. The Contractual and Statutory Framework Governing Appraisal Awards</w:t>
            </w:r>
          </w:p>
        </w:tc>
        <w:tc>
          <w:tcPr>
            <w:tcW w:type="dxa" w:w="4320"/>
          </w:tcPr>
          <w:p>
            <w:r>
              <w:t>5</w:t>
            </w:r>
          </w:p>
        </w:tc>
      </w:tr>
      <w:tr>
        <w:tc>
          <w:tcPr>
            <w:tcW w:type="dxa" w:w="4320"/>
          </w:tcPr>
          <w:p>
            <w:r>
              <w:t>III. Itemization: The Central Battleground of Award Validity</w:t>
            </w:r>
          </w:p>
        </w:tc>
        <w:tc>
          <w:tcPr>
            <w:tcW w:type="dxa" w:w="4320"/>
          </w:tcPr>
          <w:p>
            <w:r>
              <w:t>6</w:t>
            </w:r>
          </w:p>
        </w:tc>
      </w:tr>
      <w:tr>
        <w:tc>
          <w:tcPr>
            <w:tcW w:type="dxa" w:w="4320"/>
          </w:tcPr>
          <w:p>
            <w:r>
              <w:t>IV. Scope of the Award: Ancillary Costs and Additional Coverages</w:t>
            </w:r>
          </w:p>
        </w:tc>
        <w:tc>
          <w:tcPr>
            <w:tcW w:type="dxa" w:w="4320"/>
          </w:tcPr>
          <w:p>
            <w:r>
              <w:t>9</w:t>
            </w:r>
          </w:p>
        </w:tc>
      </w:tr>
      <w:tr>
        <w:tc>
          <w:tcPr>
            <w:tcW w:type="dxa" w:w="4320"/>
          </w:tcPr>
          <w:p>
            <w:r>
              <w:t>V. Invalid Award Techniques: The Quotient Award Problem</w:t>
            </w:r>
          </w:p>
        </w:tc>
        <w:tc>
          <w:tcPr>
            <w:tcW w:type="dxa" w:w="4320"/>
          </w:tcPr>
          <w:p>
            <w:r>
              <w:t>10</w:t>
            </w:r>
          </w:p>
        </w:tc>
      </w:tr>
      <w:tr>
        <w:tc>
          <w:tcPr>
            <w:tcW w:type="dxa" w:w="4320"/>
          </w:tcPr>
          <w:p>
            <w:r>
              <w:t>VI. Confidentiality and the Discovery Shield</w:t>
            </w:r>
          </w:p>
        </w:tc>
        <w:tc>
          <w:tcPr>
            <w:tcW w:type="dxa" w:w="4320"/>
          </w:tcPr>
          <w:p>
            <w:r>
              <w:t>11</w:t>
            </w:r>
          </w:p>
        </w:tc>
      </w:tr>
      <w:tr>
        <w:tc>
          <w:tcPr>
            <w:tcW w:type="dxa" w:w="4320"/>
          </w:tcPr>
          <w:p>
            <w:r>
              <w:t>VII. Survey of Governing Authority</w:t>
            </w:r>
          </w:p>
        </w:tc>
        <w:tc>
          <w:tcPr>
            <w:tcW w:type="dxa" w:w="4320"/>
          </w:tcPr>
          <w:p>
            <w:r>
              <w:t>12</w:t>
            </w:r>
          </w:p>
        </w:tc>
      </w:tr>
      <w:tr>
        <w:tc>
          <w:tcPr>
            <w:tcW w:type="dxa" w:w="4320"/>
          </w:tcPr>
          <w:p>
            <w:r>
              <w:t>VIII. Practical Recommendations for Practitioners</w:t>
            </w:r>
          </w:p>
        </w:tc>
        <w:tc>
          <w:tcPr>
            <w:tcW w:type="dxa" w:w="4320"/>
          </w:tcPr>
          <w:p>
            <w:r>
              <w:t>16</w:t>
            </w:r>
          </w:p>
        </w:tc>
      </w:tr>
      <w:tr>
        <w:tc>
          <w:tcPr>
            <w:tcW w:type="dxa" w:w="4320"/>
          </w:tcPr>
          <w:p>
            <w:r>
              <w:t>IX. Conclusion</w:t>
            </w:r>
          </w:p>
        </w:tc>
        <w:tc>
          <w:tcPr>
            <w:tcW w:type="dxa" w:w="4320"/>
          </w:tcPr>
          <w:p>
            <w:r>
              <w:t>17</w:t>
            </w:r>
          </w:p>
        </w:tc>
      </w:tr>
    </w:tbl>
    <w:p>
      <w:pPr>
        <w:pStyle w:val="Heading1"/>
      </w:pPr>
      <w:r>
        <w:t>Executive Summary</w:t>
      </w:r>
    </w:p>
    <w:p>
      <w:pPr/>
      <w:r>
        <w:t>An insurance appraisal award is only as durable as its form. Courts across jurisdictions have repeatedly set aside awards that were procedurally sound in every other respect but failed to say, with sufficient particularity, how the umpire and appraisers arrived at the number on the page. This white paper synthesizes the governing case law on the form and substance of the appraisal award, with particular attention to the itemization requirement, the treatment of ancillary and additional-coverage costs, the prohibition on quotient awards, and the confidentiality that shields the appraisal panel's deliberative process from discovery.</w:t>
      </w:r>
    </w:p>
    <w:p>
      <w:pPr/>
      <w:r>
        <w:t>For policyholder advocates, the central lesson is that the appraisal award is a drafting exercise as much as a valuation exercise. An award that reaches the correct number but fails to itemize, segregate by coverage, or memorialize the panel's basic methodology invites exactly the post-award litigation that appraisal was designed to avoid. This paper distills the controlling authority into practical guidance for structuring, reviewing, and defending appraisal awards before they are signed — not after they are challenged.</w:t>
      </w:r>
    </w:p>
    <w:p>
      <w:pPr/>
      <w:r>
        <w:t>“The purpose of the appraisal process is to determine the amount of loss, not its specific allocation — yet courts have consistently required enough detail to make that amount defensible.”</w:t>
      </w:r>
    </w:p>
    <w:p>
      <w:pPr>
        <w:pStyle w:val="Heading1"/>
      </w:pPr>
      <w:r>
        <w:t>I. Introduction</w:t>
      </w:r>
    </w:p>
    <w:p>
      <w:pPr/>
      <w:r>
        <w:t>Appraisal is a contractual alternative-dispute-resolution mechanism embedded in the vast majority of property insurance policies. When the insurer and the policyholder disagree on the amount of loss — as opposed to whether a loss is covered at all — either party may invoke the appraisal clause. Each side selects a competent and impartial appraiser, and the two appraisers select an umpire to break any deadlock. The product of that process is the appraisal award: a document that, once signed by the umpire and either appraiser, is generally treated as final and binding on the amount of the loss.</w:t>
      </w:r>
    </w:p>
    <w:p>
      <w:pPr/>
      <w:r>
        <w:t>That finality is precisely why the form of the award matters so much. Because courts afford appraisal awards a strong presumption of validity and a narrow standard of review — typically limited to fraud, corruption, misconduct, or a failure to follow the essential requirements of the appraisal process — a party seeking to challenge an award has few avenues available. One of the most consistently litigated avenues is the argument that the award itself is defective on its face: unsigned, unitemized, a disguised coverage determination, or the product of an averaging technique the law does not permit.</w:t>
      </w:r>
    </w:p>
    <w:p>
      <w:pPr/>
      <w:r>
        <w:t>This white paper organizes several decades of appraisal-award jurisprudence around the recurring points of dispute practitioners are most likely to encounter, and closes with practical recommendations for drafting appraisal agreements and reviewing awards before they are executed.</w:t>
      </w:r>
    </w:p>
    <w:p>
      <w:pPr>
        <w:pStyle w:val="Heading1"/>
      </w:pPr>
      <w:r>
        <w:t>II. The Contractual and Statutory Framework Governing Appraisal Awards</w:t>
      </w:r>
    </w:p>
    <w:p>
      <w:pPr/>
      <w:r>
        <w:t>Appraisal awards must, as a baseline matter, be in writing, itemized, and signed by any two of the three panel members — typically the umpire and one appraiser, following whatever method the parties agreed upon in the appraisal agreement or the governing policy language. Deviation from that general procedure is permissible only where the appraisers unanimously agree to it, most often memorialized through an executed appraisal protocol negotiated before the panel begins its work.</w:t>
      </w:r>
    </w:p>
    <w:p>
      <w:pPr/>
      <w:r>
        <w:t>An award does not need to explain the reasoning behind every figure, but it must contain the basic explanations, facts, figures, and calculations necessary to account for the adjustments the panel made. This is a narrower obligation than a judicial opinion or an arbitration award with findings of fact, but it is a real one: an award that is simply a bottom-line number, with no supporting detail whatsoever, has repeatedly been found deficient.</w:t>
      </w:r>
    </w:p>
    <w:p>
      <w:pPr/>
      <w:r>
        <w:t>Several states have gone further than the common-law baseline and adopted standard-form statutes — including Connecticut, New York, and Ontario — that impose a standardized appraisal process directly by statute rather than leaving the mechanics entirely to policy language. Practitioners should always verify whether the relevant jurisdiction has adopted such a statute before assuming that common-law appraisal principles alone will govern the form of the award.</w:t>
      </w:r>
    </w:p>
    <w:p>
      <w:pPr>
        <w:pStyle w:val="Heading1"/>
      </w:pPr>
      <w:r>
        <w:t>III. Itemization: The Central Battleground of Award Validity</w:t>
      </w:r>
    </w:p>
    <w:p>
      <w:pPr>
        <w:pStyle w:val="Heading2"/>
      </w:pPr>
      <w:r>
        <w:t>A. The General Rule</w:t>
      </w:r>
    </w:p>
    <w:p>
      <w:pPr/>
      <w:r>
        <w:t>Itemization is the single most litigated feature of appraisal-award form. The prevailing rule is that the award should not be a lump-sum figure; instead, it should set out an itemized list of losses and damages for each item or category of coverage at issue. Where the governing policy departs from the Standard Fire Policy language and expressly requires that appraisers state “separately” and “in detail” the actual cash value of “each item,” courts have repeatedly invalidated lump-sum awards that ignore that mandate.</w:t>
      </w:r>
    </w:p>
    <w:p>
      <w:pPr/>
      <w:r>
        <w:t>The award should also be segregated by category of coverage — dwelling, other structures, contents, additional living expense, and so on — rather than presented as an undifferentiated total. An award that blends coverage categories together makes it functionally impossible for either party, or a reviewing court, to confirm that the panel stayed within its authority to value the loss rather than straying into coverage determinations reserved for the courts.</w:t>
      </w:r>
    </w:p>
    <w:p>
      <w:pPr>
        <w:pStyle w:val="Heading2"/>
      </w:pPr>
      <w:r>
        <w:t>B. State Variation in the Degree of Itemization Required</w:t>
      </w:r>
    </w:p>
    <w:p>
      <w:pPr/>
      <w:r>
        <w:t>While the general rule favors itemization, the degree required varies meaningfully from state to state. The majority position holds that an award that does not separately state the value of the insured property and the amount of damages is void. A significant number of courts, however, have declined to invalidate an award for lack of itemization absent an affirmative showing of prejudice or injustice to the challenging party — meaning imperfect itemization alone will not necessarily doom an award if the objecting party cannot show it was actually harmed by the omission.</w:t>
      </w:r>
    </w:p>
    <w:p>
      <w:pPr/>
      <w:r>
        <w:t>This state-by-state variation has an important secondary consequence: in jurisdictions that do not permit an insurer to draft policy language less favorable to the insured than the Standard Fire Policy, a carrier that negotiates appraisal-agreement terms significantly more permissive — or more restrictive — than the policy's own itemization language risks being deemed to have waived the policy's stricter terms altogether.</w:t>
      </w:r>
    </w:p>
    <w:p>
      <w:pPr>
        <w:pStyle w:val="Heading2"/>
      </w:pPr>
      <w:r>
        <w:t>C. Consequences of Inadequate Itemization</w:t>
      </w:r>
    </w:p>
    <w:p>
      <w:pPr/>
      <w:r>
        <w:t>The remedy for inadequate itemization is ordinarily remand for a new appraisal rather than substitution of the court's own valuation judgment. This preserves the parties' contractual bargain for appraisal while still policing the threshold requirement that the award be capable of independent verification. Practitioners representing policyholders should treat a facially deficient award not as a loss to be litigated on the merits, but as a procedural defect to be cured through a properly itemized re-appraisal.</w:t>
      </w:r>
    </w:p>
    <w:p>
      <w:pPr>
        <w:pStyle w:val="Heading1"/>
      </w:pPr>
      <w:r>
        <w:t>IV. Scope of the Award: Ancillary Costs and Additional Coverages</w:t>
      </w:r>
    </w:p>
    <w:p>
      <w:pPr/>
      <w:r>
        <w:t>An appraisal award's scope is not limited to the base replacement or repair cost of the damaged structure. Debris removal, demolition costs, and other categories of additional coverage that flow from the same covered loss should be considered and included in the award. A panel that focuses exclusively on repair and replacement calculations, while ignoring additional coverages triggered by the same loss, has not completed its assignment — even if its core repair-cost math is unimpeachable.</w:t>
      </w:r>
    </w:p>
    <w:p>
      <w:pPr/>
      <w:r>
        <w:t>This point is frequently overlooked in practice because appraisal panels, and the appraisers who staff them, tend to default to the most visible line item: the cost to rebuild or repair. Policyholder representatives should affirmatively raise applicable additional coverages before the panel begins its work, and should confirm that the appraisal agreement's scope language does not inadvertently exclude them.</w:t>
      </w:r>
    </w:p>
    <w:p>
      <w:pPr>
        <w:pStyle w:val="Heading1"/>
      </w:pPr>
      <w:r>
        <w:t>V. Invalid Award Techniques: The Quotient Award Problem</w:t>
      </w:r>
    </w:p>
    <w:p>
      <w:pPr/>
      <w:r>
        <w:t>Courts have consistently rejected the “quotient award” — an approach in which each panel member (the two appraisers, sometimes together with the umpire) submits an independent number, those numbers are added together, and the total is simply divided to produce an average. Although this technique has an intuitive appeal as a compromise mechanism, it substitutes mechanical averaging for the deliberative judgment the appraisal process is supposed to produce, and it has been held invalid wherever squarely challenged.</w:t>
      </w:r>
    </w:p>
    <w:p>
      <w:pPr/>
      <w:r>
        <w:t>The distinction that matters is between an umpire who considers each appraiser's position, weighs the underlying evidence, and reaches an independent judgment that happens to fall between the two submitted figures, and an umpire who mechanically splits the difference without engaging in independent evaluation. The former is a valid award; the latter is not. An award's internal documentation — to the extent it exists — can become the evidence that distinguishes one from the other.</w:t>
      </w:r>
    </w:p>
    <w:p>
      <w:pPr>
        <w:pStyle w:val="Heading1"/>
      </w:pPr>
      <w:r>
        <w:t>VI. Confidentiality and the Discovery Shield</w:t>
      </w:r>
    </w:p>
    <w:p>
      <w:pPr/>
      <w:r>
        <w:t>An umpire is not obligated to articulate the reasoning behind an award. Where an umpire chooses to do so, however, that explanation becomes part of the award itself and is subject to judicial review on the same terms as the rest of the document. Absent such a voluntary explanation, the deliberative process behind the appraisal — draft calculations, internal correspondence among panel members, notes, and similar work product — is treated as confidential and is not ordinarily subject to discovery.</w:t>
      </w:r>
    </w:p>
    <w:p>
      <w:pPr/>
      <w:r>
        <w:t>The rationale is that appraisal exists to produce a final, binding determination of the amount of loss, not to generate a discoverable record of how the panel reasoned its way to that determination. Appraisers may therefore decline to produce documents or testify about their deliberations. This confidentiality protection is a double-edged sword for advocates: it protects the integrity of a favorable award from second-guessing, but it also limits a policyholder's ability to build a record challenging an unfavorable one. The practical response is to build the record before the award issues — through a well-drafted appraisal agreement and contemporaneous submissions to the panel — rather than relying on post-award discovery that is unlikely to be available.</w:t>
      </w:r>
    </w:p>
    <w:p>
      <w:pPr>
        <w:pStyle w:val="Heading1"/>
      </w:pPr>
      <w:r>
        <w:t>VII. Survey of Governing Authority</w:t>
      </w:r>
    </w:p>
    <w:p>
      <w:pPr/>
      <w:r>
        <w:t>The following table of authorities summarizes the principal cases addressing the form and substance of the appraisal award, organized for quick reference. Practitioners should independently verify current treatment of each citation in the relevant jurisdiction before reliance, as appraisal jurisprudence continues to develop at the state level.</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Case</w:t>
            </w:r>
          </w:p>
        </w:tc>
        <w:tc>
          <w:tcPr>
            <w:tcW w:type="dxa" w:w="2880"/>
          </w:tcPr>
          <w:p>
            <w:r>
              <w:t>Citation</w:t>
            </w:r>
          </w:p>
        </w:tc>
        <w:tc>
          <w:tcPr>
            <w:tcW w:type="dxa" w:w="2880"/>
          </w:tcPr>
          <w:p>
            <w:r>
              <w:t>Holding / Principle</w:t>
            </w:r>
          </w:p>
        </w:tc>
      </w:tr>
      <w:tr>
        <w:tc>
          <w:tcPr>
            <w:tcW w:type="dxa" w:w="2880"/>
          </w:tcPr>
          <w:p>
            <w:r>
              <w:t>State Auto Property &amp; Cas. Ins. Co. v. Nunez</w:t>
            </w:r>
          </w:p>
        </w:tc>
        <w:tc>
          <w:tcPr>
            <w:tcW w:type="dxa" w:w="2880"/>
          </w:tcPr>
          <w:p>
            <w:r>
              <w:t>46 So. 3d 81 (Fla. 3d DCA 2010)</w:t>
            </w:r>
          </w:p>
        </w:tc>
        <w:tc>
          <w:tcPr>
            <w:tcW w:type="dxa" w:w="2880"/>
          </w:tcPr>
          <w:p>
            <w:r>
              <w:t>Award must state a specific value for each item and the overall loss; must be signed by the appraisers, not the umpire alone.</w:t>
            </w:r>
          </w:p>
        </w:tc>
      </w:tr>
      <w:tr>
        <w:tc>
          <w:tcPr>
            <w:tcW w:type="dxa" w:w="2880"/>
          </w:tcPr>
          <w:p>
            <w:r>
              <w:t>Mercury Ins. Co. v. Ready</w:t>
            </w:r>
          </w:p>
        </w:tc>
        <w:tc>
          <w:tcPr>
            <w:tcW w:type="dxa" w:w="2880"/>
          </w:tcPr>
          <w:p>
            <w:r>
              <w:t>917 So. 2d 311 (Fla. 2d DCA 2005)</w:t>
            </w:r>
          </w:p>
        </w:tc>
        <w:tc>
          <w:tcPr>
            <w:tcW w:type="dxa" w:w="2880"/>
          </w:tcPr>
          <w:p>
            <w:r>
              <w:t>Award must contain a detailed breakdown of values assigned to each disputed item and a clear basis for those values.</w:t>
            </w:r>
          </w:p>
        </w:tc>
      </w:tr>
      <w:tr>
        <w:tc>
          <w:tcPr>
            <w:tcW w:type="dxa" w:w="2880"/>
          </w:tcPr>
          <w:p>
            <w:r>
              <w:t>State Farm Fla. Ins. Co. v. Lime Bay Condo., Inc.</w:t>
            </w:r>
          </w:p>
        </w:tc>
        <w:tc>
          <w:tcPr>
            <w:tcW w:type="dxa" w:w="2880"/>
          </w:tcPr>
          <w:p>
            <w:r>
              <w:t>187 So. 3d 924 (Fla. 4th DCA 2016)</w:t>
            </w:r>
          </w:p>
        </w:tc>
        <w:tc>
          <w:tcPr>
            <w:tcW w:type="dxa" w:w="2880"/>
          </w:tcPr>
          <w:p>
            <w:r>
              <w:t>Award must be final and complete, resolving all disputed issues, and grounded in competent, substantial evidence.</w:t>
            </w:r>
          </w:p>
        </w:tc>
      </w:tr>
      <w:tr>
        <w:tc>
          <w:tcPr>
            <w:tcW w:type="dxa" w:w="2880"/>
          </w:tcPr>
          <w:p>
            <w:r>
              <w:t>Higgins v. State Farm Fire &amp; Cas. Co.</w:t>
            </w:r>
          </w:p>
        </w:tc>
        <w:tc>
          <w:tcPr>
            <w:tcW w:type="dxa" w:w="2880"/>
          </w:tcPr>
          <w:p>
            <w:r>
              <w:t>894 So. 2d 5 (Fla. 2d DCA 2004)</w:t>
            </w:r>
          </w:p>
        </w:tc>
        <w:tc>
          <w:tcPr>
            <w:tcW w:type="dxa" w:w="2880"/>
          </w:tcPr>
          <w:p>
            <w:r>
              <w:t>Award must be clear and unambiguous; ambiguity may require clarification or judicial challenge.</w:t>
            </w:r>
          </w:p>
        </w:tc>
      </w:tr>
      <w:tr>
        <w:tc>
          <w:tcPr>
            <w:tcW w:type="dxa" w:w="2880"/>
          </w:tcPr>
          <w:p>
            <w:r>
              <w:t>Biscayne Supermarket, Inc. v. Travelers Ins. Co.</w:t>
            </w:r>
          </w:p>
        </w:tc>
        <w:tc>
          <w:tcPr>
            <w:tcW w:type="dxa" w:w="2880"/>
          </w:tcPr>
          <w:p>
            <w:r>
              <w:t>485 So. 2d 861 (Fla. 3d DCA 1986)</w:t>
            </w:r>
          </w:p>
        </w:tc>
        <w:tc>
          <w:tcPr>
            <w:tcW w:type="dxa" w:w="2880"/>
          </w:tcPr>
          <w:p>
            <w:r>
              <w:t>Award need not apportion damages item-by-item; purpose of appraisal is to fix the amount of loss, not its allocation.</w:t>
            </w:r>
          </w:p>
        </w:tc>
      </w:tr>
      <w:tr>
        <w:tc>
          <w:tcPr>
            <w:tcW w:type="dxa" w:w="2880"/>
          </w:tcPr>
          <w:p>
            <w:r>
              <w:t>Liberty Mut. Ins. Co. v. Alvarez</w:t>
            </w:r>
          </w:p>
        </w:tc>
        <w:tc>
          <w:tcPr>
            <w:tcW w:type="dxa" w:w="2880"/>
          </w:tcPr>
          <w:p>
            <w:r>
              <w:t>785 So. 2d 700 (Fla. 3d DCA 2001)</w:t>
            </w:r>
          </w:p>
        </w:tc>
        <w:tc>
          <w:tcPr>
            <w:tcW w:type="dxa" w:w="2880"/>
          </w:tcPr>
          <w:p>
            <w:r>
              <w:t>Mere suspicion of appraiser bias, without evidence of actual bias, misconduct, or fraud, will not invalidate an award.</w:t>
            </w:r>
          </w:p>
        </w:tc>
      </w:tr>
      <w:tr>
        <w:tc>
          <w:tcPr>
            <w:tcW w:type="dxa" w:w="2880"/>
          </w:tcPr>
          <w:p>
            <w:r>
              <w:t>Griswald Properties, LLC v. Lexington Ins. Co.</w:t>
            </w:r>
          </w:p>
        </w:tc>
        <w:tc>
          <w:tcPr>
            <w:tcW w:type="dxa" w:w="2880"/>
          </w:tcPr>
          <w:p>
            <w:r>
              <w:t>275 Mich. App. 543, 740 N.W.2d 656 (2007)</w:t>
            </w:r>
          </w:p>
        </w:tc>
        <w:tc>
          <w:tcPr>
            <w:tcW w:type="dxa" w:w="2880"/>
          </w:tcPr>
          <w:p>
            <w:r>
              <w:t>Award lacking item-by-item allocation and containing a shared-responsibility provision was unenforceable as against public policy; remanded for new appraisal.</w:t>
            </w:r>
          </w:p>
        </w:tc>
      </w:tr>
      <w:tr>
        <w:tc>
          <w:tcPr>
            <w:tcW w:type="dxa" w:w="2880"/>
          </w:tcPr>
          <w:p>
            <w:r>
              <w:t>Linford Lounge, Inc. v. Michigan Basic Prop. Ins. Ass'n</w:t>
            </w:r>
          </w:p>
        </w:tc>
        <w:tc>
          <w:tcPr>
            <w:tcW w:type="dxa" w:w="2880"/>
          </w:tcPr>
          <w:p>
            <w:r>
              <w:t>77 Mich. App. 710, 259 N.W.2d 201 (1977)</w:t>
            </w:r>
          </w:p>
        </w:tc>
        <w:tc>
          <w:tcPr>
            <w:tcW w:type="dxa" w:w="2880"/>
          </w:tcPr>
          <w:p>
            <w:r>
              <w:t>Appraisal process is intended to resolve disputes; award binding despite claim that umpire exceeded authority.</w:t>
            </w:r>
          </w:p>
        </w:tc>
      </w:tr>
      <w:tr>
        <w:tc>
          <w:tcPr>
            <w:tcW w:type="dxa" w:w="2880"/>
          </w:tcPr>
          <w:p>
            <w:r>
              <w:t>R.D. Mgmt. Corp. v. Philadelphia Indem. Ins. Co.</w:t>
            </w:r>
          </w:p>
        </w:tc>
        <w:tc>
          <w:tcPr>
            <w:tcW w:type="dxa" w:w="2880"/>
          </w:tcPr>
          <w:p>
            <w:r>
              <w:t>302 F. Supp. 2d 728 (E.D. Mich. 2004)</w:t>
            </w:r>
          </w:p>
        </w:tc>
        <w:tc>
          <w:tcPr>
            <w:tcW w:type="dxa" w:w="2880"/>
          </w:tcPr>
          <w:p>
            <w:r>
              <w:t>Immaterial calculation errors subject to correction do not defeat finality of an otherwise binding award.</w:t>
            </w:r>
          </w:p>
        </w:tc>
      </w:tr>
      <w:tr>
        <w:tc>
          <w:tcPr>
            <w:tcW w:type="dxa" w:w="2880"/>
          </w:tcPr>
          <w:p>
            <w:r>
              <w:t>Phoenix Assur. Co. of N.Y. v. Singer; Mitchell v. Aetna Cas. &amp; Sur. Co.; Atlas Constr. Co. v. Indiana Ins. Co.</w:t>
            </w:r>
          </w:p>
        </w:tc>
        <w:tc>
          <w:tcPr>
            <w:tcW w:type="dxa" w:w="2880"/>
          </w:tcPr>
          <w:p>
            <w:r>
              <w:t>Multiple jurisdictions</w:t>
            </w:r>
          </w:p>
        </w:tc>
        <w:tc>
          <w:tcPr>
            <w:tcW w:type="dxa" w:w="2880"/>
          </w:tcPr>
          <w:p>
            <w:r>
              <w:t>Award must rest on actual physical damage, not speculative or hypothetical loss.</w:t>
            </w:r>
          </w:p>
        </w:tc>
      </w:tr>
      <w:tr>
        <w:tc>
          <w:tcPr>
            <w:tcW w:type="dxa" w:w="2880"/>
          </w:tcPr>
          <w:p>
            <w:r>
              <w:t>Campbell v. Union Mut. Fire Ins. Co.</w:t>
            </w:r>
          </w:p>
        </w:tc>
        <w:tc>
          <w:tcPr>
            <w:tcW w:type="dxa" w:w="2880"/>
          </w:tcPr>
          <w:p>
            <w:r>
              <w:t>—</w:t>
            </w:r>
          </w:p>
        </w:tc>
        <w:tc>
          <w:tcPr>
            <w:tcW w:type="dxa" w:w="2880"/>
          </w:tcPr>
          <w:p>
            <w:r>
              <w:t>Appraisers must be impartial and independent of the parties.</w:t>
            </w:r>
          </w:p>
        </w:tc>
      </w:tr>
      <w:tr>
        <w:tc>
          <w:tcPr>
            <w:tcW w:type="dxa" w:w="2880"/>
          </w:tcPr>
          <w:p>
            <w:r>
              <w:t>Mound City Roofing Tile Co. v. Springfield Fire &amp; Marine Ins. Co.</w:t>
            </w:r>
          </w:p>
        </w:tc>
        <w:tc>
          <w:tcPr>
            <w:tcW w:type="dxa" w:w="2880"/>
          </w:tcPr>
          <w:p>
            <w:r>
              <w:t>—</w:t>
            </w:r>
          </w:p>
        </w:tc>
        <w:tc>
          <w:tcPr>
            <w:tcW w:type="dxa" w:w="2880"/>
          </w:tcPr>
          <w:p>
            <w:r>
              <w:t>Award must include a clear, detailed analysis of disputed issues and the rationale for the appraisers' conclusions.</w:t>
            </w:r>
          </w:p>
        </w:tc>
      </w:tr>
      <w:tr>
        <w:tc>
          <w:tcPr>
            <w:tcW w:type="dxa" w:w="2880"/>
          </w:tcPr>
          <w:p>
            <w:r>
              <w:t>Northville Indus. Corp. v. Bd. of Assessors of Town of Riverhead</w:t>
            </w:r>
          </w:p>
        </w:tc>
        <w:tc>
          <w:tcPr>
            <w:tcW w:type="dxa" w:w="2880"/>
          </w:tcPr>
          <w:p>
            <w:r>
              <w:t>—</w:t>
            </w:r>
          </w:p>
        </w:tc>
        <w:tc>
          <w:tcPr>
            <w:tcW w:type="dxa" w:w="2880"/>
          </w:tcPr>
          <w:p>
            <w:r>
              <w:t>Award must operate as a final and binding determination of the dispute.</w:t>
            </w:r>
          </w:p>
        </w:tc>
      </w:tr>
      <w:tr>
        <w:tc>
          <w:tcPr>
            <w:tcW w:type="dxa" w:w="2880"/>
          </w:tcPr>
          <w:p>
            <w:r>
              <w:t>Steiner v. Middlesex Mut. Assurance Co.</w:t>
            </w:r>
          </w:p>
        </w:tc>
        <w:tc>
          <w:tcPr>
            <w:tcW w:type="dxa" w:w="2880"/>
          </w:tcPr>
          <w:p>
            <w:r>
              <w:t>—</w:t>
            </w:r>
          </w:p>
        </w:tc>
        <w:tc>
          <w:tcPr>
            <w:tcW w:type="dxa" w:w="2880"/>
          </w:tcPr>
          <w:p>
            <w:r>
              <w:t>Award may rest on evidence presented by the parties or on the appraisers' own subject-matter expertise.</w:t>
            </w:r>
          </w:p>
        </w:tc>
      </w:tr>
      <w:tr>
        <w:tc>
          <w:tcPr>
            <w:tcW w:type="dxa" w:w="2880"/>
          </w:tcPr>
          <w:p>
            <w:r>
              <w:t>Glenn Houle Co. v. State of New York; Matter of Acquisition of Real Prop. by Cnty. of Dutchess</w:t>
            </w:r>
          </w:p>
        </w:tc>
        <w:tc>
          <w:tcPr>
            <w:tcW w:type="dxa" w:w="2880"/>
          </w:tcPr>
          <w:p>
            <w:r>
              <w:t>—</w:t>
            </w:r>
          </w:p>
        </w:tc>
        <w:tc>
          <w:tcPr>
            <w:tcW w:type="dxa" w:w="2880"/>
          </w:tcPr>
          <w:p>
            <w:r>
              <w:t>Award must be supported by facts and analysis demonstrating how the appraisers reached their conclusions.</w:t>
            </w:r>
          </w:p>
        </w:tc>
      </w:tr>
      <w:tr>
        <w:tc>
          <w:tcPr>
            <w:tcW w:type="dxa" w:w="2880"/>
          </w:tcPr>
          <w:p>
            <w:r>
              <w:t>Aetna Ins. Co. v. Murray; Azar v. Eureka-Sec. Fire &amp; Marine Ins. Co.</w:t>
            </w:r>
          </w:p>
        </w:tc>
        <w:tc>
          <w:tcPr>
            <w:tcW w:type="dxa" w:w="2880"/>
          </w:tcPr>
          <w:p>
            <w:r>
              <w:t>—</w:t>
            </w:r>
          </w:p>
        </w:tc>
        <w:tc>
          <w:tcPr>
            <w:tcW w:type="dxa" w:w="2880"/>
          </w:tcPr>
          <w:p>
            <w:r>
              <w:t>Award must be grounded in actual, not conjectural, physical damage.</w:t>
            </w:r>
          </w:p>
        </w:tc>
      </w:tr>
      <w:tr>
        <w:tc>
          <w:tcPr>
            <w:tcW w:type="dxa" w:w="2880"/>
          </w:tcPr>
          <w:p>
            <w:r>
              <w:t>Patriotic Order Sons of Am. Hall Ass'n v. Hartford Fire Ins. Co.</w:t>
            </w:r>
          </w:p>
        </w:tc>
        <w:tc>
          <w:tcPr>
            <w:tcW w:type="dxa" w:w="2880"/>
          </w:tcPr>
          <w:p>
            <w:r>
              <w:t>—</w:t>
            </w:r>
          </w:p>
        </w:tc>
        <w:tc>
          <w:tcPr>
            <w:tcW w:type="dxa" w:w="2880"/>
          </w:tcPr>
          <w:p>
            <w:r>
              <w:t>Binding effect of an award presupposes a valid pre-existing agreement to appraise.</w:t>
            </w:r>
          </w:p>
        </w:tc>
      </w:tr>
      <w:tr>
        <w:tc>
          <w:tcPr>
            <w:tcW w:type="dxa" w:w="2880"/>
          </w:tcPr>
          <w:p>
            <w:r>
              <w:t>Rescenzo v. Capital Mut. Ins. Co.</w:t>
            </w:r>
          </w:p>
        </w:tc>
        <w:tc>
          <w:tcPr>
            <w:tcW w:type="dxa" w:w="2880"/>
          </w:tcPr>
          <w:p>
            <w:r>
              <w:t>—</w:t>
            </w:r>
          </w:p>
        </w:tc>
        <w:tc>
          <w:tcPr>
            <w:tcW w:type="dxa" w:w="2880"/>
          </w:tcPr>
          <w:p>
            <w:r>
              <w:t>Award must rest on competent, substantial evidence with a clear rationale for assigned values.</w:t>
            </w:r>
          </w:p>
        </w:tc>
      </w:tr>
      <w:tr>
        <w:tc>
          <w:tcPr>
            <w:tcW w:type="dxa" w:w="2880"/>
          </w:tcPr>
          <w:p>
            <w:r>
              <w:t>Lane v. Security Mut. Ins. Co.; Slayco v. Security Mut. Ins. Co.</w:t>
            </w:r>
          </w:p>
        </w:tc>
        <w:tc>
          <w:tcPr>
            <w:tcW w:type="dxa" w:w="2880"/>
          </w:tcPr>
          <w:p>
            <w:r>
              <w:t>—</w:t>
            </w:r>
          </w:p>
        </w:tc>
        <w:tc>
          <w:tcPr>
            <w:tcW w:type="dxa" w:w="2880"/>
          </w:tcPr>
          <w:p>
            <w:r>
              <w:t>In fire-loss appraisals, the award may address only damage caused by the covered peril, not pre-existing or unrelated conditions.</w:t>
            </w:r>
          </w:p>
        </w:tc>
      </w:tr>
      <w:tr>
        <w:tc>
          <w:tcPr>
            <w:tcW w:type="dxa" w:w="2880"/>
          </w:tcPr>
          <w:p>
            <w:r>
              <w:t>Commercial Union Ins. Co. v. Ryals</w:t>
            </w:r>
          </w:p>
        </w:tc>
        <w:tc>
          <w:tcPr>
            <w:tcW w:type="dxa" w:w="2880"/>
          </w:tcPr>
          <w:p>
            <w:r>
              <w:t>—</w:t>
            </w:r>
          </w:p>
        </w:tc>
        <w:tc>
          <w:tcPr>
            <w:tcW w:type="dxa" w:w="2880"/>
          </w:tcPr>
          <w:p>
            <w:r>
              <w:t>A completed appraisal award is final and binding, and the parties must comply with its terms.</w:t>
            </w:r>
          </w:p>
        </w:tc>
      </w:tr>
      <w:tr>
        <w:tc>
          <w:tcPr>
            <w:tcW w:type="dxa" w:w="2880"/>
          </w:tcPr>
          <w:p>
            <w:r>
              <w:t>DeCrescenzo</w:t>
            </w:r>
          </w:p>
        </w:tc>
        <w:tc>
          <w:tcPr>
            <w:tcW w:type="dxa" w:w="2880"/>
          </w:tcPr>
          <w:p>
            <w:r>
              <w:t>187 A.D.2d 730; 187 A.D.2d 794</w:t>
            </w:r>
          </w:p>
        </w:tc>
        <w:tc>
          <w:tcPr>
            <w:tcW w:type="dxa" w:w="2880"/>
          </w:tcPr>
          <w:p>
            <w:r>
              <w:t>Award must be supported by competent, substantial evidence underlying the appraisers' valuation rationale.</w:t>
            </w:r>
          </w:p>
        </w:tc>
      </w:tr>
      <w:tr>
        <w:tc>
          <w:tcPr>
            <w:tcW w:type="dxa" w:w="2880"/>
          </w:tcPr>
          <w:p>
            <w:r>
              <w:t>Security Printing Co. v. Westchester Fire Ins. Co. of N.Y. City</w:t>
            </w:r>
          </w:p>
        </w:tc>
        <w:tc>
          <w:tcPr>
            <w:tcW w:type="dxa" w:w="2880"/>
          </w:tcPr>
          <w:p>
            <w:r>
              <w:t>—</w:t>
            </w:r>
          </w:p>
        </w:tc>
        <w:tc>
          <w:tcPr>
            <w:tcW w:type="dxa" w:w="2880"/>
          </w:tcPr>
          <w:p>
            <w:r>
              <w:t>Award must rest on actual, not hypothetical, physical damage.</w:t>
            </w:r>
          </w:p>
        </w:tc>
      </w:tr>
      <w:tr>
        <w:tc>
          <w:tcPr>
            <w:tcW w:type="dxa" w:w="2880"/>
          </w:tcPr>
          <w:p>
            <w:r>
              <w:t>Caledonian Ins. Co. v. North Dutch Reformed Church; McQuaid Market House Co. v. Home Ins. Co.; Innis v. Fireman's Fund Ins. Co.; Melton Bros. v. Philadelphia Fire &amp; Marine Ins. Co.</w:t>
            </w:r>
          </w:p>
        </w:tc>
        <w:tc>
          <w:tcPr>
            <w:tcW w:type="dxa" w:w="2880"/>
          </w:tcPr>
          <w:p>
            <w:r>
              <w:t>—</w:t>
            </w:r>
          </w:p>
        </w:tc>
        <w:tc>
          <w:tcPr>
            <w:tcW w:type="dxa" w:w="2880"/>
          </w:tcPr>
          <w:p>
            <w:r>
              <w:t>Uniform line of authority requiring that awards be grounded in actual physical damage.</w:t>
            </w:r>
          </w:p>
        </w:tc>
      </w:tr>
      <w:tr>
        <w:tc>
          <w:tcPr>
            <w:tcW w:type="dxa" w:w="2880"/>
          </w:tcPr>
          <w:p>
            <w:r>
              <w:t>Davis v. Atlas Assurance Co.</w:t>
            </w:r>
          </w:p>
        </w:tc>
        <w:tc>
          <w:tcPr>
            <w:tcW w:type="dxa" w:w="2880"/>
          </w:tcPr>
          <w:p>
            <w:r>
              <w:t>—</w:t>
            </w:r>
          </w:p>
        </w:tc>
        <w:tc>
          <w:tcPr>
            <w:tcW w:type="dxa" w:w="2880"/>
          </w:tcPr>
          <w:p>
            <w:r>
              <w:t>Completed award is binding and enforceable on the parties.</w:t>
            </w:r>
          </w:p>
        </w:tc>
      </w:tr>
      <w:tr>
        <w:tc>
          <w:tcPr>
            <w:tcW w:type="dxa" w:w="2880"/>
          </w:tcPr>
          <w:p>
            <w:r>
              <w:t>Azar v. Eureka-Sec. Fire &amp; Marine Ins. Co.; Branch v. Springfield Fire &amp; Marine Ins. Co.; Lee v. Farmers Ins. Co. of Minnehaha Cnty.; Continental Ins. Co. v. Garrett; Quinn v. New York Fire Ins. Co.</w:t>
            </w:r>
          </w:p>
        </w:tc>
        <w:tc>
          <w:tcPr>
            <w:tcW w:type="dxa" w:w="2880"/>
          </w:tcPr>
          <w:p>
            <w:r>
              <w:t>—</w:t>
            </w:r>
          </w:p>
        </w:tc>
        <w:tc>
          <w:tcPr>
            <w:tcW w:type="dxa" w:w="2880"/>
          </w:tcPr>
          <w:p>
            <w:r>
              <w:t>Award must be based on the actual cash value, or sound value, of the loss.</w:t>
            </w:r>
          </w:p>
        </w:tc>
      </w:tr>
      <w:tr>
        <w:tc>
          <w:tcPr>
            <w:tcW w:type="dxa" w:w="2880"/>
          </w:tcPr>
          <w:p>
            <w:r>
              <w:t>Richardson v. Allstate Texas Lloyds</w:t>
            </w:r>
          </w:p>
        </w:tc>
        <w:tc>
          <w:tcPr>
            <w:tcW w:type="dxa" w:w="2880"/>
          </w:tcPr>
          <w:p>
            <w:r>
              <w:t>—</w:t>
            </w:r>
          </w:p>
        </w:tc>
        <w:tc>
          <w:tcPr>
            <w:tcW w:type="dxa" w:w="2880"/>
          </w:tcPr>
          <w:p>
            <w:r>
              <w:t>A completed appraisal award is a final and binding determination not ordinarily subject to judicial review.</w:t>
            </w:r>
          </w:p>
        </w:tc>
      </w:tr>
      <w:tr>
        <w:tc>
          <w:tcPr>
            <w:tcW w:type="dxa" w:w="2880"/>
          </w:tcPr>
          <w:p>
            <w:r>
              <w:t>Atlas Constr. Co. v. Indiana Ins. Co.; Woerner; N.C. Farm Bureau Mut. Ins. Co. v. Floyd Harrell</w:t>
            </w:r>
          </w:p>
        </w:tc>
        <w:tc>
          <w:tcPr>
            <w:tcW w:type="dxa" w:w="2880"/>
          </w:tcPr>
          <w:p>
            <w:r>
              <w:t>—</w:t>
            </w:r>
          </w:p>
        </w:tc>
        <w:tc>
          <w:tcPr>
            <w:tcW w:type="dxa" w:w="2880"/>
          </w:tcPr>
          <w:p>
            <w:r>
              <w:t>Award must be supported by competent and substantial evidence.</w:t>
            </w:r>
          </w:p>
        </w:tc>
      </w:tr>
    </w:tbl>
    <w:p>
      <w:pPr>
        <w:pStyle w:val="Heading2"/>
      </w:pPr>
      <w:r>
        <w:t>Additional Persuasive and Related Authority</w:t>
      </w:r>
    </w:p>
    <w:p>
      <w:pPr>
        <w:pStyle w:val="ListParagraph"/>
      </w:pPr>
      <w:r>
        <w:t>Standard policy provisions and implementing regulations in Pennsylvania and New York provide further guidance on the mechanics of the appraisal process within those states.</w:t>
      </w:r>
    </w:p>
    <w:p>
      <w:pPr>
        <w:pStyle w:val="ListParagraph"/>
      </w:pPr>
      <w:r>
        <w:t>Standard-form appraisal statutes in Connecticut, New York, and Ontario supply a codified process that supplements, and in places supersedes, common-law appraisal principles.</w:t>
      </w:r>
    </w:p>
    <w:p>
      <w:pPr>
        <w:pStyle w:val="Heading1"/>
      </w:pPr>
      <w:r>
        <w:t>VIII. Practical Recommendations for Practitioners</w:t>
      </w:r>
    </w:p>
    <w:p>
      <w:pPr>
        <w:pStyle w:val="Heading2"/>
      </w:pPr>
      <w:r>
        <w:t>A. Before the Panel Convenes</w:t>
      </w:r>
    </w:p>
    <w:p>
      <w:pPr>
        <w:pStyle w:val="ListParagraph"/>
      </w:pPr>
      <w:r>
        <w:t>Negotiate and execute a written appraisal protocol that specifies the required level of itemization, the coverage categories to be addressed, and the treatment of additional coverages such as debris removal and demolition.</w:t>
      </w:r>
    </w:p>
    <w:p>
      <w:pPr>
        <w:pStyle w:val="ListParagraph"/>
      </w:pPr>
      <w:r>
        <w:t>Confirm whether the governing jurisdiction has adopted a standard-form appraisal statute, and reconcile any conflict between that statute, the policy's appraisal clause, and the negotiated protocol before appraisal begins.</w:t>
      </w:r>
    </w:p>
    <w:p>
      <w:pPr>
        <w:pStyle w:val="ListParagraph"/>
      </w:pPr>
      <w:r>
        <w:t>Identify, in writing, every additional coverage potentially triggered by the loss so the panel cannot later claim ancillary costs fell outside its assignment.</w:t>
      </w:r>
    </w:p>
    <w:p>
      <w:pPr>
        <w:pStyle w:val="Heading2"/>
      </w:pPr>
      <w:r>
        <w:t>B. During the Appraisal Process</w:t>
      </w:r>
    </w:p>
    <w:p>
      <w:pPr>
        <w:pStyle w:val="ListParagraph"/>
      </w:pPr>
      <w:r>
        <w:t>Submit itemized valuation positions to the panel, by coverage category and by item, so the umpire has an itemized record to work from even though the panel is not obligated to explain its reasoning.</w:t>
      </w:r>
    </w:p>
    <w:p>
      <w:pPr>
        <w:pStyle w:val="ListParagraph"/>
      </w:pPr>
      <w:r>
        <w:t>Avoid creating an appraisal record that invites a quotient-award challenge; document, where possible, that the umpire exercised independent judgment rather than mechanically averaging the two appraisers' figures.</w:t>
      </w:r>
    </w:p>
    <w:p>
      <w:pPr>
        <w:pStyle w:val="Heading2"/>
      </w:pPr>
      <w:r>
        <w:t>C. Reviewing the Award Before Signature</w:t>
      </w:r>
    </w:p>
    <w:p>
      <w:pPr>
        <w:pStyle w:val="ListParagraph"/>
      </w:pPr>
      <w:r>
        <w:t>Confirm the award is signed by two of the three panel members in accordance with the policy and protocol, and that it is captioned as a determination of loss amount rather than a coverage ruling.</w:t>
      </w:r>
    </w:p>
    <w:p>
      <w:pPr>
        <w:pStyle w:val="ListParagraph"/>
      </w:pPr>
      <w:r>
        <w:t>Verify that the award itemizes damages by item, or at minimum by coverage category, consistent with both the policy's Standard Fire Policy-derived language and the jurisdiction's case law.</w:t>
      </w:r>
    </w:p>
    <w:p>
      <w:pPr>
        <w:pStyle w:val="ListParagraph"/>
      </w:pPr>
      <w:r>
        <w:t>Confirm all applicable additional coverages, including debris removal and demolition, are addressed and not silently omitted.</w:t>
      </w:r>
    </w:p>
    <w:p>
      <w:pPr>
        <w:pStyle w:val="ListParagraph"/>
      </w:pPr>
      <w:r>
        <w:t>If itemization is inadequate, evaluate whether the challenging party can show prejudice, since several jurisdictions will not invalidate an award for imperfect itemization absent that showing.</w:t>
      </w:r>
    </w:p>
    <w:p>
      <w:pPr>
        <w:pStyle w:val="Heading1"/>
      </w:pPr>
      <w:r>
        <w:t>IX. Conclusion</w:t>
      </w:r>
    </w:p>
    <w:p>
      <w:pPr/>
      <w:r>
        <w:t>Appraisal remains one of the most efficient tools available to resolve amount-of-loss disputes in property insurance claims, precisely because courts treat a properly formed award as final and binding, and confine judicial review to narrow grounds such as fraud, corruption, or a failure to follow the essential requirements of the process. That efficiency depends entirely on the award being built correctly the first time. Awards that are unitemized, that omit additional coverages, that rest on a disguised quotient calculation, or that blend coverage categories together invite exactly the litigation appraisal was meant to avoid, and the remedy — remand for a new appraisal — imposes real cost and delay on both sides.</w:t>
      </w:r>
    </w:p>
    <w:p>
      <w:pPr/>
      <w:r>
        <w:t>The governing case law, though it varies in the degree of itemization it demands from state to state, converges on a consistent core: an award must be written, signed, reasonably itemized, inclusive of the ancillary costs the loss actually generated, and the product of genuine deliberative judgment rather than mechanical averaging. Practitioners who build these requirements into the appraisal agreement before the panel convenes, rather than litigating their absence after the award issues, will consistently obtain more durable results for their clients.</w:t>
      </w:r>
    </w:p>
    <w:p>
      <w:pPr/>
      <w:r>
        <w:t>This white paper is intended for general informational purposes for insurance professionals and does not constitute legal advice. Appraisal law varies significantly by state, and practitioners should confirm current authority in the applicable jurisdiction before relying on any citation herein.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