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4146" w14:textId="77777777" w:rsidR="00F81305" w:rsidRDefault="00032901">
      <w:pPr>
        <w:spacing w:after="80"/>
      </w:pPr>
      <w:r>
        <w:rPr>
          <w:b/>
          <w:bCs/>
          <w:color w:val="2E5395"/>
          <w:sz w:val="20"/>
          <w:szCs w:val="20"/>
        </w:rPr>
        <w:t>COVERAGE ANALYSIS</w:t>
      </w:r>
    </w:p>
    <w:p w14:paraId="74A902CD" w14:textId="77777777" w:rsidR="00F81305" w:rsidRDefault="00032901">
      <w:pPr>
        <w:spacing w:after="200"/>
      </w:pPr>
      <w:r>
        <w:rPr>
          <w:b/>
          <w:bCs/>
          <w:color w:val="1F3864"/>
          <w:sz w:val="40"/>
          <w:szCs w:val="40"/>
        </w:rPr>
        <w:t>Actual Cash Value and Replacement Cost: A Practitioner's Guide to Valuation Disputes in First-Party Property Claims</w:t>
      </w:r>
    </w:p>
    <w:p w14:paraId="12DD73A7" w14:textId="77777777" w:rsidR="00F81305" w:rsidRDefault="00032901">
      <w:pPr>
        <w:spacing w:after="300"/>
        <w:rPr>
          <w:i/>
          <w:iCs/>
          <w:color w:val="444444"/>
          <w:sz w:val="24"/>
          <w:szCs w:val="24"/>
        </w:rPr>
      </w:pPr>
      <w:r>
        <w:rPr>
          <w:i/>
          <w:iCs/>
          <w:color w:val="444444"/>
          <w:sz w:val="24"/>
          <w:szCs w:val="24"/>
        </w:rPr>
        <w:t>How courts calculate loss value, why holdback provisions survive most challenges, and what the labor-depreciation wars mean for the next appraisal.</w:t>
      </w:r>
    </w:p>
    <w:p w14:paraId="3C8180B8" w14:textId="3756A362" w:rsidR="000F4C2E" w:rsidRDefault="000F4C2E">
      <w:pPr>
        <w:spacing w:after="300"/>
      </w:pPr>
      <w:r>
        <w:rPr>
          <w:i/>
          <w:iCs/>
          <w:color w:val="444444"/>
          <w:sz w:val="24"/>
          <w:szCs w:val="24"/>
        </w:rPr>
        <w:t xml:space="preserve">By Thomas V. Di Sieno, of Digitory </w:t>
      </w:r>
      <w:proofErr w:type="spellStart"/>
      <w:r>
        <w:rPr>
          <w:i/>
          <w:iCs/>
          <w:color w:val="444444"/>
          <w:sz w:val="24"/>
          <w:szCs w:val="24"/>
        </w:rPr>
        <w:t>Solutoins</w:t>
      </w:r>
      <w:proofErr w:type="spellEnd"/>
      <w:r>
        <w:rPr>
          <w:i/>
          <w:iCs/>
          <w:color w:val="444444"/>
          <w:sz w:val="24"/>
          <w:szCs w:val="24"/>
        </w:rPr>
        <w:t xml:space="preserve">, Inc. </w:t>
      </w:r>
    </w:p>
    <w:p w14:paraId="54AA86D6" w14:textId="77777777" w:rsidR="00F81305" w:rsidRDefault="00F81305">
      <w:pPr>
        <w:pBdr>
          <w:bottom w:val="single" w:sz="6" w:space="4" w:color="AAAAAA"/>
        </w:pBdr>
        <w:spacing w:before="100" w:after="200"/>
      </w:pPr>
    </w:p>
    <w:p w14:paraId="2D03B049" w14:textId="77777777" w:rsidR="00F81305" w:rsidRDefault="00032901">
      <w:pPr>
        <w:pStyle w:val="Heading1"/>
        <w:spacing w:before="400" w:after="200"/>
      </w:pPr>
      <w:r>
        <w:rPr>
          <w:b/>
          <w:bCs/>
          <w:color w:val="1F3864"/>
          <w:sz w:val="30"/>
          <w:szCs w:val="30"/>
        </w:rPr>
        <w:t>Introduction</w:t>
      </w:r>
    </w:p>
    <w:p w14:paraId="018EB39F" w14:textId="77777777" w:rsidR="00F81305" w:rsidRDefault="00032901">
      <w:pPr>
        <w:spacing w:after="160" w:line="276" w:lineRule="auto"/>
        <w:jc w:val="both"/>
      </w:pPr>
      <w:r>
        <w:t xml:space="preserve">Two phrases sit at the center of nearly every disputed first-party property claim: "actual cash value" and "replacement cost." Both terms appear throughout standard homeowners, dwelling, and commercial property forms, and both are, </w:t>
      </w:r>
      <w:proofErr w:type="gramStart"/>
      <w:r>
        <w:t>more often than not</w:t>
      </w:r>
      <w:proofErr w:type="gramEnd"/>
      <w:r>
        <w:t>, left largely undefined by the policy itself. That gap between contractual language and contractual meaning has produced decades of litigation, several competing valuation methodologies, and — in the last several years — a wave of class-action activity that has reopened questions many practitioners assumed were settled.</w:t>
      </w:r>
    </w:p>
    <w:p w14:paraId="5A8D78BB" w14:textId="77777777" w:rsidR="00F81305" w:rsidRDefault="00032901">
      <w:pPr>
        <w:spacing w:after="160" w:line="276" w:lineRule="auto"/>
        <w:jc w:val="both"/>
      </w:pPr>
      <w:r>
        <w:t xml:space="preserve">This article is a working reference for policyholder counsel, public adjusters, and coverage consultants who need to know not just what a policy says, but how a court is likely to read it. Part I addresses actual cash value </w:t>
      </w:r>
      <w:proofErr w:type="gramStart"/>
      <w:r>
        <w:t>coverage</w:t>
      </w:r>
      <w:proofErr w:type="gramEnd"/>
      <w:r>
        <w:t xml:space="preserve"> and the four methodologies courts use to calculate it. Part II turns to replacement cost coverage, the mechanics and enforceability of "holdback" provisions, and the recurring quality, timing, and location disputes that arise once an insured </w:t>
      </w:r>
      <w:proofErr w:type="gramStart"/>
      <w:r>
        <w:t>actually rebuilds</w:t>
      </w:r>
      <w:proofErr w:type="gramEnd"/>
      <w:r>
        <w:t>. Part III examines the issue driving the largest volume of current property-insurance litigation: whether labor costs embedded in a repair estimate may be depreciated when calculating actual cash value.</w:t>
      </w:r>
    </w:p>
    <w:p w14:paraId="005D90F4" w14:textId="77777777" w:rsidR="00F81305" w:rsidRDefault="00032901">
      <w:pPr>
        <w:pStyle w:val="Heading1"/>
        <w:spacing w:before="400" w:after="200"/>
      </w:pPr>
      <w:r>
        <w:rPr>
          <w:b/>
          <w:bCs/>
          <w:color w:val="1F3864"/>
          <w:sz w:val="30"/>
          <w:szCs w:val="30"/>
        </w:rPr>
        <w:t>Part I: Actual Cash Value Coverage</w:t>
      </w:r>
    </w:p>
    <w:p w14:paraId="208E989D" w14:textId="77777777" w:rsidR="00F81305" w:rsidRDefault="00032901">
      <w:pPr>
        <w:pStyle w:val="Heading2"/>
        <w:spacing w:before="320" w:after="160"/>
      </w:pPr>
      <w:r>
        <w:rPr>
          <w:b/>
          <w:bCs/>
          <w:color w:val="2E5395"/>
        </w:rPr>
        <w:t>A. The Definitional Vacuum</w:t>
      </w:r>
    </w:p>
    <w:p w14:paraId="19818CD1" w14:textId="77777777" w:rsidR="00F81305" w:rsidRDefault="00032901">
      <w:pPr>
        <w:spacing w:after="160" w:line="276" w:lineRule="auto"/>
        <w:jc w:val="both"/>
      </w:pPr>
      <w:r>
        <w:t xml:space="preserve">Most property policies limit the insurer's liability to the actual cash value of the damaged property, with a deduction for depreciation “however caused,” and cap recovery at what it would cost to repair or replace the property with materials of like kind and quality. Despite the centrality of the term to the loss-settlement provision, “actual cash value” is rarely defined in the policy itself. A handful of states have enacted standard-policy statutes that supply a general loss definition, but these tend to be broad enough to support nearly any interpretation a court wishes to reach. The practical result is that ACV is a term </w:t>
      </w:r>
      <w:r>
        <w:lastRenderedPageBreak/>
        <w:t>courts have had to define almost entirely through case law, and they have not agreed on a single approach.</w:t>
      </w:r>
    </w:p>
    <w:p w14:paraId="1A03DE42" w14:textId="77777777" w:rsidR="00F81305" w:rsidRDefault="00032901">
      <w:pPr>
        <w:pStyle w:val="Heading2"/>
        <w:spacing w:before="320" w:after="160"/>
      </w:pPr>
      <w:r>
        <w:rPr>
          <w:b/>
          <w:bCs/>
          <w:color w:val="2E5395"/>
        </w:rPr>
        <w:t>B. Four Tests for Calculating Actual Cash Value</w:t>
      </w:r>
    </w:p>
    <w:p w14:paraId="21724386" w14:textId="77777777" w:rsidR="00F81305" w:rsidRDefault="00032901">
      <w:pPr>
        <w:spacing w:after="160" w:line="276" w:lineRule="auto"/>
        <w:jc w:val="both"/>
      </w:pPr>
      <w:r>
        <w:t xml:space="preserve">What actual cash value means </w:t>
      </w:r>
      <w:proofErr w:type="gramStart"/>
      <w:r>
        <w:t>in a given</w:t>
      </w:r>
      <w:proofErr w:type="gramEnd"/>
      <w:r>
        <w:t xml:space="preserve"> case depends on the type of property at issue, its condition at the time of loss, and the jurisdiction. Courts have converged on four recurring methodologies: fair market value, replacement cost without deduction, replacement cost minus depreciation, and the broad evidence rule.</w:t>
      </w:r>
    </w:p>
    <w:p w14:paraId="37953257" w14:textId="77777777" w:rsidR="00F81305" w:rsidRDefault="00032901">
      <w:pPr>
        <w:pStyle w:val="Heading3"/>
        <w:spacing w:before="240" w:after="120"/>
      </w:pPr>
      <w:r>
        <w:rPr>
          <w:b/>
          <w:bCs/>
          <w:i/>
          <w:iCs/>
          <w:color w:val="2E5395"/>
          <w:sz w:val="23"/>
          <w:szCs w:val="23"/>
        </w:rPr>
        <w:t>1. Fair Market Value</w:t>
      </w:r>
    </w:p>
    <w:p w14:paraId="71B8F218" w14:textId="77777777" w:rsidR="00F81305" w:rsidRDefault="00032901">
      <w:pPr>
        <w:spacing w:after="160" w:line="276" w:lineRule="auto"/>
        <w:jc w:val="both"/>
      </w:pPr>
      <w:r>
        <w:t>Fair market value — the price a willing buyer would pay a willing seller, neither compelled to act — is the most intuitive test and the easiest to apply when a genuine market exists for the property in question. Courts have historically applied it to general merchandise, machinery, and farm products, where an active resale market makes valuation straightforward. It is applied far less often to buildings, household furniture, or personal effects, categories the courts have generally found lack any meaningful open market of their own.</w:t>
      </w:r>
    </w:p>
    <w:p w14:paraId="5F2C6F4A" w14:textId="77777777" w:rsidR="00F81305" w:rsidRDefault="00032901">
      <w:pPr>
        <w:pStyle w:val="Heading3"/>
        <w:spacing w:before="240" w:after="120"/>
      </w:pPr>
      <w:r>
        <w:rPr>
          <w:b/>
          <w:bCs/>
          <w:i/>
          <w:iCs/>
          <w:color w:val="2E5395"/>
          <w:sz w:val="23"/>
          <w:szCs w:val="23"/>
        </w:rPr>
        <w:t>2. Replacement Cost Without Depreciation</w:t>
      </w:r>
    </w:p>
    <w:p w14:paraId="46B64B5D" w14:textId="77777777" w:rsidR="00F81305" w:rsidRDefault="00032901">
      <w:pPr>
        <w:spacing w:after="160" w:line="276" w:lineRule="auto"/>
        <w:jc w:val="both"/>
      </w:pPr>
      <w:r>
        <w:t>A minority of courts hold that, at least for partial losses, actual cash value means the reasonable cost of repair with no reduction for depreciation. The theory is that a policyholder reasonably expects to be made whole and would not anticipate that a reduction for the age or wear of the damaged component would leave a shortfall preventing actual repair. This approach remains the exception rather than the rule.</w:t>
      </w:r>
    </w:p>
    <w:p w14:paraId="5A7614B0" w14:textId="77777777" w:rsidR="00F81305" w:rsidRDefault="00032901">
      <w:pPr>
        <w:pStyle w:val="Heading3"/>
        <w:spacing w:before="240" w:after="120"/>
      </w:pPr>
      <w:r>
        <w:rPr>
          <w:b/>
          <w:bCs/>
          <w:i/>
          <w:iCs/>
          <w:color w:val="2E5395"/>
          <w:sz w:val="23"/>
          <w:szCs w:val="23"/>
        </w:rPr>
        <w:t>3. Replacement Cost Minus Depreciation</w:t>
      </w:r>
    </w:p>
    <w:p w14:paraId="7F047EF9" w14:textId="77777777" w:rsidR="00F81305" w:rsidRDefault="00032901">
      <w:pPr>
        <w:spacing w:after="160" w:line="276" w:lineRule="auto"/>
        <w:jc w:val="both"/>
      </w:pPr>
      <w:r>
        <w:t xml:space="preserve">The prevailing approach nationally is to start </w:t>
      </w:r>
      <w:proofErr w:type="gramStart"/>
      <w:r>
        <w:t>from</w:t>
      </w:r>
      <w:proofErr w:type="gramEnd"/>
      <w:r>
        <w:t xml:space="preserve"> the replacement cost of the property and deduct an allowance for depreciation. Courts favor this method because it more closely approximates true indemnity: an insured who receives full replacement value for a total loss, without any deduction, would as a practical matter come out ahead of their pre-loss position, since new materials are inherently worth more than the aged materials they replace.</w:t>
      </w:r>
    </w:p>
    <w:p w14:paraId="6A880AE5" w14:textId="77777777" w:rsidR="00F81305" w:rsidRDefault="00032901">
      <w:pPr>
        <w:pStyle w:val="Heading3"/>
        <w:spacing w:before="240" w:after="120"/>
      </w:pPr>
      <w:r>
        <w:rPr>
          <w:b/>
          <w:bCs/>
          <w:i/>
          <w:iCs/>
          <w:color w:val="2E5395"/>
          <w:sz w:val="23"/>
          <w:szCs w:val="23"/>
        </w:rPr>
        <w:t>4. The Broad Evidence Rule</w:t>
      </w:r>
    </w:p>
    <w:p w14:paraId="0016D760" w14:textId="77777777" w:rsidR="00F81305" w:rsidRDefault="00032901">
      <w:pPr>
        <w:spacing w:after="160" w:line="276" w:lineRule="auto"/>
        <w:jc w:val="both"/>
      </w:pPr>
      <w:r>
        <w:t xml:space="preserve">The modern trend, and the method most commentators view as fairest, is the broad evidence rule. Under this approach, the </w:t>
      </w:r>
      <w:proofErr w:type="gramStart"/>
      <w:r>
        <w:t>fact-finder</w:t>
      </w:r>
      <w:proofErr w:type="gramEnd"/>
      <w:r>
        <w:t xml:space="preserve"> may weigh any evidence that logically bears on the value of the property at the time of loss — market value, replacement cost, depreciation, age, original cost, condition, location, use, and even prospective profitability. Its principal criticism is practical rather than theoretical: it is a considerably more complex standard to apply than a fixed formula, and it gives fact-</w:t>
      </w:r>
      <w:proofErr w:type="spellStart"/>
      <w:r>
        <w:t>finders</w:t>
      </w:r>
      <w:proofErr w:type="spellEnd"/>
      <w:r>
        <w:t xml:space="preserve"> wide latitude that can make outcomes harder to predict.</w:t>
      </w:r>
    </w:p>
    <w:p w14:paraId="07512BBC" w14:textId="77777777" w:rsidR="00F81305" w:rsidRDefault="00032901">
      <w:pPr>
        <w:pBdr>
          <w:left w:val="single" w:sz="18" w:space="12" w:color="2E5395"/>
        </w:pBdr>
        <w:spacing w:before="200" w:after="200"/>
        <w:ind w:left="720" w:right="720"/>
      </w:pPr>
      <w:r>
        <w:rPr>
          <w:i/>
          <w:iCs/>
          <w:color w:val="2E5395"/>
        </w:rPr>
        <w:t xml:space="preserve">“The wider the range of evidence considered by the </w:t>
      </w:r>
      <w:proofErr w:type="gramStart"/>
      <w:r>
        <w:rPr>
          <w:i/>
          <w:iCs/>
          <w:color w:val="2E5395"/>
        </w:rPr>
        <w:t>fact-finder</w:t>
      </w:r>
      <w:proofErr w:type="gramEnd"/>
      <w:r>
        <w:rPr>
          <w:i/>
          <w:iCs/>
          <w:color w:val="2E5395"/>
        </w:rPr>
        <w:t>, the more reasonable it is for a court to accept his conclusions.” — New Jersey appellate court, on the broad evidence rule</w:t>
      </w:r>
    </w:p>
    <w:p w14:paraId="50078511" w14:textId="77777777" w:rsidR="00F81305" w:rsidRDefault="00032901">
      <w:pPr>
        <w:pStyle w:val="Heading2"/>
        <w:spacing w:before="320" w:after="160"/>
      </w:pPr>
      <w:r>
        <w:rPr>
          <w:b/>
          <w:bCs/>
          <w:color w:val="2E5395"/>
        </w:rPr>
        <w:lastRenderedPageBreak/>
        <w:t>C. Total Loss Valuation</w:t>
      </w:r>
    </w:p>
    <w:p w14:paraId="4B88C665" w14:textId="77777777" w:rsidR="00F81305" w:rsidRDefault="00032901">
      <w:pPr>
        <w:spacing w:after="160" w:line="276" w:lineRule="auto"/>
        <w:jc w:val="both"/>
      </w:pPr>
      <w:r>
        <w:t xml:space="preserve">Where property is </w:t>
      </w:r>
      <w:proofErr w:type="gramStart"/>
      <w:r>
        <w:t>completely destroyed</w:t>
      </w:r>
      <w:proofErr w:type="gramEnd"/>
      <w:r>
        <w:t>, courts have no uniform test, though clear patterns emerge by property type.</w:t>
      </w:r>
    </w:p>
    <w:p w14:paraId="592FE390" w14:textId="77777777" w:rsidR="00F81305" w:rsidRDefault="00032901">
      <w:pPr>
        <w:pStyle w:val="ListParagraph"/>
        <w:numPr>
          <w:ilvl w:val="0"/>
          <w:numId w:val="2"/>
        </w:numPr>
        <w:spacing w:after="100" w:line="276" w:lineRule="auto"/>
      </w:pPr>
      <w:r>
        <w:t>Market value governs where a genuine resale market exists — general merchandise, machinery, farm products — but is typically rejected for buildings (which cannot be sold apart from the land beneath them) and for household furniture and personal effects (which courts have found carry no true open-market value).</w:t>
      </w:r>
    </w:p>
    <w:p w14:paraId="1D39E11C" w14:textId="77777777" w:rsidR="00F81305" w:rsidRDefault="00032901">
      <w:pPr>
        <w:pStyle w:val="ListParagraph"/>
        <w:numPr>
          <w:ilvl w:val="0"/>
          <w:numId w:val="2"/>
        </w:numPr>
        <w:spacing w:after="100" w:line="276" w:lineRule="auto"/>
      </w:pPr>
      <w:r>
        <w:t>Replacement value, net of depreciation, becomes the default where market value is inadequate. Age, condition, and obsolescence at the time of loss are all relevant; a building that is economically useless at the time of loss may be found to carry no value at all, regardless of its replacement cost.</w:t>
      </w:r>
    </w:p>
    <w:p w14:paraId="507DA1D3" w14:textId="77777777" w:rsidR="00F81305" w:rsidRDefault="00032901">
      <w:pPr>
        <w:pStyle w:val="ListParagraph"/>
        <w:numPr>
          <w:ilvl w:val="0"/>
          <w:numId w:val="2"/>
        </w:numPr>
        <w:spacing w:after="100" w:line="276" w:lineRule="auto"/>
      </w:pPr>
      <w:r>
        <w:t xml:space="preserve">The broad evidence rule remains available and is increasingly preferred, allowing the </w:t>
      </w:r>
      <w:proofErr w:type="gramStart"/>
      <w:r>
        <w:t>fact-finder</w:t>
      </w:r>
      <w:proofErr w:type="gramEnd"/>
      <w:r>
        <w:t xml:space="preserve"> to weigh reproduction cost, original cost, prior use, expert opinion, and any other probative evidence rather than being bound to a single formula.</w:t>
      </w:r>
    </w:p>
    <w:p w14:paraId="7EB5ED65" w14:textId="77777777" w:rsidR="00F81305" w:rsidRDefault="00032901">
      <w:pPr>
        <w:pStyle w:val="Heading2"/>
        <w:spacing w:before="320" w:after="160"/>
      </w:pPr>
      <w:r>
        <w:rPr>
          <w:b/>
          <w:bCs/>
          <w:color w:val="2E5395"/>
        </w:rPr>
        <w:t>D. Partial Loss Valuation</w:t>
      </w:r>
    </w:p>
    <w:p w14:paraId="2461426A" w14:textId="77777777" w:rsidR="00F81305" w:rsidRDefault="00032901">
      <w:pPr>
        <w:spacing w:after="160" w:line="276" w:lineRule="auto"/>
        <w:jc w:val="both"/>
      </w:pPr>
      <w:r>
        <w:t xml:space="preserve">Partial losses are inherently harder to value than total losses — there is no simple substitute purchase price to point to, and the </w:t>
      </w:r>
      <w:proofErr w:type="gramStart"/>
      <w:r>
        <w:t>fact-finder</w:t>
      </w:r>
      <w:proofErr w:type="gramEnd"/>
      <w:r>
        <w:t xml:space="preserve"> must instead estimate what portion of the property was damaged and what it will cost to restore it.</w:t>
      </w:r>
    </w:p>
    <w:p w14:paraId="423DA69D" w14:textId="77777777" w:rsidR="00F81305" w:rsidRDefault="00032901">
      <w:pPr>
        <w:pStyle w:val="ListParagraph"/>
        <w:numPr>
          <w:ilvl w:val="0"/>
          <w:numId w:val="2"/>
        </w:numPr>
        <w:spacing w:after="100" w:line="276" w:lineRule="auto"/>
      </w:pPr>
      <w:r>
        <w:t>Market value is rarely used for partial losses. Where applied, it is measured as the difference between the property's fair market value immediately before and immediately after the loss, generally capped at the cost of repair.</w:t>
      </w:r>
    </w:p>
    <w:p w14:paraId="522DA129" w14:textId="77777777" w:rsidR="00F81305" w:rsidRDefault="00032901">
      <w:pPr>
        <w:pStyle w:val="ListParagraph"/>
        <w:numPr>
          <w:ilvl w:val="0"/>
          <w:numId w:val="2"/>
        </w:numPr>
        <w:spacing w:after="100" w:line="276" w:lineRule="auto"/>
      </w:pPr>
      <w:r>
        <w:t>Replacement or repair cost, measured as of the date of loss, is the more common approach. Jurisdictions split on whether depreciation should be deducted: some courts refuse to deduct depreciation on the theory that doing so would leave the insured without enough funds to complete repairs; others deduct depreciation on the theory that a fully repaired structure using new materials is inherently worth more than the property was worth immediately before the loss, and a policyholder who recovers full repair cost without any offset would receive a windfall.</w:t>
      </w:r>
    </w:p>
    <w:p w14:paraId="3B8C90B7" w14:textId="77777777" w:rsidR="00F81305" w:rsidRDefault="00032901">
      <w:pPr>
        <w:pStyle w:val="ListParagraph"/>
        <w:numPr>
          <w:ilvl w:val="0"/>
          <w:numId w:val="2"/>
        </w:numPr>
        <w:spacing w:after="100" w:line="276" w:lineRule="auto"/>
      </w:pPr>
      <w:r>
        <w:t>The broad evidence rule is common here as well, permitting consideration of both fair market value and replacement-cost-minus-depreciation together with any other evidence an appraisal expert would find relevant.</w:t>
      </w:r>
    </w:p>
    <w:p w14:paraId="1A9888C3" w14:textId="77777777" w:rsidR="00F81305" w:rsidRDefault="00032901">
      <w:pPr>
        <w:pStyle w:val="Heading2"/>
        <w:spacing w:before="320" w:after="160"/>
      </w:pPr>
      <w:r>
        <w:rPr>
          <w:b/>
          <w:bCs/>
          <w:color w:val="2E5395"/>
        </w:rPr>
        <w:t>E. Constructive Total Loss</w:t>
      </w:r>
    </w:p>
    <w:p w14:paraId="68C350DE" w14:textId="77777777" w:rsidR="00F81305" w:rsidRDefault="00032901">
      <w:pPr>
        <w:spacing w:after="160" w:line="276" w:lineRule="auto"/>
        <w:jc w:val="both"/>
      </w:pPr>
      <w:r>
        <w:t xml:space="preserve">A partially damaged property may still be treated as a total loss where a government ordinance or building code prohibits the insured from repairing or rebuilding it — a doctrine known as “constructive total loss.” This can arise where an ordinance requires demolition for safety reasons, where the damaged structure </w:t>
      </w:r>
      <w:r>
        <w:lastRenderedPageBreak/>
        <w:t>is condemned regardless of its pre-loss soundness, or where the cost of bringing the structure up to current code exceeds the value of a straightforward repair.</w:t>
      </w:r>
    </w:p>
    <w:p w14:paraId="28023F0C" w14:textId="77777777" w:rsidR="00F81305" w:rsidRDefault="00032901">
      <w:pPr>
        <w:spacing w:after="160" w:line="276" w:lineRule="auto"/>
        <w:jc w:val="both"/>
      </w:pPr>
      <w:r>
        <w:t xml:space="preserve">Courts </w:t>
      </w:r>
      <w:proofErr w:type="gramStart"/>
      <w:r>
        <w:t>apply</w:t>
      </w:r>
      <w:proofErr w:type="gramEnd"/>
      <w:r>
        <w:t xml:space="preserve"> two principal tests. Under the first, a loss is total where no substantial remnant remains that a prudent, uninsured owner would use as the basis for rebuilding. Under the second — the “loss of identity” rule — a loss is total where the damage is severe enough that the structure has lost its identity as the building it was before the loss, even where technical repair remains possible; the rationale is that an insured should not be forced to assume the risk of hidden structural defects simply because repair is theoretically feasible.</w:t>
      </w:r>
    </w:p>
    <w:p w14:paraId="7939867F" w14:textId="77777777" w:rsidR="00F81305" w:rsidRDefault="00032901">
      <w:pPr>
        <w:spacing w:after="160" w:line="276" w:lineRule="auto"/>
        <w:jc w:val="both"/>
      </w:pPr>
      <w:r>
        <w:t>Many policies attempt to limit this exposure through an “ordinance or law” exclusion, disclaiming coverage for losses resulting from the enforcement of building codes. Courts are split on how far these exclusions reach: some hold that where an ordinance renders a repair legally impossible, the loss is total and there is, by definition, no “increased cost of repair” for the exclusion to bar; others enforce the exclusion as written regardless of whether the ordinance was the proximate cause of the total-loss finding. Practitioners should not assume a standard ordinance-or-law exclusion will be read the same way across jurisdictions.</w:t>
      </w:r>
    </w:p>
    <w:p w14:paraId="2EE9BFDB" w14:textId="77777777" w:rsidR="00F81305" w:rsidRDefault="00032901">
      <w:pPr>
        <w:pStyle w:val="Heading1"/>
        <w:spacing w:before="400" w:after="200"/>
      </w:pPr>
      <w:r>
        <w:rPr>
          <w:b/>
          <w:bCs/>
          <w:color w:val="1F3864"/>
          <w:sz w:val="30"/>
          <w:szCs w:val="30"/>
        </w:rPr>
        <w:t>Part II: Replacement Cost Coverage</w:t>
      </w:r>
    </w:p>
    <w:p w14:paraId="587208DA" w14:textId="77777777" w:rsidR="00F81305" w:rsidRDefault="00032901">
      <w:pPr>
        <w:pStyle w:val="Heading2"/>
        <w:spacing w:before="320" w:after="160"/>
      </w:pPr>
      <w:r>
        <w:rPr>
          <w:b/>
          <w:bCs/>
          <w:color w:val="2E5395"/>
        </w:rPr>
        <w:t>A. Three Types of Replacement Cost Provisions</w:t>
      </w:r>
    </w:p>
    <w:p w14:paraId="29CA7A4C" w14:textId="77777777" w:rsidR="00F81305" w:rsidRDefault="00032901">
      <w:pPr>
        <w:spacing w:after="160" w:line="276" w:lineRule="auto"/>
        <w:jc w:val="both"/>
      </w:pPr>
      <w:r>
        <w:t>Insurers developed replacement cost coverage precisely because actual cash value payments, standing alone, do not fully restore an insured to their pre-loss financial position — ACV bakes in the property's expected depreciation, while replacement cost coverage is designed to insure against it. Replacement cost provisions generally take one of three forms:</w:t>
      </w:r>
    </w:p>
    <w:p w14:paraId="57C28D0D" w14:textId="77777777" w:rsidR="00F81305" w:rsidRDefault="00032901">
      <w:pPr>
        <w:pStyle w:val="ListParagraph"/>
        <w:numPr>
          <w:ilvl w:val="0"/>
          <w:numId w:val="2"/>
        </w:numPr>
        <w:spacing w:after="100" w:line="276" w:lineRule="auto"/>
      </w:pPr>
      <w:r>
        <w:t xml:space="preserve">A valuation provision capping recovery at the smallest of several amounts — typically the cost to replace with equivalent property, the amount </w:t>
      </w:r>
      <w:proofErr w:type="gramStart"/>
      <w:r>
        <w:t>actually spent</w:t>
      </w:r>
      <w:proofErr w:type="gramEnd"/>
      <w:r>
        <w:t xml:space="preserve"> on replacement, or the applicable policy limit.</w:t>
      </w:r>
    </w:p>
    <w:p w14:paraId="5DAA0496" w14:textId="77777777" w:rsidR="00F81305" w:rsidRDefault="00032901">
      <w:pPr>
        <w:pStyle w:val="ListParagraph"/>
        <w:numPr>
          <w:ilvl w:val="0"/>
          <w:numId w:val="2"/>
        </w:numPr>
        <w:spacing w:after="100" w:line="276" w:lineRule="auto"/>
      </w:pPr>
      <w:r>
        <w:t>An election provision, giving the insured the option to forgo replacement cost and instead take payment of actual cash value.</w:t>
      </w:r>
    </w:p>
    <w:p w14:paraId="5E7ED8AA" w14:textId="77777777" w:rsidR="00F81305" w:rsidRDefault="00032901">
      <w:pPr>
        <w:pStyle w:val="ListParagraph"/>
        <w:numPr>
          <w:ilvl w:val="0"/>
          <w:numId w:val="2"/>
        </w:numPr>
        <w:spacing w:after="100" w:line="276" w:lineRule="auto"/>
      </w:pPr>
      <w:r>
        <w:t xml:space="preserve">A repair-or-replace-first provision — by far the most litigated — conditioning the insured's right to full replacement cost recovery on </w:t>
      </w:r>
      <w:proofErr w:type="gramStart"/>
      <w:r>
        <w:t>actually repairing</w:t>
      </w:r>
      <w:proofErr w:type="gramEnd"/>
      <w:r>
        <w:t xml:space="preserve"> or replacing the damaged property.</w:t>
      </w:r>
    </w:p>
    <w:p w14:paraId="434ADA5C" w14:textId="77777777" w:rsidR="00F81305" w:rsidRDefault="00032901">
      <w:pPr>
        <w:spacing w:after="160" w:line="276" w:lineRule="auto"/>
        <w:jc w:val="both"/>
      </w:pPr>
      <w:r>
        <w:t xml:space="preserve">A more recent variant, the Guaranteed Replacement Cost </w:t>
      </w:r>
      <w:proofErr w:type="gramStart"/>
      <w:r>
        <w:t>endorsement</w:t>
      </w:r>
      <w:proofErr w:type="gramEnd"/>
      <w:r>
        <w:t>, extends replacement cost coverage above and beyond the policy's stated limit, subject to its own restrictions. Courts applying these endorsements have generally limited recovery to costs that were actually necessitated by the loss itself — for example, declining to cover soil-stabilization or retaining-wall work that was not required by the fire or other covered peril, even where an engineer recommends it as good practice going forward. Some jurisdictions take a broader view on land-movement claims specifically, holding insurers liable for soil stabilization costs up to the full policy limit where earth movement itself is a covered peril.</w:t>
      </w:r>
    </w:p>
    <w:p w14:paraId="29A7C4C7" w14:textId="77777777" w:rsidR="00F81305" w:rsidRDefault="00032901">
      <w:pPr>
        <w:pStyle w:val="Heading2"/>
        <w:spacing w:before="320" w:after="160"/>
      </w:pPr>
      <w:r>
        <w:rPr>
          <w:b/>
          <w:bCs/>
          <w:color w:val="2E5395"/>
        </w:rPr>
        <w:lastRenderedPageBreak/>
        <w:t>B. The Holdback Provision</w:t>
      </w:r>
    </w:p>
    <w:p w14:paraId="2434D977" w14:textId="77777777" w:rsidR="00F81305" w:rsidRDefault="00032901">
      <w:pPr>
        <w:pStyle w:val="Heading3"/>
        <w:spacing w:before="240" w:after="120"/>
      </w:pPr>
      <w:r>
        <w:rPr>
          <w:b/>
          <w:bCs/>
          <w:i/>
          <w:iCs/>
          <w:color w:val="2E5395"/>
          <w:sz w:val="23"/>
          <w:szCs w:val="23"/>
        </w:rPr>
        <w:t>1. Mechanics and Purpose</w:t>
      </w:r>
    </w:p>
    <w:p w14:paraId="1A877589" w14:textId="77777777" w:rsidR="00F81305" w:rsidRDefault="00032901">
      <w:pPr>
        <w:spacing w:after="160" w:line="276" w:lineRule="auto"/>
        <w:jc w:val="both"/>
      </w:pPr>
      <w:r>
        <w:t>The industry term for a repair-or-replace-first condition is a “holdback”: the insurer pays actual cash value up front and withholds the difference between ACV and full replacement cost — the depreciation holdback — until the insured completes the repair or replacement. The provision exists to prevent a moral hazard: an insured who receives full replacement cost without any obligation to rebuild would, in effect, profit from the loss. A twenty-year-old structure with an actual cash value of $20,000 that would cost $43,000 to rebuild presents a $23,000 windfall if the insured pockets the replacement cost payment and never rebuilds.</w:t>
      </w:r>
    </w:p>
    <w:p w14:paraId="59B4D14D" w14:textId="77777777" w:rsidR="00F81305" w:rsidRDefault="00032901">
      <w:pPr>
        <w:spacing w:after="160" w:line="276" w:lineRule="auto"/>
        <w:jc w:val="both"/>
      </w:pPr>
      <w:r>
        <w:t>Critics of holdback provisions point out the practical bind this creates for insureds who lack the cash or credit to front reconstruction costs before the holdback is released — effectively pressuring financially weaker policyholders into accepting the lower ACV settlement rather than waiting to fund a rebuild themselves.</w:t>
      </w:r>
    </w:p>
    <w:p w14:paraId="08CE4A39" w14:textId="77777777" w:rsidR="00F81305" w:rsidRDefault="00032901">
      <w:pPr>
        <w:pStyle w:val="Heading3"/>
        <w:spacing w:before="240" w:after="120"/>
      </w:pPr>
      <w:r>
        <w:rPr>
          <w:b/>
          <w:bCs/>
          <w:i/>
          <w:iCs/>
          <w:color w:val="2E5395"/>
          <w:sz w:val="23"/>
          <w:szCs w:val="23"/>
        </w:rPr>
        <w:t>2. Majority Rule: Holdbacks Are Enforceable</w:t>
      </w:r>
    </w:p>
    <w:p w14:paraId="6D02189D" w14:textId="77777777" w:rsidR="00F81305" w:rsidRDefault="00032901">
      <w:pPr>
        <w:spacing w:after="160" w:line="276" w:lineRule="auto"/>
        <w:jc w:val="both"/>
      </w:pPr>
      <w:r>
        <w:t xml:space="preserve">Most courts </w:t>
      </w:r>
      <w:proofErr w:type="gramStart"/>
      <w:r>
        <w:t>to consider</w:t>
      </w:r>
      <w:proofErr w:type="gramEnd"/>
      <w:r>
        <w:t xml:space="preserve"> the question have enforced clear, unambiguous holdback language as written, limiting the insured to actual cash value unless and until repair or replacement is </w:t>
      </w:r>
      <w:proofErr w:type="gramStart"/>
      <w:r>
        <w:t>actually completed</w:t>
      </w:r>
      <w:proofErr w:type="gramEnd"/>
      <w:r>
        <w:t>. Where the policy plainly conditions full replacement cost recovery on completion of repairs, courts applying the majority rule will not rewrite that condition even where it produces a harsh result for a particular insured.</w:t>
      </w:r>
    </w:p>
    <w:p w14:paraId="047729D0" w14:textId="77777777" w:rsidR="00F81305" w:rsidRDefault="00032901">
      <w:pPr>
        <w:pStyle w:val="Heading3"/>
        <w:spacing w:before="240" w:after="120"/>
      </w:pPr>
      <w:r>
        <w:rPr>
          <w:b/>
          <w:bCs/>
          <w:i/>
          <w:iCs/>
          <w:color w:val="2E5395"/>
          <w:sz w:val="23"/>
          <w:szCs w:val="23"/>
        </w:rPr>
        <w:t>3. Minority Rule: Holdbacks Set Aside</w:t>
      </w:r>
    </w:p>
    <w:p w14:paraId="6A8BBDE4" w14:textId="77777777" w:rsidR="00F81305" w:rsidRDefault="00032901">
      <w:pPr>
        <w:spacing w:after="160" w:line="276" w:lineRule="auto"/>
        <w:jc w:val="both"/>
      </w:pPr>
      <w:r>
        <w:t>A growing minority of courts have allowed insureds to recover full replacement cost without satisfying the holdback condition, typically by focusing on the insurer's conduct during the claims process, equitable considerations, or a public-policy or statutory basis for departing from the plain contract language rather than rejecting the holdback concept outright.</w:t>
      </w:r>
    </w:p>
    <w:p w14:paraId="0E00CFEA" w14:textId="77777777" w:rsidR="00F81305" w:rsidRDefault="00032901">
      <w:pPr>
        <w:pStyle w:val="ListParagraph"/>
        <w:numPr>
          <w:ilvl w:val="0"/>
          <w:numId w:val="2"/>
        </w:numPr>
        <w:spacing w:after="100" w:line="276" w:lineRule="auto"/>
      </w:pPr>
      <w:r>
        <w:t>Insurer misconduct: where an insurer's improper claims handling itself prevented the insured from being able to complete repairs — for instance, by wrongfully denying or delaying the claim — some courts have excused the insured's noncompliance with the holdback condition entirely.</w:t>
      </w:r>
    </w:p>
    <w:p w14:paraId="5034EFB1" w14:textId="77777777" w:rsidR="00F81305" w:rsidRDefault="00032901">
      <w:pPr>
        <w:pStyle w:val="ListParagraph"/>
        <w:numPr>
          <w:ilvl w:val="0"/>
          <w:numId w:val="2"/>
        </w:numPr>
        <w:spacing w:after="100" w:line="276" w:lineRule="auto"/>
      </w:pPr>
      <w:r>
        <w:t xml:space="preserve">Unconscionability: at least one court has voided a holdback provision outright as unconscionable, reasoning that requiring an insured to front reconstruction costs with no assurance of </w:t>
      </w:r>
      <w:proofErr w:type="gramStart"/>
      <w:r>
        <w:t>reimbursement, and</w:t>
      </w:r>
      <w:proofErr w:type="gramEnd"/>
      <w:r>
        <w:t xml:space="preserve"> then risking denial on the basis that the chosen replacement wasn't truly “like kind and quality,” placed the insured in an untenable position with no real bargaining power.</w:t>
      </w:r>
    </w:p>
    <w:p w14:paraId="19DC2F2C" w14:textId="77777777" w:rsidR="00F81305" w:rsidRDefault="00032901">
      <w:pPr>
        <w:pStyle w:val="ListParagraph"/>
        <w:numPr>
          <w:ilvl w:val="0"/>
          <w:numId w:val="2"/>
        </w:numPr>
        <w:spacing w:after="100" w:line="276" w:lineRule="auto"/>
      </w:pPr>
      <w:r>
        <w:t>Ambiguity: some courts have found holdback language unenforceable simply because the policy never defined “actual cash value” in the first place, construing the ambiguity against the insurer that drafted it.</w:t>
      </w:r>
    </w:p>
    <w:p w14:paraId="2F0A649B" w14:textId="77777777" w:rsidR="00F81305" w:rsidRDefault="00032901">
      <w:pPr>
        <w:pStyle w:val="ListParagraph"/>
        <w:numPr>
          <w:ilvl w:val="0"/>
          <w:numId w:val="2"/>
        </w:numPr>
        <w:spacing w:after="100" w:line="276" w:lineRule="auto"/>
      </w:pPr>
      <w:r>
        <w:lastRenderedPageBreak/>
        <w:t>Fixed-percentage holdbacks: at least one appellate court has barred an insurer from automatically withholding a flat percentage of repair costs (representing contractor overhead and profit) as part of its actual cash value advance, reasoning that a genuine cost of repair or replacement includes whatever expense the insured could reasonably expect to incur completing it.</w:t>
      </w:r>
    </w:p>
    <w:p w14:paraId="3CC25BEF" w14:textId="77777777" w:rsidR="00F81305" w:rsidRDefault="00032901">
      <w:pPr>
        <w:pStyle w:val="Heading2"/>
        <w:spacing w:before="320" w:after="160"/>
      </w:pPr>
      <w:r>
        <w:rPr>
          <w:b/>
          <w:bCs/>
          <w:color w:val="2E5395"/>
        </w:rPr>
        <w:t>C. Partial Loss Issues Under Replacement Cost Coverage</w:t>
      </w:r>
    </w:p>
    <w:p w14:paraId="074DC08F" w14:textId="77777777" w:rsidR="00F81305" w:rsidRDefault="00032901">
      <w:pPr>
        <w:spacing w:after="160" w:line="276" w:lineRule="auto"/>
        <w:jc w:val="both"/>
      </w:pPr>
      <w:r>
        <w:t xml:space="preserve">Partial losses raise a further wrinkle under replacement cost policies: some courts require the insured to spend more than the actual cash value already advanced before any additional replacement-cost recovery is </w:t>
      </w:r>
      <w:proofErr w:type="gramStart"/>
      <w:r>
        <w:t>available, and</w:t>
      </w:r>
      <w:proofErr w:type="gramEnd"/>
      <w:r>
        <w:t xml:space="preserve"> will deny further recovery where the insured's actual repair expenditure came in under the ACV payment already made. Other courts, particularly where an actual cash value policy is involved rather than a full replacement cost policy, have rejected any depreciation deduction on partial losses at all, reasoning that policyholders would otherwise be left without sufficient funds to complete the repair — an approach critics note effectively converts ACV coverage into full replacement coverage without any corresponding change in premium.</w:t>
      </w:r>
    </w:p>
    <w:p w14:paraId="4CE0F488" w14:textId="77777777" w:rsidR="00F81305" w:rsidRDefault="00032901">
      <w:pPr>
        <w:pStyle w:val="Heading2"/>
        <w:spacing w:before="320" w:after="160"/>
      </w:pPr>
      <w:r>
        <w:rPr>
          <w:b/>
          <w:bCs/>
          <w:color w:val="2E5395"/>
        </w:rPr>
        <w:t>D. Contractual Time Limits on Replacement</w:t>
      </w:r>
    </w:p>
    <w:p w14:paraId="6D11E34A" w14:textId="77777777" w:rsidR="00F81305" w:rsidRDefault="00032901">
      <w:pPr>
        <w:spacing w:after="160" w:line="276" w:lineRule="auto"/>
        <w:jc w:val="both"/>
      </w:pPr>
      <w:r>
        <w:t xml:space="preserve">Replacement cost endorsements commonly require the insured to make a claim for the replacement cost option — as distinct from completing the rebuild — within a fixed window, typically 180 days of the loss. Courts have generally read “make a claim” to mean providing timely written notice of intent to replace, not completing construction within that window; an insured who gives notice within the deadline is typically entitled to a reasonable additional period to </w:t>
      </w:r>
      <w:proofErr w:type="gramStart"/>
      <w:r>
        <w:t>actually finish</w:t>
      </w:r>
      <w:proofErr w:type="gramEnd"/>
      <w:r>
        <w:t xml:space="preserve"> rebuilding. Practitioners should nonetheless treat the notice deadline itself as a strict condition precedent: courts have denied replacement cost recovery where the insured failed to </w:t>
      </w:r>
      <w:proofErr w:type="gramStart"/>
      <w:r>
        <w:t>communicate</w:t>
      </w:r>
      <w:proofErr w:type="gramEnd"/>
      <w:r>
        <w:t xml:space="preserve"> intent to rebuild within the stated window, even where mere intent (without written notice) existed.</w:t>
      </w:r>
    </w:p>
    <w:p w14:paraId="62497E93" w14:textId="77777777" w:rsidR="00F81305" w:rsidRDefault="00032901">
      <w:pPr>
        <w:pStyle w:val="Heading2"/>
        <w:spacing w:before="320" w:after="160"/>
      </w:pPr>
      <w:r>
        <w:rPr>
          <w:b/>
          <w:bCs/>
          <w:color w:val="2E5395"/>
        </w:rPr>
        <w:t>E. Quality Issues: “Like Kind and Quality”</w:t>
      </w:r>
    </w:p>
    <w:p w14:paraId="3889AE6F" w14:textId="77777777" w:rsidR="00F81305" w:rsidRDefault="00032901">
      <w:pPr>
        <w:spacing w:after="160" w:line="276" w:lineRule="auto"/>
        <w:jc w:val="both"/>
      </w:pPr>
      <w:r>
        <w:t>Replacement cost coverage frequently limits recovery to the cost of repair or replacement with materials of “like kind and quality,” a phrase that generates its own disputes whenever the insured's actual rebuild departs from the original construction.</w:t>
      </w:r>
    </w:p>
    <w:p w14:paraId="14F5BAC8" w14:textId="77777777" w:rsidR="00F81305" w:rsidRDefault="00032901">
      <w:pPr>
        <w:pStyle w:val="Heading3"/>
        <w:spacing w:before="240" w:after="120"/>
      </w:pPr>
      <w:r>
        <w:rPr>
          <w:b/>
          <w:bCs/>
          <w:i/>
          <w:iCs/>
          <w:color w:val="2E5395"/>
          <w:sz w:val="23"/>
          <w:szCs w:val="23"/>
        </w:rPr>
        <w:t>1. Cheaper Materials</w:t>
      </w:r>
    </w:p>
    <w:p w14:paraId="320B580F" w14:textId="77777777" w:rsidR="00F81305" w:rsidRDefault="00032901">
      <w:pPr>
        <w:spacing w:after="160" w:line="276" w:lineRule="auto"/>
        <w:jc w:val="both"/>
      </w:pPr>
      <w:r>
        <w:t>Courts are split on whether an insured who rebuilds with less expensive materials — and redirects the savings elsewhere — forfeits the depreciation holdback or remains entitled to it. Some courts have allowed full recovery notwithstanding the substitution, particularly where the insurer had already committed to a specific appraised value and made no timely objection to the change in materials; others have limited the insured to actual expenditure, declining to award the value of materials that were never actually installed.</w:t>
      </w:r>
    </w:p>
    <w:p w14:paraId="783E0346" w14:textId="77777777" w:rsidR="00F81305" w:rsidRDefault="00032901">
      <w:pPr>
        <w:pStyle w:val="Heading3"/>
        <w:spacing w:before="240" w:after="120"/>
      </w:pPr>
      <w:r>
        <w:rPr>
          <w:b/>
          <w:bCs/>
          <w:i/>
          <w:iCs/>
          <w:color w:val="2E5395"/>
          <w:sz w:val="23"/>
          <w:szCs w:val="23"/>
        </w:rPr>
        <w:t>2. More Expensive Materials</w:t>
      </w:r>
    </w:p>
    <w:p w14:paraId="7E108DBC" w14:textId="77777777" w:rsidR="00F81305" w:rsidRDefault="00032901">
      <w:pPr>
        <w:spacing w:after="160" w:line="276" w:lineRule="auto"/>
        <w:jc w:val="both"/>
      </w:pPr>
      <w:r>
        <w:lastRenderedPageBreak/>
        <w:t xml:space="preserve">The reverse scenario — an insured upgrading to costlier materials than the original construction — tends to cut the other way: courts have generally declined to require insurers to fund the upgrade, holding the insured to the cost of restoring “equivalent” or “like kind” construction rather than an improvement over the pre-loss condition. The same </w:t>
      </w:r>
      <w:proofErr w:type="gramStart"/>
      <w:r>
        <w:t>principle</w:t>
      </w:r>
      <w:proofErr w:type="gramEnd"/>
      <w:r>
        <w:t xml:space="preserve"> bars recovery for work to non-covered property (such as a retaining wall) framed as incidental to repairing covered property.</w:t>
      </w:r>
    </w:p>
    <w:p w14:paraId="5C1A687F" w14:textId="77777777" w:rsidR="00F81305" w:rsidRDefault="00032901">
      <w:pPr>
        <w:pStyle w:val="Heading2"/>
        <w:spacing w:before="320" w:after="160"/>
      </w:pPr>
      <w:r>
        <w:rPr>
          <w:b/>
          <w:bCs/>
          <w:color w:val="2E5395"/>
        </w:rPr>
        <w:t>F. Location Restrictions</w:t>
      </w:r>
    </w:p>
    <w:p w14:paraId="7C27AC12" w14:textId="77777777" w:rsidR="00F81305" w:rsidRDefault="00032901">
      <w:pPr>
        <w:spacing w:after="160" w:line="276" w:lineRule="auto"/>
        <w:jc w:val="both"/>
      </w:pPr>
      <w:r>
        <w:t>Replacement cost coverage was originally conceived with an assumption that the insured would rebuild on the same site, limiting the moral hazard of using proceeds to acquire a superior structure elsewhere. In practice, most courts have declined to enforce same-site rebuilding as a strict condition of recovery, permitting insureds to rebuild on a different parcel or even purchase an existing structure elsewhere, so long as the amount recovered is capped at what it would have cost to rebuild on the original site.</w:t>
      </w:r>
    </w:p>
    <w:p w14:paraId="190129E0" w14:textId="77777777" w:rsidR="00F81305" w:rsidRDefault="00032901">
      <w:pPr>
        <w:pStyle w:val="Heading2"/>
        <w:spacing w:before="320" w:after="160"/>
      </w:pPr>
      <w:r>
        <w:rPr>
          <w:b/>
          <w:bCs/>
          <w:color w:val="2E5395"/>
        </w:rPr>
        <w:t>G. Code Upgrades and Ordinance-or-Law Exclusions</w:t>
      </w:r>
    </w:p>
    <w:p w14:paraId="5CB0291A" w14:textId="77777777" w:rsidR="00F81305" w:rsidRDefault="00032901">
      <w:pPr>
        <w:spacing w:after="160" w:line="276" w:lineRule="auto"/>
        <w:jc w:val="both"/>
      </w:pPr>
      <w:r>
        <w:t>Building code changes create disputes in two recurring fact patterns: a partial loss where code compliance requires upgrades beyond simple restoration, and a total loss where a “replacement” policy is read against a policy provision limiting recovery to construction of “like kind and quality.” No uniform rule has emerged. Several courts have held that “like kind and quality” does not include differences necessitated by law, and that a clearly drafted ordinance-or-law exclusion bars the cost of code upgrades even where an average policyholder might reasonably have expected the code compliance work to be covered. Other courts, applying the doctrine of reasonable expectations to insurance contracts of adhesion, have found the exclusionary language ambiguous — for instance, reading an exclusion for losses “occasioned by” enforcement of an ordinance to apply only where the ordinance itself, rather than the covered peril, is the proximate cause of the loss — and required the insurer to cover the increased cost. This remains an unsettled area, and the outcome in any given case turns heavily on the precise wording of the exclusion and the jurisdiction's interpretive approach to adhesion contracts.</w:t>
      </w:r>
    </w:p>
    <w:p w14:paraId="6D25A328" w14:textId="77777777" w:rsidR="00F81305" w:rsidRDefault="00032901">
      <w:pPr>
        <w:pStyle w:val="Heading1"/>
        <w:spacing w:before="400" w:after="200"/>
      </w:pPr>
      <w:r>
        <w:rPr>
          <w:b/>
          <w:bCs/>
          <w:color w:val="1F3864"/>
          <w:sz w:val="30"/>
          <w:szCs w:val="30"/>
        </w:rPr>
        <w:t>Part III: The Modern Battleground — Depreciation of Labor</w:t>
      </w:r>
    </w:p>
    <w:p w14:paraId="57F13821" w14:textId="77777777" w:rsidR="00F81305" w:rsidRDefault="00032901">
      <w:pPr>
        <w:spacing w:after="160" w:line="276" w:lineRule="auto"/>
        <w:jc w:val="both"/>
      </w:pPr>
      <w:r>
        <w:t xml:space="preserve">The case law summarized in Parts I and II largely predates the issue now driving the highest volume of first-party property litigation nationally: whether an insurer calculating actual cash value may depreciate the labor component of a repair estimate, in addition to the cost of materials. Labor, unlike a roof shingle or a </w:t>
      </w:r>
      <w:proofErr w:type="gramStart"/>
      <w:r>
        <w:t>length of pipe</w:t>
      </w:r>
      <w:proofErr w:type="gramEnd"/>
      <w:r>
        <w:t>, does not physically wear out — it is performed fresh at the time of repair regardless of the age of the damaged property. That distinction has become the central battleground in ACV litigation since the late 2010s.</w:t>
      </w:r>
    </w:p>
    <w:p w14:paraId="5C033AE7" w14:textId="77777777" w:rsidR="00F81305" w:rsidRDefault="00032901">
      <w:pPr>
        <w:pStyle w:val="Heading2"/>
        <w:spacing w:before="320" w:after="160"/>
      </w:pPr>
      <w:r>
        <w:rPr>
          <w:b/>
          <w:bCs/>
          <w:color w:val="2E5395"/>
        </w:rPr>
        <w:t>A. The Ambiguity Argument</w:t>
      </w:r>
    </w:p>
    <w:p w14:paraId="02F7A5DC" w14:textId="77777777" w:rsidR="00F81305" w:rsidRDefault="00032901">
      <w:pPr>
        <w:spacing w:after="160" w:line="276" w:lineRule="auto"/>
        <w:jc w:val="both"/>
      </w:pPr>
      <w:r>
        <w:t xml:space="preserve">The most common plaintiff theory is that a policy which uses the term “actual cash value” or “depreciation” without defining either term is ambiguous as to whether labor may be depreciated, and that the ambiguity should be construed against the insurer that drafted the policy. The Fifth Circuit </w:t>
      </w:r>
      <w:r>
        <w:lastRenderedPageBreak/>
        <w:t>adopted this reasoning in 2020 in Mitchell v. State Farm Fire &amp; Casualty Co., applying Mississippi law and holding that an undefined ACV provision was ambiguous with respect to labor depreciation — both the insured's and the insurer's readings were reasonable, so the ambiguity was resolved in the policyholder's favor for purposes of the contract claim (though the court simultaneously found State Farm had an arguable basis for its position, defeating the insured's bad-faith and extracontractual claims). The Sixth Circuit reached a similar result applying Ohio law, and the Illinois Supreme Court likewise found an undefined ACV term ambiguous as to labor depreciation.</w:t>
      </w:r>
    </w:p>
    <w:p w14:paraId="71A298A6" w14:textId="77777777" w:rsidR="00F81305" w:rsidRDefault="00032901">
      <w:pPr>
        <w:pStyle w:val="Heading2"/>
        <w:spacing w:before="320" w:after="160"/>
      </w:pPr>
      <w:r>
        <w:rPr>
          <w:b/>
          <w:bCs/>
          <w:color w:val="2E5395"/>
        </w:rPr>
        <w:t>B. The Insurer-Favorable View</w:t>
      </w:r>
    </w:p>
    <w:p w14:paraId="05C70D33" w14:textId="77777777" w:rsidR="00F81305" w:rsidRDefault="00032901">
      <w:pPr>
        <w:spacing w:after="160" w:line="276" w:lineRule="auto"/>
        <w:jc w:val="both"/>
      </w:pPr>
      <w:r>
        <w:t>Other courts have gone the opposite direction on similar facts. The South Carolina Supreme Court held that where a policy does not define actual cash value, and the cost to repair or replace necessarily includes embedded labor along with materials, an insurer may depreciate both. The Nebraska Supreme Court reached the same conclusion even where the policy left both “actual cash value” and “depreciation” undefined. The Minnesota Supreme Court took a middle path, holding the question is one of fact for the jury rather than a matter resolved by ambiguity as a matter of law.</w:t>
      </w:r>
    </w:p>
    <w:p w14:paraId="40520F5B" w14:textId="77777777" w:rsidR="00F81305" w:rsidRDefault="00032901">
      <w:pPr>
        <w:pStyle w:val="Heading2"/>
        <w:spacing w:before="320" w:after="160"/>
      </w:pPr>
      <w:r>
        <w:rPr>
          <w:b/>
          <w:bCs/>
          <w:color w:val="2E5395"/>
        </w:rPr>
        <w:t>C. Regulatory Intervention</w:t>
      </w:r>
    </w:p>
    <w:p w14:paraId="2723E7E2" w14:textId="77777777" w:rsidR="00F81305" w:rsidRDefault="00032901">
      <w:pPr>
        <w:spacing w:after="160" w:line="276" w:lineRule="auto"/>
        <w:jc w:val="both"/>
      </w:pPr>
      <w:proofErr w:type="gramStart"/>
      <w:r>
        <w:t>A number of</w:t>
      </w:r>
      <w:proofErr w:type="gramEnd"/>
      <w:r>
        <w:t xml:space="preserve"> state insurance departments have stepped into the gap left by inconsistent case law, with mixed durability. Michigan's Department of Insurance and Financial Services issued a bulletin barring depreciation of labor and other “nontangible” costs for personal lines homeowners and dwelling policies absent a standalone endorsement expressly allowing it in exchange for a premium reduction. Alaska's Division of Insurance issued a similar prohibition in 2024, then withdrew it less than a year later. The regulatory landscape here is unsettled and state-specific, and a rule in place today may not remain in place by the time a claim is adjusted.</w:t>
      </w:r>
    </w:p>
    <w:p w14:paraId="27838A11" w14:textId="77777777" w:rsidR="00F81305" w:rsidRDefault="00032901">
      <w:pPr>
        <w:pStyle w:val="Heading2"/>
        <w:spacing w:before="320" w:after="160"/>
      </w:pPr>
      <w:r>
        <w:rPr>
          <w:b/>
          <w:bCs/>
          <w:color w:val="2E5395"/>
        </w:rPr>
        <w:t>D. Class Action Exposure</w:t>
      </w:r>
    </w:p>
    <w:p w14:paraId="7C547428" w14:textId="77777777" w:rsidR="00F81305" w:rsidRDefault="00032901">
      <w:pPr>
        <w:spacing w:after="160" w:line="276" w:lineRule="auto"/>
        <w:jc w:val="both"/>
      </w:pPr>
      <w:r>
        <w:t>The volume of labor-depreciation litigation has produced substantial class-wide exposure for carriers that depreciated labor under undefined ACV language. State Farm alone has faced multiple multi-state class actions on this issue, including an Alabama settlement requiring repayment of withheld labor depreciation (plus interest) to the class, valued at more than $38 million. Litigation over the underlying methodology — including in the automobile total-loss context, where a comparable dispute over valuation deductions has reached the U.S. Supreme Court on a certiorari petition — shows no sign of resolving into a single national rule in the near term.</w:t>
      </w:r>
    </w:p>
    <w:p w14:paraId="4EF91565" w14:textId="77777777" w:rsidR="00F81305" w:rsidRDefault="00032901">
      <w:pPr>
        <w:pStyle w:val="Heading2"/>
        <w:spacing w:before="320" w:after="160"/>
      </w:pPr>
      <w:r>
        <w:rPr>
          <w:b/>
          <w:bCs/>
          <w:color w:val="2E5395"/>
        </w:rPr>
        <w:t>E. Practice Pointer</w:t>
      </w:r>
    </w:p>
    <w:p w14:paraId="44B6AF10" w14:textId="77777777" w:rsidR="00F81305" w:rsidRDefault="00032901">
      <w:pPr>
        <w:spacing w:after="160" w:line="276" w:lineRule="auto"/>
        <w:jc w:val="both"/>
      </w:pPr>
      <w:r>
        <w:t xml:space="preserve">Because the labor-depreciation question turns almost entirely on (1) whether the specific policy defines “actual cash value” and “depreciation,” and (2) the jurisdiction's current judicial and regulatory posture — both of which can change independently of one another — counsel and adjusters should treat this as a live, jurisdiction-specific research question on every ACV claim involving a repair estimate with a </w:t>
      </w:r>
      <w:r>
        <w:lastRenderedPageBreak/>
        <w:t>meaningful labor component, rather than assuming the answer is settled based on prior claims handled in the same state.</w:t>
      </w:r>
    </w:p>
    <w:p w14:paraId="2F66DDD1" w14:textId="77777777" w:rsidR="00F81305" w:rsidRDefault="00F81305">
      <w:pPr>
        <w:pageBreakBefore/>
      </w:pPr>
    </w:p>
    <w:p w14:paraId="18586F13" w14:textId="77777777" w:rsidR="00F81305" w:rsidRDefault="00032901">
      <w:pPr>
        <w:pStyle w:val="Heading1"/>
        <w:spacing w:before="400" w:after="200"/>
      </w:pPr>
      <w:r>
        <w:rPr>
          <w:b/>
          <w:bCs/>
          <w:color w:val="1F3864"/>
          <w:sz w:val="30"/>
          <w:szCs w:val="30"/>
        </w:rPr>
        <w:t>Quick Reference</w:t>
      </w:r>
    </w:p>
    <w:p w14:paraId="13A9DEB5" w14:textId="77777777" w:rsidR="00F81305" w:rsidRDefault="00032901">
      <w:pPr>
        <w:pStyle w:val="Heading2"/>
        <w:spacing w:before="320" w:after="160"/>
      </w:pPr>
      <w:r>
        <w:rPr>
          <w:b/>
          <w:bCs/>
          <w:color w:val="2E5395"/>
        </w:rPr>
        <w:t xml:space="preserve">ACV Valuation Tests </w:t>
      </w:r>
      <w:proofErr w:type="gramStart"/>
      <w:r>
        <w:rPr>
          <w:b/>
          <w:bCs/>
          <w:color w:val="2E5395"/>
        </w:rPr>
        <w:t>at a Glance</w:t>
      </w:r>
      <w:proofErr w:type="gramEnd"/>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800"/>
        <w:gridCol w:w="2750"/>
      </w:tblGrid>
      <w:tr w:rsidR="00F81305" w14:paraId="7FDC2191" w14:textId="77777777">
        <w:tc>
          <w:tcPr>
            <w:tcW w:w="2800" w:type="dxa"/>
            <w:shd w:val="clear" w:color="auto" w:fill="1F3864"/>
            <w:tcMar>
              <w:top w:w="80" w:type="dxa"/>
              <w:left w:w="100" w:type="dxa"/>
              <w:bottom w:w="80" w:type="dxa"/>
              <w:right w:w="100" w:type="dxa"/>
            </w:tcMar>
          </w:tcPr>
          <w:p w14:paraId="76D17F12" w14:textId="77777777" w:rsidR="00F81305" w:rsidRDefault="00032901">
            <w:r>
              <w:rPr>
                <w:b/>
                <w:bCs/>
                <w:color w:val="FFFFFF"/>
                <w:sz w:val="20"/>
                <w:szCs w:val="20"/>
              </w:rPr>
              <w:t>Test</w:t>
            </w:r>
          </w:p>
        </w:tc>
        <w:tc>
          <w:tcPr>
            <w:tcW w:w="3800" w:type="dxa"/>
            <w:shd w:val="clear" w:color="auto" w:fill="1F3864"/>
            <w:tcMar>
              <w:top w:w="80" w:type="dxa"/>
              <w:left w:w="100" w:type="dxa"/>
              <w:bottom w:w="80" w:type="dxa"/>
              <w:right w:w="100" w:type="dxa"/>
            </w:tcMar>
          </w:tcPr>
          <w:p w14:paraId="5E04D404" w14:textId="77777777" w:rsidR="00F81305" w:rsidRDefault="00032901">
            <w:r>
              <w:rPr>
                <w:b/>
                <w:bCs/>
                <w:color w:val="FFFFFF"/>
                <w:sz w:val="20"/>
                <w:szCs w:val="20"/>
              </w:rPr>
              <w:t>Best Suited To</w:t>
            </w:r>
          </w:p>
        </w:tc>
        <w:tc>
          <w:tcPr>
            <w:tcW w:w="2750" w:type="dxa"/>
            <w:shd w:val="clear" w:color="auto" w:fill="1F3864"/>
            <w:tcMar>
              <w:top w:w="80" w:type="dxa"/>
              <w:left w:w="100" w:type="dxa"/>
              <w:bottom w:w="80" w:type="dxa"/>
              <w:right w:w="100" w:type="dxa"/>
            </w:tcMar>
          </w:tcPr>
          <w:p w14:paraId="7A468EAB" w14:textId="77777777" w:rsidR="00F81305" w:rsidRDefault="00032901">
            <w:r>
              <w:rPr>
                <w:b/>
                <w:bCs/>
                <w:color w:val="FFFFFF"/>
                <w:sz w:val="20"/>
                <w:szCs w:val="20"/>
              </w:rPr>
              <w:t>Key Limitation</w:t>
            </w:r>
          </w:p>
        </w:tc>
      </w:tr>
      <w:tr w:rsidR="00F81305" w14:paraId="1B156E24" w14:textId="77777777">
        <w:tc>
          <w:tcPr>
            <w:tcW w:w="2800" w:type="dxa"/>
            <w:tcMar>
              <w:top w:w="80" w:type="dxa"/>
              <w:left w:w="100" w:type="dxa"/>
              <w:bottom w:w="80" w:type="dxa"/>
              <w:right w:w="100" w:type="dxa"/>
            </w:tcMar>
          </w:tcPr>
          <w:p w14:paraId="3B00A3A6" w14:textId="77777777" w:rsidR="00F81305" w:rsidRDefault="00032901">
            <w:r>
              <w:rPr>
                <w:color w:val="000000"/>
                <w:sz w:val="20"/>
                <w:szCs w:val="20"/>
              </w:rPr>
              <w:t>Fair market value</w:t>
            </w:r>
          </w:p>
        </w:tc>
        <w:tc>
          <w:tcPr>
            <w:tcW w:w="3800" w:type="dxa"/>
            <w:tcMar>
              <w:top w:w="80" w:type="dxa"/>
              <w:left w:w="100" w:type="dxa"/>
              <w:bottom w:w="80" w:type="dxa"/>
              <w:right w:w="100" w:type="dxa"/>
            </w:tcMar>
          </w:tcPr>
          <w:p w14:paraId="2292E768" w14:textId="77777777" w:rsidR="00F81305" w:rsidRDefault="00032901">
            <w:r>
              <w:rPr>
                <w:color w:val="000000"/>
                <w:sz w:val="20"/>
                <w:szCs w:val="20"/>
              </w:rPr>
              <w:t>General merchandise, machinery, farm products with an active resale market</w:t>
            </w:r>
          </w:p>
        </w:tc>
        <w:tc>
          <w:tcPr>
            <w:tcW w:w="2750" w:type="dxa"/>
            <w:tcMar>
              <w:top w:w="80" w:type="dxa"/>
              <w:left w:w="100" w:type="dxa"/>
              <w:bottom w:w="80" w:type="dxa"/>
              <w:right w:w="100" w:type="dxa"/>
            </w:tcMar>
          </w:tcPr>
          <w:p w14:paraId="78C43AEC" w14:textId="77777777" w:rsidR="00F81305" w:rsidRDefault="00032901">
            <w:r>
              <w:rPr>
                <w:color w:val="000000"/>
                <w:sz w:val="20"/>
                <w:szCs w:val="20"/>
              </w:rPr>
              <w:t>Rejected for buildings, furniture, and personal effects lacking a true open market</w:t>
            </w:r>
          </w:p>
        </w:tc>
      </w:tr>
      <w:tr w:rsidR="00F81305" w14:paraId="371660FC" w14:textId="77777777">
        <w:tc>
          <w:tcPr>
            <w:tcW w:w="2800" w:type="dxa"/>
            <w:tcMar>
              <w:top w:w="80" w:type="dxa"/>
              <w:left w:w="100" w:type="dxa"/>
              <w:bottom w:w="80" w:type="dxa"/>
              <w:right w:w="100" w:type="dxa"/>
            </w:tcMar>
          </w:tcPr>
          <w:p w14:paraId="202F1F0A" w14:textId="77777777" w:rsidR="00F81305" w:rsidRDefault="00032901">
            <w:r>
              <w:rPr>
                <w:color w:val="000000"/>
                <w:sz w:val="20"/>
                <w:szCs w:val="20"/>
              </w:rPr>
              <w:t>Replacement cost (no depreciation)</w:t>
            </w:r>
          </w:p>
        </w:tc>
        <w:tc>
          <w:tcPr>
            <w:tcW w:w="3800" w:type="dxa"/>
            <w:tcMar>
              <w:top w:w="80" w:type="dxa"/>
              <w:left w:w="100" w:type="dxa"/>
              <w:bottom w:w="80" w:type="dxa"/>
              <w:right w:w="100" w:type="dxa"/>
            </w:tcMar>
          </w:tcPr>
          <w:p w14:paraId="4AC692CE" w14:textId="77777777" w:rsidR="00F81305" w:rsidRDefault="00032901">
            <w:r>
              <w:rPr>
                <w:color w:val="000000"/>
                <w:sz w:val="20"/>
                <w:szCs w:val="20"/>
              </w:rPr>
              <w:t>Partial losses in minority jurisdictions</w:t>
            </w:r>
          </w:p>
        </w:tc>
        <w:tc>
          <w:tcPr>
            <w:tcW w:w="2750" w:type="dxa"/>
            <w:tcMar>
              <w:top w:w="80" w:type="dxa"/>
              <w:left w:w="100" w:type="dxa"/>
              <w:bottom w:w="80" w:type="dxa"/>
              <w:right w:w="100" w:type="dxa"/>
            </w:tcMar>
          </w:tcPr>
          <w:p w14:paraId="3EFAD050" w14:textId="77777777" w:rsidR="00F81305" w:rsidRDefault="00032901">
            <w:r>
              <w:rPr>
                <w:color w:val="000000"/>
                <w:sz w:val="20"/>
                <w:szCs w:val="20"/>
              </w:rPr>
              <w:t>Minority rule; risk of windfall recovery</w:t>
            </w:r>
          </w:p>
        </w:tc>
      </w:tr>
      <w:tr w:rsidR="00F81305" w14:paraId="09C2CC24" w14:textId="77777777">
        <w:tc>
          <w:tcPr>
            <w:tcW w:w="2800" w:type="dxa"/>
            <w:tcMar>
              <w:top w:w="80" w:type="dxa"/>
              <w:left w:w="100" w:type="dxa"/>
              <w:bottom w:w="80" w:type="dxa"/>
              <w:right w:w="100" w:type="dxa"/>
            </w:tcMar>
          </w:tcPr>
          <w:p w14:paraId="709367CE" w14:textId="77777777" w:rsidR="00F81305" w:rsidRDefault="00032901">
            <w:r>
              <w:rPr>
                <w:color w:val="000000"/>
                <w:sz w:val="20"/>
                <w:szCs w:val="20"/>
              </w:rPr>
              <w:t>Replacement cost minus depreciation</w:t>
            </w:r>
          </w:p>
        </w:tc>
        <w:tc>
          <w:tcPr>
            <w:tcW w:w="3800" w:type="dxa"/>
            <w:tcMar>
              <w:top w:w="80" w:type="dxa"/>
              <w:left w:w="100" w:type="dxa"/>
              <w:bottom w:w="80" w:type="dxa"/>
              <w:right w:w="100" w:type="dxa"/>
            </w:tcMar>
          </w:tcPr>
          <w:p w14:paraId="620235E1" w14:textId="77777777" w:rsidR="00F81305" w:rsidRDefault="00032901">
            <w:r>
              <w:rPr>
                <w:color w:val="000000"/>
                <w:sz w:val="20"/>
                <w:szCs w:val="20"/>
              </w:rPr>
              <w:t>Total losses; the national default</w:t>
            </w:r>
          </w:p>
        </w:tc>
        <w:tc>
          <w:tcPr>
            <w:tcW w:w="2750" w:type="dxa"/>
            <w:tcMar>
              <w:top w:w="80" w:type="dxa"/>
              <w:left w:w="100" w:type="dxa"/>
              <w:bottom w:w="80" w:type="dxa"/>
              <w:right w:w="100" w:type="dxa"/>
            </w:tcMar>
          </w:tcPr>
          <w:p w14:paraId="09D9F619" w14:textId="77777777" w:rsidR="00F81305" w:rsidRDefault="00032901">
            <w:r>
              <w:rPr>
                <w:color w:val="000000"/>
                <w:sz w:val="20"/>
                <w:szCs w:val="20"/>
              </w:rPr>
              <w:t xml:space="preserve">Depreciation methodology itself </w:t>
            </w:r>
            <w:proofErr w:type="gramStart"/>
            <w:r>
              <w:rPr>
                <w:color w:val="000000"/>
                <w:sz w:val="20"/>
                <w:szCs w:val="20"/>
              </w:rPr>
              <w:t>often</w:t>
            </w:r>
            <w:proofErr w:type="gramEnd"/>
            <w:r>
              <w:rPr>
                <w:color w:val="000000"/>
                <w:sz w:val="20"/>
                <w:szCs w:val="20"/>
              </w:rPr>
              <w:t xml:space="preserve"> disputed (see labor depreciation)</w:t>
            </w:r>
          </w:p>
        </w:tc>
      </w:tr>
      <w:tr w:rsidR="00F81305" w14:paraId="349879AD" w14:textId="77777777">
        <w:tc>
          <w:tcPr>
            <w:tcW w:w="2800" w:type="dxa"/>
            <w:tcMar>
              <w:top w:w="80" w:type="dxa"/>
              <w:left w:w="100" w:type="dxa"/>
              <w:bottom w:w="80" w:type="dxa"/>
              <w:right w:w="100" w:type="dxa"/>
            </w:tcMar>
          </w:tcPr>
          <w:p w14:paraId="111E3741" w14:textId="77777777" w:rsidR="00F81305" w:rsidRDefault="00032901">
            <w:r>
              <w:rPr>
                <w:color w:val="000000"/>
                <w:sz w:val="20"/>
                <w:szCs w:val="20"/>
              </w:rPr>
              <w:t>Broad evidence rule</w:t>
            </w:r>
          </w:p>
        </w:tc>
        <w:tc>
          <w:tcPr>
            <w:tcW w:w="3800" w:type="dxa"/>
            <w:tcMar>
              <w:top w:w="80" w:type="dxa"/>
              <w:left w:w="100" w:type="dxa"/>
              <w:bottom w:w="80" w:type="dxa"/>
              <w:right w:w="100" w:type="dxa"/>
            </w:tcMar>
          </w:tcPr>
          <w:p w14:paraId="4F3A789A" w14:textId="77777777" w:rsidR="00F81305" w:rsidRDefault="00032901">
            <w:r>
              <w:rPr>
                <w:color w:val="000000"/>
                <w:sz w:val="20"/>
                <w:szCs w:val="20"/>
              </w:rPr>
              <w:t>Complex or high-value losses where multiple valuation inputs are relevant</w:t>
            </w:r>
          </w:p>
        </w:tc>
        <w:tc>
          <w:tcPr>
            <w:tcW w:w="2750" w:type="dxa"/>
            <w:tcMar>
              <w:top w:w="80" w:type="dxa"/>
              <w:left w:w="100" w:type="dxa"/>
              <w:bottom w:w="80" w:type="dxa"/>
              <w:right w:w="100" w:type="dxa"/>
            </w:tcMar>
          </w:tcPr>
          <w:p w14:paraId="11318A6F" w14:textId="77777777" w:rsidR="00F81305" w:rsidRDefault="00032901">
            <w:r>
              <w:rPr>
                <w:color w:val="000000"/>
                <w:sz w:val="20"/>
                <w:szCs w:val="20"/>
              </w:rPr>
              <w:t>No fixed formula; outcome less predictable, more fact-intensive</w:t>
            </w:r>
          </w:p>
        </w:tc>
      </w:tr>
    </w:tbl>
    <w:p w14:paraId="5880A1E9" w14:textId="77777777" w:rsidR="00F81305" w:rsidRDefault="00F81305">
      <w:pPr>
        <w:spacing w:after="160" w:line="276" w:lineRule="auto"/>
        <w:jc w:val="both"/>
      </w:pPr>
    </w:p>
    <w:p w14:paraId="59D04D19" w14:textId="77777777" w:rsidR="00F81305" w:rsidRDefault="00032901">
      <w:pPr>
        <w:pStyle w:val="Heading2"/>
        <w:spacing w:before="320" w:after="160"/>
      </w:pPr>
      <w:r>
        <w:rPr>
          <w:b/>
          <w:bCs/>
          <w:color w:val="2E5395"/>
        </w:rPr>
        <w:t>Labor Depreciation: Where Courts and Regulators Have Landed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6650"/>
      </w:tblGrid>
      <w:tr w:rsidR="00F81305" w14:paraId="12CFF274" w14:textId="77777777">
        <w:tc>
          <w:tcPr>
            <w:tcW w:w="2700" w:type="dxa"/>
            <w:shd w:val="clear" w:color="auto" w:fill="1F3864"/>
            <w:tcMar>
              <w:top w:w="80" w:type="dxa"/>
              <w:left w:w="100" w:type="dxa"/>
              <w:bottom w:w="80" w:type="dxa"/>
              <w:right w:w="100" w:type="dxa"/>
            </w:tcMar>
          </w:tcPr>
          <w:p w14:paraId="272A8FAD" w14:textId="77777777" w:rsidR="00F81305" w:rsidRDefault="00032901">
            <w:r>
              <w:rPr>
                <w:b/>
                <w:bCs/>
                <w:color w:val="FFFFFF"/>
                <w:sz w:val="20"/>
                <w:szCs w:val="20"/>
              </w:rPr>
              <w:t>Jurisdiction</w:t>
            </w:r>
          </w:p>
        </w:tc>
        <w:tc>
          <w:tcPr>
            <w:tcW w:w="6650" w:type="dxa"/>
            <w:shd w:val="clear" w:color="auto" w:fill="1F3864"/>
            <w:tcMar>
              <w:top w:w="80" w:type="dxa"/>
              <w:left w:w="100" w:type="dxa"/>
              <w:bottom w:w="80" w:type="dxa"/>
              <w:right w:w="100" w:type="dxa"/>
            </w:tcMar>
          </w:tcPr>
          <w:p w14:paraId="26D6A04A" w14:textId="77777777" w:rsidR="00F81305" w:rsidRDefault="00032901">
            <w:r>
              <w:rPr>
                <w:b/>
                <w:bCs/>
                <w:color w:val="FFFFFF"/>
                <w:sz w:val="20"/>
                <w:szCs w:val="20"/>
              </w:rPr>
              <w:t>Posture</w:t>
            </w:r>
          </w:p>
        </w:tc>
      </w:tr>
      <w:tr w:rsidR="00F81305" w14:paraId="015A854D" w14:textId="77777777">
        <w:tc>
          <w:tcPr>
            <w:tcW w:w="2700" w:type="dxa"/>
            <w:tcMar>
              <w:top w:w="80" w:type="dxa"/>
              <w:left w:w="100" w:type="dxa"/>
              <w:bottom w:w="80" w:type="dxa"/>
              <w:right w:w="100" w:type="dxa"/>
            </w:tcMar>
          </w:tcPr>
          <w:p w14:paraId="4E950F20" w14:textId="77777777" w:rsidR="00F81305" w:rsidRDefault="00032901">
            <w:r>
              <w:rPr>
                <w:color w:val="000000"/>
                <w:sz w:val="20"/>
                <w:szCs w:val="20"/>
              </w:rPr>
              <w:t>5th Cir. (Mississippi)</w:t>
            </w:r>
          </w:p>
        </w:tc>
        <w:tc>
          <w:tcPr>
            <w:tcW w:w="6650" w:type="dxa"/>
            <w:tcMar>
              <w:top w:w="80" w:type="dxa"/>
              <w:left w:w="100" w:type="dxa"/>
              <w:bottom w:w="80" w:type="dxa"/>
              <w:right w:w="100" w:type="dxa"/>
            </w:tcMar>
          </w:tcPr>
          <w:p w14:paraId="4772274D" w14:textId="77777777" w:rsidR="00F81305" w:rsidRDefault="00032901">
            <w:r>
              <w:rPr>
                <w:color w:val="000000"/>
                <w:sz w:val="20"/>
                <w:szCs w:val="20"/>
              </w:rPr>
              <w:t>Undefined ACV term is ambiguous; construed against insurer (Mitchell)</w:t>
            </w:r>
          </w:p>
        </w:tc>
      </w:tr>
      <w:tr w:rsidR="00F81305" w14:paraId="6F18C769" w14:textId="77777777">
        <w:tc>
          <w:tcPr>
            <w:tcW w:w="2700" w:type="dxa"/>
            <w:tcMar>
              <w:top w:w="80" w:type="dxa"/>
              <w:left w:w="100" w:type="dxa"/>
              <w:bottom w:w="80" w:type="dxa"/>
              <w:right w:w="100" w:type="dxa"/>
            </w:tcMar>
          </w:tcPr>
          <w:p w14:paraId="08B883AA" w14:textId="77777777" w:rsidR="00F81305" w:rsidRDefault="00032901">
            <w:r>
              <w:rPr>
                <w:color w:val="000000"/>
                <w:sz w:val="20"/>
                <w:szCs w:val="20"/>
              </w:rPr>
              <w:t>6th Cir. (Ohio)</w:t>
            </w:r>
          </w:p>
        </w:tc>
        <w:tc>
          <w:tcPr>
            <w:tcW w:w="6650" w:type="dxa"/>
            <w:tcMar>
              <w:top w:w="80" w:type="dxa"/>
              <w:left w:w="100" w:type="dxa"/>
              <w:bottom w:w="80" w:type="dxa"/>
              <w:right w:w="100" w:type="dxa"/>
            </w:tcMar>
          </w:tcPr>
          <w:p w14:paraId="299FB613" w14:textId="77777777" w:rsidR="00F81305" w:rsidRDefault="00032901">
            <w:r>
              <w:rPr>
                <w:color w:val="000000"/>
                <w:sz w:val="20"/>
                <w:szCs w:val="20"/>
              </w:rPr>
              <w:t>Undefined ACV/depreciation ambiguous; insured's reading adopted (Perry)</w:t>
            </w:r>
          </w:p>
        </w:tc>
      </w:tr>
      <w:tr w:rsidR="00F81305" w14:paraId="7EBC2E00" w14:textId="77777777">
        <w:tc>
          <w:tcPr>
            <w:tcW w:w="2700" w:type="dxa"/>
            <w:tcMar>
              <w:top w:w="80" w:type="dxa"/>
              <w:left w:w="100" w:type="dxa"/>
              <w:bottom w:w="80" w:type="dxa"/>
              <w:right w:w="100" w:type="dxa"/>
            </w:tcMar>
          </w:tcPr>
          <w:p w14:paraId="24A6FACC" w14:textId="77777777" w:rsidR="00F81305" w:rsidRDefault="00032901">
            <w:r>
              <w:rPr>
                <w:color w:val="000000"/>
                <w:sz w:val="20"/>
                <w:szCs w:val="20"/>
              </w:rPr>
              <w:t>Illinois</w:t>
            </w:r>
          </w:p>
        </w:tc>
        <w:tc>
          <w:tcPr>
            <w:tcW w:w="6650" w:type="dxa"/>
            <w:tcMar>
              <w:top w:w="80" w:type="dxa"/>
              <w:left w:w="100" w:type="dxa"/>
              <w:bottom w:w="80" w:type="dxa"/>
              <w:right w:w="100" w:type="dxa"/>
            </w:tcMar>
          </w:tcPr>
          <w:p w14:paraId="34F038B4" w14:textId="77777777" w:rsidR="00F81305" w:rsidRDefault="00032901">
            <w:r>
              <w:rPr>
                <w:color w:val="000000"/>
                <w:sz w:val="20"/>
                <w:szCs w:val="20"/>
              </w:rPr>
              <w:t>Undefined ACV term ambiguous as to labor (Sproull)</w:t>
            </w:r>
          </w:p>
        </w:tc>
      </w:tr>
      <w:tr w:rsidR="00F81305" w14:paraId="314BA320" w14:textId="77777777">
        <w:tc>
          <w:tcPr>
            <w:tcW w:w="2700" w:type="dxa"/>
            <w:tcMar>
              <w:top w:w="80" w:type="dxa"/>
              <w:left w:w="100" w:type="dxa"/>
              <w:bottom w:w="80" w:type="dxa"/>
              <w:right w:w="100" w:type="dxa"/>
            </w:tcMar>
          </w:tcPr>
          <w:p w14:paraId="143DA353" w14:textId="77777777" w:rsidR="00F81305" w:rsidRDefault="00032901">
            <w:r>
              <w:rPr>
                <w:color w:val="000000"/>
                <w:sz w:val="20"/>
                <w:szCs w:val="20"/>
              </w:rPr>
              <w:t>South Carolina</w:t>
            </w:r>
          </w:p>
        </w:tc>
        <w:tc>
          <w:tcPr>
            <w:tcW w:w="6650" w:type="dxa"/>
            <w:tcMar>
              <w:top w:w="80" w:type="dxa"/>
              <w:left w:w="100" w:type="dxa"/>
              <w:bottom w:w="80" w:type="dxa"/>
              <w:right w:w="100" w:type="dxa"/>
            </w:tcMar>
          </w:tcPr>
          <w:p w14:paraId="1BAF5B3B" w14:textId="77777777" w:rsidR="00F81305" w:rsidRDefault="00032901">
            <w:r>
              <w:rPr>
                <w:color w:val="000000"/>
                <w:sz w:val="20"/>
                <w:szCs w:val="20"/>
              </w:rPr>
              <w:t>Labor and materials both depreciable where ACV undefined (Butler)</w:t>
            </w:r>
          </w:p>
        </w:tc>
      </w:tr>
      <w:tr w:rsidR="00F81305" w14:paraId="399ACE18" w14:textId="77777777">
        <w:tc>
          <w:tcPr>
            <w:tcW w:w="2700" w:type="dxa"/>
            <w:tcMar>
              <w:top w:w="80" w:type="dxa"/>
              <w:left w:w="100" w:type="dxa"/>
              <w:bottom w:w="80" w:type="dxa"/>
              <w:right w:w="100" w:type="dxa"/>
            </w:tcMar>
          </w:tcPr>
          <w:p w14:paraId="3DBDE169" w14:textId="77777777" w:rsidR="00F81305" w:rsidRDefault="00032901">
            <w:r>
              <w:rPr>
                <w:color w:val="000000"/>
                <w:sz w:val="20"/>
                <w:szCs w:val="20"/>
              </w:rPr>
              <w:t>Nebraska</w:t>
            </w:r>
          </w:p>
        </w:tc>
        <w:tc>
          <w:tcPr>
            <w:tcW w:w="6650" w:type="dxa"/>
            <w:tcMar>
              <w:top w:w="80" w:type="dxa"/>
              <w:left w:w="100" w:type="dxa"/>
              <w:bottom w:w="80" w:type="dxa"/>
              <w:right w:w="100" w:type="dxa"/>
            </w:tcMar>
          </w:tcPr>
          <w:p w14:paraId="387D4A5E" w14:textId="77777777" w:rsidR="00F81305" w:rsidRDefault="00032901">
            <w:r>
              <w:rPr>
                <w:color w:val="000000"/>
                <w:sz w:val="20"/>
                <w:szCs w:val="20"/>
              </w:rPr>
              <w:t>Labor depreciable even without ACV/depreciation definitions (Henn)</w:t>
            </w:r>
          </w:p>
        </w:tc>
      </w:tr>
      <w:tr w:rsidR="00F81305" w14:paraId="2E47B300" w14:textId="77777777">
        <w:tc>
          <w:tcPr>
            <w:tcW w:w="2700" w:type="dxa"/>
            <w:tcMar>
              <w:top w:w="80" w:type="dxa"/>
              <w:left w:w="100" w:type="dxa"/>
              <w:bottom w:w="80" w:type="dxa"/>
              <w:right w:w="100" w:type="dxa"/>
            </w:tcMar>
          </w:tcPr>
          <w:p w14:paraId="02E12F50" w14:textId="77777777" w:rsidR="00F81305" w:rsidRDefault="00032901">
            <w:r>
              <w:rPr>
                <w:color w:val="000000"/>
                <w:sz w:val="20"/>
                <w:szCs w:val="20"/>
              </w:rPr>
              <w:t>Minnesota</w:t>
            </w:r>
          </w:p>
        </w:tc>
        <w:tc>
          <w:tcPr>
            <w:tcW w:w="6650" w:type="dxa"/>
            <w:tcMar>
              <w:top w:w="80" w:type="dxa"/>
              <w:left w:w="100" w:type="dxa"/>
              <w:bottom w:w="80" w:type="dxa"/>
              <w:right w:w="100" w:type="dxa"/>
            </w:tcMar>
          </w:tcPr>
          <w:p w14:paraId="13E0B335" w14:textId="77777777" w:rsidR="00F81305" w:rsidRDefault="00032901">
            <w:r>
              <w:rPr>
                <w:color w:val="000000"/>
                <w:sz w:val="20"/>
                <w:szCs w:val="20"/>
              </w:rPr>
              <w:t>Fact question for the jury, not resolved as a matter of law (Wilcox)</w:t>
            </w:r>
          </w:p>
        </w:tc>
      </w:tr>
      <w:tr w:rsidR="00F81305" w14:paraId="093A0E5C" w14:textId="77777777">
        <w:tc>
          <w:tcPr>
            <w:tcW w:w="2700" w:type="dxa"/>
            <w:tcMar>
              <w:top w:w="80" w:type="dxa"/>
              <w:left w:w="100" w:type="dxa"/>
              <w:bottom w:w="80" w:type="dxa"/>
              <w:right w:w="100" w:type="dxa"/>
            </w:tcMar>
          </w:tcPr>
          <w:p w14:paraId="0FAAE111" w14:textId="77777777" w:rsidR="00F81305" w:rsidRDefault="00032901">
            <w:r>
              <w:rPr>
                <w:color w:val="000000"/>
                <w:sz w:val="20"/>
                <w:szCs w:val="20"/>
              </w:rPr>
              <w:t>Michigan</w:t>
            </w:r>
          </w:p>
        </w:tc>
        <w:tc>
          <w:tcPr>
            <w:tcW w:w="6650" w:type="dxa"/>
            <w:tcMar>
              <w:top w:w="80" w:type="dxa"/>
              <w:left w:w="100" w:type="dxa"/>
              <w:bottom w:w="80" w:type="dxa"/>
              <w:right w:w="100" w:type="dxa"/>
            </w:tcMar>
          </w:tcPr>
          <w:p w14:paraId="29890964" w14:textId="77777777" w:rsidR="00F81305" w:rsidRDefault="00032901">
            <w:r>
              <w:rPr>
                <w:color w:val="000000"/>
                <w:sz w:val="20"/>
                <w:szCs w:val="20"/>
              </w:rPr>
              <w:t>Regulatory bar on labor/nontangible depreciation absent opt-in endorsement (DIFS bulletin)</w:t>
            </w:r>
          </w:p>
        </w:tc>
      </w:tr>
      <w:tr w:rsidR="00F81305" w14:paraId="1E00C8C5" w14:textId="77777777">
        <w:tc>
          <w:tcPr>
            <w:tcW w:w="2700" w:type="dxa"/>
            <w:tcMar>
              <w:top w:w="80" w:type="dxa"/>
              <w:left w:w="100" w:type="dxa"/>
              <w:bottom w:w="80" w:type="dxa"/>
              <w:right w:w="100" w:type="dxa"/>
            </w:tcMar>
          </w:tcPr>
          <w:p w14:paraId="13458869" w14:textId="77777777" w:rsidR="00F81305" w:rsidRDefault="00032901">
            <w:r>
              <w:rPr>
                <w:color w:val="000000"/>
                <w:sz w:val="20"/>
                <w:szCs w:val="20"/>
              </w:rPr>
              <w:t>Alaska</w:t>
            </w:r>
          </w:p>
        </w:tc>
        <w:tc>
          <w:tcPr>
            <w:tcW w:w="6650" w:type="dxa"/>
            <w:tcMar>
              <w:top w:w="80" w:type="dxa"/>
              <w:left w:w="100" w:type="dxa"/>
              <w:bottom w:w="80" w:type="dxa"/>
              <w:right w:w="100" w:type="dxa"/>
            </w:tcMar>
          </w:tcPr>
          <w:p w14:paraId="6D8EE554" w14:textId="77777777" w:rsidR="00F81305" w:rsidRDefault="00032901">
            <w:r>
              <w:rPr>
                <w:color w:val="000000"/>
                <w:sz w:val="20"/>
                <w:szCs w:val="20"/>
              </w:rPr>
              <w:t>Regulatory bar issued 2024, withdrawn 2025</w:t>
            </w:r>
          </w:p>
        </w:tc>
      </w:tr>
    </w:tbl>
    <w:p w14:paraId="1F22EDC8" w14:textId="77777777" w:rsidR="00F81305" w:rsidRDefault="00F81305">
      <w:pPr>
        <w:pageBreakBefore/>
      </w:pPr>
    </w:p>
    <w:p w14:paraId="1A08DEAF" w14:textId="77777777" w:rsidR="00F81305" w:rsidRDefault="00032901">
      <w:pPr>
        <w:pStyle w:val="Heading1"/>
        <w:spacing w:before="400" w:after="200"/>
      </w:pPr>
      <w:r>
        <w:rPr>
          <w:b/>
          <w:bCs/>
          <w:color w:val="1F3864"/>
          <w:sz w:val="30"/>
          <w:szCs w:val="30"/>
        </w:rPr>
        <w:t>Practitioner Checklist</w:t>
      </w:r>
    </w:p>
    <w:p w14:paraId="6153AEEC" w14:textId="77777777" w:rsidR="00F81305" w:rsidRDefault="00032901">
      <w:pPr>
        <w:spacing w:after="160" w:line="276" w:lineRule="auto"/>
        <w:jc w:val="both"/>
      </w:pPr>
      <w:r>
        <w:t>Before finalizing a valuation position on any disputed ACV or RCV claim, confirm the following:</w:t>
      </w:r>
    </w:p>
    <w:p w14:paraId="626A7B49" w14:textId="77777777" w:rsidR="00F81305" w:rsidRDefault="00032901">
      <w:pPr>
        <w:pStyle w:val="ListParagraph"/>
        <w:numPr>
          <w:ilvl w:val="0"/>
          <w:numId w:val="2"/>
        </w:numPr>
        <w:spacing w:after="100" w:line="276" w:lineRule="auto"/>
      </w:pPr>
      <w:r>
        <w:t>Does the policy define “actual cash value” and “depreciation” at all? If not, research whether your jurisdiction currently treats that silence as ambiguous.</w:t>
      </w:r>
    </w:p>
    <w:p w14:paraId="2A087A69" w14:textId="77777777" w:rsidR="00F81305" w:rsidRDefault="00032901">
      <w:pPr>
        <w:pStyle w:val="ListParagraph"/>
        <w:numPr>
          <w:ilvl w:val="0"/>
          <w:numId w:val="2"/>
        </w:numPr>
        <w:spacing w:after="100" w:line="276" w:lineRule="auto"/>
      </w:pPr>
      <w:r>
        <w:t>Is this a total or partial loss? The applicable valuation test, and the courts' treatment of depreciation, often differs by category.</w:t>
      </w:r>
    </w:p>
    <w:p w14:paraId="224CCE49" w14:textId="77777777" w:rsidR="00F81305" w:rsidRDefault="00032901">
      <w:pPr>
        <w:pStyle w:val="ListParagraph"/>
        <w:numPr>
          <w:ilvl w:val="0"/>
          <w:numId w:val="2"/>
        </w:numPr>
        <w:spacing w:after="100" w:line="276" w:lineRule="auto"/>
      </w:pPr>
      <w:r>
        <w:t>If replacement cost coverage applies, does the policy condition full recovery on actual repair or replacement (a holdback), and if so, has your jurisdiction recognized any exception — insurer misconduct, unconscionability, ambiguity, or a fixed-percentage holdback challenge?</w:t>
      </w:r>
    </w:p>
    <w:p w14:paraId="77928C93" w14:textId="77777777" w:rsidR="00F81305" w:rsidRDefault="00032901">
      <w:pPr>
        <w:pStyle w:val="ListParagraph"/>
        <w:numPr>
          <w:ilvl w:val="0"/>
          <w:numId w:val="2"/>
        </w:numPr>
        <w:spacing w:after="100" w:line="276" w:lineRule="auto"/>
      </w:pPr>
      <w:r>
        <w:t xml:space="preserve">Has written notice of intent to rebuild been documented within any contractual notice window (commonly 180 days), independent of when construction </w:t>
      </w:r>
      <w:proofErr w:type="gramStart"/>
      <w:r>
        <w:t>actually completes</w:t>
      </w:r>
      <w:proofErr w:type="gramEnd"/>
      <w:r>
        <w:t>?</w:t>
      </w:r>
    </w:p>
    <w:p w14:paraId="4C27DD3C" w14:textId="77777777" w:rsidR="00F81305" w:rsidRDefault="00032901">
      <w:pPr>
        <w:pStyle w:val="ListParagraph"/>
        <w:numPr>
          <w:ilvl w:val="0"/>
          <w:numId w:val="2"/>
        </w:numPr>
        <w:spacing w:after="100" w:line="276" w:lineRule="auto"/>
      </w:pPr>
      <w:r>
        <w:t>If the insured is proposing different materials than the original construction — cheaper or more expensive — has that change been disclosed and, ideally, agreed to before work begins?</w:t>
      </w:r>
    </w:p>
    <w:p w14:paraId="305F2DF9" w14:textId="77777777" w:rsidR="00F81305" w:rsidRDefault="00032901">
      <w:pPr>
        <w:pStyle w:val="ListParagraph"/>
        <w:numPr>
          <w:ilvl w:val="0"/>
          <w:numId w:val="2"/>
        </w:numPr>
        <w:spacing w:after="100" w:line="276" w:lineRule="auto"/>
      </w:pPr>
      <w:r>
        <w:t>Does a building code or ordinance require upgrades beyond simple restoration, and does the policy contain an ordinance-or-law exclusion? Read the exclusion's causation language closely — some jurisdictions require the ordinance itself, not the underlying peril, to be the proximate cause before the exclusion applies.</w:t>
      </w:r>
    </w:p>
    <w:p w14:paraId="4E7387DE" w14:textId="77777777" w:rsidR="00F81305" w:rsidRDefault="00032901">
      <w:pPr>
        <w:pStyle w:val="ListParagraph"/>
        <w:numPr>
          <w:ilvl w:val="0"/>
          <w:numId w:val="2"/>
        </w:numPr>
        <w:spacing w:after="100" w:line="276" w:lineRule="auto"/>
      </w:pPr>
      <w:r>
        <w:t>Does the claim involve any meaningful labor component in the repair estimate? If so, check current case law and any state regulatory bulletins before conceding a labor-depreciation deduction — this area continues to shift by jurisdiction.</w:t>
      </w:r>
    </w:p>
    <w:p w14:paraId="41302465" w14:textId="77777777" w:rsidR="00F81305" w:rsidRDefault="00032901">
      <w:pPr>
        <w:pStyle w:val="Heading1"/>
        <w:spacing w:before="400" w:after="200"/>
      </w:pPr>
      <w:r>
        <w:rPr>
          <w:b/>
          <w:bCs/>
          <w:color w:val="1F3864"/>
          <w:sz w:val="30"/>
          <w:szCs w:val="30"/>
        </w:rPr>
        <w:t>Conclusion</w:t>
      </w:r>
    </w:p>
    <w:p w14:paraId="6EF0FAE0" w14:textId="77777777" w:rsidR="00F81305" w:rsidRDefault="00032901">
      <w:pPr>
        <w:spacing w:after="160" w:line="276" w:lineRule="auto"/>
        <w:jc w:val="both"/>
      </w:pPr>
      <w:r>
        <w:t>No single, uniform rule governs the calculation of actual cash value or the enforceability of replacement cost conditions across jurisdictions. Three broad methodologies — market value, replacement cost, and the broad evidence rule — continue to compete, with the broad evidence rule gaining ground as the modern trend. Holdback provisions remain enforceable in most jurisdictions, but a meaningful and growing minority of courts have carved out exceptions grounded in insurer conduct, unconscionability, or ambiguity. And the newest front in this area — whether labor may be depreciated at all — remains genuinely unsettled, with courts, state regulators, and class-action plaintiffs actively reshaping the landscape in real time. Practitioners should treat every valuation dispute as a jurisdiction-specific research question, not an assumption carried over from the last claim.</w:t>
      </w:r>
    </w:p>
    <w:p w14:paraId="2DD54874" w14:textId="77777777" w:rsidR="00F81305" w:rsidRDefault="00F81305">
      <w:pPr>
        <w:pBdr>
          <w:bottom w:val="single" w:sz="6" w:space="4" w:color="AAAAAA"/>
        </w:pBdr>
        <w:spacing w:before="100" w:after="200"/>
      </w:pPr>
    </w:p>
    <w:p w14:paraId="6A496553" w14:textId="77777777" w:rsidR="00F81305" w:rsidRDefault="00032901">
      <w:pPr>
        <w:spacing w:after="160" w:line="276" w:lineRule="auto"/>
      </w:pPr>
      <w:r>
        <w:lastRenderedPageBreak/>
        <w:t>This article surveys general principles drawn from published appellate decisions and is provided for informational purposes for insurance and legal practitioners. It is not legal advice and should not be relied upon in place of jurisdiction-specific research or consultation with counsel.</w:t>
      </w:r>
    </w:p>
    <w:sectPr w:rsidR="00F8130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B0C3E"/>
    <w:multiLevelType w:val="hybridMultilevel"/>
    <w:tmpl w:val="FFFFFFFF"/>
    <w:lvl w:ilvl="0" w:tplc="B4DCD4EE">
      <w:start w:val="1"/>
      <w:numFmt w:val="bullet"/>
      <w:lvlText w:val="●"/>
      <w:lvlJc w:val="left"/>
      <w:pPr>
        <w:ind w:left="720" w:hanging="360"/>
      </w:pPr>
    </w:lvl>
    <w:lvl w:ilvl="1" w:tplc="2F52E028">
      <w:start w:val="1"/>
      <w:numFmt w:val="bullet"/>
      <w:lvlText w:val="○"/>
      <w:lvlJc w:val="left"/>
      <w:pPr>
        <w:ind w:left="1440" w:hanging="360"/>
      </w:pPr>
    </w:lvl>
    <w:lvl w:ilvl="2" w:tplc="DD8CD090">
      <w:start w:val="1"/>
      <w:numFmt w:val="bullet"/>
      <w:lvlText w:val="■"/>
      <w:lvlJc w:val="left"/>
      <w:pPr>
        <w:ind w:left="2160" w:hanging="360"/>
      </w:pPr>
    </w:lvl>
    <w:lvl w:ilvl="3" w:tplc="99BA201A">
      <w:start w:val="1"/>
      <w:numFmt w:val="bullet"/>
      <w:lvlText w:val="●"/>
      <w:lvlJc w:val="left"/>
      <w:pPr>
        <w:ind w:left="2880" w:hanging="360"/>
      </w:pPr>
    </w:lvl>
    <w:lvl w:ilvl="4" w:tplc="08A876AC">
      <w:start w:val="1"/>
      <w:numFmt w:val="bullet"/>
      <w:lvlText w:val="○"/>
      <w:lvlJc w:val="left"/>
      <w:pPr>
        <w:ind w:left="3600" w:hanging="360"/>
      </w:pPr>
    </w:lvl>
    <w:lvl w:ilvl="5" w:tplc="3F0E45D0">
      <w:start w:val="1"/>
      <w:numFmt w:val="bullet"/>
      <w:lvlText w:val="■"/>
      <w:lvlJc w:val="left"/>
      <w:pPr>
        <w:ind w:left="4320" w:hanging="360"/>
      </w:pPr>
    </w:lvl>
    <w:lvl w:ilvl="6" w:tplc="B5865B12">
      <w:start w:val="1"/>
      <w:numFmt w:val="bullet"/>
      <w:lvlText w:val="●"/>
      <w:lvlJc w:val="left"/>
      <w:pPr>
        <w:ind w:left="5040" w:hanging="360"/>
      </w:pPr>
    </w:lvl>
    <w:lvl w:ilvl="7" w:tplc="1EDC5F22">
      <w:start w:val="1"/>
      <w:numFmt w:val="bullet"/>
      <w:lvlText w:val="●"/>
      <w:lvlJc w:val="left"/>
      <w:pPr>
        <w:ind w:left="5760" w:hanging="360"/>
      </w:pPr>
    </w:lvl>
    <w:lvl w:ilvl="8" w:tplc="188C0926">
      <w:start w:val="1"/>
      <w:numFmt w:val="bullet"/>
      <w:lvlText w:val="●"/>
      <w:lvlJc w:val="left"/>
      <w:pPr>
        <w:ind w:left="6480" w:hanging="360"/>
      </w:pPr>
    </w:lvl>
  </w:abstractNum>
  <w:abstractNum w:abstractNumId="1" w15:restartNumberingAfterBreak="0">
    <w:nsid w:val="55D76F4C"/>
    <w:multiLevelType w:val="hybridMultilevel"/>
    <w:tmpl w:val="FFFFFFFF"/>
    <w:lvl w:ilvl="0" w:tplc="29AAB348">
      <w:start w:val="1"/>
      <w:numFmt w:val="bullet"/>
      <w:lvlText w:val="•"/>
      <w:lvlJc w:val="left"/>
      <w:pPr>
        <w:ind w:left="720" w:hanging="360"/>
      </w:pPr>
    </w:lvl>
    <w:lvl w:ilvl="1" w:tplc="6456932E">
      <w:numFmt w:val="decimal"/>
      <w:lvlText w:val=""/>
      <w:lvlJc w:val="left"/>
    </w:lvl>
    <w:lvl w:ilvl="2" w:tplc="C534D350">
      <w:numFmt w:val="decimal"/>
      <w:lvlText w:val=""/>
      <w:lvlJc w:val="left"/>
    </w:lvl>
    <w:lvl w:ilvl="3" w:tplc="2D3C9C08">
      <w:numFmt w:val="decimal"/>
      <w:lvlText w:val=""/>
      <w:lvlJc w:val="left"/>
    </w:lvl>
    <w:lvl w:ilvl="4" w:tplc="593841F2">
      <w:numFmt w:val="decimal"/>
      <w:lvlText w:val=""/>
      <w:lvlJc w:val="left"/>
    </w:lvl>
    <w:lvl w:ilvl="5" w:tplc="6130C5D0">
      <w:numFmt w:val="decimal"/>
      <w:lvlText w:val=""/>
      <w:lvlJc w:val="left"/>
    </w:lvl>
    <w:lvl w:ilvl="6" w:tplc="36EC703A">
      <w:numFmt w:val="decimal"/>
      <w:lvlText w:val=""/>
      <w:lvlJc w:val="left"/>
    </w:lvl>
    <w:lvl w:ilvl="7" w:tplc="C26079F4">
      <w:numFmt w:val="decimal"/>
      <w:lvlText w:val=""/>
      <w:lvlJc w:val="left"/>
    </w:lvl>
    <w:lvl w:ilvl="8" w:tplc="EEEC72B8">
      <w:numFmt w:val="decimal"/>
      <w:lvlText w:val=""/>
      <w:lvlJc w:val="left"/>
    </w:lvl>
  </w:abstractNum>
  <w:num w:numId="1" w16cid:durableId="587085299">
    <w:abstractNumId w:val="0"/>
    <w:lvlOverride w:ilvl="0">
      <w:startOverride w:val="1"/>
    </w:lvlOverride>
  </w:num>
  <w:num w:numId="2" w16cid:durableId="156236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305"/>
    <w:rsid w:val="00032901"/>
    <w:rsid w:val="000F4C2E"/>
    <w:rsid w:val="001663E3"/>
    <w:rsid w:val="007C1175"/>
    <w:rsid w:val="00F81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FEB0"/>
  <w15:docId w15:val="{26FD7C18-2CCB-9B4E-B2A4-961A72D4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4025</Words>
  <Characters>22948</Characters>
  <Application>Microsoft Office Word</Application>
  <DocSecurity>0</DocSecurity>
  <Lines>191</Lines>
  <Paragraphs>53</Paragraphs>
  <ScaleCrop>false</ScaleCrop>
  <Company/>
  <LinksUpToDate>false</LinksUpToDate>
  <CharactersWithSpaces>26920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THOMAS DISIENO</cp:lastModifiedBy>
  <cp:revision>2</cp:revision>
  <dcterms:created xsi:type="dcterms:W3CDTF">2026-08-03T03:46:00Z</dcterms:created>
  <dcterms:modified xsi:type="dcterms:W3CDTF">2026-08-03T03:46:00Z</dcterms:modified>
</cp:coreProperties>
</file>