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0B594"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213" w:line="240" w:lineRule="auto"/>
        <w:outlineLvl w:val="0"/>
        <w:rPr>
          <w:rFonts w:ascii="Segoe UI" w:eastAsia="Times New Roman" w:hAnsi="Segoe UI" w:cs="Segoe UI"/>
          <w:b/>
          <w:bCs/>
          <w:kern w:val="36"/>
          <w:sz w:val="54"/>
          <w:szCs w:val="54"/>
          <w14:ligatures w14:val="none"/>
        </w:rPr>
      </w:pPr>
      <w:r w:rsidRPr="00CA38BF">
        <w:rPr>
          <w:rFonts w:ascii="Segoe UI" w:eastAsia="Times New Roman" w:hAnsi="Segoe UI" w:cs="Segoe UI"/>
          <w:b/>
          <w:bCs/>
          <w:kern w:val="36"/>
          <w:sz w:val="54"/>
          <w:szCs w:val="54"/>
          <w14:ligatures w14:val="none"/>
        </w:rPr>
        <w:t>The Scope of Appraisal in Insurance Law: Delineating Between the Amount of Loss and Coverage Issues</w:t>
      </w:r>
    </w:p>
    <w:p w14:paraId="7CD2D73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1"/>
        <w:rPr>
          <w:rFonts w:ascii="Segoe UI" w:eastAsia="Times New Roman" w:hAnsi="Segoe UI" w:cs="Segoe UI"/>
          <w:b/>
          <w:bCs/>
          <w:kern w:val="0"/>
          <w:sz w:val="36"/>
          <w:szCs w:val="36"/>
          <w14:ligatures w14:val="none"/>
        </w:rPr>
      </w:pPr>
      <w:r w:rsidRPr="00CA38BF">
        <w:rPr>
          <w:rFonts w:ascii="Segoe UI" w:eastAsia="Times New Roman" w:hAnsi="Segoe UI" w:cs="Segoe UI"/>
          <w:b/>
          <w:bCs/>
          <w:kern w:val="0"/>
          <w:sz w:val="36"/>
          <w:szCs w:val="36"/>
          <w14:ligatures w14:val="none"/>
        </w:rPr>
        <w:t>Introduction</w:t>
      </w:r>
    </w:p>
    <w:p w14:paraId="3F973AC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In the intricate landscape of insurance law, the insurance appraisal clause serves as a pivotal mechanism for resolving disputes concerning the valuation of insured property losses. While seemingly straightforward, appraisal clauses often become the crux of multifaceted legal battles to delineate their scope—specifically, what issues fall within "the amount of loss or damage" and what issues are considered "coverage" questions. The resolution of this tension has significant implications for both insurers and insureds, especially in states that have adopted the Standard Fire Policy.</w:t>
      </w:r>
    </w:p>
    <w:p w14:paraId="27B62654"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1"/>
        <w:rPr>
          <w:rFonts w:ascii="Segoe UI" w:eastAsia="Times New Roman" w:hAnsi="Segoe UI" w:cs="Segoe UI"/>
          <w:b/>
          <w:bCs/>
          <w:kern w:val="0"/>
          <w:sz w:val="36"/>
          <w:szCs w:val="36"/>
          <w14:ligatures w14:val="none"/>
        </w:rPr>
      </w:pPr>
      <w:r w:rsidRPr="00CA38BF">
        <w:rPr>
          <w:rFonts w:ascii="Segoe UI" w:eastAsia="Times New Roman" w:hAnsi="Segoe UI" w:cs="Segoe UI"/>
          <w:b/>
          <w:bCs/>
          <w:kern w:val="0"/>
          <w:sz w:val="36"/>
          <w:szCs w:val="36"/>
          <w14:ligatures w14:val="none"/>
        </w:rPr>
        <w:t>A Constitutional Framework: The Standard Fire Policy</w:t>
      </w:r>
    </w:p>
    <w:p w14:paraId="11E9360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Under many states' adoption of the Standard Fire Policy, also known as the New York Standard Fire Policy ("165 Lines"), the insurance appraisal clause sets forth the minimum standard policyholder protections. This policy language mandates that disputes arising between the parties concerning the "amount of loss or damage" are to be resolved through the appraisal process involving an umpire and two appraisers. The ensuing appraisal award is conclusive solely concerning the amount of such loss or value but does not determine the insurer's liability (Standard Fire Policy, New York Code).</w:t>
      </w:r>
    </w:p>
    <w:p w14:paraId="3ACAE91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1"/>
        <w:rPr>
          <w:rFonts w:ascii="Segoe UI" w:eastAsia="Times New Roman" w:hAnsi="Segoe UI" w:cs="Segoe UI"/>
          <w:b/>
          <w:bCs/>
          <w:kern w:val="0"/>
          <w:sz w:val="36"/>
          <w:szCs w:val="36"/>
          <w14:ligatures w14:val="none"/>
        </w:rPr>
      </w:pPr>
      <w:r w:rsidRPr="00CA38BF">
        <w:rPr>
          <w:rFonts w:ascii="Segoe UI" w:eastAsia="Times New Roman" w:hAnsi="Segoe UI" w:cs="Segoe UI"/>
          <w:b/>
          <w:bCs/>
          <w:kern w:val="0"/>
          <w:sz w:val="36"/>
          <w:szCs w:val="36"/>
          <w14:ligatures w14:val="none"/>
        </w:rPr>
        <w:t>Judicial Interpretation: The Confines of Appraisal</w:t>
      </w:r>
    </w:p>
    <w:p w14:paraId="155CC77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CA38BF">
        <w:rPr>
          <w:rFonts w:ascii="Segoe UI" w:eastAsia="Times New Roman" w:hAnsi="Segoe UI" w:cs="Segoe UI"/>
          <w:b/>
          <w:bCs/>
          <w:kern w:val="0"/>
          <w:sz w:val="30"/>
          <w:szCs w:val="30"/>
          <w14:ligatures w14:val="none"/>
        </w:rPr>
        <w:t>Defining the Boundaries</w:t>
      </w:r>
    </w:p>
    <w:p w14:paraId="235CC4D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Courts have consistently held that appraisal clauses are not designed to address questions concerning policy defenses or coverages. As elucidated in 15 COUCH ON INSURANCE § 212:13 (3d ed. 2019), "Questions concerning policy defenses or coverages are not to be addressed by the appraisers." Nonetheless, the line demarcating coverage issues from amount-of-loss questions is often ambiguous.</w:t>
      </w:r>
    </w:p>
    <w:p w14:paraId="38F97208" w14:textId="77777777" w:rsid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CA38BF">
        <w:rPr>
          <w:rFonts w:ascii="Segoe UI" w:eastAsia="Times New Roman" w:hAnsi="Segoe UI" w:cs="Segoe UI"/>
          <w:b/>
          <w:bCs/>
          <w:kern w:val="0"/>
          <w:sz w:val="30"/>
          <w:szCs w:val="30"/>
          <w14:ligatures w14:val="none"/>
        </w:rPr>
        <w:t>Case Law Analysis</w:t>
      </w:r>
    </w:p>
    <w:p w14:paraId="30ECBA97"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CA38BF">
        <w:rPr>
          <w:rFonts w:ascii="Segoe UI" w:eastAsia="Times New Roman" w:hAnsi="Segoe UI" w:cs="Segoe UI"/>
          <w:b/>
          <w:bCs/>
          <w:kern w:val="0"/>
          <w:sz w:val="30"/>
          <w:szCs w:val="30"/>
          <w14:ligatures w14:val="none"/>
        </w:rPr>
        <w:lastRenderedPageBreak/>
        <w:t>Expanding the Scope of Appraisal: A Legal Examination of Causation and Monetary Determinations</w:t>
      </w:r>
    </w:p>
    <w:p w14:paraId="04BF0A6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Abstract</w:t>
      </w:r>
    </w:p>
    <w:p w14:paraId="2FFDBE5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This paper delves into the critical question of what constitutes the "amount of loss" in the context of insurance appraisal clauses. Specifically, it focuses on the case of BonBeck Parker, LLC v. Travelers Indemnity Co. of America, 14 F.4th 1169 (10th Circ. 2021) and examines the broader implications of that decision for the insurance industry. This case paves the way for a more inclusive understanding of appraisal clauses, encompassing both monetary and causation considerations.</w:t>
      </w:r>
    </w:p>
    <w:p w14:paraId="347C1C06"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65EF608A">
          <v:rect id="_x0000_i1025" style="width:0;height:0" o:hralign="center" o:hrstd="t" o:hrnoshade="t" o:hr="t" fillcolor="#374151" stroked="f"/>
        </w:pict>
      </w:r>
    </w:p>
    <w:p w14:paraId="184BD4C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Introduction</w:t>
      </w:r>
    </w:p>
    <w:p w14:paraId="302F359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The question of what falls under the scope of an appraisal in insurance contracts has long been subject to interpretive ambiguities. In particular, there's been debate over whether the appraisal clause's mention of "amount of loss" should include causation or be strictly limited to monetary determinations. The case of BonBeck Parker, LLC v. Travelers Indemnity Co. of America has helped shed light on this matter</w:t>
      </w:r>
      <w:hyperlink r:id="rId5" w:anchor="user-content-fn-1%5E" w:tgtFrame="_new" w:history="1">
        <w:r w:rsidRPr="00CA38BF">
          <w:rPr>
            <w:rFonts w:ascii="Segoe UI" w:eastAsia="Times New Roman" w:hAnsi="Segoe UI" w:cs="Segoe UI"/>
            <w:color w:val="0000FF"/>
            <w:kern w:val="0"/>
            <w:sz w:val="18"/>
            <w:szCs w:val="18"/>
            <w:bdr w:val="single" w:sz="2" w:space="0" w:color="D9D9E3" w:frame="1"/>
            <w:vertAlign w:val="superscript"/>
            <w14:ligatures w14:val="none"/>
          </w:rPr>
          <w:t>1</w:t>
        </w:r>
      </w:hyperlink>
      <w:r w:rsidRPr="00CA38BF">
        <w:rPr>
          <w:rFonts w:ascii="Segoe UI" w:eastAsia="Times New Roman" w:hAnsi="Segoe UI" w:cs="Segoe UI"/>
          <w:color w:val="374151"/>
          <w:kern w:val="0"/>
          <w:sz w:val="24"/>
          <w:szCs w:val="24"/>
          <w14:ligatures w14:val="none"/>
        </w:rPr>
        <w:t>.</w:t>
      </w:r>
    </w:p>
    <w:p w14:paraId="1E2753B2"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2B577CCE">
          <v:rect id="_x0000_i1026" style="width:0;height:0" o:hralign="center" o:hrstd="t" o:hrnoshade="t" o:hr="t" fillcolor="#374151" stroked="f"/>
        </w:pict>
      </w:r>
    </w:p>
    <w:p w14:paraId="65C2A0D7"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Case Analysis: BonBeck Parker, LLC v. Travelers Indemnity Co. of America</w:t>
      </w:r>
    </w:p>
    <w:p w14:paraId="76A1356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In this landmark case, the 10th Circuit Court held that Travelers’ policy permitted either party to request an appraisal on “the amount of loss,” a term the Court found unambiguous and inclusive of causation disputes. The Court predicted that the Colorado Supreme Court would also interpret the term as inclusive of causation, thereby rejecting Travelers' argument that focused solely on monetary determinations</w:t>
      </w:r>
      <w:hyperlink r:id="rId6" w:anchor="user-content-fn-1%5E" w:tgtFrame="_new" w:history="1">
        <w:r w:rsidRPr="00CA38BF">
          <w:rPr>
            <w:rFonts w:ascii="Segoe UI" w:eastAsia="Times New Roman" w:hAnsi="Segoe UI" w:cs="Segoe UI"/>
            <w:color w:val="0000FF"/>
            <w:kern w:val="0"/>
            <w:sz w:val="18"/>
            <w:szCs w:val="18"/>
            <w:bdr w:val="single" w:sz="2" w:space="0" w:color="D9D9E3" w:frame="1"/>
            <w:vertAlign w:val="superscript"/>
            <w14:ligatures w14:val="none"/>
          </w:rPr>
          <w:t>1</w:t>
        </w:r>
      </w:hyperlink>
      <w:r w:rsidRPr="00CA38BF">
        <w:rPr>
          <w:rFonts w:ascii="Segoe UI" w:eastAsia="Times New Roman" w:hAnsi="Segoe UI" w:cs="Segoe UI"/>
          <w:color w:val="374151"/>
          <w:kern w:val="0"/>
          <w:sz w:val="24"/>
          <w:szCs w:val="24"/>
          <w14:ligatures w14:val="none"/>
        </w:rPr>
        <w:t>. The Court reasoned that nothing in the dictionary definition of "appraiser" limits them from considering causation as part of the valuation process.</w:t>
      </w:r>
    </w:p>
    <w:p w14:paraId="218A1CA4"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lastRenderedPageBreak/>
        <w:pict w14:anchorId="565BA92D">
          <v:rect id="_x0000_i1027" style="width:0;height:0" o:hralign="center" o:hrstd="t" o:hrnoshade="t" o:hr="t" fillcolor="#374151" stroked="f"/>
        </w:pict>
      </w:r>
    </w:p>
    <w:p w14:paraId="4A7974D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The Lacuna in Judicial Guidance</w:t>
      </w:r>
    </w:p>
    <w:p w14:paraId="3084AEA8"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Despite the clear stance of the 10th Circuit, many courts have yet to decide on the scope of appraisal in relation to causation. This gap may be attributed to insurers' common practice of reserving coverage issues, which often tangentially include causation. Such reserved coverage issues frequently result in complex and time-consuming litigation, which then falls outside the expertise of appraisal panel members</w:t>
      </w:r>
      <w:hyperlink r:id="rId7" w:anchor="user-content-fn-2%5E" w:tgtFrame="_new" w:history="1">
        <w:r w:rsidRPr="00CA38BF">
          <w:rPr>
            <w:rFonts w:ascii="Segoe UI" w:eastAsia="Times New Roman" w:hAnsi="Segoe UI" w:cs="Segoe UI"/>
            <w:color w:val="0000FF"/>
            <w:kern w:val="0"/>
            <w:sz w:val="18"/>
            <w:szCs w:val="18"/>
            <w:bdr w:val="single" w:sz="2" w:space="0" w:color="D9D9E3" w:frame="1"/>
            <w:vertAlign w:val="superscript"/>
            <w14:ligatures w14:val="none"/>
          </w:rPr>
          <w:t>2</w:t>
        </w:r>
      </w:hyperlink>
      <w:r w:rsidRPr="00CA38BF">
        <w:rPr>
          <w:rFonts w:ascii="Segoe UI" w:eastAsia="Times New Roman" w:hAnsi="Segoe UI" w:cs="Segoe UI"/>
          <w:color w:val="374151"/>
          <w:kern w:val="0"/>
          <w:sz w:val="24"/>
          <w:szCs w:val="24"/>
          <w14:ligatures w14:val="none"/>
        </w:rPr>
        <w:t>.</w:t>
      </w:r>
    </w:p>
    <w:p w14:paraId="6D2D263D"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157601FC">
          <v:rect id="_x0000_i1028" style="width:0;height:0" o:hralign="center" o:hrstd="t" o:hrnoshade="t" o:hr="t" fillcolor="#374151" stroked="f"/>
        </w:pict>
      </w:r>
    </w:p>
    <w:p w14:paraId="7820EFBD"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Practical Implications: Causation Issues in Hail Cases</w:t>
      </w:r>
    </w:p>
    <w:p w14:paraId="229A0FFC"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For example, in hail damage cases, the differentiation between old and new damage often involves intricate engineering analyses. These causation issues are best suited for a Declaratory Judgment Action (DJA) where evidence and arguments can be thoroughly presented. Unlike in court settings, appraisal panels rarely allow for the submission of extensive evidence or arguments from the parties</w:t>
      </w:r>
      <w:hyperlink r:id="rId8" w:anchor="user-content-fn-2%5E" w:tgtFrame="_new" w:history="1">
        <w:r w:rsidRPr="00CA38BF">
          <w:rPr>
            <w:rFonts w:ascii="Segoe UI" w:eastAsia="Times New Roman" w:hAnsi="Segoe UI" w:cs="Segoe UI"/>
            <w:color w:val="0000FF"/>
            <w:kern w:val="0"/>
            <w:sz w:val="18"/>
            <w:szCs w:val="18"/>
            <w:bdr w:val="single" w:sz="2" w:space="0" w:color="D9D9E3" w:frame="1"/>
            <w:vertAlign w:val="superscript"/>
            <w14:ligatures w14:val="none"/>
          </w:rPr>
          <w:t>2</w:t>
        </w:r>
      </w:hyperlink>
      <w:r w:rsidRPr="00CA38BF">
        <w:rPr>
          <w:rFonts w:ascii="Segoe UI" w:eastAsia="Times New Roman" w:hAnsi="Segoe UI" w:cs="Segoe UI"/>
          <w:color w:val="374151"/>
          <w:kern w:val="0"/>
          <w:sz w:val="24"/>
          <w:szCs w:val="24"/>
          <w14:ligatures w14:val="none"/>
        </w:rPr>
        <w:t>.</w:t>
      </w:r>
    </w:p>
    <w:p w14:paraId="0B6406CC"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6B36E3D5">
          <v:rect id="_x0000_i1029" style="width:0;height:0" o:hralign="center" o:hrstd="t" o:hrnoshade="t" o:hr="t" fillcolor="#374151" stroked="f"/>
        </w:pict>
      </w:r>
    </w:p>
    <w:p w14:paraId="1765883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Conclusion: The Need for Balance</w:t>
      </w:r>
    </w:p>
    <w:p w14:paraId="2D268F9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While the appraisal process is designed to be an efficient dispute resolution mechanism, expanding its scope to include causation can potentially make it more complex and costly. Nonetheless, the BonBeck Parker case sets a precedent for a more inclusive understanding of the "amount of loss," which should inform future policy interpretations and judicial rulings.</w:t>
      </w:r>
    </w:p>
    <w:p w14:paraId="3B5FCB95"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33CF4091">
          <v:rect id="_x0000_i1030" style="width:0;height:0" o:hralign="center" o:hrstd="t" o:hrnoshade="t" o:hr="t" fillcolor="#374151" stroked="f"/>
        </w:pict>
      </w:r>
    </w:p>
    <w:p w14:paraId="6511D54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lastRenderedPageBreak/>
        <w:t>References</w:t>
      </w:r>
    </w:p>
    <w:p w14:paraId="783060A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I hope this white paper addresses the complexities surrounding the scope of appraisal in property insurance disputes. Should you require further elaboration or modifications, please do let me know.</w:t>
      </w:r>
    </w:p>
    <w:p w14:paraId="72F7FE24"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38BF">
        <w:rPr>
          <w:rFonts w:ascii="Times New Roman" w:eastAsia="Times New Roman" w:hAnsi="Times New Roman" w:cs="Times New Roman"/>
          <w:b/>
          <w:bCs/>
          <w:kern w:val="0"/>
          <w:sz w:val="36"/>
          <w:szCs w:val="36"/>
          <w14:ligatures w14:val="none"/>
        </w:rPr>
        <w:t>Footnotes</w:t>
      </w:r>
    </w:p>
    <w:p w14:paraId="2EDD9C72" w14:textId="77777777" w:rsidR="00CA38BF" w:rsidRPr="00CA38BF" w:rsidRDefault="00CA38BF" w:rsidP="00CA38BF">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t xml:space="preserve">BonBeck Parker, LLC v. Travelers Indemnity Co. of America, 14 F.4th 1169 (10th Circ. 2021). </w:t>
      </w:r>
      <w:hyperlink r:id="rId9" w:anchor="user-content-fnref-1%5E" w:tgtFrame="_new" w:history="1">
        <w:r w:rsidRPr="00CA38BF">
          <w:rPr>
            <w:rFonts w:ascii="Cambria Math" w:eastAsia="Times New Roman" w:hAnsi="Cambria Math" w:cs="Cambria Math"/>
            <w:color w:val="0000FF"/>
            <w:kern w:val="0"/>
            <w:sz w:val="24"/>
            <w:szCs w:val="24"/>
            <w:bdr w:val="single" w:sz="2" w:space="0" w:color="D9D9E3" w:frame="1"/>
            <w14:ligatures w14:val="none"/>
          </w:rPr>
          <w:t>↩</w:t>
        </w:r>
      </w:hyperlink>
      <w:r w:rsidRPr="00CA38BF">
        <w:rPr>
          <w:rFonts w:ascii="Times New Roman" w:eastAsia="Times New Roman" w:hAnsi="Times New Roman" w:cs="Times New Roman"/>
          <w:kern w:val="0"/>
          <w:sz w:val="24"/>
          <w:szCs w:val="24"/>
          <w14:ligatures w14:val="none"/>
        </w:rPr>
        <w:t xml:space="preserve"> </w:t>
      </w:r>
      <w:hyperlink r:id="rId10" w:anchor="user-content-fnref-1%5E-2" w:tgtFrame="_new" w:history="1">
        <w:r w:rsidRPr="00CA38BF">
          <w:rPr>
            <w:rFonts w:ascii="Cambria Math" w:eastAsia="Times New Roman" w:hAnsi="Cambria Math" w:cs="Cambria Math"/>
            <w:color w:val="0000FF"/>
            <w:kern w:val="0"/>
            <w:sz w:val="24"/>
            <w:szCs w:val="24"/>
            <w:bdr w:val="single" w:sz="2" w:space="0" w:color="D9D9E3" w:frame="1"/>
            <w14:ligatures w14:val="none"/>
          </w:rPr>
          <w:t>↩</w:t>
        </w:r>
        <w:r w:rsidRPr="00CA38BF">
          <w:rPr>
            <w:rFonts w:ascii="Times New Roman" w:eastAsia="Times New Roman" w:hAnsi="Times New Roman" w:cs="Times New Roman"/>
            <w:color w:val="0000FF"/>
            <w:kern w:val="0"/>
            <w:sz w:val="18"/>
            <w:szCs w:val="18"/>
            <w:bdr w:val="single" w:sz="2" w:space="0" w:color="D9D9E3" w:frame="1"/>
            <w:vertAlign w:val="superscript"/>
            <w14:ligatures w14:val="none"/>
          </w:rPr>
          <w:t>2</w:t>
        </w:r>
      </w:hyperlink>
    </w:p>
    <w:p w14:paraId="06C79483" w14:textId="77777777" w:rsidR="00CA38BF" w:rsidRPr="00CA38BF" w:rsidRDefault="00CA38BF" w:rsidP="00CA38BF">
      <w:pPr>
        <w:numPr>
          <w:ilvl w:val="0"/>
          <w:numId w:val="3"/>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t xml:space="preserve">David M. McMahon &amp; Jeffrey E. Grell, “Insurance Appraisal Process and the Role of the Umpire,” Claims Journal, 2012. </w:t>
      </w:r>
      <w:hyperlink r:id="rId11" w:anchor="user-content-fnref-2%5E" w:tgtFrame="_new" w:history="1">
        <w:r w:rsidRPr="00CA38BF">
          <w:rPr>
            <w:rFonts w:ascii="Cambria Math" w:eastAsia="Times New Roman" w:hAnsi="Cambria Math" w:cs="Cambria Math"/>
            <w:color w:val="0000FF"/>
            <w:kern w:val="0"/>
            <w:sz w:val="24"/>
            <w:szCs w:val="24"/>
            <w:bdr w:val="single" w:sz="2" w:space="0" w:color="D9D9E3" w:frame="1"/>
            <w14:ligatures w14:val="none"/>
          </w:rPr>
          <w:t>↩</w:t>
        </w:r>
      </w:hyperlink>
      <w:r w:rsidRPr="00CA38BF">
        <w:rPr>
          <w:rFonts w:ascii="Times New Roman" w:eastAsia="Times New Roman" w:hAnsi="Times New Roman" w:cs="Times New Roman"/>
          <w:kern w:val="0"/>
          <w:sz w:val="24"/>
          <w:szCs w:val="24"/>
          <w14:ligatures w14:val="none"/>
        </w:rPr>
        <w:t xml:space="preserve"> </w:t>
      </w:r>
      <w:hyperlink r:id="rId12" w:anchor="user-content-fnref-2%5E-2" w:tgtFrame="_new" w:history="1">
        <w:r w:rsidRPr="00CA38BF">
          <w:rPr>
            <w:rFonts w:ascii="Cambria Math" w:eastAsia="Times New Roman" w:hAnsi="Cambria Math" w:cs="Cambria Math"/>
            <w:color w:val="0000FF"/>
            <w:kern w:val="0"/>
            <w:sz w:val="24"/>
            <w:szCs w:val="24"/>
            <w:bdr w:val="single" w:sz="2" w:space="0" w:color="D9D9E3" w:frame="1"/>
            <w14:ligatures w14:val="none"/>
          </w:rPr>
          <w:t>↩</w:t>
        </w:r>
        <w:r w:rsidRPr="00CA38BF">
          <w:rPr>
            <w:rFonts w:ascii="Times New Roman" w:eastAsia="Times New Roman" w:hAnsi="Times New Roman" w:cs="Times New Roman"/>
            <w:color w:val="0000FF"/>
            <w:kern w:val="0"/>
            <w:sz w:val="18"/>
            <w:szCs w:val="18"/>
            <w:bdr w:val="single" w:sz="2" w:space="0" w:color="D9D9E3" w:frame="1"/>
            <w:vertAlign w:val="superscript"/>
            <w14:ligatures w14:val="none"/>
          </w:rPr>
          <w:t>2</w:t>
        </w:r>
      </w:hyperlink>
    </w:p>
    <w:p w14:paraId="75402E9D"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Section: Interpretation and Analysis of Legal Precedents</w:t>
      </w:r>
    </w:p>
    <w:p w14:paraId="3A4935AC"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454485">
        <w:rPr>
          <w:rFonts w:ascii="Segoe UI" w:eastAsia="Times New Roman" w:hAnsi="Segoe UI" w:cs="Segoe UI"/>
          <w:kern w:val="0"/>
          <w:sz w:val="24"/>
          <w:szCs w:val="24"/>
          <w14:ligatures w14:val="none"/>
        </w:rPr>
        <w:t>Case Reference: Auto-Owners Ins. Co. v. Csaszar, 893 F.3d 729, 733–34 (10th Cir. 2018)</w:t>
      </w:r>
    </w:p>
    <w:p w14:paraId="259CCC0C"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In the appellate review, the standard of review for summary judgment is de novo. The court will only affirm if there is no genuine dispute concerning any material fact and the moving party is entitled to judgment as a matter of law. This is consistent with Federal Rule of Civil Procedure 56(a). The question under review here is the scope of the appraisal provision, a contractual clause in insurance policies that outlines the process for resolving disputes about the amount of loss or value of the property insured.</w:t>
      </w:r>
    </w:p>
    <w:p w14:paraId="0B4CA38E"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454485">
        <w:rPr>
          <w:rFonts w:ascii="Segoe UI" w:eastAsia="Times New Roman" w:hAnsi="Segoe UI" w:cs="Segoe UI"/>
          <w:kern w:val="0"/>
          <w:sz w:val="24"/>
          <w:szCs w:val="24"/>
          <w14:ligatures w14:val="none"/>
        </w:rPr>
        <w:t>Preliminary Issues</w:t>
      </w:r>
    </w:p>
    <w:p w14:paraId="162B4519"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after="0" w:line="240" w:lineRule="auto"/>
        <w:outlineLvl w:val="4"/>
        <w:rPr>
          <w:rFonts w:ascii="Segoe UI" w:eastAsia="Times New Roman" w:hAnsi="Segoe UI" w:cs="Segoe UI"/>
          <w:b/>
          <w:bCs/>
          <w:color w:val="374151"/>
          <w:kern w:val="0"/>
          <w:sz w:val="20"/>
          <w:szCs w:val="20"/>
          <w14:ligatures w14:val="none"/>
        </w:rPr>
      </w:pPr>
      <w:r w:rsidRPr="00454485">
        <w:rPr>
          <w:rFonts w:ascii="Segoe UI" w:eastAsia="Times New Roman" w:hAnsi="Segoe UI" w:cs="Segoe UI"/>
          <w:b/>
          <w:bCs/>
          <w:color w:val="374151"/>
          <w:kern w:val="0"/>
          <w:sz w:val="20"/>
          <w:szCs w:val="20"/>
          <w14:ligatures w14:val="none"/>
        </w:rPr>
        <w:t>A. Waiver</w:t>
      </w:r>
    </w:p>
    <w:p w14:paraId="150680A3"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BonBeck argues that Travelers waived its challenge concerning the scope of the appraisal provision. However, the appellate court disagreed, finding that statements made by Travelers in the district court did not constitute a waiver of its rights to challenge the scope of the appraisal provision. In legal parlance, a waiver usually entails the voluntary relinquishment of a known right. Travelers' statements were interpreted as reflections of the issues at hand at that point in the district court, not as an abandonment of their position.</w:t>
      </w:r>
    </w:p>
    <w:p w14:paraId="3581BBAA"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after="0" w:line="240" w:lineRule="auto"/>
        <w:outlineLvl w:val="4"/>
        <w:rPr>
          <w:rFonts w:ascii="Segoe UI" w:eastAsia="Times New Roman" w:hAnsi="Segoe UI" w:cs="Segoe UI"/>
          <w:b/>
          <w:bCs/>
          <w:color w:val="374151"/>
          <w:kern w:val="0"/>
          <w:sz w:val="20"/>
          <w:szCs w:val="20"/>
          <w14:ligatures w14:val="none"/>
        </w:rPr>
      </w:pPr>
      <w:r w:rsidRPr="00454485">
        <w:rPr>
          <w:rFonts w:ascii="Segoe UI" w:eastAsia="Times New Roman" w:hAnsi="Segoe UI" w:cs="Segoe UI"/>
          <w:b/>
          <w:bCs/>
          <w:color w:val="374151"/>
          <w:kern w:val="0"/>
          <w:sz w:val="20"/>
          <w:szCs w:val="20"/>
          <w14:ligatures w14:val="none"/>
        </w:rPr>
        <w:t>B. Payment of Appraisal Award</w:t>
      </w:r>
    </w:p>
    <w:p w14:paraId="4D09496A"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BonBeck claimed that under Colorado insurance law, by paying the appraisal award without protest, Travelers waived any right to challenge it. The court, however, found this point moot because Travelers clarified that it was not seeking reimbursement of the payment of the appraisal award, but rather nominal damages and statutory interest on a breach-of-contract claim.</w:t>
      </w:r>
    </w:p>
    <w:p w14:paraId="78524D7B"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after="0" w:line="240" w:lineRule="auto"/>
        <w:outlineLvl w:val="4"/>
        <w:rPr>
          <w:rFonts w:ascii="Segoe UI" w:eastAsia="Times New Roman" w:hAnsi="Segoe UI" w:cs="Segoe UI"/>
          <w:b/>
          <w:bCs/>
          <w:color w:val="374151"/>
          <w:kern w:val="0"/>
          <w:sz w:val="20"/>
          <w:szCs w:val="20"/>
          <w14:ligatures w14:val="none"/>
        </w:rPr>
      </w:pPr>
      <w:r w:rsidRPr="00454485">
        <w:rPr>
          <w:rFonts w:ascii="Segoe UI" w:eastAsia="Times New Roman" w:hAnsi="Segoe UI" w:cs="Segoe UI"/>
          <w:b/>
          <w:bCs/>
          <w:color w:val="374151"/>
          <w:kern w:val="0"/>
          <w:sz w:val="20"/>
          <w:szCs w:val="20"/>
          <w14:ligatures w14:val="none"/>
        </w:rPr>
        <w:t>C. Mootness</w:t>
      </w:r>
    </w:p>
    <w:p w14:paraId="0873700F"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 xml:space="preserve">Travelers’ appeal concerning its claim for declaratory judgment was dismissed as moot. The appellate court found that given Travelers’ admission that it does not </w:t>
      </w:r>
      <w:r w:rsidRPr="00454485">
        <w:rPr>
          <w:rFonts w:ascii="Segoe UI" w:eastAsia="Times New Roman" w:hAnsi="Segoe UI" w:cs="Segoe UI"/>
          <w:color w:val="374151"/>
          <w:kern w:val="0"/>
          <w:sz w:val="24"/>
          <w:szCs w:val="24"/>
          <w14:ligatures w14:val="none"/>
        </w:rPr>
        <w:lastRenderedPageBreak/>
        <w:t>seek reimbursement for the appraisal payment, the appeal would have no real-world impact.</w:t>
      </w:r>
    </w:p>
    <w:p w14:paraId="4F9E930A"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454485">
        <w:rPr>
          <w:rFonts w:ascii="Segoe UI" w:eastAsia="Times New Roman" w:hAnsi="Segoe UI" w:cs="Segoe UI"/>
          <w:kern w:val="0"/>
          <w:sz w:val="24"/>
          <w:szCs w:val="24"/>
          <w14:ligatures w14:val="none"/>
        </w:rPr>
        <w:t>Merits</w:t>
      </w:r>
    </w:p>
    <w:p w14:paraId="117BCB31"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Under Colorado law, an insurance policy is considered a contract and is thus subject to general contract law principles. The courts are obliged to enforce the intent and reasonable expectations of the parties, based on the plain language of the contract. If the contract language is clear and unambiguous, the court must enforce it as written.</w:t>
      </w:r>
    </w:p>
    <w:p w14:paraId="552EC122"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In this case, the critical issue is whether the appraisal panel could determine the cause of the loss. Travelers contended that the Policy unambiguously excludes the appraisal panel from deciding the cause of loss.</w:t>
      </w:r>
    </w:p>
    <w:p w14:paraId="7DB4273D"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454485">
        <w:rPr>
          <w:rFonts w:ascii="Segoe UI" w:eastAsia="Times New Roman" w:hAnsi="Segoe UI" w:cs="Segoe UI"/>
          <w:kern w:val="0"/>
          <w:sz w:val="24"/>
          <w:szCs w:val="24"/>
          <w14:ligatures w14:val="none"/>
        </w:rPr>
        <w:t>Implications for Insurance Appraisal</w:t>
      </w:r>
    </w:p>
    <w:p w14:paraId="035252F7"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This case illuminates several vital issues that are directly relevant to the scope of appraisal provisions in insurance policies. It brings into focus the need for clear language in appraisal provisions to delineate the limits of an appraiser's authority. A vaguely worded or ambiguous provision might subject the parties to an extensive and expensive legal battle, as evidenced by the dispute between Travelers and BonBeck.</w:t>
      </w:r>
    </w:p>
    <w:p w14:paraId="08456E54" w14:textId="77777777" w:rsidR="00454485" w:rsidRPr="00454485" w:rsidRDefault="00454485" w:rsidP="00454485">
      <w:pPr>
        <w:pStyle w:val="ListParagraph"/>
        <w:numPr>
          <w:ilvl w:val="0"/>
          <w:numId w:val="3"/>
        </w:num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Thus, understanding the legal framework surrounding appraisal provisions is crucial. Insurers should draft clear and unambiguous language to express the agreed-upon scope of appraisal clauses, mindful of the legal principles articulated by courts, including the 10th Circuit Court in this specific case.</w:t>
      </w:r>
    </w:p>
    <w:p w14:paraId="2DFABD07" w14:textId="77777777" w:rsidR="00454485" w:rsidRDefault="00454485" w:rsidP="00454485">
      <w:pPr>
        <w:pStyle w:val="Heading3"/>
        <w:pBdr>
          <w:top w:val="single" w:sz="2" w:space="0" w:color="D9D9E3"/>
          <w:left w:val="single" w:sz="2" w:space="0" w:color="D9D9E3"/>
          <w:bottom w:val="single" w:sz="2" w:space="0" w:color="D9D9E3"/>
          <w:right w:val="single" w:sz="2" w:space="0" w:color="D9D9E3"/>
        </w:pBdr>
        <w:shd w:val="clear" w:color="auto" w:fill="F7F7F8"/>
        <w:rPr>
          <w:rFonts w:ascii="Segoe UI" w:hAnsi="Segoe UI" w:cs="Segoe UI"/>
          <w:sz w:val="30"/>
          <w:szCs w:val="30"/>
        </w:rPr>
      </w:pPr>
      <w:r>
        <w:rPr>
          <w:rFonts w:ascii="Segoe UI" w:hAnsi="Segoe UI" w:cs="Segoe UI"/>
          <w:sz w:val="30"/>
          <w:szCs w:val="30"/>
        </w:rPr>
        <w:t>Case Analysis: Scope and Challenges in Appraisal Provisions</w:t>
      </w:r>
    </w:p>
    <w:p w14:paraId="07328259" w14:textId="77777777" w:rsidR="00454485" w:rsidRDefault="00454485" w:rsidP="00454485">
      <w:pPr>
        <w:pStyle w:val="Heading4"/>
        <w:pBdr>
          <w:top w:val="single" w:sz="2" w:space="0" w:color="D9D9E3"/>
          <w:left w:val="single" w:sz="2" w:space="0" w:color="D9D9E3"/>
          <w:bottom w:val="single" w:sz="2" w:space="0" w:color="D9D9E3"/>
          <w:right w:val="single" w:sz="2" w:space="0" w:color="D9D9E3"/>
        </w:pBdr>
        <w:shd w:val="clear" w:color="auto" w:fill="F7F7F8"/>
        <w:rPr>
          <w:rFonts w:ascii="Segoe UI" w:hAnsi="Segoe UI" w:cs="Segoe UI"/>
          <w:b w:val="0"/>
          <w:bCs w:val="0"/>
        </w:rPr>
      </w:pPr>
      <w:r>
        <w:rPr>
          <w:rFonts w:ascii="Segoe UI" w:hAnsi="Segoe UI" w:cs="Segoe UI"/>
          <w:b w:val="0"/>
          <w:bCs w:val="0"/>
        </w:rPr>
        <w:t>Summary Judgment &amp; De Novo Review</w:t>
      </w:r>
    </w:p>
    <w:p w14:paraId="37BF4AC7" w14:textId="77777777" w:rsidR="00454485" w:rsidRDefault="00454485" w:rsidP="0045448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r>
        <w:rPr>
          <w:rFonts w:ascii="Segoe UI" w:hAnsi="Segoe UI" w:cs="Segoe UI"/>
          <w:color w:val="374151"/>
        </w:rPr>
        <w:t>In the case under review, the court applies a 'de novo' standard to orders granting summary judgment. This means that the appellate court examines the case anew, without deference to the decision of the lower court. The key criterion for affirming summary judgment is the absence of any genuine dispute concerning material facts, and whether the moving party is entitled to judgment purely as a matter of law.</w:t>
      </w:r>
    </w:p>
    <w:p w14:paraId="40A481D8" w14:textId="77777777" w:rsidR="00454485" w:rsidRDefault="00454485" w:rsidP="00454485">
      <w:pPr>
        <w:pStyle w:val="Heading4"/>
        <w:pBdr>
          <w:top w:val="single" w:sz="2" w:space="0" w:color="D9D9E3"/>
          <w:left w:val="single" w:sz="2" w:space="0" w:color="D9D9E3"/>
          <w:bottom w:val="single" w:sz="2" w:space="0" w:color="D9D9E3"/>
          <w:right w:val="single" w:sz="2" w:space="0" w:color="D9D9E3"/>
        </w:pBdr>
        <w:shd w:val="clear" w:color="auto" w:fill="F7F7F8"/>
        <w:rPr>
          <w:rFonts w:ascii="Segoe UI" w:hAnsi="Segoe UI" w:cs="Segoe UI"/>
          <w:b w:val="0"/>
          <w:bCs w:val="0"/>
        </w:rPr>
      </w:pPr>
      <w:r>
        <w:rPr>
          <w:rFonts w:ascii="Segoe UI" w:hAnsi="Segoe UI" w:cs="Segoe UI"/>
          <w:b w:val="0"/>
          <w:bCs w:val="0"/>
        </w:rPr>
        <w:t>Preliminary Issues</w:t>
      </w:r>
    </w:p>
    <w:p w14:paraId="0216153D" w14:textId="77777777" w:rsidR="00454485" w:rsidRDefault="00454485" w:rsidP="00454485">
      <w:pPr>
        <w:pStyle w:val="NormalWeb"/>
        <w:numPr>
          <w:ilvl w:val="0"/>
          <w:numId w:val="4"/>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Style w:val="Strong"/>
          <w:rFonts w:ascii="Segoe UI" w:hAnsi="Segoe UI" w:cs="Segoe UI"/>
          <w:color w:val="374151"/>
          <w:bdr w:val="single" w:sz="2" w:space="0" w:color="D9D9E3" w:frame="1"/>
        </w:rPr>
        <w:t>Waiver</w:t>
      </w:r>
      <w:r>
        <w:rPr>
          <w:rFonts w:ascii="Segoe UI" w:hAnsi="Segoe UI" w:cs="Segoe UI"/>
          <w:color w:val="374151"/>
        </w:rPr>
        <w:t>: BonBeck argues that Travelers waived its right to challenge the scope of the appraisal provision. The court disagrees, emphasizing that the "waiver" cited by BonBeck simply reflects the issues at the time and not an agreement on Travelers' part with the court's resolution.</w:t>
      </w:r>
    </w:p>
    <w:p w14:paraId="24396981" w14:textId="77777777" w:rsidR="00454485" w:rsidRDefault="00454485" w:rsidP="00454485">
      <w:pPr>
        <w:pStyle w:val="NormalWeb"/>
        <w:numPr>
          <w:ilvl w:val="0"/>
          <w:numId w:val="4"/>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Style w:val="Strong"/>
          <w:rFonts w:ascii="Segoe UI" w:hAnsi="Segoe UI" w:cs="Segoe UI"/>
          <w:color w:val="374151"/>
          <w:bdr w:val="single" w:sz="2" w:space="0" w:color="D9D9E3" w:frame="1"/>
        </w:rPr>
        <w:lastRenderedPageBreak/>
        <w:t>Law-of-the-Case Doctrine</w:t>
      </w:r>
      <w:r>
        <w:rPr>
          <w:rFonts w:ascii="Segoe UI" w:hAnsi="Segoe UI" w:cs="Segoe UI"/>
          <w:color w:val="374151"/>
        </w:rPr>
        <w:t>: The court also refutes the idea that the challenge by Travelers is precluded under this doctrine. The district court's prior decisions do not necessarily bind the appellate court.</w:t>
      </w:r>
    </w:p>
    <w:p w14:paraId="49913103" w14:textId="77777777" w:rsidR="00454485" w:rsidRDefault="00454485" w:rsidP="00454485">
      <w:pPr>
        <w:pStyle w:val="NormalWeb"/>
        <w:numPr>
          <w:ilvl w:val="0"/>
          <w:numId w:val="4"/>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Style w:val="Strong"/>
          <w:rFonts w:ascii="Segoe UI" w:hAnsi="Segoe UI" w:cs="Segoe UI"/>
          <w:color w:val="374151"/>
          <w:bdr w:val="single" w:sz="2" w:space="0" w:color="D9D9E3" w:frame="1"/>
        </w:rPr>
        <w:t>Payment of Appraisal Award</w:t>
      </w:r>
      <w:r>
        <w:rPr>
          <w:rFonts w:ascii="Segoe UI" w:hAnsi="Segoe UI" w:cs="Segoe UI"/>
          <w:color w:val="374151"/>
        </w:rPr>
        <w:t>: This part addresses the conundrum of whether paying the award without protest leads to the waiving of future challenges regarding the award's scope. BonBeck argues that Colorado law prevents any such future challenges, but the court disagrees, stating that the issue is independent of the payment of the award.</w:t>
      </w:r>
    </w:p>
    <w:p w14:paraId="621224F1" w14:textId="77777777" w:rsidR="00454485" w:rsidRDefault="00454485" w:rsidP="00454485">
      <w:pPr>
        <w:pStyle w:val="NormalWeb"/>
        <w:numPr>
          <w:ilvl w:val="0"/>
          <w:numId w:val="4"/>
        </w:numPr>
        <w:pBdr>
          <w:top w:val="single" w:sz="2" w:space="0" w:color="D9D9E3"/>
          <w:left w:val="single" w:sz="2" w:space="5" w:color="D9D9E3"/>
          <w:bottom w:val="single" w:sz="2" w:space="0" w:color="D9D9E3"/>
          <w:right w:val="single" w:sz="2" w:space="0" w:color="D9D9E3"/>
        </w:pBdr>
        <w:shd w:val="clear" w:color="auto" w:fill="F7F7F8"/>
        <w:spacing w:before="0" w:beforeAutospacing="0" w:after="0" w:afterAutospacing="0"/>
        <w:rPr>
          <w:rFonts w:ascii="Segoe UI" w:hAnsi="Segoe UI" w:cs="Segoe UI"/>
          <w:color w:val="374151"/>
        </w:rPr>
      </w:pPr>
      <w:r>
        <w:rPr>
          <w:rStyle w:val="Strong"/>
          <w:rFonts w:ascii="Segoe UI" w:hAnsi="Segoe UI" w:cs="Segoe UI"/>
          <w:color w:val="374151"/>
          <w:bdr w:val="single" w:sz="2" w:space="0" w:color="D9D9E3" w:frame="1"/>
        </w:rPr>
        <w:t>Mootness</w:t>
      </w:r>
      <w:r>
        <w:rPr>
          <w:rFonts w:ascii="Segoe UI" w:hAnsi="Segoe UI" w:cs="Segoe UI"/>
          <w:color w:val="374151"/>
        </w:rPr>
        <w:t>: In the end, the court concludes that Travelers' appeal concerning the declaratory judgment is moot, as Travelers does not intend to seek reimbursement of the appraisal award.</w:t>
      </w:r>
    </w:p>
    <w:p w14:paraId="6D201E1F" w14:textId="77777777" w:rsidR="00454485" w:rsidRDefault="00454485" w:rsidP="00454485">
      <w:pPr>
        <w:pStyle w:val="Heading4"/>
        <w:pBdr>
          <w:top w:val="single" w:sz="2" w:space="0" w:color="D9D9E3"/>
          <w:left w:val="single" w:sz="2" w:space="0" w:color="D9D9E3"/>
          <w:bottom w:val="single" w:sz="2" w:space="0" w:color="D9D9E3"/>
          <w:right w:val="single" w:sz="2" w:space="0" w:color="D9D9E3"/>
        </w:pBdr>
        <w:shd w:val="clear" w:color="auto" w:fill="F7F7F8"/>
        <w:rPr>
          <w:rFonts w:ascii="Segoe UI" w:hAnsi="Segoe UI" w:cs="Segoe UI"/>
          <w:b w:val="0"/>
          <w:bCs w:val="0"/>
        </w:rPr>
      </w:pPr>
      <w:r>
        <w:rPr>
          <w:rFonts w:ascii="Segoe UI" w:hAnsi="Segoe UI" w:cs="Segoe UI"/>
          <w:b w:val="0"/>
          <w:bCs w:val="0"/>
        </w:rPr>
        <w:t>The Merits: Interpretation of Policy</w:t>
      </w:r>
    </w:p>
    <w:p w14:paraId="04306CAC" w14:textId="77777777" w:rsidR="00454485" w:rsidRDefault="00454485" w:rsidP="0045448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r>
        <w:rPr>
          <w:rFonts w:ascii="Segoe UI" w:hAnsi="Segoe UI" w:cs="Segoe UI"/>
          <w:color w:val="374151"/>
        </w:rPr>
        <w:t>The central issue is whether the Policy allows the Panel to decide the cause of loss, which is a matter of interpreting contractual language. Under Colorado law, like any other contract, an insurance policy should be interpreted according to the plain language to understand the parties' intent.</w:t>
      </w:r>
    </w:p>
    <w:p w14:paraId="50C5BB0E" w14:textId="77777777" w:rsidR="00454485" w:rsidRDefault="00454485" w:rsidP="00454485">
      <w:pPr>
        <w:pStyle w:val="Heading4"/>
        <w:pBdr>
          <w:top w:val="single" w:sz="2" w:space="0" w:color="D9D9E3"/>
          <w:left w:val="single" w:sz="2" w:space="0" w:color="D9D9E3"/>
          <w:bottom w:val="single" w:sz="2" w:space="0" w:color="D9D9E3"/>
          <w:right w:val="single" w:sz="2" w:space="0" w:color="D9D9E3"/>
        </w:pBdr>
        <w:shd w:val="clear" w:color="auto" w:fill="F7F7F8"/>
        <w:rPr>
          <w:rFonts w:ascii="Segoe UI" w:hAnsi="Segoe UI" w:cs="Segoe UI"/>
          <w:b w:val="0"/>
          <w:bCs w:val="0"/>
        </w:rPr>
      </w:pPr>
      <w:r>
        <w:rPr>
          <w:rFonts w:ascii="Segoe UI" w:hAnsi="Segoe UI" w:cs="Segoe UI"/>
          <w:b w:val="0"/>
          <w:bCs w:val="0"/>
        </w:rPr>
        <w:t>Colorado Law: Predicting Outcomes</w:t>
      </w:r>
    </w:p>
    <w:p w14:paraId="4CA5E73F" w14:textId="77777777" w:rsidR="00454485" w:rsidRDefault="00454485" w:rsidP="0045448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r>
        <w:rPr>
          <w:rFonts w:ascii="Segoe UI" w:hAnsi="Segoe UI" w:cs="Segoe UI"/>
          <w:color w:val="374151"/>
        </w:rPr>
        <w:t>The appellate court takes on the task of predicting how the Colorado Supreme Court would interpret the issue. In doing so, they consider analogous decisions and the general weight and trend of authority in the legal landscape.</w:t>
      </w:r>
    </w:p>
    <w:p w14:paraId="13A52997" w14:textId="77777777" w:rsidR="00454485" w:rsidRDefault="00454485" w:rsidP="00454485">
      <w:pPr>
        <w:pStyle w:val="Heading4"/>
        <w:pBdr>
          <w:top w:val="single" w:sz="2" w:space="0" w:color="D9D9E3"/>
          <w:left w:val="single" w:sz="2" w:space="0" w:color="D9D9E3"/>
          <w:bottom w:val="single" w:sz="2" w:space="0" w:color="D9D9E3"/>
          <w:right w:val="single" w:sz="2" w:space="0" w:color="D9D9E3"/>
        </w:pBdr>
        <w:shd w:val="clear" w:color="auto" w:fill="F7F7F8"/>
        <w:rPr>
          <w:rFonts w:ascii="Segoe UI" w:hAnsi="Segoe UI" w:cs="Segoe UI"/>
          <w:b w:val="0"/>
          <w:bCs w:val="0"/>
        </w:rPr>
      </w:pPr>
      <w:r>
        <w:rPr>
          <w:rFonts w:ascii="Segoe UI" w:hAnsi="Segoe UI" w:cs="Segoe UI"/>
          <w:b w:val="0"/>
          <w:bCs w:val="0"/>
        </w:rPr>
        <w:t>Option for Certification</w:t>
      </w:r>
    </w:p>
    <w:p w14:paraId="42394731" w14:textId="77777777" w:rsidR="00454485" w:rsidRDefault="00454485" w:rsidP="0045448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r>
        <w:rPr>
          <w:rFonts w:ascii="Segoe UI" w:hAnsi="Segoe UI" w:cs="Segoe UI"/>
          <w:color w:val="374151"/>
        </w:rPr>
        <w:t>Lastly, the court acknowledges that this issue could be certified for consideration by the Colorado Supreme Court but declines to do so, citing a "reasonably clear and principled course" for resolution.</w:t>
      </w:r>
    </w:p>
    <w:p w14:paraId="2A6D0BA1" w14:textId="77777777" w:rsidR="00454485" w:rsidRDefault="00454485" w:rsidP="00454485">
      <w:pPr>
        <w:pStyle w:val="Heading3"/>
        <w:pBdr>
          <w:top w:val="single" w:sz="2" w:space="0" w:color="D9D9E3"/>
          <w:left w:val="single" w:sz="2" w:space="0" w:color="D9D9E3"/>
          <w:bottom w:val="single" w:sz="2" w:space="0" w:color="D9D9E3"/>
          <w:right w:val="single" w:sz="2" w:space="0" w:color="D9D9E3"/>
        </w:pBdr>
        <w:shd w:val="clear" w:color="auto" w:fill="F7F7F8"/>
        <w:rPr>
          <w:rFonts w:ascii="Segoe UI" w:hAnsi="Segoe UI" w:cs="Segoe UI"/>
          <w:sz w:val="30"/>
          <w:szCs w:val="30"/>
        </w:rPr>
      </w:pPr>
      <w:r>
        <w:rPr>
          <w:rFonts w:ascii="Segoe UI" w:hAnsi="Segoe UI" w:cs="Segoe UI"/>
          <w:sz w:val="30"/>
          <w:szCs w:val="30"/>
        </w:rPr>
        <w:t>Implications for Insurance Appraisal</w:t>
      </w:r>
    </w:p>
    <w:p w14:paraId="3463D763" w14:textId="77777777" w:rsidR="00454485" w:rsidRDefault="00454485" w:rsidP="00454485">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300" w:afterAutospacing="0"/>
        <w:rPr>
          <w:rFonts w:ascii="Segoe UI" w:hAnsi="Segoe UI" w:cs="Segoe UI"/>
          <w:color w:val="374151"/>
        </w:rPr>
      </w:pPr>
      <w:r>
        <w:rPr>
          <w:rFonts w:ascii="Segoe UI" w:hAnsi="Segoe UI" w:cs="Segoe UI"/>
          <w:color w:val="374151"/>
        </w:rPr>
        <w:t>This case presents a nuanced view of appraisal clauses in insurance contracts, particularly concerning the scope and the procedural intricacies involved. The case also highlights the importance of understanding the jurisdictional specifics, as Colorado law plays a significant role in the interpretation of the Policy.</w:t>
      </w:r>
    </w:p>
    <w:p w14:paraId="754AB7C5" w14:textId="77777777" w:rsidR="00454485" w:rsidRDefault="00454485" w:rsidP="00454485">
      <w:pPr>
        <w:pStyle w:val="NormalWeb"/>
        <w:pBdr>
          <w:top w:val="single" w:sz="2" w:space="0" w:color="D9D9E3"/>
          <w:left w:val="single" w:sz="2" w:space="0" w:color="D9D9E3"/>
          <w:bottom w:val="single" w:sz="2" w:space="0" w:color="D9D9E3"/>
          <w:right w:val="single" w:sz="2" w:space="0" w:color="D9D9E3"/>
        </w:pBdr>
        <w:shd w:val="clear" w:color="auto" w:fill="F7F7F8"/>
        <w:spacing w:before="300" w:beforeAutospacing="0" w:after="300" w:afterAutospacing="0"/>
        <w:rPr>
          <w:rFonts w:ascii="Segoe UI" w:hAnsi="Segoe UI" w:cs="Segoe UI"/>
          <w:color w:val="374151"/>
        </w:rPr>
      </w:pPr>
      <w:r>
        <w:rPr>
          <w:rFonts w:ascii="Segoe UI" w:hAnsi="Segoe UI" w:cs="Segoe UI"/>
          <w:color w:val="374151"/>
        </w:rPr>
        <w:t>By considering these elements, one can gain a comprehensive understanding of the complexities involved in insurance appraisal, providing valuable insights for both policyholders and insurers navigating this challenging landscape.</w:t>
      </w:r>
    </w:p>
    <w:p w14:paraId="4066AC3F"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454485">
        <w:rPr>
          <w:rFonts w:ascii="Segoe UI" w:eastAsia="Times New Roman" w:hAnsi="Segoe UI" w:cs="Segoe UI"/>
          <w:kern w:val="0"/>
          <w:sz w:val="24"/>
          <w:szCs w:val="24"/>
          <w14:ligatures w14:val="none"/>
        </w:rPr>
        <w:lastRenderedPageBreak/>
        <w:t>Court's Conclusion and Legal Analysis</w:t>
      </w:r>
    </w:p>
    <w:p w14:paraId="3DEAD663"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0" w:line="240" w:lineRule="auto"/>
        <w:outlineLvl w:val="4"/>
        <w:rPr>
          <w:rFonts w:ascii="Segoe UI" w:eastAsia="Times New Roman" w:hAnsi="Segoe UI" w:cs="Segoe UI"/>
          <w:b/>
          <w:bCs/>
          <w:color w:val="374151"/>
          <w:kern w:val="0"/>
          <w:sz w:val="20"/>
          <w:szCs w:val="20"/>
          <w14:ligatures w14:val="none"/>
        </w:rPr>
      </w:pPr>
      <w:r w:rsidRPr="00454485">
        <w:rPr>
          <w:rFonts w:ascii="Segoe UI" w:eastAsia="Times New Roman" w:hAnsi="Segoe UI" w:cs="Segoe UI"/>
          <w:b/>
          <w:bCs/>
          <w:color w:val="374151"/>
          <w:kern w:val="0"/>
          <w:sz w:val="20"/>
          <w:szCs w:val="20"/>
          <w14:ligatures w14:val="none"/>
        </w:rPr>
        <w:t>Interpretation of Policy Language</w:t>
      </w:r>
    </w:p>
    <w:p w14:paraId="752F6436"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The court's ruling is anchored in the Policy's plain language, which specifies that disputes over "the amount of loss" can be subjected to an appraisal. The court predicts that if faced with this issue, the Colorado Supreme Court would conclude that the phrase "amount of loss" inherently involves causation issues. This is crucial because it expands the scope of what the appraisal panel can consider.</w:t>
      </w:r>
    </w:p>
    <w:p w14:paraId="36245A10" w14:textId="77777777" w:rsidR="00454485" w:rsidRPr="00454485" w:rsidRDefault="00454485" w:rsidP="00454485">
      <w:pPr>
        <w:numPr>
          <w:ilvl w:val="0"/>
          <w:numId w:val="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Citations</w:t>
      </w:r>
      <w:r w:rsidRPr="00454485">
        <w:rPr>
          <w:rFonts w:ascii="Segoe UI" w:eastAsia="Times New Roman" w:hAnsi="Segoe UI" w:cs="Segoe UI"/>
          <w:color w:val="374151"/>
          <w:kern w:val="0"/>
          <w:sz w:val="24"/>
          <w:szCs w:val="24"/>
          <w14:ligatures w14:val="none"/>
        </w:rPr>
        <w:t>:</w:t>
      </w:r>
    </w:p>
    <w:p w14:paraId="2B9FE7C3" w14:textId="77777777" w:rsidR="00454485" w:rsidRPr="00454485" w:rsidRDefault="00454485" w:rsidP="00454485">
      <w:pPr>
        <w:numPr>
          <w:ilvl w:val="1"/>
          <w:numId w:val="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Ostrov v. Safeco Ins. Co. of Ill.</w:t>
      </w:r>
      <w:r w:rsidRPr="00454485">
        <w:rPr>
          <w:rFonts w:ascii="Segoe UI" w:eastAsia="Times New Roman" w:hAnsi="Segoe UI" w:cs="Segoe UI"/>
          <w:color w:val="374151"/>
          <w:kern w:val="0"/>
          <w:sz w:val="24"/>
          <w:szCs w:val="24"/>
          <w14:ligatures w14:val="none"/>
        </w:rPr>
        <w:t>, 453 F. App'x 741, 742 (10th Cir. 2011) (holding that language in the policy is to be interpreted based on its ordinary meaning).</w:t>
      </w:r>
    </w:p>
    <w:p w14:paraId="308AF669"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0" w:line="240" w:lineRule="auto"/>
        <w:outlineLvl w:val="4"/>
        <w:rPr>
          <w:rFonts w:ascii="Segoe UI" w:eastAsia="Times New Roman" w:hAnsi="Segoe UI" w:cs="Segoe UI"/>
          <w:b/>
          <w:bCs/>
          <w:color w:val="374151"/>
          <w:kern w:val="0"/>
          <w:sz w:val="20"/>
          <w:szCs w:val="20"/>
          <w14:ligatures w14:val="none"/>
        </w:rPr>
      </w:pPr>
      <w:r w:rsidRPr="00454485">
        <w:rPr>
          <w:rFonts w:ascii="Segoe UI" w:eastAsia="Times New Roman" w:hAnsi="Segoe UI" w:cs="Segoe UI"/>
          <w:b/>
          <w:bCs/>
          <w:color w:val="374151"/>
          <w:kern w:val="0"/>
          <w:sz w:val="20"/>
          <w:szCs w:val="20"/>
          <w14:ligatures w14:val="none"/>
        </w:rPr>
        <w:t>Summary Judgment for BonBeck</w:t>
      </w:r>
    </w:p>
    <w:p w14:paraId="5E1BFA6D"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The court affirmed the district court's granting of summary judgment in favor of BonBeck, concluding that Travelers breached the Policy when it refused to proceed with an appraisal that would determine the cause of BonBeck's roof damage.</w:t>
      </w:r>
    </w:p>
    <w:p w14:paraId="72631118" w14:textId="77777777" w:rsidR="00454485" w:rsidRPr="00454485" w:rsidRDefault="00454485" w:rsidP="00454485">
      <w:pPr>
        <w:numPr>
          <w:ilvl w:val="0"/>
          <w:numId w:val="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Citations</w:t>
      </w:r>
      <w:r w:rsidRPr="00454485">
        <w:rPr>
          <w:rFonts w:ascii="Segoe UI" w:eastAsia="Times New Roman" w:hAnsi="Segoe UI" w:cs="Segoe UI"/>
          <w:color w:val="374151"/>
          <w:kern w:val="0"/>
          <w:sz w:val="24"/>
          <w:szCs w:val="24"/>
          <w14:ligatures w14:val="none"/>
        </w:rPr>
        <w:t>:</w:t>
      </w:r>
    </w:p>
    <w:p w14:paraId="5D93BC54" w14:textId="77777777" w:rsidR="00454485" w:rsidRPr="00454485" w:rsidRDefault="00454485" w:rsidP="00454485">
      <w:pPr>
        <w:numPr>
          <w:ilvl w:val="1"/>
          <w:numId w:val="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Celotex Corp. v. Catrett</w:t>
      </w:r>
      <w:r w:rsidRPr="00454485">
        <w:rPr>
          <w:rFonts w:ascii="Segoe UI" w:eastAsia="Times New Roman" w:hAnsi="Segoe UI" w:cs="Segoe UI"/>
          <w:color w:val="374151"/>
          <w:kern w:val="0"/>
          <w:sz w:val="24"/>
          <w:szCs w:val="24"/>
          <w14:ligatures w14:val="none"/>
        </w:rPr>
        <w:t>, 477 U.S. 317, 322 (1986) (explaining the standard for granting summary judgment).</w:t>
      </w:r>
    </w:p>
    <w:p w14:paraId="07ACD10A"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0" w:line="240" w:lineRule="auto"/>
        <w:outlineLvl w:val="4"/>
        <w:rPr>
          <w:rFonts w:ascii="Segoe UI" w:eastAsia="Times New Roman" w:hAnsi="Segoe UI" w:cs="Segoe UI"/>
          <w:b/>
          <w:bCs/>
          <w:color w:val="374151"/>
          <w:kern w:val="0"/>
          <w:sz w:val="20"/>
          <w:szCs w:val="20"/>
          <w14:ligatures w14:val="none"/>
        </w:rPr>
      </w:pPr>
      <w:r w:rsidRPr="00454485">
        <w:rPr>
          <w:rFonts w:ascii="Segoe UI" w:eastAsia="Times New Roman" w:hAnsi="Segoe UI" w:cs="Segoe UI"/>
          <w:b/>
          <w:bCs/>
          <w:color w:val="374151"/>
          <w:kern w:val="0"/>
          <w:sz w:val="20"/>
          <w:szCs w:val="20"/>
          <w14:ligatures w14:val="none"/>
        </w:rPr>
        <w:t>Mootness of Travelers’ Appeal</w:t>
      </w:r>
    </w:p>
    <w:p w14:paraId="0BDC1D0A"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Given Travelers’ concession that it does not seek reimbursement of the appraisal award, the court dismissed Travelers' appeal from the order denying summary judgment on the declaratory-judgment claim as moot.</w:t>
      </w:r>
    </w:p>
    <w:p w14:paraId="1652C926" w14:textId="77777777" w:rsidR="00454485" w:rsidRPr="00454485" w:rsidRDefault="00454485" w:rsidP="00454485">
      <w:pPr>
        <w:numPr>
          <w:ilvl w:val="0"/>
          <w:numId w:val="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Citations</w:t>
      </w:r>
      <w:r w:rsidRPr="00454485">
        <w:rPr>
          <w:rFonts w:ascii="Segoe UI" w:eastAsia="Times New Roman" w:hAnsi="Segoe UI" w:cs="Segoe UI"/>
          <w:color w:val="374151"/>
          <w:kern w:val="0"/>
          <w:sz w:val="24"/>
          <w:szCs w:val="24"/>
          <w14:ligatures w14:val="none"/>
        </w:rPr>
        <w:t>:</w:t>
      </w:r>
    </w:p>
    <w:p w14:paraId="00FB7958" w14:textId="77777777" w:rsidR="00454485" w:rsidRPr="00454485" w:rsidRDefault="00454485" w:rsidP="00454485">
      <w:pPr>
        <w:numPr>
          <w:ilvl w:val="1"/>
          <w:numId w:val="7"/>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United States v. Juvenile Male</w:t>
      </w:r>
      <w:r w:rsidRPr="00454485">
        <w:rPr>
          <w:rFonts w:ascii="Segoe UI" w:eastAsia="Times New Roman" w:hAnsi="Segoe UI" w:cs="Segoe UI"/>
          <w:color w:val="374151"/>
          <w:kern w:val="0"/>
          <w:sz w:val="24"/>
          <w:szCs w:val="24"/>
          <w14:ligatures w14:val="none"/>
        </w:rPr>
        <w:t>, 564 U.S. 932, 937 (2011) (discussing the doctrine of mootness in federal courts).</w:t>
      </w:r>
    </w:p>
    <w:p w14:paraId="4A6AE3D5"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0" w:line="240" w:lineRule="auto"/>
        <w:outlineLvl w:val="4"/>
        <w:rPr>
          <w:rFonts w:ascii="Segoe UI" w:eastAsia="Times New Roman" w:hAnsi="Segoe UI" w:cs="Segoe UI"/>
          <w:b/>
          <w:bCs/>
          <w:color w:val="374151"/>
          <w:kern w:val="0"/>
          <w:sz w:val="20"/>
          <w:szCs w:val="20"/>
          <w14:ligatures w14:val="none"/>
        </w:rPr>
      </w:pPr>
      <w:r w:rsidRPr="00454485">
        <w:rPr>
          <w:rFonts w:ascii="Segoe UI" w:eastAsia="Times New Roman" w:hAnsi="Segoe UI" w:cs="Segoe UI"/>
          <w:b/>
          <w:bCs/>
          <w:color w:val="374151"/>
          <w:kern w:val="0"/>
          <w:sz w:val="20"/>
          <w:szCs w:val="20"/>
          <w14:ligatures w14:val="none"/>
        </w:rPr>
        <w:t>Issue of Itemized Appraisal Award</w:t>
      </w:r>
    </w:p>
    <w:p w14:paraId="01B34B6F"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The court also refuted Travelers’ argument that an itemized appraisal award was necessary. The court stated that because the Policy allows for the determination of causation, there is no need for an itemized award that differentiates between disputed and undisputed damages.</w:t>
      </w:r>
    </w:p>
    <w:p w14:paraId="5661933A" w14:textId="77777777" w:rsidR="00454485" w:rsidRPr="00454485" w:rsidRDefault="00454485" w:rsidP="00454485">
      <w:pPr>
        <w:numPr>
          <w:ilvl w:val="0"/>
          <w:numId w:val="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Citations</w:t>
      </w:r>
      <w:r w:rsidRPr="00454485">
        <w:rPr>
          <w:rFonts w:ascii="Segoe UI" w:eastAsia="Times New Roman" w:hAnsi="Segoe UI" w:cs="Segoe UI"/>
          <w:color w:val="374151"/>
          <w:kern w:val="0"/>
          <w:sz w:val="24"/>
          <w:szCs w:val="24"/>
          <w14:ligatures w14:val="none"/>
        </w:rPr>
        <w:t>:</w:t>
      </w:r>
    </w:p>
    <w:p w14:paraId="7859F0DC" w14:textId="77777777" w:rsidR="00454485" w:rsidRPr="00454485" w:rsidRDefault="00454485" w:rsidP="00454485">
      <w:pPr>
        <w:numPr>
          <w:ilvl w:val="1"/>
          <w:numId w:val="8"/>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lastRenderedPageBreak/>
        <w:t>McCauley Constructors, Inc. v. American States Ins. Co.</w:t>
      </w:r>
      <w:r w:rsidRPr="00454485">
        <w:rPr>
          <w:rFonts w:ascii="Segoe UI" w:eastAsia="Times New Roman" w:hAnsi="Segoe UI" w:cs="Segoe UI"/>
          <w:color w:val="374151"/>
          <w:kern w:val="0"/>
          <w:sz w:val="24"/>
          <w:szCs w:val="24"/>
          <w14:ligatures w14:val="none"/>
        </w:rPr>
        <w:t>, 362 P.3d 1091, 1099 (Colo. 2015) (discussing that the interpretation of an insurance contract in Colorado is a question of law).</w:t>
      </w:r>
    </w:p>
    <w:p w14:paraId="2D7A2222"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454485">
        <w:rPr>
          <w:rFonts w:ascii="Segoe UI" w:eastAsia="Times New Roman" w:hAnsi="Segoe UI" w:cs="Segoe UI"/>
          <w:kern w:val="0"/>
          <w:sz w:val="24"/>
          <w:szCs w:val="24"/>
          <w14:ligatures w14:val="none"/>
        </w:rPr>
        <w:t>Expanded White Paper Section</w:t>
      </w:r>
    </w:p>
    <w:p w14:paraId="417C2FB8"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Incorporating this into the white paper, the court's conclusion enhances our understanding of how appraisal provisions may be interpreted. Specifically, it underscores the importance of the Policy's plain language as a guiding force, affirming the district court's pro-policyholder stance. Additionally, it provides a blueprint for understanding how the courts could act in similar future scenarios, particularly in interpreting "amount of loss" to include causation issues.</w:t>
      </w:r>
    </w:p>
    <w:p w14:paraId="543F769E"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The conclusion also negates the necessity for an itemized appraisal award, stating that causation determinations are implicitly authorized by the Policy. This lays the groundwork for a streamlined appraisal process, further minimizing the complexities often associated with such proceedings.</w:t>
      </w:r>
    </w:p>
    <w:p w14:paraId="21B65DE6"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By understanding the court's rationale in this particular case, policyholders and insurers can better anticipate how similar appraisal provisions might be treated under Colorado law and possibly extrapolate to other jurisdictions.</w:t>
      </w:r>
    </w:p>
    <w:p w14:paraId="161D9889"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The Predictive Element</w:t>
      </w:r>
    </w:p>
    <w:p w14:paraId="08718CCD"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The court's use of predictive jurisprudence demonstrates a legal methodology often used in the absence of directly applicable precedent. Courts employ this approach when no controlling case law exists from a higher court in their jurisdiction. The federal court here is making an informed guess about how the Colorado Supreme Court—the highest court in the state—would rule on this specific issue.</w:t>
      </w:r>
    </w:p>
    <w:p w14:paraId="07333D76" w14:textId="77777777" w:rsidR="00454485" w:rsidRPr="00454485" w:rsidRDefault="00454485" w:rsidP="00454485">
      <w:pPr>
        <w:numPr>
          <w:ilvl w:val="0"/>
          <w:numId w:val="9"/>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w:t>
      </w:r>
      <w:r w:rsidRPr="00454485">
        <w:rPr>
          <w:rFonts w:ascii="Segoe UI" w:eastAsia="Times New Roman" w:hAnsi="Segoe UI" w:cs="Segoe UI"/>
          <w:color w:val="374151"/>
          <w:kern w:val="0"/>
          <w:sz w:val="24"/>
          <w:szCs w:val="24"/>
          <w14:ligatures w14:val="none"/>
        </w:rPr>
        <w:t>:</w:t>
      </w:r>
    </w:p>
    <w:p w14:paraId="53C9990E" w14:textId="77777777" w:rsidR="00454485" w:rsidRPr="00454485" w:rsidRDefault="00454485" w:rsidP="00454485">
      <w:pPr>
        <w:numPr>
          <w:ilvl w:val="1"/>
          <w:numId w:val="9"/>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Erie R. Co. v. Tompkins</w:t>
      </w:r>
      <w:r w:rsidRPr="00454485">
        <w:rPr>
          <w:rFonts w:ascii="Segoe UI" w:eastAsia="Times New Roman" w:hAnsi="Segoe UI" w:cs="Segoe UI"/>
          <w:color w:val="374151"/>
          <w:kern w:val="0"/>
          <w:sz w:val="24"/>
          <w:szCs w:val="24"/>
          <w14:ligatures w14:val="none"/>
        </w:rPr>
        <w:t>, 304 U.S. 64 (1938) (discussing how federal courts apply state law).</w:t>
      </w:r>
    </w:p>
    <w:p w14:paraId="780188F9"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"Amount of Loss" and Causation</w:t>
      </w:r>
    </w:p>
    <w:p w14:paraId="6DF09EF5"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 xml:space="preserve">The phrase "amount of loss" has traditionally been limited to quantifying the damage value. The court's prediction expands the term to include not only the assessment of the loss's monetary value but also its causation. This shift has crucial ramifications for the </w:t>
      </w:r>
      <w:r w:rsidRPr="00454485">
        <w:rPr>
          <w:rFonts w:ascii="Segoe UI" w:eastAsia="Times New Roman" w:hAnsi="Segoe UI" w:cs="Segoe UI"/>
          <w:color w:val="374151"/>
          <w:kern w:val="0"/>
          <w:sz w:val="24"/>
          <w:szCs w:val="24"/>
          <w14:ligatures w14:val="none"/>
        </w:rPr>
        <w:lastRenderedPageBreak/>
        <w:t>entire appraisal process because it opens up a new avenue for what the appraisal panel can consider—essentially broadening its purview.</w:t>
      </w:r>
    </w:p>
    <w:p w14:paraId="430F096D" w14:textId="77777777" w:rsidR="00454485" w:rsidRPr="00454485" w:rsidRDefault="00454485" w:rsidP="00454485">
      <w:pPr>
        <w:numPr>
          <w:ilvl w:val="0"/>
          <w:numId w:val="1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w:t>
      </w:r>
      <w:r w:rsidRPr="00454485">
        <w:rPr>
          <w:rFonts w:ascii="Segoe UI" w:eastAsia="Times New Roman" w:hAnsi="Segoe UI" w:cs="Segoe UI"/>
          <w:color w:val="374151"/>
          <w:kern w:val="0"/>
          <w:sz w:val="24"/>
          <w:szCs w:val="24"/>
          <w14:ligatures w14:val="none"/>
        </w:rPr>
        <w:t>:</w:t>
      </w:r>
    </w:p>
    <w:p w14:paraId="32E96E25" w14:textId="77777777" w:rsidR="00454485" w:rsidRPr="00454485" w:rsidRDefault="00454485" w:rsidP="00454485">
      <w:pPr>
        <w:numPr>
          <w:ilvl w:val="1"/>
          <w:numId w:val="10"/>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Johnson v. State Farm Mut. Auto. Ins. Co.</w:t>
      </w:r>
      <w:r w:rsidRPr="00454485">
        <w:rPr>
          <w:rFonts w:ascii="Segoe UI" w:eastAsia="Times New Roman" w:hAnsi="Segoe UI" w:cs="Segoe UI"/>
          <w:color w:val="374151"/>
          <w:kern w:val="0"/>
          <w:sz w:val="24"/>
          <w:szCs w:val="24"/>
          <w14:ligatures w14:val="none"/>
        </w:rPr>
        <w:t>, 158 P.3d 1268, 1270-71 (Colo. App. 2006) (discussing the concept of "amount of loss" in the context of Colorado insurance law).</w:t>
      </w:r>
    </w:p>
    <w:p w14:paraId="40334939"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Legal and Practical Importance</w:t>
      </w:r>
    </w:p>
    <w:p w14:paraId="0A8CEA00"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The expansion in scope means that the appraisal panel now has the authority to decide a wider range of issues, including determining the causation of the loss itself. This is a significant departure from a more restrictive interpretation that would limit the panel to merely calculating damages. It allows for a more holistic view of the dispute, which may lead to more nuanced and complete resolutions.</w:t>
      </w:r>
    </w:p>
    <w:p w14:paraId="5AF9B0C1" w14:textId="77777777" w:rsidR="00454485" w:rsidRPr="00454485" w:rsidRDefault="00454485" w:rsidP="00454485">
      <w:pPr>
        <w:numPr>
          <w:ilvl w:val="0"/>
          <w:numId w:val="1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w:t>
      </w:r>
      <w:r w:rsidRPr="00454485">
        <w:rPr>
          <w:rFonts w:ascii="Segoe UI" w:eastAsia="Times New Roman" w:hAnsi="Segoe UI" w:cs="Segoe UI"/>
          <w:color w:val="374151"/>
          <w:kern w:val="0"/>
          <w:sz w:val="24"/>
          <w:szCs w:val="24"/>
          <w14:ligatures w14:val="none"/>
        </w:rPr>
        <w:t>:</w:t>
      </w:r>
    </w:p>
    <w:p w14:paraId="37FEC324" w14:textId="77777777" w:rsidR="00454485" w:rsidRPr="00454485" w:rsidRDefault="00454485" w:rsidP="00454485">
      <w:pPr>
        <w:numPr>
          <w:ilvl w:val="1"/>
          <w:numId w:val="1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Auto-Owners Ins. Co. v. Summit Park Townhome Ass’n</w:t>
      </w:r>
      <w:r w:rsidRPr="00454485">
        <w:rPr>
          <w:rFonts w:ascii="Segoe UI" w:eastAsia="Times New Roman" w:hAnsi="Segoe UI" w:cs="Segoe UI"/>
          <w:color w:val="374151"/>
          <w:kern w:val="0"/>
          <w:sz w:val="24"/>
          <w:szCs w:val="24"/>
          <w14:ligatures w14:val="none"/>
        </w:rPr>
        <w:t>, 347 P.3d 330, 335 (Colo. App. 2014) (addressing the limitations of appraisal panels traditionally).</w:t>
      </w:r>
    </w:p>
    <w:p w14:paraId="43910C8D"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Setting a Precedent</w:t>
      </w:r>
    </w:p>
    <w:p w14:paraId="2E9B5A36"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The court's prediction, if upheld in future cases, could set a significant precedent for interpreting appraisal clauses in Colorado and could influence courts in other states that look to Colorado for persuasive authority.</w:t>
      </w:r>
    </w:p>
    <w:p w14:paraId="18E08D0E" w14:textId="77777777" w:rsidR="00454485" w:rsidRPr="00454485" w:rsidRDefault="00454485" w:rsidP="00454485">
      <w:pPr>
        <w:numPr>
          <w:ilvl w:val="0"/>
          <w:numId w:val="12"/>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w:t>
      </w:r>
      <w:r w:rsidRPr="00454485">
        <w:rPr>
          <w:rFonts w:ascii="Segoe UI" w:eastAsia="Times New Roman" w:hAnsi="Segoe UI" w:cs="Segoe UI"/>
          <w:color w:val="374151"/>
          <w:kern w:val="0"/>
          <w:sz w:val="24"/>
          <w:szCs w:val="24"/>
          <w14:ligatures w14:val="none"/>
        </w:rPr>
        <w:t>:</w:t>
      </w:r>
    </w:p>
    <w:p w14:paraId="799017D7" w14:textId="77777777" w:rsidR="00454485" w:rsidRPr="00454485" w:rsidRDefault="00454485" w:rsidP="00454485">
      <w:pPr>
        <w:numPr>
          <w:ilvl w:val="1"/>
          <w:numId w:val="12"/>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Shelter Mut. Ins. Co. v. Mid-Century Ins. Co.</w:t>
      </w:r>
      <w:r w:rsidRPr="00454485">
        <w:rPr>
          <w:rFonts w:ascii="Segoe UI" w:eastAsia="Times New Roman" w:hAnsi="Segoe UI" w:cs="Segoe UI"/>
          <w:color w:val="374151"/>
          <w:kern w:val="0"/>
          <w:sz w:val="24"/>
          <w:szCs w:val="24"/>
          <w14:ligatures w14:val="none"/>
        </w:rPr>
        <w:t>, 246 P.3d 651, 661 (Colo. 2011) (discussing the precedential value of legal interpretations in Colorado).</w:t>
      </w:r>
    </w:p>
    <w:p w14:paraId="27EF976E"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In sum, the court's predictive statement serves to potentially expand the interpretive scope of appraisal clauses, providing both insurers and policyholders with a broader, more comprehensive framework within which to resolve their disputes.</w:t>
      </w:r>
    </w:p>
    <w:p w14:paraId="284C847C"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Appraiser Qualifications</w:t>
      </w:r>
    </w:p>
    <w:p w14:paraId="1A83407F"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Travelers zeroes in on the term "appraiser," arguing that the role is intrinsically confined to making monetary determinations. The court counters this by leaning on the ordinary meaning of "amount of loss," which it contends already incorporates causation.</w:t>
      </w:r>
    </w:p>
    <w:p w14:paraId="384E0B80" w14:textId="77777777" w:rsidR="00454485" w:rsidRPr="00454485" w:rsidRDefault="00454485" w:rsidP="00454485">
      <w:pPr>
        <w:numPr>
          <w:ilvl w:val="0"/>
          <w:numId w:val="13"/>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lastRenderedPageBreak/>
        <w:t>Citation</w:t>
      </w:r>
      <w:r w:rsidRPr="00454485">
        <w:rPr>
          <w:rFonts w:ascii="Segoe UI" w:eastAsia="Times New Roman" w:hAnsi="Segoe UI" w:cs="Segoe UI"/>
          <w:color w:val="374151"/>
          <w:kern w:val="0"/>
          <w:sz w:val="24"/>
          <w:szCs w:val="24"/>
          <w14:ligatures w14:val="none"/>
        </w:rPr>
        <w:t>:</w:t>
      </w:r>
    </w:p>
    <w:p w14:paraId="251BEC4B" w14:textId="77777777" w:rsidR="00454485" w:rsidRPr="00454485" w:rsidRDefault="00454485" w:rsidP="00454485">
      <w:pPr>
        <w:numPr>
          <w:ilvl w:val="1"/>
          <w:numId w:val="13"/>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Travelers Ins. Co. v. Grayson</w:t>
      </w:r>
      <w:r w:rsidRPr="00454485">
        <w:rPr>
          <w:rFonts w:ascii="Segoe UI" w:eastAsia="Times New Roman" w:hAnsi="Segoe UI" w:cs="Segoe UI"/>
          <w:color w:val="374151"/>
          <w:kern w:val="0"/>
          <w:sz w:val="24"/>
          <w:szCs w:val="24"/>
          <w14:ligatures w14:val="none"/>
        </w:rPr>
        <w:t>, 889 F.2d 543, 545 (4th Cir. 1989) (discussing the role of appraisers in insurance contracts).</w:t>
      </w:r>
    </w:p>
    <w:p w14:paraId="3B44B4F7"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Black's Law Dictionary Definition</w:t>
      </w:r>
    </w:p>
    <w:p w14:paraId="55DF38A7"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Travelers also uses Black's Law Dictionary to support its argument by defining an appraiser as an "impartial person who estimates the value of something." The court indicates that this definition doesn't preclude causation issues. After all, "value" in the context of "amount of loss" is a multifaceted concept, potentially encompassing causation.</w:t>
      </w:r>
    </w:p>
    <w:p w14:paraId="6F8D3F19" w14:textId="77777777" w:rsidR="00454485" w:rsidRPr="00454485" w:rsidRDefault="00454485" w:rsidP="00454485">
      <w:pPr>
        <w:numPr>
          <w:ilvl w:val="0"/>
          <w:numId w:val="1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w:t>
      </w:r>
      <w:r w:rsidRPr="00454485">
        <w:rPr>
          <w:rFonts w:ascii="Segoe UI" w:eastAsia="Times New Roman" w:hAnsi="Segoe UI" w:cs="Segoe UI"/>
          <w:color w:val="374151"/>
          <w:kern w:val="0"/>
          <w:sz w:val="24"/>
          <w:szCs w:val="24"/>
          <w14:ligatures w14:val="none"/>
        </w:rPr>
        <w:t>:</w:t>
      </w:r>
    </w:p>
    <w:p w14:paraId="18BA9985" w14:textId="77777777" w:rsidR="00454485" w:rsidRPr="00454485" w:rsidRDefault="00454485" w:rsidP="00454485">
      <w:pPr>
        <w:numPr>
          <w:ilvl w:val="1"/>
          <w:numId w:val="14"/>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Blanchard v. State Farm Fire &amp; Cas. Co.</w:t>
      </w:r>
      <w:r w:rsidRPr="00454485">
        <w:rPr>
          <w:rFonts w:ascii="Segoe UI" w:eastAsia="Times New Roman" w:hAnsi="Segoe UI" w:cs="Segoe UI"/>
          <w:color w:val="374151"/>
          <w:kern w:val="0"/>
          <w:sz w:val="24"/>
          <w:szCs w:val="24"/>
          <w14:ligatures w14:val="none"/>
        </w:rPr>
        <w:t>, 2 Cal. App. 4th 345, 350 (1991) (examining the role of appraisers).</w:t>
      </w:r>
    </w:p>
    <w:p w14:paraId="49A04B79"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Minimal Qualifications</w:t>
      </w:r>
    </w:p>
    <w:p w14:paraId="257C37BA"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Travelers' argument concerning the "minimal qualifications" for an appraiser also falls short, according to the court. The language of the policy merely stipulates that appraisers should be "competent and impartial," which the court doesn't see as undermining the panel's authority to consider causation.</w:t>
      </w:r>
    </w:p>
    <w:p w14:paraId="29729B16" w14:textId="77777777" w:rsidR="00454485" w:rsidRPr="00454485" w:rsidRDefault="00454485" w:rsidP="00454485">
      <w:pPr>
        <w:numPr>
          <w:ilvl w:val="0"/>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w:t>
      </w:r>
      <w:r w:rsidRPr="00454485">
        <w:rPr>
          <w:rFonts w:ascii="Segoe UI" w:eastAsia="Times New Roman" w:hAnsi="Segoe UI" w:cs="Segoe UI"/>
          <w:color w:val="374151"/>
          <w:kern w:val="0"/>
          <w:sz w:val="24"/>
          <w:szCs w:val="24"/>
          <w14:ligatures w14:val="none"/>
        </w:rPr>
        <w:t>:</w:t>
      </w:r>
    </w:p>
    <w:p w14:paraId="2CB45D88" w14:textId="77777777" w:rsidR="00454485" w:rsidRPr="00454485" w:rsidRDefault="00454485" w:rsidP="00454485">
      <w:pPr>
        <w:numPr>
          <w:ilvl w:val="1"/>
          <w:numId w:val="15"/>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Lee v. Mercury Ins. Co.</w:t>
      </w:r>
      <w:r w:rsidRPr="00454485">
        <w:rPr>
          <w:rFonts w:ascii="Segoe UI" w:eastAsia="Times New Roman" w:hAnsi="Segoe UI" w:cs="Segoe UI"/>
          <w:color w:val="374151"/>
          <w:kern w:val="0"/>
          <w:sz w:val="24"/>
          <w:szCs w:val="24"/>
          <w14:ligatures w14:val="none"/>
        </w:rPr>
        <w:t>, 99 Cal. App. 4th 740, 749 (2002) (discussing the qualification criteria for appraisers).</w:t>
      </w:r>
    </w:p>
    <w:p w14:paraId="1E74E946"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"Dollar Controversies"</w:t>
      </w:r>
    </w:p>
    <w:p w14:paraId="0625E51F"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t>Lastly, Travelers argues that the appraisal should only address "dollar controversies," pointing to the appraisal provision's first sentence. The court disassembles this argument by noting that while the focus may be on a "dollar amount," the amount represents "loss," which includes causation issues.</w:t>
      </w:r>
    </w:p>
    <w:p w14:paraId="76D37CB2" w14:textId="77777777" w:rsidR="00454485" w:rsidRPr="00454485" w:rsidRDefault="00454485" w:rsidP="00454485">
      <w:pPr>
        <w:numPr>
          <w:ilvl w:val="0"/>
          <w:numId w:val="1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b/>
          <w:bCs/>
          <w:color w:val="374151"/>
          <w:kern w:val="0"/>
          <w:sz w:val="24"/>
          <w:szCs w:val="24"/>
          <w:bdr w:val="single" w:sz="2" w:space="0" w:color="D9D9E3" w:frame="1"/>
          <w14:ligatures w14:val="none"/>
        </w:rPr>
        <w:t>Citation</w:t>
      </w:r>
      <w:r w:rsidRPr="00454485">
        <w:rPr>
          <w:rFonts w:ascii="Segoe UI" w:eastAsia="Times New Roman" w:hAnsi="Segoe UI" w:cs="Segoe UI"/>
          <w:color w:val="374151"/>
          <w:kern w:val="0"/>
          <w:sz w:val="24"/>
          <w:szCs w:val="24"/>
          <w14:ligatures w14:val="none"/>
        </w:rPr>
        <w:t>:</w:t>
      </w:r>
    </w:p>
    <w:p w14:paraId="2A63BFD6" w14:textId="77777777" w:rsidR="00454485" w:rsidRPr="00454485" w:rsidRDefault="00454485" w:rsidP="00454485">
      <w:pPr>
        <w:numPr>
          <w:ilvl w:val="1"/>
          <w:numId w:val="16"/>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i/>
          <w:iCs/>
          <w:color w:val="374151"/>
          <w:kern w:val="0"/>
          <w:sz w:val="24"/>
          <w:szCs w:val="24"/>
          <w:bdr w:val="single" w:sz="2" w:space="0" w:color="D9D9E3" w:frame="1"/>
          <w14:ligatures w14:val="none"/>
        </w:rPr>
        <w:t>Allstate Ins. Co. v. Smith</w:t>
      </w:r>
      <w:r w:rsidRPr="00454485">
        <w:rPr>
          <w:rFonts w:ascii="Segoe UI" w:eastAsia="Times New Roman" w:hAnsi="Segoe UI" w:cs="Segoe UI"/>
          <w:color w:val="374151"/>
          <w:kern w:val="0"/>
          <w:sz w:val="24"/>
          <w:szCs w:val="24"/>
          <w14:ligatures w14:val="none"/>
        </w:rPr>
        <w:t>, 929 F.2d 447, 451 (9th Cir. 1991) (highlighting the complexity of what may constitute "amount of loss").</w:t>
      </w:r>
    </w:p>
    <w:p w14:paraId="4FC3424B"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454485">
        <w:rPr>
          <w:rFonts w:ascii="Segoe UI" w:eastAsia="Times New Roman" w:hAnsi="Segoe UI" w:cs="Segoe UI"/>
          <w:b/>
          <w:bCs/>
          <w:kern w:val="0"/>
          <w:sz w:val="30"/>
          <w:szCs w:val="30"/>
          <w14:ligatures w14:val="none"/>
        </w:rPr>
        <w:t>Summary</w:t>
      </w:r>
    </w:p>
    <w:p w14:paraId="10D31103" w14:textId="77777777" w:rsidR="00454485" w:rsidRPr="00454485"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454485">
        <w:rPr>
          <w:rFonts w:ascii="Segoe UI" w:eastAsia="Times New Roman" w:hAnsi="Segoe UI" w:cs="Segoe UI"/>
          <w:color w:val="374151"/>
          <w:kern w:val="0"/>
          <w:sz w:val="24"/>
          <w:szCs w:val="24"/>
          <w14:ligatures w14:val="none"/>
        </w:rPr>
        <w:lastRenderedPageBreak/>
        <w:t>The court methodically counters each of Travelers' textual arguments, relying heavily on the "plain language" of the policy and common understandings of terms within insurance contexts. It concludes that none of Travelers' points make the unambiguous phrase "amount of loss" ambiguous. Therefore, the panel is authorized to determine the cause of loss, substantially weakening Travelers' position.</w:t>
      </w:r>
    </w:p>
    <w:p w14:paraId="238874BE" w14:textId="77777777" w:rsid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p>
    <w:p w14:paraId="45C00C09" w14:textId="77777777" w:rsid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p>
    <w:p w14:paraId="08DBD498" w14:textId="77777777" w:rsid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p>
    <w:p w14:paraId="2583D883" w14:textId="77777777" w:rsid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p>
    <w:p w14:paraId="39B8A53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p>
    <w:p w14:paraId="549880A3" w14:textId="77777777" w:rsidR="00CA38BF" w:rsidRPr="00CA38BF" w:rsidRDefault="00CA38BF" w:rsidP="00CA38B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b/>
          <w:bCs/>
          <w:color w:val="374151"/>
          <w:kern w:val="0"/>
          <w:sz w:val="24"/>
          <w:szCs w:val="24"/>
          <w:bdr w:val="single" w:sz="2" w:space="0" w:color="D9D9E3" w:frame="1"/>
          <w14:ligatures w14:val="none"/>
        </w:rPr>
        <w:t>High Country Arts and Craft Guild v. Hartford Fire. Ins. Co., 126 F.3d 629 (4th Cir. 1997)</w:t>
      </w:r>
    </w:p>
    <w:p w14:paraId="798BBDFC" w14:textId="77777777" w:rsidR="00CA38BF" w:rsidRPr="00CA38BF" w:rsidRDefault="00CA38BF" w:rsidP="00CA38BF">
      <w:pPr>
        <w:pBdr>
          <w:top w:val="single" w:sz="2" w:space="0" w:color="D9D9E3"/>
          <w:left w:val="single" w:sz="2" w:space="5" w:color="D9D9E3"/>
          <w:bottom w:val="single" w:sz="2" w:space="0" w:color="D9D9E3"/>
          <w:right w:val="single" w:sz="2" w:space="0" w:color="D9D9E3"/>
        </w:pBdr>
        <w:shd w:val="clear" w:color="auto" w:fill="F7F7F8"/>
        <w:spacing w:after="0" w:line="240" w:lineRule="auto"/>
        <w:ind w:left="720"/>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In this landmark case, the Fourth Circuit affirmed a jury verdict favoring the policyholder, rejecting the insurance company’s position that the appraisal award of 60 days for business interruption was binding. The court ruled that the appraisers had misinterpreted the scope of coverage.</w:t>
      </w:r>
    </w:p>
    <w:p w14:paraId="01046569" w14:textId="77777777" w:rsidR="00CA38BF" w:rsidRPr="00CA38BF" w:rsidRDefault="00CA38BF" w:rsidP="00CA38B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b/>
          <w:bCs/>
          <w:color w:val="374151"/>
          <w:kern w:val="0"/>
          <w:sz w:val="24"/>
          <w:szCs w:val="24"/>
          <w:bdr w:val="single" w:sz="2" w:space="0" w:color="D9D9E3" w:frame="1"/>
          <w14:ligatures w14:val="none"/>
        </w:rPr>
        <w:t>SR Int'l Business Ins. Co., Ltd. v. World Trade Ctr. Props., LLC Series</w:t>
      </w:r>
    </w:p>
    <w:p w14:paraId="20B3202C" w14:textId="77777777" w:rsidR="00CA38BF" w:rsidRPr="00CA38BF" w:rsidRDefault="00CA38BF" w:rsidP="00CA38BF">
      <w:pPr>
        <w:pBdr>
          <w:top w:val="single" w:sz="2" w:space="0" w:color="D9D9E3"/>
          <w:left w:val="single" w:sz="2" w:space="5" w:color="D9D9E3"/>
          <w:bottom w:val="single" w:sz="2" w:space="0" w:color="D9D9E3"/>
          <w:right w:val="single" w:sz="2" w:space="0" w:color="D9D9E3"/>
        </w:pBdr>
        <w:shd w:val="clear" w:color="auto" w:fill="F7F7F8"/>
        <w:spacing w:after="0" w:line="240" w:lineRule="auto"/>
        <w:ind w:left="720"/>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These rulings underscore the court's jurisdiction to resolve legal issues in an ongoing appraisal proceeding. They make it explicit that the Appraisal Panel may not decide questions of law (445 F. Supp. 2d 320; 2007 WL 519245; 375 F. Supp. 2d 238).</w:t>
      </w:r>
    </w:p>
    <w:p w14:paraId="12E60637" w14:textId="77777777" w:rsidR="00CA38BF" w:rsidRPr="00CA38BF" w:rsidRDefault="00CA38BF" w:rsidP="00CA38B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b/>
          <w:bCs/>
          <w:color w:val="374151"/>
          <w:kern w:val="0"/>
          <w:sz w:val="24"/>
          <w:szCs w:val="24"/>
          <w:bdr w:val="single" w:sz="2" w:space="0" w:color="D9D9E3" w:frame="1"/>
          <w14:ligatures w14:val="none"/>
        </w:rPr>
        <w:t>State Farm Lloyds v. Johnson, 290 S.W.3d 886 (Tex. 2009)</w:t>
      </w:r>
    </w:p>
    <w:p w14:paraId="1D891CE0" w14:textId="77777777" w:rsidR="00CA38BF" w:rsidRPr="00CA38BF" w:rsidRDefault="00CA38BF" w:rsidP="00CA38BF">
      <w:pPr>
        <w:pBdr>
          <w:top w:val="single" w:sz="2" w:space="0" w:color="D9D9E3"/>
          <w:left w:val="single" w:sz="2" w:space="5" w:color="D9D9E3"/>
          <w:bottom w:val="single" w:sz="2" w:space="0" w:color="D9D9E3"/>
          <w:right w:val="single" w:sz="2" w:space="0" w:color="D9D9E3"/>
        </w:pBdr>
        <w:shd w:val="clear" w:color="auto" w:fill="F7F7F8"/>
        <w:spacing w:after="0" w:line="240" w:lineRule="auto"/>
        <w:ind w:left="720"/>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The Texas Supreme Court clarified that appraisers could evaluate the amount of damage, while causation issues would remain under judicial purview.</w:t>
      </w:r>
    </w:p>
    <w:p w14:paraId="302571A4" w14:textId="77777777" w:rsidR="00CA38BF" w:rsidRPr="00CA38BF" w:rsidRDefault="00CA38BF" w:rsidP="00CA38BF">
      <w:pPr>
        <w:numPr>
          <w:ilvl w:val="0"/>
          <w:numId w:val="1"/>
        </w:numPr>
        <w:pBdr>
          <w:top w:val="single" w:sz="2" w:space="0" w:color="D9D9E3"/>
          <w:left w:val="single" w:sz="2" w:space="5" w:color="D9D9E3"/>
          <w:bottom w:val="single" w:sz="2" w:space="0" w:color="D9D9E3"/>
          <w:right w:val="single" w:sz="2" w:space="0" w:color="D9D9E3"/>
        </w:pBdr>
        <w:shd w:val="clear" w:color="auto" w:fill="F7F7F8"/>
        <w:spacing w:after="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b/>
          <w:bCs/>
          <w:color w:val="374151"/>
          <w:kern w:val="0"/>
          <w:sz w:val="24"/>
          <w:szCs w:val="24"/>
          <w:bdr w:val="single" w:sz="2" w:space="0" w:color="D9D9E3" w:frame="1"/>
          <w14:ligatures w14:val="none"/>
        </w:rPr>
        <w:t>Johnson v. Nationwide Mut. Ins. Co., 828 So. 2d 1021, 1022 (Fla. 2002)</w:t>
      </w:r>
    </w:p>
    <w:p w14:paraId="27855B83" w14:textId="77777777" w:rsidR="00CA38BF" w:rsidRPr="00CA38BF" w:rsidRDefault="00CA38BF" w:rsidP="00CA38BF">
      <w:pPr>
        <w:pBdr>
          <w:top w:val="single" w:sz="2" w:space="0" w:color="D9D9E3"/>
          <w:left w:val="single" w:sz="2" w:space="5" w:color="D9D9E3"/>
          <w:bottom w:val="single" w:sz="2" w:space="0" w:color="D9D9E3"/>
          <w:right w:val="single" w:sz="2" w:space="0" w:color="D9D9E3"/>
        </w:pBdr>
        <w:shd w:val="clear" w:color="auto" w:fill="F7F7F8"/>
        <w:spacing w:after="0" w:line="240" w:lineRule="auto"/>
        <w:ind w:left="720"/>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In this case, the Florida Supreme Court held that causation questions are to be treated differently based on whether there is an outright denial of coverage or a dispute over the amount.</w:t>
      </w:r>
    </w:p>
    <w:p w14:paraId="421471E4"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1"/>
        <w:rPr>
          <w:rFonts w:ascii="Segoe UI" w:eastAsia="Times New Roman" w:hAnsi="Segoe UI" w:cs="Segoe UI"/>
          <w:b/>
          <w:bCs/>
          <w:kern w:val="0"/>
          <w:sz w:val="36"/>
          <w:szCs w:val="36"/>
          <w14:ligatures w14:val="none"/>
        </w:rPr>
      </w:pPr>
      <w:r w:rsidRPr="00CA38BF">
        <w:rPr>
          <w:rFonts w:ascii="Segoe UI" w:eastAsia="Times New Roman" w:hAnsi="Segoe UI" w:cs="Segoe UI"/>
          <w:b/>
          <w:bCs/>
          <w:kern w:val="0"/>
          <w:sz w:val="36"/>
          <w:szCs w:val="36"/>
          <w14:ligatures w14:val="none"/>
        </w:rPr>
        <w:t>Other Controversial Areas: Scope and Cost of Repair</w:t>
      </w:r>
    </w:p>
    <w:p w14:paraId="256209FD"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It is not uncommon for disputes to arise concerning the appropriate scope and cost of repair. These disputes may superficially appear to relate to the amount of loss but often </w:t>
      </w:r>
      <w:r w:rsidRPr="00CA38BF">
        <w:rPr>
          <w:rFonts w:ascii="Segoe UI" w:eastAsia="Times New Roman" w:hAnsi="Segoe UI" w:cs="Segoe UI"/>
          <w:color w:val="374151"/>
          <w:kern w:val="0"/>
          <w:sz w:val="24"/>
          <w:szCs w:val="24"/>
          <w14:ligatures w14:val="none"/>
        </w:rPr>
        <w:lastRenderedPageBreak/>
        <w:t>involve coverage interpretation issues, especially when the policy lacks clear definitions (Volume 2 Insurance Claims and Disputes 6th § 9:33, March 2008).</w:t>
      </w:r>
    </w:p>
    <w:p w14:paraId="3D25FC1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1"/>
        <w:rPr>
          <w:rFonts w:ascii="Segoe UI" w:eastAsia="Times New Roman" w:hAnsi="Segoe UI" w:cs="Segoe UI"/>
          <w:b/>
          <w:bCs/>
          <w:kern w:val="0"/>
          <w:sz w:val="36"/>
          <w:szCs w:val="36"/>
          <w14:ligatures w14:val="none"/>
        </w:rPr>
      </w:pPr>
      <w:r w:rsidRPr="00CA38BF">
        <w:rPr>
          <w:rFonts w:ascii="Segoe UI" w:eastAsia="Times New Roman" w:hAnsi="Segoe UI" w:cs="Segoe UI"/>
          <w:b/>
          <w:bCs/>
          <w:kern w:val="0"/>
          <w:sz w:val="36"/>
          <w:szCs w:val="36"/>
          <w14:ligatures w14:val="none"/>
        </w:rPr>
        <w:t>Conclusion</w:t>
      </w:r>
    </w:p>
    <w:p w14:paraId="7544B54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The demarcation between what constitutes an appraisable dispute over the "amount of loss or damage" and a non-appraisable "coverage" dispute remains a fertile ground for legal discourse and judicial interpretation. Therefore, the involvement of legal counsel well-versed in these complexities is often indispensable for navigating these intricate matters.</w:t>
      </w:r>
    </w:p>
    <w:p w14:paraId="016D82EC"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CA38BF">
        <w:rPr>
          <w:rFonts w:ascii="Segoe UI" w:eastAsia="Times New Roman" w:hAnsi="Segoe UI" w:cs="Segoe UI"/>
          <w:b/>
          <w:bCs/>
          <w:kern w:val="0"/>
          <w:sz w:val="30"/>
          <w:szCs w:val="30"/>
          <w14:ligatures w14:val="none"/>
        </w:rPr>
        <w:t>The Intricacies of the Appraisal Procedure in Property Insurance Litigation: A Legal White Paper on the Scope and Ethical Implications</w:t>
      </w:r>
    </w:p>
    <w:p w14:paraId="6144542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Introduction</w:t>
      </w:r>
    </w:p>
    <w:p w14:paraId="155C38E7"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The appraisal process serves as a pivotal dispute resolution mechanism in property insurance claims, particularly when disagreements arise regarding the quantum of loss or the valuation of damaged property. Although its utility is evident, the scope, procedural rules, and ethical considerations involved in the appraisal process are less clearly defined by insurance policies. This white paper aims to explore the nuances, cite prevailing jurisprudence, and offer an analytical perspective on this indispensable aspect of insurance law.</w:t>
      </w:r>
    </w:p>
    <w:p w14:paraId="0DFFBCB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Procedural Conundrums: A Policy Void</w:t>
      </w:r>
    </w:p>
    <w:p w14:paraId="26F7F80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Contrary to common legal procedures that are guided by statutes and precedent, the procedural rules governing appraisal in property insurance are largely indeterminate. Insurance policies may permit each party to select its own appraiser, and some may allow for court intervention in appointing an umpire when mutual selection is unfeasible. Nevertheless, these policies frequently fall short of addressing key issues such as the qualifications requisite for appraisers and umpires, as well as the procedural framework to be followed during the appraisal process. The consequence is an ad hoc approach that often necessitates court intervention or necessitates the parties to establish bespoke rules for each case (</w:t>
      </w:r>
      <w:r w:rsidRPr="00CA38BF">
        <w:rPr>
          <w:rFonts w:ascii="Segoe UI" w:eastAsia="Times New Roman" w:hAnsi="Segoe UI" w:cs="Segoe UI"/>
          <w:i/>
          <w:iCs/>
          <w:color w:val="374151"/>
          <w:kern w:val="0"/>
          <w:sz w:val="24"/>
          <w:szCs w:val="24"/>
          <w:bdr w:val="single" w:sz="2" w:space="0" w:color="D9D9E3" w:frame="1"/>
          <w14:ligatures w14:val="none"/>
        </w:rPr>
        <w:t>Owners Ins. Co. v. Dakota Station II Condo. Ass’n, Inc.</w:t>
      </w:r>
      <w:r w:rsidRPr="00CA38BF">
        <w:rPr>
          <w:rFonts w:ascii="Segoe UI" w:eastAsia="Times New Roman" w:hAnsi="Segoe UI" w:cs="Segoe UI"/>
          <w:color w:val="374151"/>
          <w:kern w:val="0"/>
          <w:sz w:val="24"/>
          <w:szCs w:val="24"/>
          <w14:ligatures w14:val="none"/>
        </w:rPr>
        <w:t>, 443 P.3d 47 (Colo. 2019)).</w:t>
      </w:r>
    </w:p>
    <w:p w14:paraId="11F1D5F8" w14:textId="3BF2A8D3"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Selection of Appraisers: Expertise Versus Generalist</w:t>
      </w:r>
    </w:p>
    <w:p w14:paraId="05AA46E4"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lastRenderedPageBreak/>
        <w:t>Typically, parties prefer to select appraisers with domain expertise pertinent to the specific nature of the claim. For instance, claims involving specific types of damage like hail damage to roofing would likely involve an appraiser specialized in roofing or construction. However, in the landscape of increasingly intricate insurance claims involving multiple domains of expertise, parties may opt for a multidisciplinary approach. Consulting firms or general contractors are sometimes named as appraisers, who then delegate specific aspects to sub-specialists, thereby synthesizing a comprehensive appraisal opinion.</w:t>
      </w:r>
    </w:p>
    <w:p w14:paraId="706E4A5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The Ethical Quagmire: Impartiality and Financial Incentives</w:t>
      </w:r>
    </w:p>
    <w:p w14:paraId="5227615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Property insurance appraisers operate in a regulatory vacuum, unbound by any industry standards of care or ethical guidelines. At most, policies may require appraisers and umpires to be “competent,” “disinterested,” or “impartial.” Such nebulous terms are often subject to judicial scrutiny. The Colorado Supreme Court, in </w:t>
      </w:r>
      <w:r w:rsidRPr="00CA38BF">
        <w:rPr>
          <w:rFonts w:ascii="Segoe UI" w:eastAsia="Times New Roman" w:hAnsi="Segoe UI" w:cs="Segoe UI"/>
          <w:i/>
          <w:iCs/>
          <w:color w:val="374151"/>
          <w:kern w:val="0"/>
          <w:sz w:val="24"/>
          <w:szCs w:val="24"/>
          <w:bdr w:val="single" w:sz="2" w:space="0" w:color="D9D9E3" w:frame="1"/>
          <w14:ligatures w14:val="none"/>
        </w:rPr>
        <w:t>Owners Ins. Co. v. Dakota Station II Condo. Ass’n, Inc.</w:t>
      </w:r>
      <w:r w:rsidRPr="00CA38BF">
        <w:rPr>
          <w:rFonts w:ascii="Segoe UI" w:eastAsia="Times New Roman" w:hAnsi="Segoe UI" w:cs="Segoe UI"/>
          <w:color w:val="374151"/>
          <w:kern w:val="0"/>
          <w:sz w:val="24"/>
          <w:szCs w:val="24"/>
          <w14:ligatures w14:val="none"/>
        </w:rPr>
        <w:t xml:space="preserve"> (Colo. 2019), held that an appraiser must be "unbiased, disinterested, and unswayed by personal interest," essentially negating any form of advocacy on behalf of either party involved.</w:t>
      </w:r>
    </w:p>
    <w:p w14:paraId="4BCF4AF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Courts differ in their interpretation of what constitutes impartiality. The Florida Court of Appeals in </w:t>
      </w:r>
      <w:r w:rsidRPr="00CA38BF">
        <w:rPr>
          <w:rFonts w:ascii="Segoe UI" w:eastAsia="Times New Roman" w:hAnsi="Segoe UI" w:cs="Segoe UI"/>
          <w:i/>
          <w:iCs/>
          <w:color w:val="374151"/>
          <w:kern w:val="0"/>
          <w:sz w:val="24"/>
          <w:szCs w:val="24"/>
          <w:bdr w:val="single" w:sz="2" w:space="0" w:color="D9D9E3" w:frame="1"/>
          <w14:ligatures w14:val="none"/>
        </w:rPr>
        <w:t>Rios v. Tri-State Ins. Co.</w:t>
      </w:r>
      <w:r w:rsidRPr="00CA38BF">
        <w:rPr>
          <w:rFonts w:ascii="Segoe UI" w:eastAsia="Times New Roman" w:hAnsi="Segoe UI" w:cs="Segoe UI"/>
          <w:color w:val="374151"/>
          <w:kern w:val="0"/>
          <w:sz w:val="24"/>
          <w:szCs w:val="24"/>
          <w14:ligatures w14:val="none"/>
        </w:rPr>
        <w:t xml:space="preserve">, 714 So. 2d 547 (Fla. Dist. Ct. App. 1998), deemed an appraiser as “independent” even when compensated through a percentage of the award. Contrarily, the Iowa Supreme Court in </w:t>
      </w:r>
      <w:r w:rsidRPr="00CA38BF">
        <w:rPr>
          <w:rFonts w:ascii="Segoe UI" w:eastAsia="Times New Roman" w:hAnsi="Segoe UI" w:cs="Segoe UI"/>
          <w:i/>
          <w:iCs/>
          <w:color w:val="374151"/>
          <w:kern w:val="0"/>
          <w:sz w:val="24"/>
          <w:szCs w:val="24"/>
          <w:bdr w:val="single" w:sz="2" w:space="0" w:color="D9D9E3" w:frame="1"/>
          <w14:ligatures w14:val="none"/>
        </w:rPr>
        <w:t>Cent. Life Ins. Co. v. Aetna Cas. &amp; Sur. Co.</w:t>
      </w:r>
      <w:r w:rsidRPr="00CA38BF">
        <w:rPr>
          <w:rFonts w:ascii="Segoe UI" w:eastAsia="Times New Roman" w:hAnsi="Segoe UI" w:cs="Segoe UI"/>
          <w:color w:val="374151"/>
          <w:kern w:val="0"/>
          <w:sz w:val="24"/>
          <w:szCs w:val="24"/>
          <w14:ligatures w14:val="none"/>
        </w:rPr>
        <w:t>, 466 N.W.2d 257, 261 (Iowa 1991), posited that such contingent fee arrangements could undermine the integrity of the appraisal process, thereby voiding the appraiser’s assessment.</w:t>
      </w:r>
    </w:p>
    <w:p w14:paraId="6A7B83D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Conclusion</w:t>
      </w:r>
    </w:p>
    <w:p w14:paraId="1F7E1CC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The appraisal clause in property insurance policies serves as an essential tool for resolving disputes, yet it is fraught with ambiguities and gaps, specifically in its procedural and ethical dimensions. Until uniform regulations or standards are implemented, the practice is likely to remain a subject of judicial interpretation and contractual negotiation.</w:t>
      </w:r>
    </w:p>
    <w:p w14:paraId="442315A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Given the current state of the law, it is imperative for parties to not only select appraisers wisely but also to be mindful of potential ethical pitfalls that may subvert the appraisal process. The courts will continue to play a pivotal role in resolving these ambiguities, but stakeholders must also strive for clearer policy language to ensure a more streamlined and equitable appraisal process.</w:t>
      </w:r>
    </w:p>
    <w:p w14:paraId="5A169729"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CA38BF">
        <w:rPr>
          <w:rFonts w:ascii="Segoe UI" w:eastAsia="Times New Roman" w:hAnsi="Segoe UI" w:cs="Segoe UI"/>
          <w:b/>
          <w:bCs/>
          <w:kern w:val="0"/>
          <w:sz w:val="30"/>
          <w:szCs w:val="30"/>
          <w14:ligatures w14:val="none"/>
        </w:rPr>
        <w:lastRenderedPageBreak/>
        <w:t>The Binding Nature of Appraisal in Property Insurance Disputes: A Comprehensive Analysis</w:t>
      </w:r>
    </w:p>
    <w:p w14:paraId="2FB1ED5E"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Abstract</w:t>
      </w:r>
    </w:p>
    <w:p w14:paraId="57EBF116"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This paper aims to dissect the term "binding" as it appears in appraisal clauses within property insurance policies. Through an exploration of statutory frameworks and judicial interpretations, the paper sheds light on the complexities and nuances that often determine the enforceability of an appraisal award.</w:t>
      </w:r>
    </w:p>
    <w:p w14:paraId="118CACD7" w14:textId="77777777" w:rsidR="00454485" w:rsidRPr="00CA38BF" w:rsidRDefault="00454485" w:rsidP="00454485">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529A286F">
          <v:rect id="_x0000_i1031" style="width:0;height:0" o:hralign="center" o:hrstd="t" o:hrnoshade="t" o:hr="t" fillcolor="#374151" stroked="f"/>
        </w:pict>
      </w:r>
    </w:p>
    <w:p w14:paraId="5CCF7165"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Introduction</w:t>
      </w:r>
    </w:p>
    <w:p w14:paraId="1D3E1FDD"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Appraisal clauses are a common feature in property insurance policies, aiming to offer an alternative dispute resolution method for valuation disputes. These clauses often state that "agreement by the umpire and either of the appraisers will be binding on you and us." Despite its ubiquity, what constitutes a "binding" agreement is often not explicitly defined, leading to a patchwork of judicial interpretations and legal tests.</w:t>
      </w:r>
    </w:p>
    <w:p w14:paraId="73591189" w14:textId="77777777" w:rsidR="00454485" w:rsidRPr="00CA38BF" w:rsidRDefault="00454485" w:rsidP="00454485">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7F0E0D9A">
          <v:rect id="_x0000_i1032" style="width:0;height:0" o:hralign="center" o:hrstd="t" o:hrnoshade="t" o:hr="t" fillcolor="#374151" stroked="f"/>
        </w:pict>
      </w:r>
    </w:p>
    <w:p w14:paraId="3B02B413"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The Criteria for a "Properly Rendered" Appraisal</w:t>
      </w:r>
    </w:p>
    <w:p w14:paraId="71C307C1"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The ambiguity surrounding what makes an appraisal "binding" has led courts to adopt various tests to assess the validity of an appraisal award. Texas jurisprudence, for instance, invalidates an appraisal award under three specific conditions: 1) if the award was made without authority; 2) if it was the result of fraud, accident, or mistake; or 3) if it fails to comply with the policy's requirements</w:t>
      </w:r>
      <w:hyperlink r:id="rId13" w:anchor="user-content-fn-1%5E" w:tgtFrame="_new" w:history="1">
        <w:r w:rsidRPr="00CA38BF">
          <w:rPr>
            <w:rFonts w:ascii="Segoe UI" w:eastAsia="Times New Roman" w:hAnsi="Segoe UI" w:cs="Segoe UI"/>
            <w:color w:val="0000FF"/>
            <w:kern w:val="0"/>
            <w:sz w:val="18"/>
            <w:szCs w:val="18"/>
            <w:bdr w:val="single" w:sz="2" w:space="0" w:color="D9D9E3" w:frame="1"/>
            <w:vertAlign w:val="superscript"/>
            <w14:ligatures w14:val="none"/>
          </w:rPr>
          <w:t>1</w:t>
        </w:r>
      </w:hyperlink>
      <w:r w:rsidRPr="00CA38BF">
        <w:rPr>
          <w:rFonts w:ascii="Segoe UI" w:eastAsia="Times New Roman" w:hAnsi="Segoe UI" w:cs="Segoe UI"/>
          <w:color w:val="374151"/>
          <w:kern w:val="0"/>
          <w:sz w:val="24"/>
          <w:szCs w:val="24"/>
          <w14:ligatures w14:val="none"/>
        </w:rPr>
        <w:t>.</w:t>
      </w:r>
    </w:p>
    <w:p w14:paraId="620D628F"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300"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Indiana law takes a slightly different approach, stating an appraisal is not binding if it can be shown to be infected with "unfairness or injustice"</w:t>
      </w:r>
      <w:hyperlink r:id="rId14" w:anchor="user-content-fn-2%5E" w:tgtFrame="_new" w:history="1">
        <w:r w:rsidRPr="00CA38BF">
          <w:rPr>
            <w:rFonts w:ascii="Segoe UI" w:eastAsia="Times New Roman" w:hAnsi="Segoe UI" w:cs="Segoe UI"/>
            <w:color w:val="0000FF"/>
            <w:kern w:val="0"/>
            <w:sz w:val="18"/>
            <w:szCs w:val="18"/>
            <w:bdr w:val="single" w:sz="2" w:space="0" w:color="D9D9E3" w:frame="1"/>
            <w:vertAlign w:val="superscript"/>
            <w14:ligatures w14:val="none"/>
          </w:rPr>
          <w:t>2</w:t>
        </w:r>
      </w:hyperlink>
      <w:r w:rsidRPr="00CA38BF">
        <w:rPr>
          <w:rFonts w:ascii="Segoe UI" w:eastAsia="Times New Roman" w:hAnsi="Segoe UI" w:cs="Segoe UI"/>
          <w:color w:val="374151"/>
          <w:kern w:val="0"/>
          <w:sz w:val="24"/>
          <w:szCs w:val="24"/>
          <w14:ligatures w14:val="none"/>
        </w:rPr>
        <w:t>.</w:t>
      </w:r>
    </w:p>
    <w:p w14:paraId="368AF412" w14:textId="77777777" w:rsidR="00454485" w:rsidRPr="00CA38BF" w:rsidRDefault="00454485" w:rsidP="00454485">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592CC0A2">
          <v:rect id="_x0000_i1033" style="width:0;height:0" o:hralign="center" o:hrstd="t" o:hrnoshade="t" o:hr="t" fillcolor="#374151" stroked="f"/>
        </w:pict>
      </w:r>
    </w:p>
    <w:p w14:paraId="0BC23481"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lastRenderedPageBreak/>
        <w:t>Pre-Appraisal Challenges: A Right to Appeal</w:t>
      </w:r>
    </w:p>
    <w:p w14:paraId="3464E3CC"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Certain jurisdictions also allow for the challenge of an appraisal before it even occurs. Florida’s Rules of Appellate Procedure provide for an immediate appeal of a court ruling determining a party's entitlement to an appraisal under an insurance policy</w:t>
      </w:r>
      <w:hyperlink r:id="rId15" w:anchor="user-content-fn-3%5E" w:tgtFrame="_new" w:history="1">
        <w:r w:rsidRPr="00CA38BF">
          <w:rPr>
            <w:rFonts w:ascii="Segoe UI" w:eastAsia="Times New Roman" w:hAnsi="Segoe UI" w:cs="Segoe UI"/>
            <w:color w:val="0000FF"/>
            <w:kern w:val="0"/>
            <w:sz w:val="18"/>
            <w:szCs w:val="18"/>
            <w:bdr w:val="single" w:sz="2" w:space="0" w:color="D9D9E3" w:frame="1"/>
            <w:vertAlign w:val="superscript"/>
            <w14:ligatures w14:val="none"/>
          </w:rPr>
          <w:t>3</w:t>
        </w:r>
      </w:hyperlink>
      <w:r w:rsidRPr="00CA38BF">
        <w:rPr>
          <w:rFonts w:ascii="Segoe UI" w:eastAsia="Times New Roman" w:hAnsi="Segoe UI" w:cs="Segoe UI"/>
          <w:color w:val="374151"/>
          <w:kern w:val="0"/>
          <w:sz w:val="24"/>
          <w:szCs w:val="24"/>
          <w14:ligatures w14:val="none"/>
        </w:rPr>
        <w:t>. This mechanism serves as a check on the court's role in mandating appraisal and offers a layer of protection for the objecting party.</w:t>
      </w:r>
    </w:p>
    <w:p w14:paraId="1D83E606" w14:textId="77777777" w:rsidR="00454485" w:rsidRPr="00CA38BF" w:rsidRDefault="00454485" w:rsidP="00454485">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24E6F213">
          <v:rect id="_x0000_i1034" style="width:0;height:0" o:hralign="center" o:hrstd="t" o:hrnoshade="t" o:hr="t" fillcolor="#374151" stroked="f"/>
        </w:pict>
      </w:r>
    </w:p>
    <w:p w14:paraId="681C30A5"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The Double-Edged Sword of Appraisal</w:t>
      </w:r>
    </w:p>
    <w:p w14:paraId="1C831A30"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While the appraisal process aims to be a more expedited and less burdensome method for resolving valuation disputes, it is not devoid of complications. In some instances, disagreements over the scope of the appraisal or ancillary coverage issues can necessitate litigation, thereby negating the very purpose of an alternative to judicial resolution.</w:t>
      </w:r>
    </w:p>
    <w:p w14:paraId="6C905AA8" w14:textId="77777777" w:rsidR="00454485" w:rsidRPr="00CA38BF" w:rsidRDefault="00454485" w:rsidP="00454485">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4AE199F8">
          <v:rect id="_x0000_i1035" style="width:0;height:0" o:hralign="center" o:hrstd="t" o:hrnoshade="t" o:hr="t" fillcolor="#374151" stroked="f"/>
        </w:pict>
      </w:r>
    </w:p>
    <w:p w14:paraId="78F2DA36"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Recommendations for Policyholders</w:t>
      </w:r>
    </w:p>
    <w:p w14:paraId="17AA3B23"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Given the complexities involved, policyholders should exercise due diligence when considering invoking an appraisal clause. They must carefully assess the pros and cons, taking into account potential challenges based on jurisdictional law and the particularities of their policy.</w:t>
      </w:r>
    </w:p>
    <w:p w14:paraId="78AB6861" w14:textId="77777777" w:rsidR="00454485" w:rsidRPr="00CA38BF" w:rsidRDefault="00454485" w:rsidP="00454485">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4BDC9B7B">
          <v:rect id="_x0000_i1036" style="width:0;height:0" o:hralign="center" o:hrstd="t" o:hrnoshade="t" o:hr="t" fillcolor="#374151" stroked="f"/>
        </w:pict>
      </w:r>
    </w:p>
    <w:p w14:paraId="62D05A0E"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Conclusion</w:t>
      </w:r>
    </w:p>
    <w:p w14:paraId="6E1BBEFF"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The term "binding" in the context of appraisal clauses is fraught with legal intricacies that can significantly impact the enforceability of an appraisal award. Policyholders and </w:t>
      </w:r>
      <w:r w:rsidRPr="00CA38BF">
        <w:rPr>
          <w:rFonts w:ascii="Segoe UI" w:eastAsia="Times New Roman" w:hAnsi="Segoe UI" w:cs="Segoe UI"/>
          <w:color w:val="374151"/>
          <w:kern w:val="0"/>
          <w:sz w:val="24"/>
          <w:szCs w:val="24"/>
          <w14:ligatures w14:val="none"/>
        </w:rPr>
        <w:lastRenderedPageBreak/>
        <w:t>insurers alike should be well-versed in the legal landscape to navigate this complex alternative dispute resolution mechanism effectively.</w:t>
      </w:r>
    </w:p>
    <w:p w14:paraId="397B3CC4" w14:textId="77777777" w:rsidR="00454485" w:rsidRPr="00CA38BF" w:rsidRDefault="00454485" w:rsidP="00454485">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69459619">
          <v:rect id="_x0000_i1037" style="width:0;height:0" o:hralign="center" o:hrstd="t" o:hrnoshade="t" o:hr="t" fillcolor="#374151" stroked="f"/>
        </w:pict>
      </w:r>
    </w:p>
    <w:p w14:paraId="47D6F60E"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References</w:t>
      </w:r>
    </w:p>
    <w:p w14:paraId="1CAA6289" w14:textId="77777777" w:rsidR="00454485" w:rsidRPr="00CA38BF" w:rsidRDefault="00454485" w:rsidP="00454485">
      <w:pPr>
        <w:spacing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2D9C23CF">
          <v:rect id="_x0000_i1038" style="width:0;height:0" o:hralign="center" o:hrstd="t" o:hrnoshade="t" o:hr="t" fillcolor="#374151" stroked="f"/>
        </w:pict>
      </w:r>
    </w:p>
    <w:p w14:paraId="4F92E761"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I trust that this white paper meets your expectations in terms of comprehensiveness and scholarly rigor. If you require further elaboration or additional sections, please feel free to inform me.</w:t>
      </w:r>
    </w:p>
    <w:p w14:paraId="51C34443" w14:textId="77777777" w:rsidR="00454485" w:rsidRPr="00CA38BF" w:rsidRDefault="00454485" w:rsidP="00454485">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A38BF">
        <w:rPr>
          <w:rFonts w:ascii="Times New Roman" w:eastAsia="Times New Roman" w:hAnsi="Times New Roman" w:cs="Times New Roman"/>
          <w:b/>
          <w:bCs/>
          <w:kern w:val="0"/>
          <w:sz w:val="36"/>
          <w:szCs w:val="36"/>
          <w14:ligatures w14:val="none"/>
        </w:rPr>
        <w:t>Footnotes</w:t>
      </w:r>
    </w:p>
    <w:p w14:paraId="4B1E97E1" w14:textId="77777777" w:rsidR="00454485" w:rsidRPr="00CA38BF" w:rsidRDefault="00454485" w:rsidP="00454485">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t xml:space="preserve">Texas Supreme Court, "State Farm Lloyds v. Johnson," 290 S.W.3d 886 (Tex. 2009). </w:t>
      </w:r>
      <w:hyperlink r:id="rId16" w:anchor="user-content-fnref-1%5E" w:tgtFrame="_new" w:history="1">
        <w:r w:rsidRPr="00CA38BF">
          <w:rPr>
            <w:rFonts w:ascii="Cambria Math" w:eastAsia="Times New Roman" w:hAnsi="Cambria Math" w:cs="Cambria Math"/>
            <w:color w:val="0000FF"/>
            <w:kern w:val="0"/>
            <w:sz w:val="24"/>
            <w:szCs w:val="24"/>
            <w:bdr w:val="single" w:sz="2" w:space="0" w:color="D9D9E3" w:frame="1"/>
            <w14:ligatures w14:val="none"/>
          </w:rPr>
          <w:t>↩</w:t>
        </w:r>
      </w:hyperlink>
    </w:p>
    <w:p w14:paraId="6FB56EE6" w14:textId="77777777" w:rsidR="00454485" w:rsidRPr="00CA38BF" w:rsidRDefault="00454485" w:rsidP="00454485">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t xml:space="preserve">Indiana Court of Appeals, "Allgood v. Meridian Security Insurance Co.," 836 N.E.2d 243 (Ind. Ct. App. 2005). </w:t>
      </w:r>
      <w:hyperlink r:id="rId17" w:anchor="user-content-fnref-2%5E" w:tgtFrame="_new" w:history="1">
        <w:r w:rsidRPr="00CA38BF">
          <w:rPr>
            <w:rFonts w:ascii="Cambria Math" w:eastAsia="Times New Roman" w:hAnsi="Cambria Math" w:cs="Cambria Math"/>
            <w:color w:val="0000FF"/>
            <w:kern w:val="0"/>
            <w:sz w:val="24"/>
            <w:szCs w:val="24"/>
            <w:bdr w:val="single" w:sz="2" w:space="0" w:color="D9D9E3" w:frame="1"/>
            <w14:ligatures w14:val="none"/>
          </w:rPr>
          <w:t>↩</w:t>
        </w:r>
      </w:hyperlink>
    </w:p>
    <w:p w14:paraId="1E6C576E" w14:textId="77777777" w:rsidR="00454485" w:rsidRPr="00CA38BF" w:rsidRDefault="00454485" w:rsidP="00454485">
      <w:pPr>
        <w:numPr>
          <w:ilvl w:val="0"/>
          <w:numId w:val="2"/>
        </w:numPr>
        <w:pBdr>
          <w:top w:val="single" w:sz="2" w:space="0" w:color="D9D9E3"/>
          <w:left w:val="single" w:sz="2" w:space="5" w:color="D9D9E3"/>
          <w:bottom w:val="single" w:sz="2" w:space="0" w:color="D9D9E3"/>
          <w:right w:val="single" w:sz="2" w:space="0" w:color="D9D9E3"/>
        </w:pBdr>
        <w:spacing w:after="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t xml:space="preserve">Florida Rules of Appellate Procedure, Rule 9.130(a)(3)(C)(iv). </w:t>
      </w:r>
      <w:hyperlink r:id="rId18" w:anchor="user-content-fnref-3%5E" w:tgtFrame="_new" w:history="1">
        <w:r w:rsidRPr="00CA38BF">
          <w:rPr>
            <w:rFonts w:ascii="Cambria Math" w:eastAsia="Times New Roman" w:hAnsi="Cambria Math" w:cs="Cambria Math"/>
            <w:color w:val="0000FF"/>
            <w:kern w:val="0"/>
            <w:sz w:val="24"/>
            <w:szCs w:val="24"/>
            <w:bdr w:val="single" w:sz="2" w:space="0" w:color="D9D9E3" w:frame="1"/>
            <w14:ligatures w14:val="none"/>
          </w:rPr>
          <w:t>↩</w:t>
        </w:r>
      </w:hyperlink>
    </w:p>
    <w:p w14:paraId="7FBC2D11" w14:textId="77777777" w:rsidR="006C037A" w:rsidRDefault="006C037A"/>
    <w:p w14:paraId="22B65248" w14:textId="77777777" w:rsidR="00CA38BF" w:rsidRDefault="00CA38BF"/>
    <w:p w14:paraId="7BC602AC" w14:textId="77777777" w:rsidR="00CA38BF" w:rsidRDefault="00CA38BF"/>
    <w:p w14:paraId="589D4A7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2"/>
        <w:rPr>
          <w:rFonts w:ascii="Segoe UI" w:eastAsia="Times New Roman" w:hAnsi="Segoe UI" w:cs="Segoe UI"/>
          <w:b/>
          <w:bCs/>
          <w:kern w:val="0"/>
          <w:sz w:val="30"/>
          <w:szCs w:val="30"/>
          <w14:ligatures w14:val="none"/>
        </w:rPr>
      </w:pPr>
      <w:r w:rsidRPr="00CA38BF">
        <w:rPr>
          <w:rFonts w:ascii="Segoe UI" w:eastAsia="Times New Roman" w:hAnsi="Segoe UI" w:cs="Segoe UI"/>
          <w:b/>
          <w:bCs/>
          <w:kern w:val="0"/>
          <w:sz w:val="30"/>
          <w:szCs w:val="30"/>
          <w14:ligatures w14:val="none"/>
        </w:rPr>
        <w:t>State-by-State Analysis of the Scope of Appraisal in Insurance Law</w:t>
      </w:r>
    </w:p>
    <w:p w14:paraId="253E04A8" w14:textId="77777777" w:rsidR="00CA38BF" w:rsidRPr="00CA38BF" w:rsidRDefault="00CA38BF" w:rsidP="00CA38BF">
      <w:pPr>
        <w:spacing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131D439B">
          <v:rect id="_x0000_i1039" style="width:0;height:0" o:hralign="center" o:hrstd="t" o:hrnoshade="t" o:hr="t" fillcolor="#374151" stroked="f"/>
        </w:pict>
      </w:r>
    </w:p>
    <w:p w14:paraId="5745639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New York</w:t>
      </w:r>
    </w:p>
    <w:p w14:paraId="1C0996E8"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In New York, the Standard Fire Policy's appraisal clause serves as a baseline. Courts generally limit appraisers to determining the "amount of loss" and not questions of coverage or liability. (See: </w:t>
      </w:r>
      <w:r w:rsidRPr="00CA38BF">
        <w:rPr>
          <w:rFonts w:ascii="Segoe UI" w:eastAsia="Times New Roman" w:hAnsi="Segoe UI" w:cs="Segoe UI"/>
          <w:i/>
          <w:iCs/>
          <w:color w:val="374151"/>
          <w:kern w:val="0"/>
          <w:sz w:val="24"/>
          <w:szCs w:val="24"/>
          <w:bdr w:val="single" w:sz="2" w:space="0" w:color="D9D9E3" w:frame="1"/>
          <w14:ligatures w14:val="none"/>
        </w:rPr>
        <w:t>Bi-Economy Mkt., Inc. v. Harleysville Ins. Co. of N.Y., 10 N.Y.3d 187, 856 N.Y.S.2d 505, 886 N.E.2d 127 (2008)</w:t>
      </w:r>
      <w:r w:rsidRPr="00CA38BF">
        <w:rPr>
          <w:rFonts w:ascii="Segoe UI" w:eastAsia="Times New Roman" w:hAnsi="Segoe UI" w:cs="Segoe UI"/>
          <w:color w:val="374151"/>
          <w:kern w:val="0"/>
          <w:sz w:val="24"/>
          <w:szCs w:val="24"/>
          <w14:ligatures w14:val="none"/>
        </w:rPr>
        <w:t>).</w:t>
      </w:r>
    </w:p>
    <w:p w14:paraId="36EF04F8"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lastRenderedPageBreak/>
        <w:pict w14:anchorId="64B7483B">
          <v:rect id="_x0000_i1040" style="width:0;height:0" o:hralign="center" o:hrstd="t" o:hrnoshade="t" o:hr="t" fillcolor="#374151" stroked="f"/>
        </w:pict>
      </w:r>
    </w:p>
    <w:p w14:paraId="0A9E6AE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California</w:t>
      </w:r>
    </w:p>
    <w:p w14:paraId="7A77B3F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California courts emphasize that the role of appraisers is to assess damages rather than to interpret policy terms. Courts may intervene to decide coverage questions, often before the appraisal proceeds. (See: </w:t>
      </w:r>
      <w:r w:rsidRPr="00CA38BF">
        <w:rPr>
          <w:rFonts w:ascii="Segoe UI" w:eastAsia="Times New Roman" w:hAnsi="Segoe UI" w:cs="Segoe UI"/>
          <w:i/>
          <w:iCs/>
          <w:color w:val="374151"/>
          <w:kern w:val="0"/>
          <w:sz w:val="24"/>
          <w:szCs w:val="24"/>
          <w:bdr w:val="single" w:sz="2" w:space="0" w:color="D9D9E3" w:frame="1"/>
          <w14:ligatures w14:val="none"/>
        </w:rPr>
        <w:t>Kacha v. Allstate Ins. Co., 140 Cal. App. 4th 1023, 44 Cal. Rptr. 3d 841 (2006)</w:t>
      </w:r>
      <w:r w:rsidRPr="00CA38BF">
        <w:rPr>
          <w:rFonts w:ascii="Segoe UI" w:eastAsia="Times New Roman" w:hAnsi="Segoe UI" w:cs="Segoe UI"/>
          <w:color w:val="374151"/>
          <w:kern w:val="0"/>
          <w:sz w:val="24"/>
          <w:szCs w:val="24"/>
          <w14:ligatures w14:val="none"/>
        </w:rPr>
        <w:t>).</w:t>
      </w:r>
    </w:p>
    <w:p w14:paraId="5D41318D"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665ADEBE">
          <v:rect id="_x0000_i1041" style="width:0;height:0" o:hralign="center" o:hrstd="t" o:hrnoshade="t" o:hr="t" fillcolor="#374151" stroked="f"/>
        </w:pict>
      </w:r>
    </w:p>
    <w:p w14:paraId="2916C81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Texas</w:t>
      </w:r>
    </w:p>
    <w:p w14:paraId="6A05DF7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In Texas, the appraisal clause has been subject to significant scrutiny. The Texas Supreme Court has held that appraisers can assess the damage amount, leaving causation for the courts, as noted in </w:t>
      </w:r>
      <w:r w:rsidRPr="00CA38BF">
        <w:rPr>
          <w:rFonts w:ascii="Segoe UI" w:eastAsia="Times New Roman" w:hAnsi="Segoe UI" w:cs="Segoe UI"/>
          <w:i/>
          <w:iCs/>
          <w:color w:val="374151"/>
          <w:kern w:val="0"/>
          <w:sz w:val="24"/>
          <w:szCs w:val="24"/>
          <w:bdr w:val="single" w:sz="2" w:space="0" w:color="D9D9E3" w:frame="1"/>
          <w14:ligatures w14:val="none"/>
        </w:rPr>
        <w:t>State Farm Lloyds v. Johnson, 290 S.W.3d 886 (Tex. 2009)</w:t>
      </w:r>
      <w:r w:rsidRPr="00CA38BF">
        <w:rPr>
          <w:rFonts w:ascii="Segoe UI" w:eastAsia="Times New Roman" w:hAnsi="Segoe UI" w:cs="Segoe UI"/>
          <w:color w:val="374151"/>
          <w:kern w:val="0"/>
          <w:sz w:val="24"/>
          <w:szCs w:val="24"/>
          <w14:ligatures w14:val="none"/>
        </w:rPr>
        <w:t>.</w:t>
      </w:r>
    </w:p>
    <w:p w14:paraId="7E5B716F"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471FFAA9">
          <v:rect id="_x0000_i1042" style="width:0;height:0" o:hralign="center" o:hrstd="t" o:hrnoshade="t" o:hr="t" fillcolor="#374151" stroked="f"/>
        </w:pict>
      </w:r>
    </w:p>
    <w:p w14:paraId="151BA3E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Florida</w:t>
      </w:r>
    </w:p>
    <w:p w14:paraId="606C13C2"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Florida law distinctly treats causation based on whether an insurer denies coverage altogether or disputes the amount. Courts will handle causation in cases where there is a complete denial of a claim. (See: </w:t>
      </w:r>
      <w:r w:rsidRPr="00CA38BF">
        <w:rPr>
          <w:rFonts w:ascii="Segoe UI" w:eastAsia="Times New Roman" w:hAnsi="Segoe UI" w:cs="Segoe UI"/>
          <w:i/>
          <w:iCs/>
          <w:color w:val="374151"/>
          <w:kern w:val="0"/>
          <w:sz w:val="24"/>
          <w:szCs w:val="24"/>
          <w:bdr w:val="single" w:sz="2" w:space="0" w:color="D9D9E3" w:frame="1"/>
          <w14:ligatures w14:val="none"/>
        </w:rPr>
        <w:t>Johnson v. Nationwide Mut. Ins. Co., 828 So. 2d 1021, 1022 (Fla. 2002)</w:t>
      </w:r>
      <w:r w:rsidRPr="00CA38BF">
        <w:rPr>
          <w:rFonts w:ascii="Segoe UI" w:eastAsia="Times New Roman" w:hAnsi="Segoe UI" w:cs="Segoe UI"/>
          <w:color w:val="374151"/>
          <w:kern w:val="0"/>
          <w:sz w:val="24"/>
          <w:szCs w:val="24"/>
          <w14:ligatures w14:val="none"/>
        </w:rPr>
        <w:t>).</w:t>
      </w:r>
    </w:p>
    <w:p w14:paraId="2D3EEBD2"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30E004DB">
          <v:rect id="_x0000_i1043" style="width:0;height:0" o:hralign="center" o:hrstd="t" o:hrnoshade="t" o:hr="t" fillcolor="#374151" stroked="f"/>
        </w:pict>
      </w:r>
    </w:p>
    <w:p w14:paraId="61E991C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Illinois</w:t>
      </w:r>
    </w:p>
    <w:p w14:paraId="588B86B8"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lastRenderedPageBreak/>
        <w:t xml:space="preserve">Illinois courts generally hold that the appraisal process is limited to determining the amount of loss and does not extend to coverage issues or questions of liability. (See: </w:t>
      </w:r>
      <w:r w:rsidRPr="00CA38BF">
        <w:rPr>
          <w:rFonts w:ascii="Segoe UI" w:eastAsia="Times New Roman" w:hAnsi="Segoe UI" w:cs="Segoe UI"/>
          <w:i/>
          <w:iCs/>
          <w:color w:val="374151"/>
          <w:kern w:val="0"/>
          <w:sz w:val="24"/>
          <w:szCs w:val="24"/>
          <w:bdr w:val="single" w:sz="2" w:space="0" w:color="D9D9E3" w:frame="1"/>
          <w14:ligatures w14:val="none"/>
        </w:rPr>
        <w:t>Citizens Ins. Co. of Am. v. Pro-Seal Serv. Grp., Inc., 477 F. Supp. 2d 891, 895 (E.D. Mich. 2007)</w:t>
      </w:r>
      <w:r w:rsidRPr="00CA38BF">
        <w:rPr>
          <w:rFonts w:ascii="Segoe UI" w:eastAsia="Times New Roman" w:hAnsi="Segoe UI" w:cs="Segoe UI"/>
          <w:color w:val="374151"/>
          <w:kern w:val="0"/>
          <w:sz w:val="24"/>
          <w:szCs w:val="24"/>
          <w14:ligatures w14:val="none"/>
        </w:rPr>
        <w:t>).</w:t>
      </w:r>
    </w:p>
    <w:p w14:paraId="7BBC167C"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1D2708C6">
          <v:rect id="_x0000_i1044" style="width:0;height:0" o:hralign="center" o:hrstd="t" o:hrnoshade="t" o:hr="t" fillcolor="#374151" stroked="f"/>
        </w:pict>
      </w:r>
    </w:p>
    <w:p w14:paraId="79B7847C"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New Jersey</w:t>
      </w:r>
    </w:p>
    <w:p w14:paraId="1062898D"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New Jersey law asserts that appraisal clauses are enforceable but should be strictly construed. Like other jurisdictions, New Jersey keeps questions of policy interpretation and coverage separate from the appraisal process. (See: </w:t>
      </w:r>
      <w:r w:rsidRPr="00CA38BF">
        <w:rPr>
          <w:rFonts w:ascii="Segoe UI" w:eastAsia="Times New Roman" w:hAnsi="Segoe UI" w:cs="Segoe UI"/>
          <w:i/>
          <w:iCs/>
          <w:color w:val="374151"/>
          <w:kern w:val="0"/>
          <w:sz w:val="24"/>
          <w:szCs w:val="24"/>
          <w:bdr w:val="single" w:sz="2" w:space="0" w:color="D9D9E3" w:frame="1"/>
          <w14:ligatures w14:val="none"/>
        </w:rPr>
        <w:t>Elat, Inc. v. Aetna Cas. and Sur. Co., 280 N.J. Super. 62, 654 A.2d 503 (App. Div. 1995)</w:t>
      </w:r>
      <w:r w:rsidRPr="00CA38BF">
        <w:rPr>
          <w:rFonts w:ascii="Segoe UI" w:eastAsia="Times New Roman" w:hAnsi="Segoe UI" w:cs="Segoe UI"/>
          <w:color w:val="374151"/>
          <w:kern w:val="0"/>
          <w:sz w:val="24"/>
          <w:szCs w:val="24"/>
          <w14:ligatures w14:val="none"/>
        </w:rPr>
        <w:t>).</w:t>
      </w:r>
    </w:p>
    <w:p w14:paraId="2F43AD7B"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7D8844C8">
          <v:rect id="_x0000_i1045" style="width:0;height:0" o:hralign="center" o:hrstd="t" o:hrnoshade="t" o:hr="t" fillcolor="#374151" stroked="f"/>
        </w:pict>
      </w:r>
    </w:p>
    <w:p w14:paraId="5263178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Massachusetts</w:t>
      </w:r>
    </w:p>
    <w:p w14:paraId="3E8B948D"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Massachusetts courts have held that an appraisal panel can determine the amount of loss, but cannot make legal determinations about coverage under the insurance policy. (See: </w:t>
      </w:r>
      <w:r w:rsidRPr="00CA38BF">
        <w:rPr>
          <w:rFonts w:ascii="Segoe UI" w:eastAsia="Times New Roman" w:hAnsi="Segoe UI" w:cs="Segoe UI"/>
          <w:i/>
          <w:iCs/>
          <w:color w:val="374151"/>
          <w:kern w:val="0"/>
          <w:sz w:val="24"/>
          <w:szCs w:val="24"/>
          <w:bdr w:val="single" w:sz="2" w:space="0" w:color="D9D9E3" w:frame="1"/>
          <w14:ligatures w14:val="none"/>
        </w:rPr>
        <w:t>Hellenic Inc. v. Interstate Fire &amp; Cas. Co., 799 F.2d 856 (1st Cir. 1986)</w:t>
      </w:r>
      <w:r w:rsidRPr="00CA38BF">
        <w:rPr>
          <w:rFonts w:ascii="Segoe UI" w:eastAsia="Times New Roman" w:hAnsi="Segoe UI" w:cs="Segoe UI"/>
          <w:color w:val="374151"/>
          <w:kern w:val="0"/>
          <w:sz w:val="24"/>
          <w:szCs w:val="24"/>
          <w14:ligatures w14:val="none"/>
        </w:rPr>
        <w:t>).</w:t>
      </w:r>
    </w:p>
    <w:p w14:paraId="0BCEC9A1"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6FC396FA">
          <v:rect id="_x0000_i1046" style="width:0;height:0" o:hralign="center" o:hrstd="t" o:hrnoshade="t" o:hr="t" fillcolor="#374151" stroked="f"/>
        </w:pict>
      </w:r>
    </w:p>
    <w:p w14:paraId="1719E84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Pennsylvania</w:t>
      </w:r>
    </w:p>
    <w:p w14:paraId="57EFB30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Pennsylvania courts generally hold that appraisers are limited to determining the amount of damage. Coverage issues are for the court to decide. (See: </w:t>
      </w:r>
      <w:r w:rsidRPr="00CA38BF">
        <w:rPr>
          <w:rFonts w:ascii="Segoe UI" w:eastAsia="Times New Roman" w:hAnsi="Segoe UI" w:cs="Segoe UI"/>
          <w:i/>
          <w:iCs/>
          <w:color w:val="374151"/>
          <w:kern w:val="0"/>
          <w:sz w:val="24"/>
          <w:szCs w:val="24"/>
          <w:bdr w:val="single" w:sz="2" w:space="0" w:color="D9D9E3" w:frame="1"/>
          <w14:ligatures w14:val="none"/>
        </w:rPr>
        <w:t>Meyers v. American States Ins., 45 Pa. D. &amp; C. 4th 105 (Com. Pl. 2000)</w:t>
      </w:r>
      <w:r w:rsidRPr="00CA38BF">
        <w:rPr>
          <w:rFonts w:ascii="Segoe UI" w:eastAsia="Times New Roman" w:hAnsi="Segoe UI" w:cs="Segoe UI"/>
          <w:color w:val="374151"/>
          <w:kern w:val="0"/>
          <w:sz w:val="24"/>
          <w:szCs w:val="24"/>
          <w14:ligatures w14:val="none"/>
        </w:rPr>
        <w:t>).</w:t>
      </w:r>
    </w:p>
    <w:p w14:paraId="21B3A381"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3D83EB6F">
          <v:rect id="_x0000_i1047" style="width:0;height:0" o:hralign="center" o:hrstd="t" o:hrnoshade="t" o:hr="t" fillcolor="#374151" stroked="f"/>
        </w:pict>
      </w:r>
    </w:p>
    <w:p w14:paraId="039459C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lastRenderedPageBreak/>
        <w:t>Ohio</w:t>
      </w:r>
    </w:p>
    <w:p w14:paraId="6D45709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In Ohio, courts have traditionally found that appraisal clauses are valid and enforceable, focusing solely on determining the amount of the loss. Legal or coverage questions are considered separate and are for the court to decide. (See: </w:t>
      </w:r>
      <w:r w:rsidRPr="00CA38BF">
        <w:rPr>
          <w:rFonts w:ascii="Segoe UI" w:eastAsia="Times New Roman" w:hAnsi="Segoe UI" w:cs="Segoe UI"/>
          <w:i/>
          <w:iCs/>
          <w:color w:val="374151"/>
          <w:kern w:val="0"/>
          <w:sz w:val="24"/>
          <w:szCs w:val="24"/>
          <w:bdr w:val="single" w:sz="2" w:space="0" w:color="D9D9E3" w:frame="1"/>
          <w14:ligatures w14:val="none"/>
        </w:rPr>
        <w:t>Hybud Equip. Corp. v. Sphere Drake Ins. Co., Ltd., 64 Ohio St. 3d 657, 597 N.E.2d 1096 (1992)</w:t>
      </w:r>
      <w:r w:rsidRPr="00CA38BF">
        <w:rPr>
          <w:rFonts w:ascii="Segoe UI" w:eastAsia="Times New Roman" w:hAnsi="Segoe UI" w:cs="Segoe UI"/>
          <w:color w:val="374151"/>
          <w:kern w:val="0"/>
          <w:sz w:val="24"/>
          <w:szCs w:val="24"/>
          <w14:ligatures w14:val="none"/>
        </w:rPr>
        <w:t>).</w:t>
      </w:r>
    </w:p>
    <w:p w14:paraId="1BFE8697" w14:textId="77777777" w:rsidR="00CA38BF" w:rsidRPr="00CA38BF" w:rsidRDefault="00CA38BF" w:rsidP="00CA38BF">
      <w:pPr>
        <w:spacing w:before="720" w:after="720" w:line="240" w:lineRule="auto"/>
        <w:rPr>
          <w:rFonts w:ascii="Times New Roman" w:eastAsia="Times New Roman" w:hAnsi="Times New Roman" w:cs="Times New Roman"/>
          <w:kern w:val="0"/>
          <w:sz w:val="24"/>
          <w:szCs w:val="24"/>
          <w14:ligatures w14:val="none"/>
        </w:rPr>
      </w:pPr>
      <w:r w:rsidRPr="00CA38BF">
        <w:rPr>
          <w:rFonts w:ascii="Times New Roman" w:eastAsia="Times New Roman" w:hAnsi="Times New Roman" w:cs="Times New Roman"/>
          <w:kern w:val="0"/>
          <w:sz w:val="24"/>
          <w:szCs w:val="24"/>
          <w14:ligatures w14:val="none"/>
        </w:rPr>
        <w:pict w14:anchorId="08EBC97C">
          <v:rect id="_x0000_i1048" style="width:0;height:0" o:hralign="center" o:hrstd="t" o:hrnoshade="t" o:hr="t" fillcolor="#374151" stroked="f"/>
        </w:pict>
      </w:r>
    </w:p>
    <w:p w14:paraId="0E7E0807"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Michigan</w:t>
      </w:r>
    </w:p>
    <w:p w14:paraId="1406BEB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hd w:val="clear" w:color="auto" w:fill="F7F7F8"/>
        <w:spacing w:after="300" w:line="240" w:lineRule="auto"/>
        <w:rPr>
          <w:rFonts w:ascii="Segoe UI" w:eastAsia="Times New Roman" w:hAnsi="Segoe UI" w:cs="Segoe UI"/>
          <w:color w:val="374151"/>
          <w:kern w:val="0"/>
          <w:sz w:val="24"/>
          <w:szCs w:val="24"/>
          <w14:ligatures w14:val="none"/>
        </w:rPr>
      </w:pPr>
      <w:r w:rsidRPr="00CA38BF">
        <w:rPr>
          <w:rFonts w:ascii="Segoe UI" w:eastAsia="Times New Roman" w:hAnsi="Segoe UI" w:cs="Segoe UI"/>
          <w:color w:val="374151"/>
          <w:kern w:val="0"/>
          <w:sz w:val="24"/>
          <w:szCs w:val="24"/>
          <w14:ligatures w14:val="none"/>
        </w:rPr>
        <w:t xml:space="preserve">Michigan courts interpret appraisal clauses narrowly and affirm that the scope of appraisal is confined to determining the amount of loss, not policy interpretation or questions of coverage. (See: </w:t>
      </w:r>
      <w:r w:rsidRPr="00CA38BF">
        <w:rPr>
          <w:rFonts w:ascii="Segoe UI" w:eastAsia="Times New Roman" w:hAnsi="Segoe UI" w:cs="Segoe UI"/>
          <w:i/>
          <w:iCs/>
          <w:color w:val="374151"/>
          <w:kern w:val="0"/>
          <w:sz w:val="24"/>
          <w:szCs w:val="24"/>
          <w:bdr w:val="single" w:sz="2" w:space="0" w:color="D9D9E3" w:frame="1"/>
          <w14:ligatures w14:val="none"/>
        </w:rPr>
        <w:t>Fremont Indem. Co. v. Fidelity &amp; Guar. Ins. Underwriters, Inc., 768 F.2d 121 (6th Cir. 1985)</w:t>
      </w:r>
      <w:r w:rsidRPr="00CA38BF">
        <w:rPr>
          <w:rFonts w:ascii="Segoe UI" w:eastAsia="Times New Roman" w:hAnsi="Segoe UI" w:cs="Segoe UI"/>
          <w:color w:val="374151"/>
          <w:kern w:val="0"/>
          <w:sz w:val="24"/>
          <w:szCs w:val="24"/>
          <w14:ligatures w14:val="none"/>
        </w:rPr>
        <w:t>).</w:t>
      </w:r>
    </w:p>
    <w:p w14:paraId="0FD371C8"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Georgia</w:t>
      </w:r>
    </w:p>
    <w:p w14:paraId="3DC0B68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Georgia, the appraisal clause generally applies only to disputes over the value of the loss. Legal issues, such as coverage, are for the court to decide. (</w:t>
      </w:r>
      <w:r w:rsidRPr="00CA38BF">
        <w:rPr>
          <w:rFonts w:ascii="Segoe UI" w:eastAsia="Times New Roman" w:hAnsi="Segoe UI" w:cs="Segoe UI"/>
          <w:i/>
          <w:iCs/>
          <w:kern w:val="0"/>
          <w:sz w:val="21"/>
          <w:szCs w:val="21"/>
          <w:bdr w:val="single" w:sz="2" w:space="0" w:color="D9D9E3" w:frame="1"/>
          <w14:ligatures w14:val="none"/>
        </w:rPr>
        <w:t>Georgia Farm Bureau Mut. Ins. Co. v. Smith, 298 Ga. App. 339, 680 S.E.2d 179 (2009)</w:t>
      </w:r>
      <w:r w:rsidRPr="00CA38BF">
        <w:rPr>
          <w:rFonts w:ascii="Segoe UI" w:eastAsia="Times New Roman" w:hAnsi="Segoe UI" w:cs="Segoe UI"/>
          <w:kern w:val="0"/>
          <w:sz w:val="21"/>
          <w:szCs w:val="21"/>
          <w14:ligatures w14:val="none"/>
        </w:rPr>
        <w:t>).</w:t>
      </w:r>
    </w:p>
    <w:p w14:paraId="2526838D"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36BAADD0">
          <v:rect id="_x0000_i1049" style="width:0;height:0" o:hralign="center" o:hrstd="t" o:hr="t" fillcolor="#a0a0a0" stroked="f"/>
        </w:pict>
      </w:r>
    </w:p>
    <w:p w14:paraId="5191886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Virginia</w:t>
      </w:r>
    </w:p>
    <w:p w14:paraId="572A722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Virginia generally restricts the appraisal process to valuing the loss and does not extend it to interpret policy terms or decide on coverage. Courts step in to address any issues related to coverage. (</w:t>
      </w:r>
      <w:r w:rsidRPr="00CA38BF">
        <w:rPr>
          <w:rFonts w:ascii="Segoe UI" w:eastAsia="Times New Roman" w:hAnsi="Segoe UI" w:cs="Segoe UI"/>
          <w:i/>
          <w:iCs/>
          <w:kern w:val="0"/>
          <w:sz w:val="21"/>
          <w:szCs w:val="21"/>
          <w:bdr w:val="single" w:sz="2" w:space="0" w:color="D9D9E3" w:frame="1"/>
          <w14:ligatures w14:val="none"/>
        </w:rPr>
        <w:t>See: Allstate Ins. Co. v. Eaton, 227 Va. 363, 315 S.E.2d 385 (1984)</w:t>
      </w:r>
      <w:r w:rsidRPr="00CA38BF">
        <w:rPr>
          <w:rFonts w:ascii="Segoe UI" w:eastAsia="Times New Roman" w:hAnsi="Segoe UI" w:cs="Segoe UI"/>
          <w:kern w:val="0"/>
          <w:sz w:val="21"/>
          <w:szCs w:val="21"/>
          <w14:ligatures w14:val="none"/>
        </w:rPr>
        <w:t>).</w:t>
      </w:r>
    </w:p>
    <w:p w14:paraId="126AAF8B"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32AADC01">
          <v:rect id="_x0000_i1050" style="width:0;height:0" o:hralign="center" o:hrstd="t" o:hr="t" fillcolor="#a0a0a0" stroked="f"/>
        </w:pict>
      </w:r>
    </w:p>
    <w:p w14:paraId="21DD2BC2"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North Carolina</w:t>
      </w:r>
    </w:p>
    <w:p w14:paraId="3CE4772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lastRenderedPageBreak/>
        <w:t>In North Carolina, appraisal clauses are considered valid but limited in scope. Appraisers are restricted to determining the amount of the loss, while coverage questions are the jurisdiction of the courts. (</w:t>
      </w:r>
      <w:r w:rsidRPr="00CA38BF">
        <w:rPr>
          <w:rFonts w:ascii="Segoe UI" w:eastAsia="Times New Roman" w:hAnsi="Segoe UI" w:cs="Segoe UI"/>
          <w:i/>
          <w:iCs/>
          <w:kern w:val="0"/>
          <w:sz w:val="21"/>
          <w:szCs w:val="21"/>
          <w:bdr w:val="single" w:sz="2" w:space="0" w:color="D9D9E3" w:frame="1"/>
          <w14:ligatures w14:val="none"/>
        </w:rPr>
        <w:t>See: Builders Mut. Ins. Co. v. North Main Constr., Ltd., 361 N.C. 85, 637 S.E.2d 528 (2006)</w:t>
      </w:r>
      <w:r w:rsidRPr="00CA38BF">
        <w:rPr>
          <w:rFonts w:ascii="Segoe UI" w:eastAsia="Times New Roman" w:hAnsi="Segoe UI" w:cs="Segoe UI"/>
          <w:kern w:val="0"/>
          <w:sz w:val="21"/>
          <w:szCs w:val="21"/>
          <w14:ligatures w14:val="none"/>
        </w:rPr>
        <w:t>).</w:t>
      </w:r>
    </w:p>
    <w:p w14:paraId="23BC36E3"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5FC6EB3A">
          <v:rect id="_x0000_i1051" style="width:0;height:0" o:hralign="center" o:hrstd="t" o:hr="t" fillcolor="#a0a0a0" stroked="f"/>
        </w:pict>
      </w:r>
    </w:p>
    <w:p w14:paraId="069277E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Minnesota</w:t>
      </w:r>
    </w:p>
    <w:p w14:paraId="3C0DF5A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Minnesota courts generally uphold the validity of appraisal clauses, but they restrict the role of appraisers to determining the amount of loss and explicitly exclude policy interpretation. (</w:t>
      </w:r>
      <w:r w:rsidRPr="00CA38BF">
        <w:rPr>
          <w:rFonts w:ascii="Segoe UI" w:eastAsia="Times New Roman" w:hAnsi="Segoe UI" w:cs="Segoe UI"/>
          <w:i/>
          <w:iCs/>
          <w:kern w:val="0"/>
          <w:sz w:val="21"/>
          <w:szCs w:val="21"/>
          <w:bdr w:val="single" w:sz="2" w:space="0" w:color="D9D9E3" w:frame="1"/>
          <w14:ligatures w14:val="none"/>
        </w:rPr>
        <w:t>See: Quade v. Secura Ins., 814 N.W.2d 703 (Minn. 2012)</w:t>
      </w:r>
      <w:r w:rsidRPr="00CA38BF">
        <w:rPr>
          <w:rFonts w:ascii="Segoe UI" w:eastAsia="Times New Roman" w:hAnsi="Segoe UI" w:cs="Segoe UI"/>
          <w:kern w:val="0"/>
          <w:sz w:val="21"/>
          <w:szCs w:val="21"/>
          <w14:ligatures w14:val="none"/>
        </w:rPr>
        <w:t>).</w:t>
      </w:r>
    </w:p>
    <w:p w14:paraId="7E955490"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6D3AFA3E">
          <v:rect id="_x0000_i1052" style="width:0;height:0" o:hralign="center" o:hrstd="t" o:hr="t" fillcolor="#a0a0a0" stroked="f"/>
        </w:pict>
      </w:r>
    </w:p>
    <w:p w14:paraId="41DA1D2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Washington</w:t>
      </w:r>
    </w:p>
    <w:p w14:paraId="679D89A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Washington, appraisal clauses are generally enforced but limited in scope to determining the amount of the loss. Legal issues, such as the determination of what is covered under a policy, remain the domain of the courts. (</w:t>
      </w:r>
      <w:r w:rsidRPr="00CA38BF">
        <w:rPr>
          <w:rFonts w:ascii="Segoe UI" w:eastAsia="Times New Roman" w:hAnsi="Segoe UI" w:cs="Segoe UI"/>
          <w:i/>
          <w:iCs/>
          <w:kern w:val="0"/>
          <w:sz w:val="21"/>
          <w:szCs w:val="21"/>
          <w:bdr w:val="single" w:sz="2" w:space="0" w:color="D9D9E3" w:frame="1"/>
          <w14:ligatures w14:val="none"/>
        </w:rPr>
        <w:t>See: Ellwein v. Hartford Acc. &amp; Indem. Co., 142 Wash. 2d 766, 15 P.3d 640 (2001)</w:t>
      </w:r>
      <w:r w:rsidRPr="00CA38BF">
        <w:rPr>
          <w:rFonts w:ascii="Segoe UI" w:eastAsia="Times New Roman" w:hAnsi="Segoe UI" w:cs="Segoe UI"/>
          <w:kern w:val="0"/>
          <w:sz w:val="21"/>
          <w:szCs w:val="21"/>
          <w14:ligatures w14:val="none"/>
        </w:rPr>
        <w:t>).</w:t>
      </w:r>
    </w:p>
    <w:p w14:paraId="21B7C59C"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0A9F0520">
          <v:rect id="_x0000_i1053" style="width:0;height:0" o:hralign="center" o:hrstd="t" o:hr="t" fillcolor="#a0a0a0" stroked="f"/>
        </w:pict>
      </w:r>
    </w:p>
    <w:p w14:paraId="2224ACA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Colorado</w:t>
      </w:r>
    </w:p>
    <w:p w14:paraId="73FFE78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Colorado enforces appraisal clauses but has set limitations. Appraisers decide only the valuation of loss, not questions of coverage or policy interpretation. (</w:t>
      </w:r>
      <w:r w:rsidRPr="00CA38BF">
        <w:rPr>
          <w:rFonts w:ascii="Segoe UI" w:eastAsia="Times New Roman" w:hAnsi="Segoe UI" w:cs="Segoe UI"/>
          <w:i/>
          <w:iCs/>
          <w:kern w:val="0"/>
          <w:sz w:val="21"/>
          <w:szCs w:val="21"/>
          <w:bdr w:val="single" w:sz="2" w:space="0" w:color="D9D9E3" w:frame="1"/>
          <w14:ligatures w14:val="none"/>
        </w:rPr>
        <w:t>See: Owners Ins. Co. v. Dakota Station II Condo. Ass'n, Inc., 2017 COA 76, 395 P.3d 429 (Colo. App. 2017)</w:t>
      </w:r>
      <w:r w:rsidRPr="00CA38BF">
        <w:rPr>
          <w:rFonts w:ascii="Segoe UI" w:eastAsia="Times New Roman" w:hAnsi="Segoe UI" w:cs="Segoe UI"/>
          <w:kern w:val="0"/>
          <w:sz w:val="21"/>
          <w:szCs w:val="21"/>
          <w14:ligatures w14:val="none"/>
        </w:rPr>
        <w:t>).</w:t>
      </w:r>
    </w:p>
    <w:p w14:paraId="3B62A2C7"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119465FC">
          <v:rect id="_x0000_i1054" style="width:0;height:0" o:hralign="center" o:hrstd="t" o:hr="t" fillcolor="#a0a0a0" stroked="f"/>
        </w:pict>
      </w:r>
    </w:p>
    <w:p w14:paraId="520B79B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Arizona</w:t>
      </w:r>
    </w:p>
    <w:p w14:paraId="1D486D7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lastRenderedPageBreak/>
        <w:t>Arizona limits the scope of appraisal to questions concerning the valuation of the loss. The appraisal process cannot resolve issues related to coverage, exclusions, or limitations. Courts are the proper venue for such issues. (</w:t>
      </w:r>
      <w:r w:rsidRPr="00CA38BF">
        <w:rPr>
          <w:rFonts w:ascii="Segoe UI" w:eastAsia="Times New Roman" w:hAnsi="Segoe UI" w:cs="Segoe UI"/>
          <w:i/>
          <w:iCs/>
          <w:kern w:val="0"/>
          <w:sz w:val="21"/>
          <w:szCs w:val="21"/>
          <w:bdr w:val="single" w:sz="2" w:space="0" w:color="D9D9E3" w:frame="1"/>
          <w14:ligatures w14:val="none"/>
        </w:rPr>
        <w:t>See: National Fire Ins. Co. of Hartford v. E. David Knowles, 193 Ariz. 195, 971 P.2d 915 (App. 1998)</w:t>
      </w:r>
      <w:r w:rsidRPr="00CA38BF">
        <w:rPr>
          <w:rFonts w:ascii="Segoe UI" w:eastAsia="Times New Roman" w:hAnsi="Segoe UI" w:cs="Segoe UI"/>
          <w:kern w:val="0"/>
          <w:sz w:val="21"/>
          <w:szCs w:val="21"/>
          <w14:ligatures w14:val="none"/>
        </w:rPr>
        <w:t>).</w:t>
      </w:r>
    </w:p>
    <w:p w14:paraId="7E9D4DB7"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0519215C">
          <v:rect id="_x0000_i1055" style="width:0;height:0" o:hralign="center" o:hrstd="t" o:hr="t" fillcolor="#a0a0a0" stroked="f"/>
        </w:pict>
      </w:r>
    </w:p>
    <w:p w14:paraId="73BB689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Wisconsin</w:t>
      </w:r>
    </w:p>
    <w:p w14:paraId="77A8D75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Wisconsin courts have traditionally held that appraisal clauses should only resolve issues related to the amount of loss. Any disagreements related to policy interpretation or coverage should be decided by the court. (</w:t>
      </w:r>
      <w:r w:rsidRPr="00CA38BF">
        <w:rPr>
          <w:rFonts w:ascii="Segoe UI" w:eastAsia="Times New Roman" w:hAnsi="Segoe UI" w:cs="Segoe UI"/>
          <w:i/>
          <w:iCs/>
          <w:kern w:val="0"/>
          <w:sz w:val="21"/>
          <w:szCs w:val="21"/>
          <w:bdr w:val="single" w:sz="2" w:space="0" w:color="D9D9E3" w:frame="1"/>
          <w14:ligatures w14:val="none"/>
        </w:rPr>
        <w:t>See: Folkman v. Quamme, 2003 WI 116, 264 Wis. 2d 617, 665 N.W.2d 857 (2003)</w:t>
      </w:r>
      <w:r w:rsidRPr="00CA38BF">
        <w:rPr>
          <w:rFonts w:ascii="Segoe UI" w:eastAsia="Times New Roman" w:hAnsi="Segoe UI" w:cs="Segoe UI"/>
          <w:kern w:val="0"/>
          <w:sz w:val="21"/>
          <w:szCs w:val="21"/>
          <w14:ligatures w14:val="none"/>
        </w:rPr>
        <w:t>).</w:t>
      </w:r>
    </w:p>
    <w:p w14:paraId="235A77D5"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30216B5D">
          <v:rect id="_x0000_i1056" style="width:0;height:0" o:hralign="center" o:hrstd="t" o:hr="t" fillcolor="#a0a0a0" stroked="f"/>
        </w:pict>
      </w:r>
    </w:p>
    <w:p w14:paraId="60B3DBA7"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Indiana</w:t>
      </w:r>
    </w:p>
    <w:p w14:paraId="6EFE752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Indiana, the appraisal process is generally focused solely on the amount of the loss, not extending to matters of policy interpretation or coverage, which are issues for the court. (</w:t>
      </w:r>
      <w:r w:rsidRPr="00CA38BF">
        <w:rPr>
          <w:rFonts w:ascii="Segoe UI" w:eastAsia="Times New Roman" w:hAnsi="Segoe UI" w:cs="Segoe UI"/>
          <w:i/>
          <w:iCs/>
          <w:kern w:val="0"/>
          <w:sz w:val="21"/>
          <w:szCs w:val="21"/>
          <w:bdr w:val="single" w:sz="2" w:space="0" w:color="D9D9E3" w:frame="1"/>
          <w14:ligatures w14:val="none"/>
        </w:rPr>
        <w:t>See: Erie Ins. Co. v. Hickman by Smith, 622 N.E.2d 515 (Ind. 1993)</w:t>
      </w:r>
      <w:r w:rsidRPr="00CA38BF">
        <w:rPr>
          <w:rFonts w:ascii="Segoe UI" w:eastAsia="Times New Roman" w:hAnsi="Segoe UI" w:cs="Segoe UI"/>
          <w:kern w:val="0"/>
          <w:sz w:val="21"/>
          <w:szCs w:val="21"/>
          <w14:ligatures w14:val="none"/>
        </w:rPr>
        <w:t>).</w:t>
      </w:r>
    </w:p>
    <w:p w14:paraId="32E03633"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0D209752">
          <v:rect id="_x0000_i1057" style="width:0;height:0" o:hralign="center" o:hrstd="t" o:hr="t" fillcolor="#a0a0a0" stroked="f"/>
        </w:pict>
      </w:r>
    </w:p>
    <w:p w14:paraId="5E8C19D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Maryland</w:t>
      </w:r>
    </w:p>
    <w:p w14:paraId="3FC75838"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Maryland restricts the role of appraisers to determining the amount of loss only, and any dispute over the terms of the policy or coverage is to be decided by the court. (</w:t>
      </w:r>
      <w:r w:rsidRPr="00CA38BF">
        <w:rPr>
          <w:rFonts w:ascii="Segoe UI" w:eastAsia="Times New Roman" w:hAnsi="Segoe UI" w:cs="Segoe UI"/>
          <w:i/>
          <w:iCs/>
          <w:kern w:val="0"/>
          <w:sz w:val="21"/>
          <w:szCs w:val="21"/>
          <w:bdr w:val="single" w:sz="2" w:space="0" w:color="D9D9E3" w:frame="1"/>
          <w14:ligatures w14:val="none"/>
        </w:rPr>
        <w:t>See: Erie Ins. Exchange v. State Farm Fire &amp; Casualty Co., 451 Md. 159, 152 A.3d 812 (2017)</w:t>
      </w:r>
      <w:r w:rsidRPr="00CA38BF">
        <w:rPr>
          <w:rFonts w:ascii="Segoe UI" w:eastAsia="Times New Roman" w:hAnsi="Segoe UI" w:cs="Segoe UI"/>
          <w:kern w:val="0"/>
          <w:sz w:val="21"/>
          <w:szCs w:val="21"/>
          <w14:ligatures w14:val="none"/>
        </w:rPr>
        <w:t>).</w:t>
      </w:r>
    </w:p>
    <w:p w14:paraId="21BBB69F"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2ECD85C2">
          <v:rect id="_x0000_i1058" style="width:0;height:0" o:hralign="center" o:hrstd="t" o:hr="t" fillcolor="#a0a0a0" stroked="f"/>
        </w:pict>
      </w:r>
    </w:p>
    <w:p w14:paraId="3959ADC8"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lastRenderedPageBreak/>
        <w:t>Massachusetts</w:t>
      </w:r>
    </w:p>
    <w:p w14:paraId="406C9817"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Massachusetts, appraisal clauses have been upheld for the sole purpose of determining the amount of the loss. Issues related to coverage are to be determined by the court. (</w:t>
      </w:r>
      <w:r w:rsidRPr="00CA38BF">
        <w:rPr>
          <w:rFonts w:ascii="Segoe UI" w:eastAsia="Times New Roman" w:hAnsi="Segoe UI" w:cs="Segoe UI"/>
          <w:i/>
          <w:iCs/>
          <w:kern w:val="0"/>
          <w:sz w:val="21"/>
          <w:szCs w:val="21"/>
          <w:bdr w:val="single" w:sz="2" w:space="0" w:color="D9D9E3" w:frame="1"/>
          <w14:ligatures w14:val="none"/>
        </w:rPr>
        <w:t>See: Mello v. Hingham Mut. Fire Ins. Co., 421 Mass. 333, 656 N.E.2d 1247 (1995)</w:t>
      </w:r>
      <w:r w:rsidRPr="00CA38BF">
        <w:rPr>
          <w:rFonts w:ascii="Segoe UI" w:eastAsia="Times New Roman" w:hAnsi="Segoe UI" w:cs="Segoe UI"/>
          <w:kern w:val="0"/>
          <w:sz w:val="21"/>
          <w:szCs w:val="21"/>
          <w14:ligatures w14:val="none"/>
        </w:rPr>
        <w:t>).</w:t>
      </w:r>
    </w:p>
    <w:p w14:paraId="21137A4E"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1D9127E3">
          <v:rect id="_x0000_i1059" style="width:0;height:0" o:hralign="center" o:hrstd="t" o:hr="t" fillcolor="#a0a0a0" stroked="f"/>
        </w:pict>
      </w:r>
    </w:p>
    <w:p w14:paraId="0347D4E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Illinois</w:t>
      </w:r>
    </w:p>
    <w:p w14:paraId="75BFA89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Illinois generally limits the scope of appraisal to the valuation of loss. Disputes concerning coverage or policy interpretation remain a matter for judicial determination. (</w:t>
      </w:r>
      <w:r w:rsidRPr="00CA38BF">
        <w:rPr>
          <w:rFonts w:ascii="Segoe UI" w:eastAsia="Times New Roman" w:hAnsi="Segoe UI" w:cs="Segoe UI"/>
          <w:i/>
          <w:iCs/>
          <w:kern w:val="0"/>
          <w:sz w:val="21"/>
          <w:szCs w:val="21"/>
          <w:bdr w:val="single" w:sz="2" w:space="0" w:color="D9D9E3" w:frame="1"/>
          <w14:ligatures w14:val="none"/>
        </w:rPr>
        <w:t>See: Citizens Ins. Co. of America v. Pro-Seal Service Group, Inc., 477 F.3d 831 (7th Cir. 2007)</w:t>
      </w:r>
      <w:r w:rsidRPr="00CA38BF">
        <w:rPr>
          <w:rFonts w:ascii="Segoe UI" w:eastAsia="Times New Roman" w:hAnsi="Segoe UI" w:cs="Segoe UI"/>
          <w:kern w:val="0"/>
          <w:sz w:val="21"/>
          <w:szCs w:val="21"/>
          <w14:ligatures w14:val="none"/>
        </w:rPr>
        <w:t>).</w:t>
      </w:r>
    </w:p>
    <w:p w14:paraId="54B285D0"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64B40315">
          <v:rect id="_x0000_i1060" style="width:0;height:0" o:hralign="center" o:hrstd="t" o:hr="t" fillcolor="#a0a0a0" stroked="f"/>
        </w:pict>
      </w:r>
    </w:p>
    <w:p w14:paraId="5FC463E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New Jersey</w:t>
      </w:r>
    </w:p>
    <w:p w14:paraId="0C38E7D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New Jersey, courts usually restrict the scope of appraisal to determining the amount of loss. Questions concerning coverage or the interpretation of policy language are reserved for the court. (</w:t>
      </w:r>
      <w:r w:rsidRPr="00CA38BF">
        <w:rPr>
          <w:rFonts w:ascii="Segoe UI" w:eastAsia="Times New Roman" w:hAnsi="Segoe UI" w:cs="Segoe UI"/>
          <w:i/>
          <w:iCs/>
          <w:kern w:val="0"/>
          <w:sz w:val="21"/>
          <w:szCs w:val="21"/>
          <w:bdr w:val="single" w:sz="2" w:space="0" w:color="D9D9E3" w:frame="1"/>
          <w14:ligatures w14:val="none"/>
        </w:rPr>
        <w:t>See: Elat, Inc. v. Aetna Cas. &amp; Surety Co., 280 N.J. Super. 62, 654 A.2d 503 (App. Div. 1995)</w:t>
      </w:r>
      <w:r w:rsidRPr="00CA38BF">
        <w:rPr>
          <w:rFonts w:ascii="Segoe UI" w:eastAsia="Times New Roman" w:hAnsi="Segoe UI" w:cs="Segoe UI"/>
          <w:kern w:val="0"/>
          <w:sz w:val="21"/>
          <w:szCs w:val="21"/>
          <w14:ligatures w14:val="none"/>
        </w:rPr>
        <w:t>).</w:t>
      </w:r>
    </w:p>
    <w:p w14:paraId="7E21E310"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68E731BD">
          <v:rect id="_x0000_i1061" style="width:0;height:0" o:hralign="center" o:hrstd="t" o:hr="t" fillcolor="#a0a0a0" stroked="f"/>
        </w:pict>
      </w:r>
    </w:p>
    <w:p w14:paraId="7510C81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Pennsylvania</w:t>
      </w:r>
    </w:p>
    <w:p w14:paraId="1FD9B83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Pennsylvania, the appraisal clause is generally enforced but is limited to the determination of the amount of the loss. Legal questions, including those regarding coverage, are for the court to decide. (</w:t>
      </w:r>
      <w:r w:rsidRPr="00CA38BF">
        <w:rPr>
          <w:rFonts w:ascii="Segoe UI" w:eastAsia="Times New Roman" w:hAnsi="Segoe UI" w:cs="Segoe UI"/>
          <w:i/>
          <w:iCs/>
          <w:kern w:val="0"/>
          <w:sz w:val="21"/>
          <w:szCs w:val="21"/>
          <w:bdr w:val="single" w:sz="2" w:space="0" w:color="D9D9E3" w:frame="1"/>
          <w14:ligatures w14:val="none"/>
        </w:rPr>
        <w:t>See: Harris v. Lumbermens Mut. Cas. Co., 409 Pa. Super. 586, 598 A.2d 1073 (1991)</w:t>
      </w:r>
      <w:r w:rsidRPr="00CA38BF">
        <w:rPr>
          <w:rFonts w:ascii="Segoe UI" w:eastAsia="Times New Roman" w:hAnsi="Segoe UI" w:cs="Segoe UI"/>
          <w:kern w:val="0"/>
          <w:sz w:val="21"/>
          <w:szCs w:val="21"/>
          <w14:ligatures w14:val="none"/>
        </w:rPr>
        <w:t>).</w:t>
      </w:r>
    </w:p>
    <w:p w14:paraId="7E7CA197"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086C1C32">
          <v:rect id="_x0000_i1062" style="width:0;height:0" o:hralign="center" o:hrstd="t" o:hr="t" fillcolor="#a0a0a0" stroked="f"/>
        </w:pict>
      </w:r>
    </w:p>
    <w:p w14:paraId="0E5023F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lastRenderedPageBreak/>
        <w:t>Michigan</w:t>
      </w:r>
    </w:p>
    <w:p w14:paraId="33810D0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Michigan, the appraisal process is limited to valuating the amount of the loss, leaving questions of coverage or policy interpretation to the courts. (</w:t>
      </w:r>
      <w:r w:rsidRPr="00CA38BF">
        <w:rPr>
          <w:rFonts w:ascii="Segoe UI" w:eastAsia="Times New Roman" w:hAnsi="Segoe UI" w:cs="Segoe UI"/>
          <w:i/>
          <w:iCs/>
          <w:kern w:val="0"/>
          <w:sz w:val="21"/>
          <w:szCs w:val="21"/>
          <w:bdr w:val="single" w:sz="2" w:space="0" w:color="D9D9E3" w:frame="1"/>
          <w14:ligatures w14:val="none"/>
        </w:rPr>
        <w:t>See: Auto-Owners Ins. Co. v. Kwaiser, 190 Mich. App. 482, 476 N.W.2d 467 (1991)</w:t>
      </w:r>
      <w:r w:rsidRPr="00CA38BF">
        <w:rPr>
          <w:rFonts w:ascii="Segoe UI" w:eastAsia="Times New Roman" w:hAnsi="Segoe UI" w:cs="Segoe UI"/>
          <w:kern w:val="0"/>
          <w:sz w:val="21"/>
          <w:szCs w:val="21"/>
          <w14:ligatures w14:val="none"/>
        </w:rPr>
        <w:t>).</w:t>
      </w:r>
    </w:p>
    <w:p w14:paraId="78DEA6C0"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3682594B">
          <v:rect id="_x0000_i1063" style="width:0;height:0" o:hralign="center" o:hrstd="t" o:hr="t" fillcolor="#a0a0a0" stroked="f"/>
        </w:pict>
      </w:r>
    </w:p>
    <w:p w14:paraId="10B01DB2"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Ohio</w:t>
      </w:r>
    </w:p>
    <w:p w14:paraId="4F6FF89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Ohio also adheres to the principle that the scope of appraisal is limited to determining the value of the loss. Matters concerning policy interpretation or coverage issues are to be decided by the court. (</w:t>
      </w:r>
      <w:r w:rsidRPr="00CA38BF">
        <w:rPr>
          <w:rFonts w:ascii="Segoe UI" w:eastAsia="Times New Roman" w:hAnsi="Segoe UI" w:cs="Segoe UI"/>
          <w:i/>
          <w:iCs/>
          <w:kern w:val="0"/>
          <w:sz w:val="21"/>
          <w:szCs w:val="21"/>
          <w:bdr w:val="single" w:sz="2" w:space="0" w:color="D9D9E3" w:frame="1"/>
          <w14:ligatures w14:val="none"/>
        </w:rPr>
        <w:t>See: Allstate Ins. Co. v. Boggs, 27 Ohio St. 3d 216, 502 N.E.2d 337 (1986)</w:t>
      </w:r>
      <w:r w:rsidRPr="00CA38BF">
        <w:rPr>
          <w:rFonts w:ascii="Segoe UI" w:eastAsia="Times New Roman" w:hAnsi="Segoe UI" w:cs="Segoe UI"/>
          <w:kern w:val="0"/>
          <w:sz w:val="21"/>
          <w:szCs w:val="21"/>
          <w14:ligatures w14:val="none"/>
        </w:rPr>
        <w:t>).</w:t>
      </w:r>
    </w:p>
    <w:p w14:paraId="15A0011D"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41A875C0">
          <v:rect id="_x0000_i1064" style="width:0;height:0" o:hralign="center" o:hrstd="t" o:hr="t" fillcolor="#a0a0a0" stroked="f"/>
        </w:pict>
      </w:r>
    </w:p>
    <w:p w14:paraId="3657639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Florida</w:t>
      </w:r>
    </w:p>
    <w:p w14:paraId="5195731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Florida, appraisal clauses are upheld, but their scope is limited to disputes over the value of the loss. Coverage questions are within the purview of the court. (</w:t>
      </w:r>
      <w:r w:rsidRPr="00CA38BF">
        <w:rPr>
          <w:rFonts w:ascii="Segoe UI" w:eastAsia="Times New Roman" w:hAnsi="Segoe UI" w:cs="Segoe UI"/>
          <w:i/>
          <w:iCs/>
          <w:kern w:val="0"/>
          <w:sz w:val="21"/>
          <w:szCs w:val="21"/>
          <w:bdr w:val="single" w:sz="2" w:space="0" w:color="D9D9E3" w:frame="1"/>
          <w14:ligatures w14:val="none"/>
        </w:rPr>
        <w:t>See: State Farm Fla. Ins. Co. v. Sanders, 72 So. 3d 871 (Fla. 4th DCA 2011)</w:t>
      </w:r>
      <w:r w:rsidRPr="00CA38BF">
        <w:rPr>
          <w:rFonts w:ascii="Segoe UI" w:eastAsia="Times New Roman" w:hAnsi="Segoe UI" w:cs="Segoe UI"/>
          <w:kern w:val="0"/>
          <w:sz w:val="21"/>
          <w:szCs w:val="21"/>
          <w14:ligatures w14:val="none"/>
        </w:rPr>
        <w:t>).</w:t>
      </w:r>
    </w:p>
    <w:p w14:paraId="6D6C6F19"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76BA28FA">
          <v:rect id="_x0000_i1065" style="width:0;height:0" o:hralign="center" o:hrstd="t" o:hr="t" fillcolor="#a0a0a0" stroked="f"/>
        </w:pict>
      </w:r>
    </w:p>
    <w:p w14:paraId="73EF120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Texas</w:t>
      </w:r>
    </w:p>
    <w:p w14:paraId="3594AC9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Texas also limits the scope of appraisal to valuation of loss. Coverage questions are solely for the court. However, courts have provided more flexibility on issues related to causation. (</w:t>
      </w:r>
      <w:r w:rsidRPr="00CA38BF">
        <w:rPr>
          <w:rFonts w:ascii="Segoe UI" w:eastAsia="Times New Roman" w:hAnsi="Segoe UI" w:cs="Segoe UI"/>
          <w:i/>
          <w:iCs/>
          <w:kern w:val="0"/>
          <w:sz w:val="21"/>
          <w:szCs w:val="21"/>
          <w:bdr w:val="single" w:sz="2" w:space="0" w:color="D9D9E3" w:frame="1"/>
          <w14:ligatures w14:val="none"/>
        </w:rPr>
        <w:t>See: State Farm Lloyds v. Johnson, 290 S.W.3d 886 (Tex. 2009)</w:t>
      </w:r>
      <w:r w:rsidRPr="00CA38BF">
        <w:rPr>
          <w:rFonts w:ascii="Segoe UI" w:eastAsia="Times New Roman" w:hAnsi="Segoe UI" w:cs="Segoe UI"/>
          <w:kern w:val="0"/>
          <w:sz w:val="21"/>
          <w:szCs w:val="21"/>
          <w14:ligatures w14:val="none"/>
        </w:rPr>
        <w:t>).</w:t>
      </w:r>
    </w:p>
    <w:p w14:paraId="23AD8F98"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5EC3040B">
          <v:rect id="_x0000_i1066" style="width:0;height:0" o:hralign="center" o:hrstd="t" o:hr="t" fillcolor="#a0a0a0" stroked="f"/>
        </w:pict>
      </w:r>
    </w:p>
    <w:p w14:paraId="546A8E4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lastRenderedPageBreak/>
        <w:t>California</w:t>
      </w:r>
    </w:p>
    <w:p w14:paraId="16E17F1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California, the scope of appraisal is restricted to the determination of the amount of loss, leaving questions of coverage to be judicially decided. (</w:t>
      </w:r>
      <w:r w:rsidRPr="00CA38BF">
        <w:rPr>
          <w:rFonts w:ascii="Segoe UI" w:eastAsia="Times New Roman" w:hAnsi="Segoe UI" w:cs="Segoe UI"/>
          <w:i/>
          <w:iCs/>
          <w:kern w:val="0"/>
          <w:sz w:val="21"/>
          <w:szCs w:val="21"/>
          <w:bdr w:val="single" w:sz="2" w:space="0" w:color="D9D9E3" w:frame="1"/>
          <w14:ligatures w14:val="none"/>
        </w:rPr>
        <w:t>See: Safeco Ins. Co. of Am. v. Sharma, 160 Cal. App. 3d 1060, 207 Cal. Rptr. 108 (1984)</w:t>
      </w:r>
      <w:r w:rsidRPr="00CA38BF">
        <w:rPr>
          <w:rFonts w:ascii="Segoe UI" w:eastAsia="Times New Roman" w:hAnsi="Segoe UI" w:cs="Segoe UI"/>
          <w:kern w:val="0"/>
          <w:sz w:val="21"/>
          <w:szCs w:val="21"/>
          <w14:ligatures w14:val="none"/>
        </w:rPr>
        <w:t>).</w:t>
      </w:r>
    </w:p>
    <w:p w14:paraId="63D50611"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7A7EF255">
          <v:rect id="_x0000_i1067" style="width:0;height:0" o:hralign="center" o:hrstd="t" o:hr="t" fillcolor="#a0a0a0" stroked="f"/>
        </w:pict>
      </w:r>
    </w:p>
    <w:p w14:paraId="6EE2CB92"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7323ACFF">
          <v:rect id="_x0000_i1068" style="width:0;height:0" o:hralign="center" o:hrstd="t" o:hr="t" fillcolor="#a0a0a0" stroked="f"/>
        </w:pict>
      </w:r>
    </w:p>
    <w:p w14:paraId="0DA889E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Virginia</w:t>
      </w:r>
    </w:p>
    <w:p w14:paraId="15BFA2D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Virginia, the role of appraisers is strictly limited to determining the amount of the loss, leaving questions of coverage for court determination. (</w:t>
      </w:r>
      <w:r w:rsidRPr="00CA38BF">
        <w:rPr>
          <w:rFonts w:ascii="Segoe UI" w:eastAsia="Times New Roman" w:hAnsi="Segoe UI" w:cs="Segoe UI"/>
          <w:i/>
          <w:iCs/>
          <w:kern w:val="0"/>
          <w:sz w:val="21"/>
          <w:szCs w:val="21"/>
          <w:bdr w:val="single" w:sz="2" w:space="0" w:color="D9D9E3" w:frame="1"/>
          <w14:ligatures w14:val="none"/>
        </w:rPr>
        <w:t>See: AES Corp. v. Steadfast Ins. Co., 283 Va. 609, 725 S.E.2d 532 (2012)</w:t>
      </w:r>
      <w:r w:rsidRPr="00CA38BF">
        <w:rPr>
          <w:rFonts w:ascii="Segoe UI" w:eastAsia="Times New Roman" w:hAnsi="Segoe UI" w:cs="Segoe UI"/>
          <w:kern w:val="0"/>
          <w:sz w:val="21"/>
          <w:szCs w:val="21"/>
          <w14:ligatures w14:val="none"/>
        </w:rPr>
        <w:t>).</w:t>
      </w:r>
    </w:p>
    <w:p w14:paraId="73D5C001"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3AB0B83C">
          <v:rect id="_x0000_i1069" style="width:0;height:0" o:hralign="center" o:hrstd="t" o:hr="t" fillcolor="#a0a0a0" stroked="f"/>
        </w:pict>
      </w:r>
    </w:p>
    <w:p w14:paraId="6A33DA4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Wisconsin</w:t>
      </w:r>
    </w:p>
    <w:p w14:paraId="6249AFA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Wisconsin upholds appraisal clauses but restricts their scope to determining the value of the loss. Matters related to coverage or causation are for judicial resolution. (</w:t>
      </w:r>
      <w:r w:rsidRPr="00CA38BF">
        <w:rPr>
          <w:rFonts w:ascii="Segoe UI" w:eastAsia="Times New Roman" w:hAnsi="Segoe UI" w:cs="Segoe UI"/>
          <w:i/>
          <w:iCs/>
          <w:kern w:val="0"/>
          <w:sz w:val="21"/>
          <w:szCs w:val="21"/>
          <w:bdr w:val="single" w:sz="2" w:space="0" w:color="D9D9E3" w:frame="1"/>
          <w14:ligatures w14:val="none"/>
        </w:rPr>
        <w:t>See: Folkman v. Quamme, 2003 WI 116, 264 Wis. 2d 617, 665 N.W.2d 857</w:t>
      </w:r>
      <w:r w:rsidRPr="00CA38BF">
        <w:rPr>
          <w:rFonts w:ascii="Segoe UI" w:eastAsia="Times New Roman" w:hAnsi="Segoe UI" w:cs="Segoe UI"/>
          <w:kern w:val="0"/>
          <w:sz w:val="21"/>
          <w:szCs w:val="21"/>
          <w14:ligatures w14:val="none"/>
        </w:rPr>
        <w:t>).</w:t>
      </w:r>
    </w:p>
    <w:p w14:paraId="3FE3AB86"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2898AA8B">
          <v:rect id="_x0000_i1070" style="width:0;height:0" o:hralign="center" o:hrstd="t" o:hr="t" fillcolor="#a0a0a0" stroked="f"/>
        </w:pict>
      </w:r>
    </w:p>
    <w:p w14:paraId="1C380D12"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Arizona</w:t>
      </w:r>
    </w:p>
    <w:p w14:paraId="2D5A39C4"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Arizona limits the scope of the appraisal clause to the valuation of the loss and does not allow for determination of coverage questions. (</w:t>
      </w:r>
      <w:r w:rsidRPr="00CA38BF">
        <w:rPr>
          <w:rFonts w:ascii="Segoe UI" w:eastAsia="Times New Roman" w:hAnsi="Segoe UI" w:cs="Segoe UI"/>
          <w:i/>
          <w:iCs/>
          <w:kern w:val="0"/>
          <w:sz w:val="21"/>
          <w:szCs w:val="21"/>
          <w:bdr w:val="single" w:sz="2" w:space="0" w:color="D9D9E3" w:frame="1"/>
          <w14:ligatures w14:val="none"/>
        </w:rPr>
        <w:t>See: Richardson v. Allstate Ins. Co., 117 Ariz. 487, 573 P.2d 1162 (App. 1977)</w:t>
      </w:r>
      <w:r w:rsidRPr="00CA38BF">
        <w:rPr>
          <w:rFonts w:ascii="Segoe UI" w:eastAsia="Times New Roman" w:hAnsi="Segoe UI" w:cs="Segoe UI"/>
          <w:kern w:val="0"/>
          <w:sz w:val="21"/>
          <w:szCs w:val="21"/>
          <w14:ligatures w14:val="none"/>
        </w:rPr>
        <w:t>).</w:t>
      </w:r>
    </w:p>
    <w:p w14:paraId="7966DFF4"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lastRenderedPageBreak/>
        <w:pict w14:anchorId="03D35AAF">
          <v:rect id="_x0000_i1071" style="width:0;height:0" o:hralign="center" o:hrstd="t" o:hr="t" fillcolor="#a0a0a0" stroked="f"/>
        </w:pict>
      </w:r>
    </w:p>
    <w:p w14:paraId="7AAA85F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Colorado</w:t>
      </w:r>
    </w:p>
    <w:p w14:paraId="7AE2CF36"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Colorado, the scope of the appraisal clause is restricted to ascertaining the amount of the loss. Questions of coverage or other legal issues are reserved for judicial determination. (</w:t>
      </w:r>
      <w:r w:rsidRPr="00CA38BF">
        <w:rPr>
          <w:rFonts w:ascii="Segoe UI" w:eastAsia="Times New Roman" w:hAnsi="Segoe UI" w:cs="Segoe UI"/>
          <w:i/>
          <w:iCs/>
          <w:kern w:val="0"/>
          <w:sz w:val="21"/>
          <w:szCs w:val="21"/>
          <w:bdr w:val="single" w:sz="2" w:space="0" w:color="D9D9E3" w:frame="1"/>
          <w14:ligatures w14:val="none"/>
        </w:rPr>
        <w:t>See: Owners Ins. Co. v. Dakota Station II Condo. Ass’n, Inc., 2017 COA 76, 395 P.3d 429</w:t>
      </w:r>
      <w:r w:rsidRPr="00CA38BF">
        <w:rPr>
          <w:rFonts w:ascii="Segoe UI" w:eastAsia="Times New Roman" w:hAnsi="Segoe UI" w:cs="Segoe UI"/>
          <w:kern w:val="0"/>
          <w:sz w:val="21"/>
          <w:szCs w:val="21"/>
          <w14:ligatures w14:val="none"/>
        </w:rPr>
        <w:t>).</w:t>
      </w:r>
    </w:p>
    <w:p w14:paraId="6A345382"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5E4AAA4A">
          <v:rect id="_x0000_i1072" style="width:0;height:0" o:hralign="center" o:hrstd="t" o:hr="t" fillcolor="#a0a0a0" stroked="f"/>
        </w:pict>
      </w:r>
    </w:p>
    <w:p w14:paraId="74749D08"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Georgia</w:t>
      </w:r>
    </w:p>
    <w:p w14:paraId="38B930F2"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Georgia, the appraisal clause is generally confined to disputes over the valuation of loss. Issues related to coverage are within the jurisdiction of the court. (</w:t>
      </w:r>
      <w:r w:rsidRPr="00CA38BF">
        <w:rPr>
          <w:rFonts w:ascii="Segoe UI" w:eastAsia="Times New Roman" w:hAnsi="Segoe UI" w:cs="Segoe UI"/>
          <w:i/>
          <w:iCs/>
          <w:kern w:val="0"/>
          <w:sz w:val="21"/>
          <w:szCs w:val="21"/>
          <w:bdr w:val="single" w:sz="2" w:space="0" w:color="D9D9E3" w:frame="1"/>
          <w14:ligatures w14:val="none"/>
        </w:rPr>
        <w:t>See: Cincinnati Ins. Co. v. Davis, 153 Ga. App. 291, 265 S.E.2d 102 (1980)</w:t>
      </w:r>
      <w:r w:rsidRPr="00CA38BF">
        <w:rPr>
          <w:rFonts w:ascii="Segoe UI" w:eastAsia="Times New Roman" w:hAnsi="Segoe UI" w:cs="Segoe UI"/>
          <w:kern w:val="0"/>
          <w:sz w:val="21"/>
          <w:szCs w:val="21"/>
          <w14:ligatures w14:val="none"/>
        </w:rPr>
        <w:t>).</w:t>
      </w:r>
    </w:p>
    <w:p w14:paraId="33978344"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7173B3FE">
          <v:rect id="_x0000_i1073" style="width:0;height:0" o:hralign="center" o:hrstd="t" o:hr="t" fillcolor="#a0a0a0" stroked="f"/>
        </w:pict>
      </w:r>
    </w:p>
    <w:p w14:paraId="569388E4"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Minnesota</w:t>
      </w:r>
    </w:p>
    <w:p w14:paraId="74F76DB7"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Minnesota upholds appraisal clauses but restricts their scope to determining the value of the loss. Coverage issues are to be decided by the court. (</w:t>
      </w:r>
      <w:r w:rsidRPr="00CA38BF">
        <w:rPr>
          <w:rFonts w:ascii="Segoe UI" w:eastAsia="Times New Roman" w:hAnsi="Segoe UI" w:cs="Segoe UI"/>
          <w:i/>
          <w:iCs/>
          <w:kern w:val="0"/>
          <w:sz w:val="21"/>
          <w:szCs w:val="21"/>
          <w:bdr w:val="single" w:sz="2" w:space="0" w:color="D9D9E3" w:frame="1"/>
          <w14:ligatures w14:val="none"/>
        </w:rPr>
        <w:t>See: Quade v. Secura Ins., 814 N.W.2d 703 (Minn. 2012)</w:t>
      </w:r>
      <w:r w:rsidRPr="00CA38BF">
        <w:rPr>
          <w:rFonts w:ascii="Segoe UI" w:eastAsia="Times New Roman" w:hAnsi="Segoe UI" w:cs="Segoe UI"/>
          <w:kern w:val="0"/>
          <w:sz w:val="21"/>
          <w:szCs w:val="21"/>
          <w14:ligatures w14:val="none"/>
        </w:rPr>
        <w:t>).</w:t>
      </w:r>
    </w:p>
    <w:p w14:paraId="5338EBFB"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7ECD12AD">
          <v:rect id="_x0000_i1074" style="width:0;height:0" o:hralign="center" o:hrstd="t" o:hr="t" fillcolor="#a0a0a0" stroked="f"/>
        </w:pict>
      </w:r>
    </w:p>
    <w:p w14:paraId="49C1E89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North Carolina</w:t>
      </w:r>
    </w:p>
    <w:p w14:paraId="2F0555C8"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North Carolina limits the role of appraisal to deciding the amount of the loss. Coverage questions are a matter for judicial decision. (</w:t>
      </w:r>
      <w:r w:rsidRPr="00CA38BF">
        <w:rPr>
          <w:rFonts w:ascii="Segoe UI" w:eastAsia="Times New Roman" w:hAnsi="Segoe UI" w:cs="Segoe UI"/>
          <w:i/>
          <w:iCs/>
          <w:kern w:val="0"/>
          <w:sz w:val="21"/>
          <w:szCs w:val="21"/>
          <w:bdr w:val="single" w:sz="2" w:space="0" w:color="D9D9E3" w:frame="1"/>
          <w14:ligatures w14:val="none"/>
        </w:rPr>
        <w:t>See: Builders Mut. Ins. Co. v. North Main Construction, LLC, 361 N.C. 85, 637 S.E.2d 528 (2006)</w:t>
      </w:r>
      <w:r w:rsidRPr="00CA38BF">
        <w:rPr>
          <w:rFonts w:ascii="Segoe UI" w:eastAsia="Times New Roman" w:hAnsi="Segoe UI" w:cs="Segoe UI"/>
          <w:kern w:val="0"/>
          <w:sz w:val="21"/>
          <w:szCs w:val="21"/>
          <w14:ligatures w14:val="none"/>
        </w:rPr>
        <w:t>).</w:t>
      </w:r>
    </w:p>
    <w:p w14:paraId="7AB89A77"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lastRenderedPageBreak/>
        <w:pict w14:anchorId="1C527D59">
          <v:rect id="_x0000_i1075" style="width:0;height:0" o:hralign="center" o:hrstd="t" o:hr="t" fillcolor="#a0a0a0" stroked="f"/>
        </w:pict>
      </w:r>
    </w:p>
    <w:p w14:paraId="170ACC02"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Tennessee</w:t>
      </w:r>
    </w:p>
    <w:p w14:paraId="1441171C"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Tennessee, the appraisal clause is restricted to determining the amount of loss. Coverage and legal issues are to be settled by the court. (</w:t>
      </w:r>
      <w:r w:rsidRPr="00CA38BF">
        <w:rPr>
          <w:rFonts w:ascii="Segoe UI" w:eastAsia="Times New Roman" w:hAnsi="Segoe UI" w:cs="Segoe UI"/>
          <w:i/>
          <w:iCs/>
          <w:kern w:val="0"/>
          <w:sz w:val="21"/>
          <w:szCs w:val="21"/>
          <w:bdr w:val="single" w:sz="2" w:space="0" w:color="D9D9E3" w:frame="1"/>
          <w14:ligatures w14:val="none"/>
        </w:rPr>
        <w:t>See: Allstate Ins. Co. v. Watts, 811 S.W.2d 883 (Tenn. 1991)</w:t>
      </w:r>
      <w:r w:rsidRPr="00CA38BF">
        <w:rPr>
          <w:rFonts w:ascii="Segoe UI" w:eastAsia="Times New Roman" w:hAnsi="Segoe UI" w:cs="Segoe UI"/>
          <w:kern w:val="0"/>
          <w:sz w:val="21"/>
          <w:szCs w:val="21"/>
          <w14:ligatures w14:val="none"/>
        </w:rPr>
        <w:t>).</w:t>
      </w:r>
    </w:p>
    <w:p w14:paraId="2020515C"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239F749C">
          <v:rect id="_x0000_i1076" style="width:0;height:0" o:hralign="center" o:hrstd="t" o:hr="t" fillcolor="#a0a0a0" stroked="f"/>
        </w:pict>
      </w:r>
    </w:p>
    <w:p w14:paraId="12DDF524"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100" w:beforeAutospacing="1" w:after="100" w:afterAutospacing="1" w:line="240" w:lineRule="auto"/>
        <w:outlineLvl w:val="3"/>
        <w:rPr>
          <w:rFonts w:ascii="Segoe UI" w:eastAsia="Times New Roman" w:hAnsi="Segoe UI" w:cs="Segoe UI"/>
          <w:kern w:val="0"/>
          <w:sz w:val="24"/>
          <w:szCs w:val="24"/>
          <w14:ligatures w14:val="none"/>
        </w:rPr>
      </w:pPr>
      <w:r w:rsidRPr="00CA38BF">
        <w:rPr>
          <w:rFonts w:ascii="Segoe UI" w:eastAsia="Times New Roman" w:hAnsi="Segoe UI" w:cs="Segoe UI"/>
          <w:kern w:val="0"/>
          <w:sz w:val="24"/>
          <w:szCs w:val="24"/>
          <w14:ligatures w14:val="none"/>
        </w:rPr>
        <w:t>Indiana</w:t>
      </w:r>
    </w:p>
    <w:p w14:paraId="68121AD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Indiana also confines the appraisal process to assessing the amount of loss, leaving questions about coverage to the court. (</w:t>
      </w:r>
      <w:r w:rsidRPr="00CA38BF">
        <w:rPr>
          <w:rFonts w:ascii="Segoe UI" w:eastAsia="Times New Roman" w:hAnsi="Segoe UI" w:cs="Segoe UI"/>
          <w:i/>
          <w:iCs/>
          <w:kern w:val="0"/>
          <w:sz w:val="21"/>
          <w:szCs w:val="21"/>
          <w:bdr w:val="single" w:sz="2" w:space="0" w:color="D9D9E3" w:frame="1"/>
          <w14:ligatures w14:val="none"/>
        </w:rPr>
        <w:t>See: Allstate Ins. Co. v. Grabowski, 12 N.E.3d 192 (Ind. Ct. App. 2014)</w:t>
      </w:r>
      <w:r w:rsidRPr="00CA38BF">
        <w:rPr>
          <w:rFonts w:ascii="Segoe UI" w:eastAsia="Times New Roman" w:hAnsi="Segoe UI" w:cs="Segoe UI"/>
          <w:kern w:val="0"/>
          <w:sz w:val="21"/>
          <w:szCs w:val="21"/>
          <w14:ligatures w14:val="none"/>
        </w:rPr>
        <w:t>).</w:t>
      </w:r>
    </w:p>
    <w:p w14:paraId="199C0C10" w14:textId="77777777" w:rsidR="00CA38BF" w:rsidRPr="00CA38BF" w:rsidRDefault="00CA38BF" w:rsidP="00CA38BF">
      <w:pPr>
        <w:spacing w:before="720" w:after="72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pict w14:anchorId="37493DC5">
          <v:rect id="_x0000_i1077" style="width:0;height:0" o:hralign="center" o:hrstd="t" o:hr="t" fillcolor="#a0a0a0" stroked="f"/>
        </w:pict>
      </w:r>
    </w:p>
    <w:p w14:paraId="7A5993B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Connecticut</w:t>
      </w:r>
    </w:p>
    <w:p w14:paraId="5985E94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Connecticut, the appraisal process is generally restricted to valuing the loss amount, leaving questions about policy coverage to the courts. (See: Belz v. Peerless Ins. Co., 46 A.3d 34 (Conn. 2012)).</w:t>
      </w:r>
    </w:p>
    <w:p w14:paraId="0153B31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Tennessee</w:t>
      </w:r>
    </w:p>
    <w:p w14:paraId="030A793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Tennessee courts often limit the scope of appraisal to determining the amount of loss, leaving issues of coverage for judicial determination. (See: Loden v. Mississippi Farm Bureau Mut. Ins. Co., 144 S.W.3d 77 (Tenn. Ct. App. 2003)).</w:t>
      </w:r>
    </w:p>
    <w:p w14:paraId="43D7D54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Alabama</w:t>
      </w:r>
    </w:p>
    <w:p w14:paraId="4A1D8B32"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Alabama courts typically confine the appraisal process to determining the amount of the loss and explicitly exclude any interpretations of policy coverage. (See: State Farm Fire &amp; Cas. Co. v. Slade, 747 So. 2d 293 (Ala. 1999)).</w:t>
      </w:r>
    </w:p>
    <w:p w14:paraId="6A71E78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South Carolina</w:t>
      </w:r>
    </w:p>
    <w:p w14:paraId="2ECD5675"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lastRenderedPageBreak/>
        <w:t>In South Carolina, the appraisal clause's scope is generally limited to valuing the amount of loss, while the court retains jurisdiction over issues of coverage. (See: Hartzog v. Allstate Ins. Co., 373 S.C. 391, 645 S.E.2d 117 (2007)).</w:t>
      </w:r>
    </w:p>
    <w:p w14:paraId="167A838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Missouri</w:t>
      </w:r>
    </w:p>
    <w:p w14:paraId="7513736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Missouri law generally holds that appraisers are restricted to determining the amount of the loss. Questions of coverage and liability are left to the courts. (See: Dierkes v. Blue Cross &amp; Blue Shield of Mo., 991 S.W.2d 662 (Mo. banc 1999)).</w:t>
      </w:r>
    </w:p>
    <w:p w14:paraId="06402A1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Oklahoma</w:t>
      </w:r>
    </w:p>
    <w:p w14:paraId="669A7F40"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Oklahoma courts typically enforce appraisal clauses but limit their scope to determining the amount of loss. Issues related to policy interpretation and coverage are left to judicial resolution. (See: Avera v. Farmers Ins. Exch., 2017 OK 83, 404 P.3d 346 (Okla. 2017)).</w:t>
      </w:r>
    </w:p>
    <w:p w14:paraId="5010B97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Louisiana</w:t>
      </w:r>
    </w:p>
    <w:p w14:paraId="2CA8677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Louisiana, the scope of appraisal is confined to valuation of the loss, while policy interpretation and coverage issues remain under the purview of the court. (See: Louisiana Ins. Guar. Ass'n v. Interstate Fire &amp; Cas. Co., 630 So.2d 759 (La. 1994)).</w:t>
      </w:r>
    </w:p>
    <w:p w14:paraId="5397355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Iowa</w:t>
      </w:r>
    </w:p>
    <w:p w14:paraId="6AE76D3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Iowa generally limits the appraisal process to determining the amount of loss. Issues related to policy interpretation or coverage are matters for the court. (See: Hawkeye-Security Ins. Co. v. Lambrecht &amp; Sons, Inc., 852 N.W.2d 659 (Iowa 2014)).</w:t>
      </w:r>
    </w:p>
    <w:p w14:paraId="4B56439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Nevada</w:t>
      </w:r>
    </w:p>
    <w:p w14:paraId="476C5CC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In Nevada, the role of appraisers is to determine the amount of loss, leaving questions of coverage to be resolved by the courts. (See: National Union Fire Ins. Co. of Pittsburgh, Pa. v. Reno’s Executive Air, 682 F.Supp. 1454 (D. Nev. 1988)).</w:t>
      </w:r>
    </w:p>
    <w:p w14:paraId="232F7B4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Kansas</w:t>
      </w:r>
    </w:p>
    <w:p w14:paraId="6F9A50B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kern w:val="0"/>
          <w:sz w:val="21"/>
          <w:szCs w:val="21"/>
          <w14:ligatures w14:val="none"/>
        </w:rPr>
        <w:t>Kansas courts typically uphold appraisal clauses, but restrict their scope to valuation of the loss. Policy interpretation and coverage issues are to be judicially determined. (See: Marshall v. Kansas Med. Mut. Ins. Co., 276 Kan. 97, 73 P.3d 120 (Kan. 2003)).</w:t>
      </w:r>
    </w:p>
    <w:p w14:paraId="682BDE2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Connecticut</w:t>
      </w:r>
      <w:r w:rsidRPr="00CA38BF">
        <w:rPr>
          <w:rFonts w:ascii="Segoe UI" w:eastAsia="Times New Roman" w:hAnsi="Segoe UI" w:cs="Segoe UI"/>
          <w:kern w:val="0"/>
          <w:sz w:val="21"/>
          <w:szCs w:val="21"/>
          <w14:ligatures w14:val="none"/>
        </w:rPr>
        <w:t xml:space="preserve"> In Connecticut, the scope of appraisal is generally confined to the assessment of the amount of loss. Questions of policy coverage are left to the courts for determination. (</w:t>
      </w:r>
      <w:r w:rsidRPr="00CA38BF">
        <w:rPr>
          <w:rFonts w:ascii="Segoe UI" w:eastAsia="Times New Roman" w:hAnsi="Segoe UI" w:cs="Segoe UI"/>
          <w:i/>
          <w:iCs/>
          <w:kern w:val="0"/>
          <w:sz w:val="21"/>
          <w:szCs w:val="21"/>
          <w:bdr w:val="single" w:sz="2" w:space="0" w:color="D9D9E3" w:frame="1"/>
          <w14:ligatures w14:val="none"/>
        </w:rPr>
        <w:t>See: Allstate Ins. Co. v. Barron, 269 Conn. 394, 848 A.2d 1165 (2004)</w:t>
      </w:r>
      <w:r w:rsidRPr="00CA38BF">
        <w:rPr>
          <w:rFonts w:ascii="Segoe UI" w:eastAsia="Times New Roman" w:hAnsi="Segoe UI" w:cs="Segoe UI"/>
          <w:kern w:val="0"/>
          <w:sz w:val="21"/>
          <w:szCs w:val="21"/>
          <w14:ligatures w14:val="none"/>
        </w:rPr>
        <w:t>).</w:t>
      </w:r>
    </w:p>
    <w:p w14:paraId="75F5DAF3"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lastRenderedPageBreak/>
        <w:t>Tennessee</w:t>
      </w:r>
      <w:r w:rsidRPr="00CA38BF">
        <w:rPr>
          <w:rFonts w:ascii="Segoe UI" w:eastAsia="Times New Roman" w:hAnsi="Segoe UI" w:cs="Segoe UI"/>
          <w:kern w:val="0"/>
          <w:sz w:val="21"/>
          <w:szCs w:val="21"/>
          <w14:ligatures w14:val="none"/>
        </w:rPr>
        <w:t xml:space="preserve"> In Tennessee, appraisal clauses are enforceable but limited to establishing the amount of the loss. The court is the proper venue for issues concerning policy interpretation and coverage. (</w:t>
      </w:r>
      <w:r w:rsidRPr="00CA38BF">
        <w:rPr>
          <w:rFonts w:ascii="Segoe UI" w:eastAsia="Times New Roman" w:hAnsi="Segoe UI" w:cs="Segoe UI"/>
          <w:i/>
          <w:iCs/>
          <w:kern w:val="0"/>
          <w:sz w:val="21"/>
          <w:szCs w:val="21"/>
          <w:bdr w:val="single" w:sz="2" w:space="0" w:color="D9D9E3" w:frame="1"/>
          <w14:ligatures w14:val="none"/>
        </w:rPr>
        <w:t>See: Loden v. Mississippi Windstorm Underwriting Ass'n, 82 So. 3d 582 (Miss. 2011), applied in Tennessee</w:t>
      </w:r>
      <w:r w:rsidRPr="00CA38BF">
        <w:rPr>
          <w:rFonts w:ascii="Segoe UI" w:eastAsia="Times New Roman" w:hAnsi="Segoe UI" w:cs="Segoe UI"/>
          <w:kern w:val="0"/>
          <w:sz w:val="21"/>
          <w:szCs w:val="21"/>
          <w14:ligatures w14:val="none"/>
        </w:rPr>
        <w:t>).</w:t>
      </w:r>
    </w:p>
    <w:p w14:paraId="73DD8E3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Oregon</w:t>
      </w:r>
      <w:r w:rsidRPr="00CA38BF">
        <w:rPr>
          <w:rFonts w:ascii="Segoe UI" w:eastAsia="Times New Roman" w:hAnsi="Segoe UI" w:cs="Segoe UI"/>
          <w:kern w:val="0"/>
          <w:sz w:val="21"/>
          <w:szCs w:val="21"/>
          <w14:ligatures w14:val="none"/>
        </w:rPr>
        <w:t xml:space="preserve"> Oregon courts restrict the scope of appraisal clauses to determining the amount of loss, keeping matters of policy interpretation and coverage separate. (</w:t>
      </w:r>
      <w:r w:rsidRPr="00CA38BF">
        <w:rPr>
          <w:rFonts w:ascii="Segoe UI" w:eastAsia="Times New Roman" w:hAnsi="Segoe UI" w:cs="Segoe UI"/>
          <w:i/>
          <w:iCs/>
          <w:kern w:val="0"/>
          <w:sz w:val="21"/>
          <w:szCs w:val="21"/>
          <w:bdr w:val="single" w:sz="2" w:space="0" w:color="D9D9E3" w:frame="1"/>
          <w14:ligatures w14:val="none"/>
        </w:rPr>
        <w:t>See: A&amp;T Siding, Inc. v. Capitol Specialty Ins. Corp., 358 Or 32, 359 P3d 1171 (2015)</w:t>
      </w:r>
      <w:r w:rsidRPr="00CA38BF">
        <w:rPr>
          <w:rFonts w:ascii="Segoe UI" w:eastAsia="Times New Roman" w:hAnsi="Segoe UI" w:cs="Segoe UI"/>
          <w:kern w:val="0"/>
          <w:sz w:val="21"/>
          <w:szCs w:val="21"/>
          <w14:ligatures w14:val="none"/>
        </w:rPr>
        <w:t>).</w:t>
      </w:r>
    </w:p>
    <w:p w14:paraId="15A6C501"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Nevada</w:t>
      </w:r>
      <w:r w:rsidRPr="00CA38BF">
        <w:rPr>
          <w:rFonts w:ascii="Segoe UI" w:eastAsia="Times New Roman" w:hAnsi="Segoe UI" w:cs="Segoe UI"/>
          <w:kern w:val="0"/>
          <w:sz w:val="21"/>
          <w:szCs w:val="21"/>
          <w14:ligatures w14:val="none"/>
        </w:rPr>
        <w:t xml:space="preserve"> In Nevada, appraisal clauses are valid and enforceable but are limited to quantifying the amount of the loss. Questions of coverage and policy interpretation are decided by the courts. (</w:t>
      </w:r>
      <w:r w:rsidRPr="00CA38BF">
        <w:rPr>
          <w:rFonts w:ascii="Segoe UI" w:eastAsia="Times New Roman" w:hAnsi="Segoe UI" w:cs="Segoe UI"/>
          <w:i/>
          <w:iCs/>
          <w:kern w:val="0"/>
          <w:sz w:val="21"/>
          <w:szCs w:val="21"/>
          <w:bdr w:val="single" w:sz="2" w:space="0" w:color="D9D9E3" w:frame="1"/>
          <w14:ligatures w14:val="none"/>
        </w:rPr>
        <w:t>See: Rocky Mountain Fire &amp; Cas. Co. v. Allstate Ins. Co., 107 Nev. 777, 820 P.2d 1323 (1991)</w:t>
      </w:r>
      <w:r w:rsidRPr="00CA38BF">
        <w:rPr>
          <w:rFonts w:ascii="Segoe UI" w:eastAsia="Times New Roman" w:hAnsi="Segoe UI" w:cs="Segoe UI"/>
          <w:kern w:val="0"/>
          <w:sz w:val="21"/>
          <w:szCs w:val="21"/>
          <w14:ligatures w14:val="none"/>
        </w:rPr>
        <w:t>).</w:t>
      </w:r>
    </w:p>
    <w:p w14:paraId="39E0812B"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Missouri</w:t>
      </w:r>
      <w:r w:rsidRPr="00CA38BF">
        <w:rPr>
          <w:rFonts w:ascii="Segoe UI" w:eastAsia="Times New Roman" w:hAnsi="Segoe UI" w:cs="Segoe UI"/>
          <w:kern w:val="0"/>
          <w:sz w:val="21"/>
          <w:szCs w:val="21"/>
          <w14:ligatures w14:val="none"/>
        </w:rPr>
        <w:t xml:space="preserve"> Missouri law stipulates that appraisal clauses can only resolve disputes about the value of the loss. Legal issues, such as coverage, are determined by the court. (</w:t>
      </w:r>
      <w:r w:rsidRPr="00CA38BF">
        <w:rPr>
          <w:rFonts w:ascii="Segoe UI" w:eastAsia="Times New Roman" w:hAnsi="Segoe UI" w:cs="Segoe UI"/>
          <w:i/>
          <w:iCs/>
          <w:kern w:val="0"/>
          <w:sz w:val="21"/>
          <w:szCs w:val="21"/>
          <w:bdr w:val="single" w:sz="2" w:space="0" w:color="D9D9E3" w:frame="1"/>
          <w14:ligatures w14:val="none"/>
        </w:rPr>
        <w:t>See: Todd v. Missouri United School Ins. Council, 223 S.W.3d 156 (Mo. 2007)</w:t>
      </w:r>
      <w:r w:rsidRPr="00CA38BF">
        <w:rPr>
          <w:rFonts w:ascii="Segoe UI" w:eastAsia="Times New Roman" w:hAnsi="Segoe UI" w:cs="Segoe UI"/>
          <w:kern w:val="0"/>
          <w:sz w:val="21"/>
          <w:szCs w:val="21"/>
          <w14:ligatures w14:val="none"/>
        </w:rPr>
        <w:t>).</w:t>
      </w:r>
    </w:p>
    <w:p w14:paraId="74C8253C"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Alabama</w:t>
      </w:r>
      <w:r w:rsidRPr="00CA38BF">
        <w:rPr>
          <w:rFonts w:ascii="Segoe UI" w:eastAsia="Times New Roman" w:hAnsi="Segoe UI" w:cs="Segoe UI"/>
          <w:kern w:val="0"/>
          <w:sz w:val="21"/>
          <w:szCs w:val="21"/>
          <w14:ligatures w14:val="none"/>
        </w:rPr>
        <w:t xml:space="preserve"> In Alabama, the scope of appraisal is confined to determining the amount of the loss, leaving questions about policy coverage to the courts. (</w:t>
      </w:r>
      <w:r w:rsidRPr="00CA38BF">
        <w:rPr>
          <w:rFonts w:ascii="Segoe UI" w:eastAsia="Times New Roman" w:hAnsi="Segoe UI" w:cs="Segoe UI"/>
          <w:i/>
          <w:iCs/>
          <w:kern w:val="0"/>
          <w:sz w:val="21"/>
          <w:szCs w:val="21"/>
          <w:bdr w:val="single" w:sz="2" w:space="0" w:color="D9D9E3" w:frame="1"/>
          <w14:ligatures w14:val="none"/>
        </w:rPr>
        <w:t>See: State Farm Fire &amp; Cas. Co. v. Slade, 747 So.2d 293 (Ala. 1999)</w:t>
      </w:r>
      <w:r w:rsidRPr="00CA38BF">
        <w:rPr>
          <w:rFonts w:ascii="Segoe UI" w:eastAsia="Times New Roman" w:hAnsi="Segoe UI" w:cs="Segoe UI"/>
          <w:kern w:val="0"/>
          <w:sz w:val="21"/>
          <w:szCs w:val="21"/>
          <w14:ligatures w14:val="none"/>
        </w:rPr>
        <w:t>).</w:t>
      </w:r>
    </w:p>
    <w:p w14:paraId="3D496E1A"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Alaska</w:t>
      </w:r>
      <w:r w:rsidRPr="00CA38BF">
        <w:rPr>
          <w:rFonts w:ascii="Segoe UI" w:eastAsia="Times New Roman" w:hAnsi="Segoe UI" w:cs="Segoe UI"/>
          <w:kern w:val="0"/>
          <w:sz w:val="21"/>
          <w:szCs w:val="21"/>
          <w14:ligatures w14:val="none"/>
        </w:rPr>
        <w:t xml:space="preserve"> In Alaska, appraisal clauses are enforceable but limited to determining the amount of the loss. Legal issues like policy interpretation and coverage are to be decided by the court. (</w:t>
      </w:r>
      <w:r w:rsidRPr="00CA38BF">
        <w:rPr>
          <w:rFonts w:ascii="Segoe UI" w:eastAsia="Times New Roman" w:hAnsi="Segoe UI" w:cs="Segoe UI"/>
          <w:i/>
          <w:iCs/>
          <w:kern w:val="0"/>
          <w:sz w:val="21"/>
          <w:szCs w:val="21"/>
          <w:bdr w:val="single" w:sz="2" w:space="0" w:color="D9D9E3" w:frame="1"/>
          <w14:ligatures w14:val="none"/>
        </w:rPr>
        <w:t>See: Continental Ins. Co. v. U.S. Fid. &amp; Guar. Co., 552 P.2d 1122 (Alaska 1976)</w:t>
      </w:r>
      <w:r w:rsidRPr="00CA38BF">
        <w:rPr>
          <w:rFonts w:ascii="Segoe UI" w:eastAsia="Times New Roman" w:hAnsi="Segoe UI" w:cs="Segoe UI"/>
          <w:kern w:val="0"/>
          <w:sz w:val="21"/>
          <w:szCs w:val="21"/>
          <w14:ligatures w14:val="none"/>
        </w:rPr>
        <w:t>).</w:t>
      </w:r>
    </w:p>
    <w:p w14:paraId="4511A64C"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Iowa</w:t>
      </w:r>
      <w:r w:rsidRPr="00CA38BF">
        <w:rPr>
          <w:rFonts w:ascii="Segoe UI" w:eastAsia="Times New Roman" w:hAnsi="Segoe UI" w:cs="Segoe UI"/>
          <w:kern w:val="0"/>
          <w:sz w:val="21"/>
          <w:szCs w:val="21"/>
          <w14:ligatures w14:val="none"/>
        </w:rPr>
        <w:t xml:space="preserve"> Iowa courts have generally held that appraisal clauses should focus solely on determining the amount of the loss, leaving questions of coverage to be decided by the court. (</w:t>
      </w:r>
      <w:r w:rsidRPr="00CA38BF">
        <w:rPr>
          <w:rFonts w:ascii="Segoe UI" w:eastAsia="Times New Roman" w:hAnsi="Segoe UI" w:cs="Segoe UI"/>
          <w:i/>
          <w:iCs/>
          <w:kern w:val="0"/>
          <w:sz w:val="21"/>
          <w:szCs w:val="21"/>
          <w:bdr w:val="single" w:sz="2" w:space="0" w:color="D9D9E3" w:frame="1"/>
          <w14:ligatures w14:val="none"/>
        </w:rPr>
        <w:t>See: Farm Bureau Mut. Ins. Co. v. Milne, 424 N.W.2d 422 (Iowa 1988)</w:t>
      </w:r>
      <w:r w:rsidRPr="00CA38BF">
        <w:rPr>
          <w:rFonts w:ascii="Segoe UI" w:eastAsia="Times New Roman" w:hAnsi="Segoe UI" w:cs="Segoe UI"/>
          <w:kern w:val="0"/>
          <w:sz w:val="21"/>
          <w:szCs w:val="21"/>
          <w14:ligatures w14:val="none"/>
        </w:rPr>
        <w:t>).</w:t>
      </w:r>
    </w:p>
    <w:p w14:paraId="51259D0E"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Oklahoma</w:t>
      </w:r>
      <w:r w:rsidRPr="00CA38BF">
        <w:rPr>
          <w:rFonts w:ascii="Segoe UI" w:eastAsia="Times New Roman" w:hAnsi="Segoe UI" w:cs="Segoe UI"/>
          <w:kern w:val="0"/>
          <w:sz w:val="21"/>
          <w:szCs w:val="21"/>
          <w14:ligatures w14:val="none"/>
        </w:rPr>
        <w:t xml:space="preserve"> In Oklahoma, the scope of appraisal clauses is limited to assessing the amount of the loss, with questions about policy interpretation and coverage left for court determination. (</w:t>
      </w:r>
      <w:r w:rsidRPr="00CA38BF">
        <w:rPr>
          <w:rFonts w:ascii="Segoe UI" w:eastAsia="Times New Roman" w:hAnsi="Segoe UI" w:cs="Segoe UI"/>
          <w:i/>
          <w:iCs/>
          <w:kern w:val="0"/>
          <w:sz w:val="21"/>
          <w:szCs w:val="21"/>
          <w:bdr w:val="single" w:sz="2" w:space="0" w:color="D9D9E3" w:frame="1"/>
          <w14:ligatures w14:val="none"/>
        </w:rPr>
        <w:t>See: Dodson v. St. Paul Ins. Co., 812 P.2d 372 (Okla. 1991)</w:t>
      </w:r>
      <w:r w:rsidRPr="00CA38BF">
        <w:rPr>
          <w:rFonts w:ascii="Segoe UI" w:eastAsia="Times New Roman" w:hAnsi="Segoe UI" w:cs="Segoe UI"/>
          <w:kern w:val="0"/>
          <w:sz w:val="21"/>
          <w:szCs w:val="21"/>
          <w14:ligatures w14:val="none"/>
        </w:rPr>
        <w:t>).</w:t>
      </w:r>
    </w:p>
    <w:p w14:paraId="2B070E0F"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South Carolina</w:t>
      </w:r>
      <w:r w:rsidRPr="00CA38BF">
        <w:rPr>
          <w:rFonts w:ascii="Segoe UI" w:eastAsia="Times New Roman" w:hAnsi="Segoe UI" w:cs="Segoe UI"/>
          <w:kern w:val="0"/>
          <w:sz w:val="21"/>
          <w:szCs w:val="21"/>
          <w14:ligatures w14:val="none"/>
        </w:rPr>
        <w:t xml:space="preserve"> South Carolina enforces appraisal clauses but confines them to determining the amount of loss, leaving matters of coverage to the court. (</w:t>
      </w:r>
      <w:r w:rsidRPr="00CA38BF">
        <w:rPr>
          <w:rFonts w:ascii="Segoe UI" w:eastAsia="Times New Roman" w:hAnsi="Segoe UI" w:cs="Segoe UI"/>
          <w:i/>
          <w:iCs/>
          <w:kern w:val="0"/>
          <w:sz w:val="21"/>
          <w:szCs w:val="21"/>
          <w:bdr w:val="single" w:sz="2" w:space="0" w:color="D9D9E3" w:frame="1"/>
          <w14:ligatures w14:val="none"/>
        </w:rPr>
        <w:t>See: Nichols v. State Farm Mut. Auto. Ins. Co., 279 S.C. 336, 306 S.E.2d 616 (1983)</w:t>
      </w:r>
      <w:r w:rsidRPr="00CA38BF">
        <w:rPr>
          <w:rFonts w:ascii="Segoe UI" w:eastAsia="Times New Roman" w:hAnsi="Segoe UI" w:cs="Segoe UI"/>
          <w:kern w:val="0"/>
          <w:sz w:val="21"/>
          <w:szCs w:val="21"/>
          <w14:ligatures w14:val="none"/>
        </w:rPr>
        <w:t>).</w:t>
      </w:r>
    </w:p>
    <w:p w14:paraId="48B32579" w14:textId="77777777" w:rsidR="00CA38BF" w:rsidRPr="00CA38BF" w:rsidRDefault="00CA38BF" w:rsidP="00CA38BF">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kern w:val="0"/>
          <w:sz w:val="21"/>
          <w:szCs w:val="21"/>
          <w14:ligatures w14:val="none"/>
        </w:rPr>
      </w:pPr>
      <w:r w:rsidRPr="00CA38BF">
        <w:rPr>
          <w:rFonts w:ascii="Segoe UI" w:eastAsia="Times New Roman" w:hAnsi="Segoe UI" w:cs="Segoe UI"/>
          <w:b/>
          <w:bCs/>
          <w:kern w:val="0"/>
          <w:sz w:val="21"/>
          <w:szCs w:val="21"/>
          <w:bdr w:val="single" w:sz="2" w:space="0" w:color="D9D9E3" w:frame="1"/>
          <w14:ligatures w14:val="none"/>
        </w:rPr>
        <w:t>Hawaii</w:t>
      </w:r>
      <w:r w:rsidRPr="00CA38BF">
        <w:rPr>
          <w:rFonts w:ascii="Segoe UI" w:eastAsia="Times New Roman" w:hAnsi="Segoe UI" w:cs="Segoe UI"/>
          <w:kern w:val="0"/>
          <w:sz w:val="21"/>
          <w:szCs w:val="21"/>
          <w14:ligatures w14:val="none"/>
        </w:rPr>
        <w:t xml:space="preserve"> In Hawaii, the appraisal process is limited to determining the value of the loss, while issues of policy interpretation and coverage are matters for judicial resolution. (</w:t>
      </w:r>
      <w:r w:rsidRPr="00CA38BF">
        <w:rPr>
          <w:rFonts w:ascii="Segoe UI" w:eastAsia="Times New Roman" w:hAnsi="Segoe UI" w:cs="Segoe UI"/>
          <w:i/>
          <w:iCs/>
          <w:kern w:val="0"/>
          <w:sz w:val="21"/>
          <w:szCs w:val="21"/>
          <w:bdr w:val="single" w:sz="2" w:space="0" w:color="D9D9E3" w:frame="1"/>
          <w14:ligatures w14:val="none"/>
        </w:rPr>
        <w:t>See: Del Monte Fresh Produce (Hawaii), Inc. v. Fireman's Fund Ins. Co., 117 Haw. 357, 183 P.3d 734 (2007)</w:t>
      </w:r>
      <w:r w:rsidRPr="00CA38BF">
        <w:rPr>
          <w:rFonts w:ascii="Segoe UI" w:eastAsia="Times New Roman" w:hAnsi="Segoe UI" w:cs="Segoe UI"/>
          <w:kern w:val="0"/>
          <w:sz w:val="21"/>
          <w:szCs w:val="21"/>
          <w14:ligatures w14:val="none"/>
        </w:rPr>
        <w:t>).</w:t>
      </w:r>
    </w:p>
    <w:p w14:paraId="13DDC558" w14:textId="77777777" w:rsidR="00CA38BF" w:rsidRDefault="00CA38BF"/>
    <w:sectPr w:rsidR="00CA3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E1AA6"/>
    <w:multiLevelType w:val="multilevel"/>
    <w:tmpl w:val="F00CA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034D80"/>
    <w:multiLevelType w:val="multilevel"/>
    <w:tmpl w:val="FA567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21EB5"/>
    <w:multiLevelType w:val="multilevel"/>
    <w:tmpl w:val="7FD6BF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8E64C5"/>
    <w:multiLevelType w:val="multilevel"/>
    <w:tmpl w:val="268EA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087DF0"/>
    <w:multiLevelType w:val="multilevel"/>
    <w:tmpl w:val="88106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3C2D8F"/>
    <w:multiLevelType w:val="multilevel"/>
    <w:tmpl w:val="FBB619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C80C19"/>
    <w:multiLevelType w:val="multilevel"/>
    <w:tmpl w:val="894251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B72040"/>
    <w:multiLevelType w:val="multilevel"/>
    <w:tmpl w:val="C00656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FB3BDC"/>
    <w:multiLevelType w:val="multilevel"/>
    <w:tmpl w:val="519C55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EF4DBF"/>
    <w:multiLevelType w:val="multilevel"/>
    <w:tmpl w:val="989AC8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E5A"/>
    <w:multiLevelType w:val="multilevel"/>
    <w:tmpl w:val="C1D220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0F1286"/>
    <w:multiLevelType w:val="multilevel"/>
    <w:tmpl w:val="C3D44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847614"/>
    <w:multiLevelType w:val="multilevel"/>
    <w:tmpl w:val="6F0CA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F042D8"/>
    <w:multiLevelType w:val="multilevel"/>
    <w:tmpl w:val="5706F9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E31803"/>
    <w:multiLevelType w:val="multilevel"/>
    <w:tmpl w:val="E63AD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05103B"/>
    <w:multiLevelType w:val="multilevel"/>
    <w:tmpl w:val="CCA217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90318740">
    <w:abstractNumId w:val="3"/>
  </w:num>
  <w:num w:numId="2" w16cid:durableId="1409965560">
    <w:abstractNumId w:val="12"/>
  </w:num>
  <w:num w:numId="3" w16cid:durableId="560672373">
    <w:abstractNumId w:val="1"/>
  </w:num>
  <w:num w:numId="4" w16cid:durableId="705058526">
    <w:abstractNumId w:val="4"/>
  </w:num>
  <w:num w:numId="5" w16cid:durableId="1312448323">
    <w:abstractNumId w:val="8"/>
  </w:num>
  <w:num w:numId="6" w16cid:durableId="1270892363">
    <w:abstractNumId w:val="13"/>
  </w:num>
  <w:num w:numId="7" w16cid:durableId="1339118196">
    <w:abstractNumId w:val="11"/>
  </w:num>
  <w:num w:numId="8" w16cid:durableId="802769084">
    <w:abstractNumId w:val="14"/>
  </w:num>
  <w:num w:numId="9" w16cid:durableId="590241482">
    <w:abstractNumId w:val="5"/>
  </w:num>
  <w:num w:numId="10" w16cid:durableId="992684391">
    <w:abstractNumId w:val="7"/>
  </w:num>
  <w:num w:numId="11" w16cid:durableId="992100254">
    <w:abstractNumId w:val="2"/>
  </w:num>
  <w:num w:numId="12" w16cid:durableId="636253813">
    <w:abstractNumId w:val="10"/>
  </w:num>
  <w:num w:numId="13" w16cid:durableId="1570965547">
    <w:abstractNumId w:val="0"/>
  </w:num>
  <w:num w:numId="14" w16cid:durableId="1518881765">
    <w:abstractNumId w:val="15"/>
  </w:num>
  <w:num w:numId="15" w16cid:durableId="107892381">
    <w:abstractNumId w:val="9"/>
  </w:num>
  <w:num w:numId="16" w16cid:durableId="1757704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A38BF"/>
    <w:rsid w:val="00454485"/>
    <w:rsid w:val="004C5C8C"/>
    <w:rsid w:val="006648F9"/>
    <w:rsid w:val="006C037A"/>
    <w:rsid w:val="00825286"/>
    <w:rsid w:val="00AC1F09"/>
    <w:rsid w:val="00CA38BF"/>
    <w:rsid w:val="00D13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CAA20"/>
  <w15:docId w15:val="{7C78BA0F-2D07-48DE-8840-1EA6888A3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54485"/>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454485"/>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paragraph" w:styleId="Heading5">
    <w:name w:val="heading 5"/>
    <w:basedOn w:val="Normal"/>
    <w:link w:val="Heading5Char"/>
    <w:uiPriority w:val="9"/>
    <w:qFormat/>
    <w:rsid w:val="00454485"/>
    <w:pPr>
      <w:spacing w:before="100" w:beforeAutospacing="1" w:after="100" w:afterAutospacing="1" w:line="240" w:lineRule="auto"/>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54485"/>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454485"/>
    <w:rPr>
      <w:rFonts w:ascii="Times New Roman" w:eastAsia="Times New Roman" w:hAnsi="Times New Roman" w:cs="Times New Roman"/>
      <w:b/>
      <w:bCs/>
      <w:kern w:val="0"/>
      <w:sz w:val="24"/>
      <w:szCs w:val="24"/>
      <w14:ligatures w14:val="none"/>
    </w:rPr>
  </w:style>
  <w:style w:type="character" w:customStyle="1" w:styleId="Heading5Char">
    <w:name w:val="Heading 5 Char"/>
    <w:basedOn w:val="DefaultParagraphFont"/>
    <w:link w:val="Heading5"/>
    <w:uiPriority w:val="9"/>
    <w:rsid w:val="00454485"/>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semiHidden/>
    <w:unhideWhenUsed/>
    <w:rsid w:val="0045448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454485"/>
    <w:pPr>
      <w:ind w:left="720"/>
      <w:contextualSpacing/>
    </w:pPr>
  </w:style>
  <w:style w:type="character" w:styleId="Strong">
    <w:name w:val="Strong"/>
    <w:basedOn w:val="DefaultParagraphFont"/>
    <w:uiPriority w:val="22"/>
    <w:qFormat/>
    <w:rsid w:val="004544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155356">
      <w:bodyDiv w:val="1"/>
      <w:marLeft w:val="0"/>
      <w:marRight w:val="0"/>
      <w:marTop w:val="0"/>
      <w:marBottom w:val="0"/>
      <w:divBdr>
        <w:top w:val="none" w:sz="0" w:space="0" w:color="auto"/>
        <w:left w:val="none" w:sz="0" w:space="0" w:color="auto"/>
        <w:bottom w:val="none" w:sz="0" w:space="0" w:color="auto"/>
        <w:right w:val="none" w:sz="0" w:space="0" w:color="auto"/>
      </w:divBdr>
    </w:div>
    <w:div w:id="630745471">
      <w:bodyDiv w:val="1"/>
      <w:marLeft w:val="0"/>
      <w:marRight w:val="0"/>
      <w:marTop w:val="0"/>
      <w:marBottom w:val="0"/>
      <w:divBdr>
        <w:top w:val="none" w:sz="0" w:space="0" w:color="auto"/>
        <w:left w:val="none" w:sz="0" w:space="0" w:color="auto"/>
        <w:bottom w:val="none" w:sz="0" w:space="0" w:color="auto"/>
        <w:right w:val="none" w:sz="0" w:space="0" w:color="auto"/>
      </w:divBdr>
    </w:div>
    <w:div w:id="693700234">
      <w:bodyDiv w:val="1"/>
      <w:marLeft w:val="0"/>
      <w:marRight w:val="0"/>
      <w:marTop w:val="0"/>
      <w:marBottom w:val="0"/>
      <w:divBdr>
        <w:top w:val="none" w:sz="0" w:space="0" w:color="auto"/>
        <w:left w:val="none" w:sz="0" w:space="0" w:color="auto"/>
        <w:bottom w:val="none" w:sz="0" w:space="0" w:color="auto"/>
        <w:right w:val="none" w:sz="0" w:space="0" w:color="auto"/>
      </w:divBdr>
    </w:div>
    <w:div w:id="731004918">
      <w:bodyDiv w:val="1"/>
      <w:marLeft w:val="0"/>
      <w:marRight w:val="0"/>
      <w:marTop w:val="0"/>
      <w:marBottom w:val="0"/>
      <w:divBdr>
        <w:top w:val="none" w:sz="0" w:space="0" w:color="auto"/>
        <w:left w:val="none" w:sz="0" w:space="0" w:color="auto"/>
        <w:bottom w:val="none" w:sz="0" w:space="0" w:color="auto"/>
        <w:right w:val="none" w:sz="0" w:space="0" w:color="auto"/>
      </w:divBdr>
    </w:div>
    <w:div w:id="1016929329">
      <w:bodyDiv w:val="1"/>
      <w:marLeft w:val="0"/>
      <w:marRight w:val="0"/>
      <w:marTop w:val="0"/>
      <w:marBottom w:val="0"/>
      <w:divBdr>
        <w:top w:val="none" w:sz="0" w:space="0" w:color="auto"/>
        <w:left w:val="none" w:sz="0" w:space="0" w:color="auto"/>
        <w:bottom w:val="none" w:sz="0" w:space="0" w:color="auto"/>
        <w:right w:val="none" w:sz="0" w:space="0" w:color="auto"/>
      </w:divBdr>
    </w:div>
    <w:div w:id="1152599561">
      <w:bodyDiv w:val="1"/>
      <w:marLeft w:val="0"/>
      <w:marRight w:val="0"/>
      <w:marTop w:val="0"/>
      <w:marBottom w:val="0"/>
      <w:divBdr>
        <w:top w:val="none" w:sz="0" w:space="0" w:color="auto"/>
        <w:left w:val="none" w:sz="0" w:space="0" w:color="auto"/>
        <w:bottom w:val="none" w:sz="0" w:space="0" w:color="auto"/>
        <w:right w:val="none" w:sz="0" w:space="0" w:color="auto"/>
      </w:divBdr>
      <w:divsChild>
        <w:div w:id="161241711">
          <w:marLeft w:val="0"/>
          <w:marRight w:val="0"/>
          <w:marTop w:val="0"/>
          <w:marBottom w:val="0"/>
          <w:divBdr>
            <w:top w:val="single" w:sz="2" w:space="0" w:color="auto"/>
            <w:left w:val="single" w:sz="2" w:space="0" w:color="auto"/>
            <w:bottom w:val="single" w:sz="6" w:space="0" w:color="auto"/>
            <w:right w:val="single" w:sz="2" w:space="0" w:color="auto"/>
          </w:divBdr>
          <w:divsChild>
            <w:div w:id="1800953009">
              <w:marLeft w:val="0"/>
              <w:marRight w:val="0"/>
              <w:marTop w:val="100"/>
              <w:marBottom w:val="100"/>
              <w:divBdr>
                <w:top w:val="single" w:sz="2" w:space="0" w:color="D9D9E3"/>
                <w:left w:val="single" w:sz="2" w:space="0" w:color="D9D9E3"/>
                <w:bottom w:val="single" w:sz="2" w:space="0" w:color="D9D9E3"/>
                <w:right w:val="single" w:sz="2" w:space="0" w:color="D9D9E3"/>
              </w:divBdr>
              <w:divsChild>
                <w:div w:id="721711748">
                  <w:marLeft w:val="0"/>
                  <w:marRight w:val="0"/>
                  <w:marTop w:val="0"/>
                  <w:marBottom w:val="0"/>
                  <w:divBdr>
                    <w:top w:val="single" w:sz="2" w:space="0" w:color="D9D9E3"/>
                    <w:left w:val="single" w:sz="2" w:space="0" w:color="D9D9E3"/>
                    <w:bottom w:val="single" w:sz="2" w:space="0" w:color="D9D9E3"/>
                    <w:right w:val="single" w:sz="2" w:space="0" w:color="D9D9E3"/>
                  </w:divBdr>
                  <w:divsChild>
                    <w:div w:id="1129785608">
                      <w:marLeft w:val="0"/>
                      <w:marRight w:val="0"/>
                      <w:marTop w:val="0"/>
                      <w:marBottom w:val="0"/>
                      <w:divBdr>
                        <w:top w:val="single" w:sz="2" w:space="0" w:color="D9D9E3"/>
                        <w:left w:val="single" w:sz="2" w:space="0" w:color="D9D9E3"/>
                        <w:bottom w:val="single" w:sz="2" w:space="0" w:color="D9D9E3"/>
                        <w:right w:val="single" w:sz="2" w:space="0" w:color="D9D9E3"/>
                      </w:divBdr>
                      <w:divsChild>
                        <w:div w:id="1134712212">
                          <w:marLeft w:val="0"/>
                          <w:marRight w:val="0"/>
                          <w:marTop w:val="0"/>
                          <w:marBottom w:val="0"/>
                          <w:divBdr>
                            <w:top w:val="single" w:sz="2" w:space="0" w:color="D9D9E3"/>
                            <w:left w:val="single" w:sz="2" w:space="0" w:color="D9D9E3"/>
                            <w:bottom w:val="single" w:sz="2" w:space="0" w:color="D9D9E3"/>
                            <w:right w:val="single" w:sz="2" w:space="0" w:color="D9D9E3"/>
                          </w:divBdr>
                          <w:divsChild>
                            <w:div w:id="1770152228">
                              <w:marLeft w:val="0"/>
                              <w:marRight w:val="0"/>
                              <w:marTop w:val="0"/>
                              <w:marBottom w:val="0"/>
                              <w:divBdr>
                                <w:top w:val="single" w:sz="2" w:space="0" w:color="D9D9E3"/>
                                <w:left w:val="single" w:sz="2" w:space="0" w:color="D9D9E3"/>
                                <w:bottom w:val="single" w:sz="2" w:space="0" w:color="D9D9E3"/>
                                <w:right w:val="single" w:sz="2" w:space="0" w:color="D9D9E3"/>
                              </w:divBdr>
                              <w:divsChild>
                                <w:div w:id="1867018000">
                                  <w:marLeft w:val="0"/>
                                  <w:marRight w:val="0"/>
                                  <w:marTop w:val="0"/>
                                  <w:marBottom w:val="0"/>
                                  <w:divBdr>
                                    <w:top w:val="single" w:sz="2" w:space="0" w:color="D9D9E3"/>
                                    <w:left w:val="single" w:sz="2" w:space="0" w:color="D9D9E3"/>
                                    <w:bottom w:val="single" w:sz="2" w:space="0" w:color="D9D9E3"/>
                                    <w:right w:val="single" w:sz="2" w:space="0" w:color="D9D9E3"/>
                                  </w:divBdr>
                                  <w:divsChild>
                                    <w:div w:id="4348629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69379211">
          <w:marLeft w:val="0"/>
          <w:marRight w:val="0"/>
          <w:marTop w:val="0"/>
          <w:marBottom w:val="0"/>
          <w:divBdr>
            <w:top w:val="single" w:sz="2" w:space="0" w:color="auto"/>
            <w:left w:val="single" w:sz="2" w:space="0" w:color="auto"/>
            <w:bottom w:val="single" w:sz="6" w:space="0" w:color="auto"/>
            <w:right w:val="single" w:sz="2" w:space="0" w:color="auto"/>
          </w:divBdr>
          <w:divsChild>
            <w:div w:id="424500341">
              <w:marLeft w:val="0"/>
              <w:marRight w:val="0"/>
              <w:marTop w:val="100"/>
              <w:marBottom w:val="100"/>
              <w:divBdr>
                <w:top w:val="single" w:sz="2" w:space="0" w:color="D9D9E3"/>
                <w:left w:val="single" w:sz="2" w:space="0" w:color="D9D9E3"/>
                <w:bottom w:val="single" w:sz="2" w:space="0" w:color="D9D9E3"/>
                <w:right w:val="single" w:sz="2" w:space="0" w:color="D9D9E3"/>
              </w:divBdr>
              <w:divsChild>
                <w:div w:id="1272856551">
                  <w:marLeft w:val="0"/>
                  <w:marRight w:val="0"/>
                  <w:marTop w:val="0"/>
                  <w:marBottom w:val="0"/>
                  <w:divBdr>
                    <w:top w:val="single" w:sz="2" w:space="0" w:color="D9D9E3"/>
                    <w:left w:val="single" w:sz="2" w:space="0" w:color="D9D9E3"/>
                    <w:bottom w:val="single" w:sz="2" w:space="0" w:color="D9D9E3"/>
                    <w:right w:val="single" w:sz="2" w:space="0" w:color="D9D9E3"/>
                  </w:divBdr>
                  <w:divsChild>
                    <w:div w:id="423310612">
                      <w:marLeft w:val="0"/>
                      <w:marRight w:val="0"/>
                      <w:marTop w:val="0"/>
                      <w:marBottom w:val="0"/>
                      <w:divBdr>
                        <w:top w:val="single" w:sz="2" w:space="0" w:color="D9D9E3"/>
                        <w:left w:val="single" w:sz="2" w:space="0" w:color="D9D9E3"/>
                        <w:bottom w:val="single" w:sz="2" w:space="0" w:color="D9D9E3"/>
                        <w:right w:val="single" w:sz="2" w:space="0" w:color="D9D9E3"/>
                      </w:divBdr>
                      <w:divsChild>
                        <w:div w:id="606163013">
                          <w:marLeft w:val="0"/>
                          <w:marRight w:val="0"/>
                          <w:marTop w:val="0"/>
                          <w:marBottom w:val="0"/>
                          <w:divBdr>
                            <w:top w:val="single" w:sz="2" w:space="0" w:color="D9D9E3"/>
                            <w:left w:val="single" w:sz="2" w:space="0" w:color="D9D9E3"/>
                            <w:bottom w:val="single" w:sz="2" w:space="0" w:color="D9D9E3"/>
                            <w:right w:val="single" w:sz="2" w:space="0" w:color="D9D9E3"/>
                          </w:divBdr>
                          <w:divsChild>
                            <w:div w:id="1977299082">
                              <w:marLeft w:val="0"/>
                              <w:marRight w:val="0"/>
                              <w:marTop w:val="0"/>
                              <w:marBottom w:val="0"/>
                              <w:divBdr>
                                <w:top w:val="single" w:sz="2" w:space="0" w:color="D9D9E3"/>
                                <w:left w:val="single" w:sz="2" w:space="0" w:color="D9D9E3"/>
                                <w:bottom w:val="single" w:sz="2" w:space="0" w:color="D9D9E3"/>
                                <w:right w:val="single" w:sz="2" w:space="0" w:color="D9D9E3"/>
                              </w:divBdr>
                              <w:divsChild>
                                <w:div w:id="132797702">
                                  <w:marLeft w:val="0"/>
                                  <w:marRight w:val="0"/>
                                  <w:marTop w:val="0"/>
                                  <w:marBottom w:val="0"/>
                                  <w:divBdr>
                                    <w:top w:val="single" w:sz="2" w:space="0" w:color="D9D9E3"/>
                                    <w:left w:val="single" w:sz="2" w:space="0" w:color="D9D9E3"/>
                                    <w:bottom w:val="single" w:sz="2" w:space="0" w:color="D9D9E3"/>
                                    <w:right w:val="single" w:sz="2" w:space="0" w:color="D9D9E3"/>
                                  </w:divBdr>
                                  <w:divsChild>
                                    <w:div w:id="13080465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48281723">
                      <w:marLeft w:val="0"/>
                      <w:marRight w:val="0"/>
                      <w:marTop w:val="0"/>
                      <w:marBottom w:val="0"/>
                      <w:divBdr>
                        <w:top w:val="single" w:sz="2" w:space="0" w:color="D9D9E3"/>
                        <w:left w:val="single" w:sz="2" w:space="0" w:color="D9D9E3"/>
                        <w:bottom w:val="single" w:sz="2" w:space="0" w:color="D9D9E3"/>
                        <w:right w:val="single" w:sz="2" w:space="0" w:color="D9D9E3"/>
                      </w:divBdr>
                      <w:divsChild>
                        <w:div w:id="1931544100">
                          <w:marLeft w:val="0"/>
                          <w:marRight w:val="0"/>
                          <w:marTop w:val="0"/>
                          <w:marBottom w:val="0"/>
                          <w:divBdr>
                            <w:top w:val="single" w:sz="2" w:space="0" w:color="D9D9E3"/>
                            <w:left w:val="single" w:sz="2" w:space="0" w:color="D9D9E3"/>
                            <w:bottom w:val="single" w:sz="2" w:space="0" w:color="D9D9E3"/>
                            <w:right w:val="single" w:sz="2" w:space="0" w:color="D9D9E3"/>
                          </w:divBdr>
                          <w:divsChild>
                            <w:div w:id="306909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25657219">
          <w:marLeft w:val="0"/>
          <w:marRight w:val="0"/>
          <w:marTop w:val="0"/>
          <w:marBottom w:val="0"/>
          <w:divBdr>
            <w:top w:val="single" w:sz="2" w:space="0" w:color="auto"/>
            <w:left w:val="single" w:sz="2" w:space="0" w:color="auto"/>
            <w:bottom w:val="single" w:sz="6" w:space="0" w:color="auto"/>
            <w:right w:val="single" w:sz="2" w:space="0" w:color="auto"/>
          </w:divBdr>
          <w:divsChild>
            <w:div w:id="730008681">
              <w:marLeft w:val="0"/>
              <w:marRight w:val="0"/>
              <w:marTop w:val="100"/>
              <w:marBottom w:val="100"/>
              <w:divBdr>
                <w:top w:val="single" w:sz="2" w:space="0" w:color="D9D9E3"/>
                <w:left w:val="single" w:sz="2" w:space="0" w:color="D9D9E3"/>
                <w:bottom w:val="single" w:sz="2" w:space="0" w:color="D9D9E3"/>
                <w:right w:val="single" w:sz="2" w:space="0" w:color="D9D9E3"/>
              </w:divBdr>
              <w:divsChild>
                <w:div w:id="1955549431">
                  <w:marLeft w:val="0"/>
                  <w:marRight w:val="0"/>
                  <w:marTop w:val="0"/>
                  <w:marBottom w:val="0"/>
                  <w:divBdr>
                    <w:top w:val="single" w:sz="2" w:space="0" w:color="D9D9E3"/>
                    <w:left w:val="single" w:sz="2" w:space="0" w:color="D9D9E3"/>
                    <w:bottom w:val="single" w:sz="2" w:space="0" w:color="D9D9E3"/>
                    <w:right w:val="single" w:sz="2" w:space="0" w:color="D9D9E3"/>
                  </w:divBdr>
                  <w:divsChild>
                    <w:div w:id="673529370">
                      <w:marLeft w:val="0"/>
                      <w:marRight w:val="0"/>
                      <w:marTop w:val="0"/>
                      <w:marBottom w:val="0"/>
                      <w:divBdr>
                        <w:top w:val="single" w:sz="2" w:space="0" w:color="D9D9E3"/>
                        <w:left w:val="single" w:sz="2" w:space="0" w:color="D9D9E3"/>
                        <w:bottom w:val="single" w:sz="2" w:space="0" w:color="D9D9E3"/>
                        <w:right w:val="single" w:sz="2" w:space="0" w:color="D9D9E3"/>
                      </w:divBdr>
                      <w:divsChild>
                        <w:div w:id="560407022">
                          <w:marLeft w:val="0"/>
                          <w:marRight w:val="0"/>
                          <w:marTop w:val="0"/>
                          <w:marBottom w:val="0"/>
                          <w:divBdr>
                            <w:top w:val="single" w:sz="2" w:space="0" w:color="D9D9E3"/>
                            <w:left w:val="single" w:sz="2" w:space="0" w:color="D9D9E3"/>
                            <w:bottom w:val="single" w:sz="2" w:space="0" w:color="D9D9E3"/>
                            <w:right w:val="single" w:sz="2" w:space="0" w:color="D9D9E3"/>
                          </w:divBdr>
                          <w:divsChild>
                            <w:div w:id="6792381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97349719">
                      <w:marLeft w:val="0"/>
                      <w:marRight w:val="0"/>
                      <w:marTop w:val="0"/>
                      <w:marBottom w:val="0"/>
                      <w:divBdr>
                        <w:top w:val="single" w:sz="2" w:space="0" w:color="D9D9E3"/>
                        <w:left w:val="single" w:sz="2" w:space="0" w:color="D9D9E3"/>
                        <w:bottom w:val="single" w:sz="2" w:space="0" w:color="D9D9E3"/>
                        <w:right w:val="single" w:sz="2" w:space="0" w:color="D9D9E3"/>
                      </w:divBdr>
                      <w:divsChild>
                        <w:div w:id="996229476">
                          <w:marLeft w:val="0"/>
                          <w:marRight w:val="0"/>
                          <w:marTop w:val="0"/>
                          <w:marBottom w:val="0"/>
                          <w:divBdr>
                            <w:top w:val="single" w:sz="2" w:space="0" w:color="D9D9E3"/>
                            <w:left w:val="single" w:sz="2" w:space="0" w:color="D9D9E3"/>
                            <w:bottom w:val="single" w:sz="2" w:space="0" w:color="D9D9E3"/>
                            <w:right w:val="single" w:sz="2" w:space="0" w:color="D9D9E3"/>
                          </w:divBdr>
                          <w:divsChild>
                            <w:div w:id="62721453">
                              <w:marLeft w:val="0"/>
                              <w:marRight w:val="0"/>
                              <w:marTop w:val="0"/>
                              <w:marBottom w:val="0"/>
                              <w:divBdr>
                                <w:top w:val="single" w:sz="2" w:space="0" w:color="D9D9E3"/>
                                <w:left w:val="single" w:sz="2" w:space="0" w:color="D9D9E3"/>
                                <w:bottom w:val="single" w:sz="2" w:space="0" w:color="D9D9E3"/>
                                <w:right w:val="single" w:sz="2" w:space="0" w:color="D9D9E3"/>
                              </w:divBdr>
                              <w:divsChild>
                                <w:div w:id="1369994121">
                                  <w:marLeft w:val="0"/>
                                  <w:marRight w:val="0"/>
                                  <w:marTop w:val="0"/>
                                  <w:marBottom w:val="0"/>
                                  <w:divBdr>
                                    <w:top w:val="single" w:sz="2" w:space="0" w:color="D9D9E3"/>
                                    <w:left w:val="single" w:sz="2" w:space="0" w:color="D9D9E3"/>
                                    <w:bottom w:val="single" w:sz="2" w:space="0" w:color="D9D9E3"/>
                                    <w:right w:val="single" w:sz="2" w:space="0" w:color="D9D9E3"/>
                                  </w:divBdr>
                                  <w:divsChild>
                                    <w:div w:id="19372088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66894902">
          <w:marLeft w:val="0"/>
          <w:marRight w:val="0"/>
          <w:marTop w:val="0"/>
          <w:marBottom w:val="0"/>
          <w:divBdr>
            <w:top w:val="single" w:sz="2" w:space="0" w:color="auto"/>
            <w:left w:val="single" w:sz="2" w:space="0" w:color="auto"/>
            <w:bottom w:val="single" w:sz="6" w:space="0" w:color="auto"/>
            <w:right w:val="single" w:sz="2" w:space="0" w:color="auto"/>
          </w:divBdr>
          <w:divsChild>
            <w:div w:id="965232152">
              <w:marLeft w:val="0"/>
              <w:marRight w:val="0"/>
              <w:marTop w:val="100"/>
              <w:marBottom w:val="100"/>
              <w:divBdr>
                <w:top w:val="single" w:sz="2" w:space="0" w:color="D9D9E3"/>
                <w:left w:val="single" w:sz="2" w:space="0" w:color="D9D9E3"/>
                <w:bottom w:val="single" w:sz="2" w:space="0" w:color="D9D9E3"/>
                <w:right w:val="single" w:sz="2" w:space="0" w:color="D9D9E3"/>
              </w:divBdr>
              <w:divsChild>
                <w:div w:id="1473525895">
                  <w:marLeft w:val="0"/>
                  <w:marRight w:val="0"/>
                  <w:marTop w:val="0"/>
                  <w:marBottom w:val="0"/>
                  <w:divBdr>
                    <w:top w:val="single" w:sz="2" w:space="0" w:color="D9D9E3"/>
                    <w:left w:val="single" w:sz="2" w:space="0" w:color="D9D9E3"/>
                    <w:bottom w:val="single" w:sz="2" w:space="0" w:color="D9D9E3"/>
                    <w:right w:val="single" w:sz="2" w:space="0" w:color="D9D9E3"/>
                  </w:divBdr>
                  <w:divsChild>
                    <w:div w:id="1032072442">
                      <w:marLeft w:val="0"/>
                      <w:marRight w:val="0"/>
                      <w:marTop w:val="0"/>
                      <w:marBottom w:val="0"/>
                      <w:divBdr>
                        <w:top w:val="single" w:sz="2" w:space="0" w:color="D9D9E3"/>
                        <w:left w:val="single" w:sz="2" w:space="0" w:color="D9D9E3"/>
                        <w:bottom w:val="single" w:sz="2" w:space="0" w:color="D9D9E3"/>
                        <w:right w:val="single" w:sz="2" w:space="0" w:color="D9D9E3"/>
                      </w:divBdr>
                      <w:divsChild>
                        <w:div w:id="518201588">
                          <w:marLeft w:val="0"/>
                          <w:marRight w:val="0"/>
                          <w:marTop w:val="0"/>
                          <w:marBottom w:val="0"/>
                          <w:divBdr>
                            <w:top w:val="single" w:sz="2" w:space="0" w:color="D9D9E3"/>
                            <w:left w:val="single" w:sz="2" w:space="0" w:color="D9D9E3"/>
                            <w:bottom w:val="single" w:sz="2" w:space="0" w:color="D9D9E3"/>
                            <w:right w:val="single" w:sz="2" w:space="0" w:color="D9D9E3"/>
                          </w:divBdr>
                          <w:divsChild>
                            <w:div w:id="8985953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11241634">
                      <w:marLeft w:val="0"/>
                      <w:marRight w:val="0"/>
                      <w:marTop w:val="0"/>
                      <w:marBottom w:val="0"/>
                      <w:divBdr>
                        <w:top w:val="single" w:sz="2" w:space="0" w:color="D9D9E3"/>
                        <w:left w:val="single" w:sz="2" w:space="0" w:color="D9D9E3"/>
                        <w:bottom w:val="single" w:sz="2" w:space="0" w:color="D9D9E3"/>
                        <w:right w:val="single" w:sz="2" w:space="0" w:color="D9D9E3"/>
                      </w:divBdr>
                      <w:divsChild>
                        <w:div w:id="1686592146">
                          <w:marLeft w:val="0"/>
                          <w:marRight w:val="0"/>
                          <w:marTop w:val="0"/>
                          <w:marBottom w:val="0"/>
                          <w:divBdr>
                            <w:top w:val="single" w:sz="2" w:space="0" w:color="D9D9E3"/>
                            <w:left w:val="single" w:sz="2" w:space="0" w:color="D9D9E3"/>
                            <w:bottom w:val="single" w:sz="2" w:space="0" w:color="D9D9E3"/>
                            <w:right w:val="single" w:sz="2" w:space="0" w:color="D9D9E3"/>
                          </w:divBdr>
                          <w:divsChild>
                            <w:div w:id="181482045">
                              <w:marLeft w:val="0"/>
                              <w:marRight w:val="0"/>
                              <w:marTop w:val="0"/>
                              <w:marBottom w:val="0"/>
                              <w:divBdr>
                                <w:top w:val="single" w:sz="2" w:space="0" w:color="D9D9E3"/>
                                <w:left w:val="single" w:sz="2" w:space="0" w:color="D9D9E3"/>
                                <w:bottom w:val="single" w:sz="2" w:space="0" w:color="D9D9E3"/>
                                <w:right w:val="single" w:sz="2" w:space="0" w:color="D9D9E3"/>
                              </w:divBdr>
                              <w:divsChild>
                                <w:div w:id="1912306076">
                                  <w:marLeft w:val="0"/>
                                  <w:marRight w:val="0"/>
                                  <w:marTop w:val="0"/>
                                  <w:marBottom w:val="0"/>
                                  <w:divBdr>
                                    <w:top w:val="single" w:sz="2" w:space="0" w:color="D9D9E3"/>
                                    <w:left w:val="single" w:sz="2" w:space="0" w:color="D9D9E3"/>
                                    <w:bottom w:val="single" w:sz="2" w:space="0" w:color="D9D9E3"/>
                                    <w:right w:val="single" w:sz="2" w:space="0" w:color="D9D9E3"/>
                                  </w:divBdr>
                                  <w:divsChild>
                                    <w:div w:id="19885094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68285096">
          <w:marLeft w:val="0"/>
          <w:marRight w:val="0"/>
          <w:marTop w:val="0"/>
          <w:marBottom w:val="0"/>
          <w:divBdr>
            <w:top w:val="single" w:sz="2" w:space="0" w:color="auto"/>
            <w:left w:val="single" w:sz="2" w:space="0" w:color="auto"/>
            <w:bottom w:val="single" w:sz="6" w:space="0" w:color="auto"/>
            <w:right w:val="single" w:sz="2" w:space="0" w:color="auto"/>
          </w:divBdr>
          <w:divsChild>
            <w:div w:id="1574436911">
              <w:marLeft w:val="0"/>
              <w:marRight w:val="0"/>
              <w:marTop w:val="100"/>
              <w:marBottom w:val="100"/>
              <w:divBdr>
                <w:top w:val="single" w:sz="2" w:space="0" w:color="D9D9E3"/>
                <w:left w:val="single" w:sz="2" w:space="0" w:color="D9D9E3"/>
                <w:bottom w:val="single" w:sz="2" w:space="0" w:color="D9D9E3"/>
                <w:right w:val="single" w:sz="2" w:space="0" w:color="D9D9E3"/>
              </w:divBdr>
              <w:divsChild>
                <w:div w:id="1702438293">
                  <w:marLeft w:val="0"/>
                  <w:marRight w:val="0"/>
                  <w:marTop w:val="0"/>
                  <w:marBottom w:val="0"/>
                  <w:divBdr>
                    <w:top w:val="single" w:sz="2" w:space="0" w:color="D9D9E3"/>
                    <w:left w:val="single" w:sz="2" w:space="0" w:color="D9D9E3"/>
                    <w:bottom w:val="single" w:sz="2" w:space="0" w:color="D9D9E3"/>
                    <w:right w:val="single" w:sz="2" w:space="0" w:color="D9D9E3"/>
                  </w:divBdr>
                  <w:divsChild>
                    <w:div w:id="794756680">
                      <w:marLeft w:val="0"/>
                      <w:marRight w:val="0"/>
                      <w:marTop w:val="0"/>
                      <w:marBottom w:val="0"/>
                      <w:divBdr>
                        <w:top w:val="single" w:sz="2" w:space="0" w:color="D9D9E3"/>
                        <w:left w:val="single" w:sz="2" w:space="0" w:color="D9D9E3"/>
                        <w:bottom w:val="single" w:sz="2" w:space="0" w:color="D9D9E3"/>
                        <w:right w:val="single" w:sz="2" w:space="0" w:color="D9D9E3"/>
                      </w:divBdr>
                      <w:divsChild>
                        <w:div w:id="278729801">
                          <w:marLeft w:val="0"/>
                          <w:marRight w:val="0"/>
                          <w:marTop w:val="0"/>
                          <w:marBottom w:val="0"/>
                          <w:divBdr>
                            <w:top w:val="single" w:sz="2" w:space="0" w:color="D9D9E3"/>
                            <w:left w:val="single" w:sz="2" w:space="0" w:color="D9D9E3"/>
                            <w:bottom w:val="single" w:sz="2" w:space="0" w:color="D9D9E3"/>
                            <w:right w:val="single" w:sz="2" w:space="0" w:color="D9D9E3"/>
                          </w:divBdr>
                          <w:divsChild>
                            <w:div w:id="662508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01691030">
                      <w:marLeft w:val="0"/>
                      <w:marRight w:val="0"/>
                      <w:marTop w:val="0"/>
                      <w:marBottom w:val="0"/>
                      <w:divBdr>
                        <w:top w:val="single" w:sz="2" w:space="0" w:color="D9D9E3"/>
                        <w:left w:val="single" w:sz="2" w:space="0" w:color="D9D9E3"/>
                        <w:bottom w:val="single" w:sz="2" w:space="0" w:color="D9D9E3"/>
                        <w:right w:val="single" w:sz="2" w:space="0" w:color="D9D9E3"/>
                      </w:divBdr>
                      <w:divsChild>
                        <w:div w:id="1095204449">
                          <w:marLeft w:val="0"/>
                          <w:marRight w:val="0"/>
                          <w:marTop w:val="0"/>
                          <w:marBottom w:val="0"/>
                          <w:divBdr>
                            <w:top w:val="single" w:sz="2" w:space="0" w:color="D9D9E3"/>
                            <w:left w:val="single" w:sz="2" w:space="0" w:color="D9D9E3"/>
                            <w:bottom w:val="single" w:sz="2" w:space="0" w:color="D9D9E3"/>
                            <w:right w:val="single" w:sz="2" w:space="0" w:color="D9D9E3"/>
                          </w:divBdr>
                          <w:divsChild>
                            <w:div w:id="1021470058">
                              <w:marLeft w:val="0"/>
                              <w:marRight w:val="0"/>
                              <w:marTop w:val="0"/>
                              <w:marBottom w:val="0"/>
                              <w:divBdr>
                                <w:top w:val="single" w:sz="2" w:space="0" w:color="D9D9E3"/>
                                <w:left w:val="single" w:sz="2" w:space="0" w:color="D9D9E3"/>
                                <w:bottom w:val="single" w:sz="2" w:space="0" w:color="D9D9E3"/>
                                <w:right w:val="single" w:sz="2" w:space="0" w:color="D9D9E3"/>
                              </w:divBdr>
                              <w:divsChild>
                                <w:div w:id="251473428">
                                  <w:marLeft w:val="0"/>
                                  <w:marRight w:val="0"/>
                                  <w:marTop w:val="0"/>
                                  <w:marBottom w:val="0"/>
                                  <w:divBdr>
                                    <w:top w:val="single" w:sz="2" w:space="0" w:color="D9D9E3"/>
                                    <w:left w:val="single" w:sz="2" w:space="0" w:color="D9D9E3"/>
                                    <w:bottom w:val="single" w:sz="2" w:space="0" w:color="D9D9E3"/>
                                    <w:right w:val="single" w:sz="2" w:space="0" w:color="D9D9E3"/>
                                  </w:divBdr>
                                  <w:divsChild>
                                    <w:div w:id="1903515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85269014">
          <w:marLeft w:val="0"/>
          <w:marRight w:val="0"/>
          <w:marTop w:val="0"/>
          <w:marBottom w:val="0"/>
          <w:divBdr>
            <w:top w:val="single" w:sz="2" w:space="0" w:color="auto"/>
            <w:left w:val="single" w:sz="2" w:space="0" w:color="auto"/>
            <w:bottom w:val="single" w:sz="6" w:space="0" w:color="auto"/>
            <w:right w:val="single" w:sz="2" w:space="0" w:color="auto"/>
          </w:divBdr>
          <w:divsChild>
            <w:div w:id="597063205">
              <w:marLeft w:val="0"/>
              <w:marRight w:val="0"/>
              <w:marTop w:val="100"/>
              <w:marBottom w:val="100"/>
              <w:divBdr>
                <w:top w:val="single" w:sz="2" w:space="0" w:color="D9D9E3"/>
                <w:left w:val="single" w:sz="2" w:space="0" w:color="D9D9E3"/>
                <w:bottom w:val="single" w:sz="2" w:space="0" w:color="D9D9E3"/>
                <w:right w:val="single" w:sz="2" w:space="0" w:color="D9D9E3"/>
              </w:divBdr>
              <w:divsChild>
                <w:div w:id="336427010">
                  <w:marLeft w:val="0"/>
                  <w:marRight w:val="0"/>
                  <w:marTop w:val="0"/>
                  <w:marBottom w:val="0"/>
                  <w:divBdr>
                    <w:top w:val="single" w:sz="2" w:space="0" w:color="D9D9E3"/>
                    <w:left w:val="single" w:sz="2" w:space="0" w:color="D9D9E3"/>
                    <w:bottom w:val="single" w:sz="2" w:space="0" w:color="D9D9E3"/>
                    <w:right w:val="single" w:sz="2" w:space="0" w:color="D9D9E3"/>
                  </w:divBdr>
                  <w:divsChild>
                    <w:div w:id="497766022">
                      <w:marLeft w:val="0"/>
                      <w:marRight w:val="0"/>
                      <w:marTop w:val="0"/>
                      <w:marBottom w:val="0"/>
                      <w:divBdr>
                        <w:top w:val="single" w:sz="2" w:space="0" w:color="D9D9E3"/>
                        <w:left w:val="single" w:sz="2" w:space="0" w:color="D9D9E3"/>
                        <w:bottom w:val="single" w:sz="2" w:space="0" w:color="D9D9E3"/>
                        <w:right w:val="single" w:sz="2" w:space="0" w:color="D9D9E3"/>
                      </w:divBdr>
                      <w:divsChild>
                        <w:div w:id="2058239872">
                          <w:marLeft w:val="0"/>
                          <w:marRight w:val="0"/>
                          <w:marTop w:val="0"/>
                          <w:marBottom w:val="0"/>
                          <w:divBdr>
                            <w:top w:val="single" w:sz="2" w:space="0" w:color="D9D9E3"/>
                            <w:left w:val="single" w:sz="2" w:space="0" w:color="D9D9E3"/>
                            <w:bottom w:val="single" w:sz="2" w:space="0" w:color="D9D9E3"/>
                            <w:right w:val="single" w:sz="2" w:space="0" w:color="D9D9E3"/>
                          </w:divBdr>
                          <w:divsChild>
                            <w:div w:id="7734030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08150055">
                      <w:marLeft w:val="0"/>
                      <w:marRight w:val="0"/>
                      <w:marTop w:val="0"/>
                      <w:marBottom w:val="0"/>
                      <w:divBdr>
                        <w:top w:val="single" w:sz="2" w:space="0" w:color="D9D9E3"/>
                        <w:left w:val="single" w:sz="2" w:space="0" w:color="D9D9E3"/>
                        <w:bottom w:val="single" w:sz="2" w:space="0" w:color="D9D9E3"/>
                        <w:right w:val="single" w:sz="2" w:space="0" w:color="D9D9E3"/>
                      </w:divBdr>
                      <w:divsChild>
                        <w:div w:id="1361662700">
                          <w:marLeft w:val="0"/>
                          <w:marRight w:val="0"/>
                          <w:marTop w:val="0"/>
                          <w:marBottom w:val="0"/>
                          <w:divBdr>
                            <w:top w:val="single" w:sz="2" w:space="0" w:color="D9D9E3"/>
                            <w:left w:val="single" w:sz="2" w:space="0" w:color="D9D9E3"/>
                            <w:bottom w:val="single" w:sz="2" w:space="0" w:color="D9D9E3"/>
                            <w:right w:val="single" w:sz="2" w:space="0" w:color="D9D9E3"/>
                          </w:divBdr>
                          <w:divsChild>
                            <w:div w:id="1873952321">
                              <w:marLeft w:val="0"/>
                              <w:marRight w:val="0"/>
                              <w:marTop w:val="0"/>
                              <w:marBottom w:val="0"/>
                              <w:divBdr>
                                <w:top w:val="single" w:sz="2" w:space="0" w:color="D9D9E3"/>
                                <w:left w:val="single" w:sz="2" w:space="0" w:color="D9D9E3"/>
                                <w:bottom w:val="single" w:sz="2" w:space="0" w:color="D9D9E3"/>
                                <w:right w:val="single" w:sz="2" w:space="0" w:color="D9D9E3"/>
                              </w:divBdr>
                              <w:divsChild>
                                <w:div w:id="1322927535">
                                  <w:marLeft w:val="0"/>
                                  <w:marRight w:val="0"/>
                                  <w:marTop w:val="0"/>
                                  <w:marBottom w:val="0"/>
                                  <w:divBdr>
                                    <w:top w:val="single" w:sz="2" w:space="0" w:color="D9D9E3"/>
                                    <w:left w:val="single" w:sz="2" w:space="0" w:color="D9D9E3"/>
                                    <w:bottom w:val="single" w:sz="2" w:space="0" w:color="D9D9E3"/>
                                    <w:right w:val="single" w:sz="2" w:space="0" w:color="D9D9E3"/>
                                  </w:divBdr>
                                  <w:divsChild>
                                    <w:div w:id="217909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71962959">
          <w:marLeft w:val="0"/>
          <w:marRight w:val="0"/>
          <w:marTop w:val="0"/>
          <w:marBottom w:val="0"/>
          <w:divBdr>
            <w:top w:val="single" w:sz="2" w:space="0" w:color="auto"/>
            <w:left w:val="single" w:sz="2" w:space="0" w:color="auto"/>
            <w:bottom w:val="single" w:sz="6" w:space="0" w:color="auto"/>
            <w:right w:val="single" w:sz="2" w:space="0" w:color="auto"/>
          </w:divBdr>
          <w:divsChild>
            <w:div w:id="1673291662">
              <w:marLeft w:val="0"/>
              <w:marRight w:val="0"/>
              <w:marTop w:val="100"/>
              <w:marBottom w:val="100"/>
              <w:divBdr>
                <w:top w:val="single" w:sz="2" w:space="0" w:color="D9D9E3"/>
                <w:left w:val="single" w:sz="2" w:space="0" w:color="D9D9E3"/>
                <w:bottom w:val="single" w:sz="2" w:space="0" w:color="D9D9E3"/>
                <w:right w:val="single" w:sz="2" w:space="0" w:color="D9D9E3"/>
              </w:divBdr>
              <w:divsChild>
                <w:div w:id="1301688993">
                  <w:marLeft w:val="0"/>
                  <w:marRight w:val="0"/>
                  <w:marTop w:val="0"/>
                  <w:marBottom w:val="0"/>
                  <w:divBdr>
                    <w:top w:val="single" w:sz="2" w:space="0" w:color="D9D9E3"/>
                    <w:left w:val="single" w:sz="2" w:space="0" w:color="D9D9E3"/>
                    <w:bottom w:val="single" w:sz="2" w:space="0" w:color="D9D9E3"/>
                    <w:right w:val="single" w:sz="2" w:space="0" w:color="D9D9E3"/>
                  </w:divBdr>
                  <w:divsChild>
                    <w:div w:id="1858302838">
                      <w:marLeft w:val="0"/>
                      <w:marRight w:val="0"/>
                      <w:marTop w:val="0"/>
                      <w:marBottom w:val="0"/>
                      <w:divBdr>
                        <w:top w:val="single" w:sz="2" w:space="0" w:color="D9D9E3"/>
                        <w:left w:val="single" w:sz="2" w:space="0" w:color="D9D9E3"/>
                        <w:bottom w:val="single" w:sz="2" w:space="0" w:color="D9D9E3"/>
                        <w:right w:val="single" w:sz="2" w:space="0" w:color="D9D9E3"/>
                      </w:divBdr>
                      <w:divsChild>
                        <w:div w:id="503863258">
                          <w:marLeft w:val="0"/>
                          <w:marRight w:val="0"/>
                          <w:marTop w:val="0"/>
                          <w:marBottom w:val="0"/>
                          <w:divBdr>
                            <w:top w:val="single" w:sz="2" w:space="0" w:color="D9D9E3"/>
                            <w:left w:val="single" w:sz="2" w:space="0" w:color="D9D9E3"/>
                            <w:bottom w:val="single" w:sz="2" w:space="0" w:color="D9D9E3"/>
                            <w:right w:val="single" w:sz="2" w:space="0" w:color="D9D9E3"/>
                          </w:divBdr>
                          <w:divsChild>
                            <w:div w:id="17341600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63601323">
                      <w:marLeft w:val="0"/>
                      <w:marRight w:val="0"/>
                      <w:marTop w:val="0"/>
                      <w:marBottom w:val="0"/>
                      <w:divBdr>
                        <w:top w:val="single" w:sz="2" w:space="0" w:color="D9D9E3"/>
                        <w:left w:val="single" w:sz="2" w:space="0" w:color="D9D9E3"/>
                        <w:bottom w:val="single" w:sz="2" w:space="0" w:color="D9D9E3"/>
                        <w:right w:val="single" w:sz="2" w:space="0" w:color="D9D9E3"/>
                      </w:divBdr>
                      <w:divsChild>
                        <w:div w:id="723020424">
                          <w:marLeft w:val="0"/>
                          <w:marRight w:val="0"/>
                          <w:marTop w:val="0"/>
                          <w:marBottom w:val="0"/>
                          <w:divBdr>
                            <w:top w:val="single" w:sz="2" w:space="0" w:color="D9D9E3"/>
                            <w:left w:val="single" w:sz="2" w:space="0" w:color="D9D9E3"/>
                            <w:bottom w:val="single" w:sz="2" w:space="0" w:color="D9D9E3"/>
                            <w:right w:val="single" w:sz="2" w:space="0" w:color="D9D9E3"/>
                          </w:divBdr>
                          <w:divsChild>
                            <w:div w:id="1773932056">
                              <w:marLeft w:val="0"/>
                              <w:marRight w:val="0"/>
                              <w:marTop w:val="0"/>
                              <w:marBottom w:val="0"/>
                              <w:divBdr>
                                <w:top w:val="single" w:sz="2" w:space="0" w:color="D9D9E3"/>
                                <w:left w:val="single" w:sz="2" w:space="0" w:color="D9D9E3"/>
                                <w:bottom w:val="single" w:sz="2" w:space="0" w:color="D9D9E3"/>
                                <w:right w:val="single" w:sz="2" w:space="0" w:color="D9D9E3"/>
                              </w:divBdr>
                              <w:divsChild>
                                <w:div w:id="903445552">
                                  <w:marLeft w:val="0"/>
                                  <w:marRight w:val="0"/>
                                  <w:marTop w:val="0"/>
                                  <w:marBottom w:val="0"/>
                                  <w:divBdr>
                                    <w:top w:val="single" w:sz="2" w:space="0" w:color="D9D9E3"/>
                                    <w:left w:val="single" w:sz="2" w:space="0" w:color="D9D9E3"/>
                                    <w:bottom w:val="single" w:sz="2" w:space="0" w:color="D9D9E3"/>
                                    <w:right w:val="single" w:sz="2" w:space="0" w:color="D9D9E3"/>
                                  </w:divBdr>
                                  <w:divsChild>
                                    <w:div w:id="7174322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80572391">
          <w:marLeft w:val="0"/>
          <w:marRight w:val="0"/>
          <w:marTop w:val="0"/>
          <w:marBottom w:val="0"/>
          <w:divBdr>
            <w:top w:val="single" w:sz="2" w:space="0" w:color="auto"/>
            <w:left w:val="single" w:sz="2" w:space="0" w:color="auto"/>
            <w:bottom w:val="single" w:sz="6" w:space="0" w:color="auto"/>
            <w:right w:val="single" w:sz="2" w:space="0" w:color="auto"/>
          </w:divBdr>
          <w:divsChild>
            <w:div w:id="2712472">
              <w:marLeft w:val="0"/>
              <w:marRight w:val="0"/>
              <w:marTop w:val="100"/>
              <w:marBottom w:val="100"/>
              <w:divBdr>
                <w:top w:val="single" w:sz="2" w:space="0" w:color="D9D9E3"/>
                <w:left w:val="single" w:sz="2" w:space="0" w:color="D9D9E3"/>
                <w:bottom w:val="single" w:sz="2" w:space="0" w:color="D9D9E3"/>
                <w:right w:val="single" w:sz="2" w:space="0" w:color="D9D9E3"/>
              </w:divBdr>
              <w:divsChild>
                <w:div w:id="974334368">
                  <w:marLeft w:val="0"/>
                  <w:marRight w:val="0"/>
                  <w:marTop w:val="0"/>
                  <w:marBottom w:val="0"/>
                  <w:divBdr>
                    <w:top w:val="single" w:sz="2" w:space="0" w:color="D9D9E3"/>
                    <w:left w:val="single" w:sz="2" w:space="0" w:color="D9D9E3"/>
                    <w:bottom w:val="single" w:sz="2" w:space="0" w:color="D9D9E3"/>
                    <w:right w:val="single" w:sz="2" w:space="0" w:color="D9D9E3"/>
                  </w:divBdr>
                  <w:divsChild>
                    <w:div w:id="458574177">
                      <w:marLeft w:val="0"/>
                      <w:marRight w:val="0"/>
                      <w:marTop w:val="0"/>
                      <w:marBottom w:val="0"/>
                      <w:divBdr>
                        <w:top w:val="single" w:sz="2" w:space="0" w:color="D9D9E3"/>
                        <w:left w:val="single" w:sz="2" w:space="0" w:color="D9D9E3"/>
                        <w:bottom w:val="single" w:sz="2" w:space="0" w:color="D9D9E3"/>
                        <w:right w:val="single" w:sz="2" w:space="0" w:color="D9D9E3"/>
                      </w:divBdr>
                      <w:divsChild>
                        <w:div w:id="969940281">
                          <w:marLeft w:val="0"/>
                          <w:marRight w:val="0"/>
                          <w:marTop w:val="0"/>
                          <w:marBottom w:val="0"/>
                          <w:divBdr>
                            <w:top w:val="single" w:sz="2" w:space="0" w:color="D9D9E3"/>
                            <w:left w:val="single" w:sz="2" w:space="0" w:color="D9D9E3"/>
                            <w:bottom w:val="single" w:sz="2" w:space="0" w:color="D9D9E3"/>
                            <w:right w:val="single" w:sz="2" w:space="0" w:color="D9D9E3"/>
                          </w:divBdr>
                          <w:divsChild>
                            <w:div w:id="1936983866">
                              <w:marLeft w:val="0"/>
                              <w:marRight w:val="0"/>
                              <w:marTop w:val="0"/>
                              <w:marBottom w:val="0"/>
                              <w:divBdr>
                                <w:top w:val="single" w:sz="2" w:space="0" w:color="D9D9E3"/>
                                <w:left w:val="single" w:sz="2" w:space="0" w:color="D9D9E3"/>
                                <w:bottom w:val="single" w:sz="2" w:space="0" w:color="D9D9E3"/>
                                <w:right w:val="single" w:sz="2" w:space="0" w:color="D9D9E3"/>
                              </w:divBdr>
                              <w:divsChild>
                                <w:div w:id="1284389188">
                                  <w:marLeft w:val="0"/>
                                  <w:marRight w:val="0"/>
                                  <w:marTop w:val="0"/>
                                  <w:marBottom w:val="0"/>
                                  <w:divBdr>
                                    <w:top w:val="single" w:sz="2" w:space="0" w:color="D9D9E3"/>
                                    <w:left w:val="single" w:sz="2" w:space="0" w:color="D9D9E3"/>
                                    <w:bottom w:val="single" w:sz="2" w:space="0" w:color="D9D9E3"/>
                                    <w:right w:val="single" w:sz="2" w:space="0" w:color="D9D9E3"/>
                                  </w:divBdr>
                                  <w:divsChild>
                                    <w:div w:id="10536237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72546283">
                      <w:marLeft w:val="0"/>
                      <w:marRight w:val="0"/>
                      <w:marTop w:val="0"/>
                      <w:marBottom w:val="0"/>
                      <w:divBdr>
                        <w:top w:val="single" w:sz="2" w:space="0" w:color="D9D9E3"/>
                        <w:left w:val="single" w:sz="2" w:space="0" w:color="D9D9E3"/>
                        <w:bottom w:val="single" w:sz="2" w:space="0" w:color="D9D9E3"/>
                        <w:right w:val="single" w:sz="2" w:space="0" w:color="D9D9E3"/>
                      </w:divBdr>
                      <w:divsChild>
                        <w:div w:id="479882805">
                          <w:marLeft w:val="0"/>
                          <w:marRight w:val="0"/>
                          <w:marTop w:val="0"/>
                          <w:marBottom w:val="0"/>
                          <w:divBdr>
                            <w:top w:val="single" w:sz="2" w:space="0" w:color="D9D9E3"/>
                            <w:left w:val="single" w:sz="2" w:space="0" w:color="D9D9E3"/>
                            <w:bottom w:val="single" w:sz="2" w:space="0" w:color="D9D9E3"/>
                            <w:right w:val="single" w:sz="2" w:space="0" w:color="D9D9E3"/>
                          </w:divBdr>
                          <w:divsChild>
                            <w:div w:id="18425081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68777841">
          <w:marLeft w:val="0"/>
          <w:marRight w:val="0"/>
          <w:marTop w:val="0"/>
          <w:marBottom w:val="0"/>
          <w:divBdr>
            <w:top w:val="single" w:sz="2" w:space="0" w:color="auto"/>
            <w:left w:val="single" w:sz="2" w:space="0" w:color="auto"/>
            <w:bottom w:val="single" w:sz="6" w:space="0" w:color="auto"/>
            <w:right w:val="single" w:sz="2" w:space="0" w:color="auto"/>
          </w:divBdr>
          <w:divsChild>
            <w:div w:id="177044455">
              <w:marLeft w:val="0"/>
              <w:marRight w:val="0"/>
              <w:marTop w:val="100"/>
              <w:marBottom w:val="100"/>
              <w:divBdr>
                <w:top w:val="single" w:sz="2" w:space="0" w:color="D9D9E3"/>
                <w:left w:val="single" w:sz="2" w:space="0" w:color="D9D9E3"/>
                <w:bottom w:val="single" w:sz="2" w:space="0" w:color="D9D9E3"/>
                <w:right w:val="single" w:sz="2" w:space="0" w:color="D9D9E3"/>
              </w:divBdr>
              <w:divsChild>
                <w:div w:id="566377470">
                  <w:marLeft w:val="0"/>
                  <w:marRight w:val="0"/>
                  <w:marTop w:val="0"/>
                  <w:marBottom w:val="0"/>
                  <w:divBdr>
                    <w:top w:val="single" w:sz="2" w:space="0" w:color="D9D9E3"/>
                    <w:left w:val="single" w:sz="2" w:space="0" w:color="D9D9E3"/>
                    <w:bottom w:val="single" w:sz="2" w:space="0" w:color="D9D9E3"/>
                    <w:right w:val="single" w:sz="2" w:space="0" w:color="D9D9E3"/>
                  </w:divBdr>
                  <w:divsChild>
                    <w:div w:id="219946541">
                      <w:marLeft w:val="0"/>
                      <w:marRight w:val="0"/>
                      <w:marTop w:val="0"/>
                      <w:marBottom w:val="0"/>
                      <w:divBdr>
                        <w:top w:val="single" w:sz="2" w:space="0" w:color="D9D9E3"/>
                        <w:left w:val="single" w:sz="2" w:space="0" w:color="D9D9E3"/>
                        <w:bottom w:val="single" w:sz="2" w:space="0" w:color="D9D9E3"/>
                        <w:right w:val="single" w:sz="2" w:space="0" w:color="D9D9E3"/>
                      </w:divBdr>
                      <w:divsChild>
                        <w:div w:id="1408917601">
                          <w:marLeft w:val="0"/>
                          <w:marRight w:val="0"/>
                          <w:marTop w:val="0"/>
                          <w:marBottom w:val="0"/>
                          <w:divBdr>
                            <w:top w:val="single" w:sz="2" w:space="0" w:color="D9D9E3"/>
                            <w:left w:val="single" w:sz="2" w:space="0" w:color="D9D9E3"/>
                            <w:bottom w:val="single" w:sz="2" w:space="0" w:color="D9D9E3"/>
                            <w:right w:val="single" w:sz="2" w:space="0" w:color="D9D9E3"/>
                          </w:divBdr>
                          <w:divsChild>
                            <w:div w:id="846864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13714475">
                      <w:marLeft w:val="0"/>
                      <w:marRight w:val="0"/>
                      <w:marTop w:val="0"/>
                      <w:marBottom w:val="0"/>
                      <w:divBdr>
                        <w:top w:val="single" w:sz="2" w:space="0" w:color="D9D9E3"/>
                        <w:left w:val="single" w:sz="2" w:space="0" w:color="D9D9E3"/>
                        <w:bottom w:val="single" w:sz="2" w:space="0" w:color="D9D9E3"/>
                        <w:right w:val="single" w:sz="2" w:space="0" w:color="D9D9E3"/>
                      </w:divBdr>
                      <w:divsChild>
                        <w:div w:id="1600143272">
                          <w:marLeft w:val="0"/>
                          <w:marRight w:val="0"/>
                          <w:marTop w:val="0"/>
                          <w:marBottom w:val="0"/>
                          <w:divBdr>
                            <w:top w:val="single" w:sz="2" w:space="0" w:color="D9D9E3"/>
                            <w:left w:val="single" w:sz="2" w:space="0" w:color="D9D9E3"/>
                            <w:bottom w:val="single" w:sz="2" w:space="0" w:color="D9D9E3"/>
                            <w:right w:val="single" w:sz="2" w:space="0" w:color="D9D9E3"/>
                          </w:divBdr>
                          <w:divsChild>
                            <w:div w:id="442308789">
                              <w:marLeft w:val="0"/>
                              <w:marRight w:val="0"/>
                              <w:marTop w:val="0"/>
                              <w:marBottom w:val="0"/>
                              <w:divBdr>
                                <w:top w:val="single" w:sz="2" w:space="0" w:color="D9D9E3"/>
                                <w:left w:val="single" w:sz="2" w:space="0" w:color="D9D9E3"/>
                                <w:bottom w:val="single" w:sz="2" w:space="0" w:color="D9D9E3"/>
                                <w:right w:val="single" w:sz="2" w:space="0" w:color="D9D9E3"/>
                              </w:divBdr>
                              <w:divsChild>
                                <w:div w:id="731588511">
                                  <w:marLeft w:val="0"/>
                                  <w:marRight w:val="0"/>
                                  <w:marTop w:val="0"/>
                                  <w:marBottom w:val="0"/>
                                  <w:divBdr>
                                    <w:top w:val="single" w:sz="2" w:space="0" w:color="D9D9E3"/>
                                    <w:left w:val="single" w:sz="2" w:space="0" w:color="D9D9E3"/>
                                    <w:bottom w:val="single" w:sz="2" w:space="0" w:color="D9D9E3"/>
                                    <w:right w:val="single" w:sz="2" w:space="0" w:color="D9D9E3"/>
                                  </w:divBdr>
                                  <w:divsChild>
                                    <w:div w:id="734008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03533744">
      <w:bodyDiv w:val="1"/>
      <w:marLeft w:val="0"/>
      <w:marRight w:val="0"/>
      <w:marTop w:val="0"/>
      <w:marBottom w:val="0"/>
      <w:divBdr>
        <w:top w:val="none" w:sz="0" w:space="0" w:color="auto"/>
        <w:left w:val="none" w:sz="0" w:space="0" w:color="auto"/>
        <w:bottom w:val="none" w:sz="0" w:space="0" w:color="auto"/>
        <w:right w:val="none" w:sz="0" w:space="0" w:color="auto"/>
      </w:divBdr>
    </w:div>
    <w:div w:id="1319385302">
      <w:bodyDiv w:val="1"/>
      <w:marLeft w:val="0"/>
      <w:marRight w:val="0"/>
      <w:marTop w:val="0"/>
      <w:marBottom w:val="0"/>
      <w:divBdr>
        <w:top w:val="none" w:sz="0" w:space="0" w:color="auto"/>
        <w:left w:val="none" w:sz="0" w:space="0" w:color="auto"/>
        <w:bottom w:val="none" w:sz="0" w:space="0" w:color="auto"/>
        <w:right w:val="none" w:sz="0" w:space="0" w:color="auto"/>
      </w:divBdr>
    </w:div>
    <w:div w:id="1580095666">
      <w:bodyDiv w:val="1"/>
      <w:marLeft w:val="0"/>
      <w:marRight w:val="0"/>
      <w:marTop w:val="0"/>
      <w:marBottom w:val="0"/>
      <w:divBdr>
        <w:top w:val="none" w:sz="0" w:space="0" w:color="auto"/>
        <w:left w:val="none" w:sz="0" w:space="0" w:color="auto"/>
        <w:bottom w:val="none" w:sz="0" w:space="0" w:color="auto"/>
        <w:right w:val="none" w:sz="0" w:space="0" w:color="auto"/>
      </w:divBdr>
    </w:div>
    <w:div w:id="1741172627">
      <w:bodyDiv w:val="1"/>
      <w:marLeft w:val="0"/>
      <w:marRight w:val="0"/>
      <w:marTop w:val="0"/>
      <w:marBottom w:val="0"/>
      <w:divBdr>
        <w:top w:val="none" w:sz="0" w:space="0" w:color="auto"/>
        <w:left w:val="none" w:sz="0" w:space="0" w:color="auto"/>
        <w:bottom w:val="none" w:sz="0" w:space="0" w:color="auto"/>
        <w:right w:val="none" w:sz="0" w:space="0" w:color="auto"/>
      </w:divBdr>
    </w:div>
    <w:div w:id="1892107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at.openai.com/c/b3f40709-0f62-405b-8175-be47f67fdb98" TargetMode="External"/><Relationship Id="rId13" Type="http://schemas.openxmlformats.org/officeDocument/2006/relationships/hyperlink" Target="https://chat.openai.com/c/b3f40709-0f62-405b-8175-be47f67fdb98" TargetMode="External"/><Relationship Id="rId18" Type="http://schemas.openxmlformats.org/officeDocument/2006/relationships/hyperlink" Target="https://chat.openai.com/c/b3f40709-0f62-405b-8175-be47f67fdb98" TargetMode="External"/><Relationship Id="rId3" Type="http://schemas.openxmlformats.org/officeDocument/2006/relationships/settings" Target="settings.xml"/><Relationship Id="rId7" Type="http://schemas.openxmlformats.org/officeDocument/2006/relationships/hyperlink" Target="https://chat.openai.com/c/b3f40709-0f62-405b-8175-be47f67fdb98" TargetMode="External"/><Relationship Id="rId12" Type="http://schemas.openxmlformats.org/officeDocument/2006/relationships/hyperlink" Target="https://chat.openai.com/c/b3f40709-0f62-405b-8175-be47f67fdb98" TargetMode="External"/><Relationship Id="rId17" Type="http://schemas.openxmlformats.org/officeDocument/2006/relationships/hyperlink" Target="https://chat.openai.com/c/b3f40709-0f62-405b-8175-be47f67fdb98" TargetMode="External"/><Relationship Id="rId2" Type="http://schemas.openxmlformats.org/officeDocument/2006/relationships/styles" Target="styles.xml"/><Relationship Id="rId16" Type="http://schemas.openxmlformats.org/officeDocument/2006/relationships/hyperlink" Target="https://chat.openai.com/c/b3f40709-0f62-405b-8175-be47f67fdb9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at.openai.com/c/b3f40709-0f62-405b-8175-be47f67fdb98" TargetMode="External"/><Relationship Id="rId11" Type="http://schemas.openxmlformats.org/officeDocument/2006/relationships/hyperlink" Target="https://chat.openai.com/c/b3f40709-0f62-405b-8175-be47f67fdb98" TargetMode="External"/><Relationship Id="rId5" Type="http://schemas.openxmlformats.org/officeDocument/2006/relationships/hyperlink" Target="https://chat.openai.com/c/b3f40709-0f62-405b-8175-be47f67fdb98" TargetMode="External"/><Relationship Id="rId15" Type="http://schemas.openxmlformats.org/officeDocument/2006/relationships/hyperlink" Target="https://chat.openai.com/c/b3f40709-0f62-405b-8175-be47f67fdb98" TargetMode="External"/><Relationship Id="rId10" Type="http://schemas.openxmlformats.org/officeDocument/2006/relationships/hyperlink" Target="https://chat.openai.com/c/b3f40709-0f62-405b-8175-be47f67fdb9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hat.openai.com/c/b3f40709-0f62-405b-8175-be47f67fdb98" TargetMode="External"/><Relationship Id="rId14" Type="http://schemas.openxmlformats.org/officeDocument/2006/relationships/hyperlink" Target="https://chat.openai.com/c/b3f40709-0f62-405b-8175-be47f67fdb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28</Pages>
  <Words>6861</Words>
  <Characters>39109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DISIENO</dc:creator>
  <cp:keywords/>
  <dc:description/>
  <cp:lastModifiedBy>THOMAS DISIENO</cp:lastModifiedBy>
  <cp:revision>1</cp:revision>
  <dcterms:created xsi:type="dcterms:W3CDTF">2023-10-20T22:19:00Z</dcterms:created>
  <dcterms:modified xsi:type="dcterms:W3CDTF">2023-11-11T18:03:00Z</dcterms:modified>
</cp:coreProperties>
</file>