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EB19" w14:textId="77777777" w:rsidR="00E354BA" w:rsidRDefault="00E354BA" w:rsidP="00E354BA">
      <w:proofErr w:type="gramStart"/>
      <w:r>
        <w:t>Whenaninsuredpropertyownersuffersatotalloss,insuranceadjustersfrequentlyfindthemselvesembroiledinsettlementnegotiationsandattempttolimitthecompany’spayoutbycloselyassessingdamages</w:t>
      </w:r>
      <w:proofErr w:type="gramEnd"/>
      <w:r>
        <w:t>.Whilethisassessmentplaysanimportantroleatthepre-</w:t>
      </w:r>
      <w:proofErr w:type="gramStart"/>
      <w:r>
        <w:t>lawsuitsettlementstage,itwarrantsstrategicadvocacyatthelitigationstage</w:t>
      </w:r>
      <w:proofErr w:type="gramEnd"/>
      <w:r>
        <w:t>.</w:t>
      </w:r>
    </w:p>
    <w:p w14:paraId="13B10E54" w14:textId="77777777" w:rsidR="00E354BA" w:rsidRDefault="00E354BA" w:rsidP="00E354BA">
      <w:proofErr w:type="gramStart"/>
      <w:r>
        <w:t>Considerthefollowingscenario.Twentyyearsago,WalterWindfallboughtabuildingfor$1milliontostarthislawfirm.Oneday</w:t>
      </w:r>
      <w:proofErr w:type="gramEnd"/>
      <w:r>
        <w:t>,</w:t>
      </w:r>
      <w:proofErr w:type="gramStart"/>
      <w:r>
        <w:t>thebuilding,whichWalterhadinsured</w:t>
      </w:r>
      <w:proofErr w:type="gramEnd"/>
      <w:r>
        <w:t>,</w:t>
      </w:r>
      <w:proofErr w:type="gramStart"/>
      <w:r>
        <w:t>burnstotheground.Likemanyinsurancepolicies</w:t>
      </w:r>
      <w:proofErr w:type="gramEnd"/>
      <w:r>
        <w:t>,</w:t>
      </w:r>
      <w:proofErr w:type="gramStart"/>
      <w:r>
        <w:t>Walter’spolicyallowsrecoveryoftheactualcashvalue(</w:t>
      </w:r>
      <w:proofErr w:type="gramEnd"/>
      <w:r>
        <w:t>ACV)ofhispropertybutdoesnotdefineACV.Walter’sappraisersaysthatreplacingthebuildingwillcost$3million.</w:t>
      </w:r>
    </w:p>
    <w:p w14:paraId="0A7F63BE" w14:textId="77777777" w:rsidR="00E354BA" w:rsidRDefault="00E354BA" w:rsidP="00E354BA">
      <w:proofErr w:type="gramStart"/>
      <w:r>
        <w:t>UndertheFairMarketValueRule,currentlyusedin</w:t>
      </w:r>
      <w:proofErr w:type="gramEnd"/>
      <w:r>
        <w:t>11</w:t>
      </w:r>
      <w:proofErr w:type="gramStart"/>
      <w:r>
        <w:t>states,1Walterwouldbeentitledtothedifferencebetweenthefairmarketvalueofthepropertybeforeandaftertheloss.Sincethepropertywasdestroyedentirely</w:t>
      </w:r>
      <w:proofErr w:type="gramEnd"/>
      <w:r>
        <w:t>,applyingtheFairMarketValueRulewouldovercompensateWalterbecausehewouldbegaininganentirelynewbuildingwithamuchlongerusefullife.</w:t>
      </w:r>
    </w:p>
    <w:p w14:paraId="54221E7A" w14:textId="77777777" w:rsidR="00E354BA" w:rsidRDefault="00E354BA" w:rsidP="00E354BA">
      <w:proofErr w:type="gramStart"/>
      <w:r>
        <w:t>Incontrast,undertheReplacementCostMinusDepreciationRule</w:t>
      </w:r>
      <w:proofErr w:type="gramEnd"/>
      <w:r>
        <w:t>,usedin4</w:t>
      </w:r>
      <w:proofErr w:type="gramStart"/>
      <w:r>
        <w:t>states,2thereplacementcostisreducedbythelossintheproperty’sresidualvalue.Thus</w:t>
      </w:r>
      <w:proofErr w:type="gramEnd"/>
      <w:r>
        <w:t>,ifattheendofits50-</w:t>
      </w:r>
      <w:proofErr w:type="gramStart"/>
      <w:r>
        <w:t>yearusefullife,thebuildingwouldhavehadaresidualvalueof</w:t>
      </w:r>
      <w:proofErr w:type="gramEnd"/>
      <w:r>
        <w:t>$</w:t>
      </w:r>
      <w:proofErr w:type="gramStart"/>
      <w:r>
        <w:t>200,000,thebuilding’sdepreciation</w:t>
      </w:r>
      <w:proofErr w:type="gramEnd"/>
      <w:r>
        <w:t>–thecostofthebuildingminustheresidualvalue($1million-$200,000)–wouldbe$</w:t>
      </w:r>
      <w:proofErr w:type="gramStart"/>
      <w:r>
        <w:t>800,000.ApplyingtheReplacementCostMinusDepreciationRule</w:t>
      </w:r>
      <w:proofErr w:type="gramEnd"/>
      <w:r>
        <w:t>($3million-$800,000</w:t>
      </w:r>
      <w:proofErr w:type="gramStart"/>
      <w:r>
        <w:t>),itwouldcostWalter’sinsurancecompany</w:t>
      </w:r>
      <w:proofErr w:type="gramEnd"/>
      <w:r>
        <w:t>$2.2milliontomakeWalterwhole.</w:t>
      </w:r>
    </w:p>
    <w:p w14:paraId="016463F5" w14:textId="77777777" w:rsidR="00E354BA" w:rsidRDefault="00E354BA" w:rsidP="00E354BA">
      <w:proofErr w:type="gramStart"/>
      <w:r>
        <w:t>WhilethisapproachseemssoundbecauseWalterisnotgettinganentirelynewbuilding,therearecircumstancesunderwhichthismethodwouldbeunfair</w:t>
      </w:r>
      <w:proofErr w:type="gramEnd"/>
      <w:r>
        <w:t>.</w:t>
      </w:r>
      <w:proofErr w:type="gramStart"/>
      <w:r>
        <w:t>If,forexample</w:t>
      </w:r>
      <w:proofErr w:type="gramEnd"/>
      <w:r>
        <w:t>,</w:t>
      </w:r>
      <w:proofErr w:type="gramStart"/>
      <w:r>
        <w:t>atthetimeofthefire,Walter’sbuildingwasobsolete</w:t>
      </w:r>
      <w:proofErr w:type="gramEnd"/>
      <w:r>
        <w:t>–</w:t>
      </w:r>
      <w:proofErr w:type="gramStart"/>
      <w:r>
        <w:t>thatis,ifithadverylittlevaluetoWalterforpurposesofeitheruseorsale</w:t>
      </w:r>
      <w:proofErr w:type="gramEnd"/>
      <w:r>
        <w:t>–$</w:t>
      </w:r>
      <w:proofErr w:type="gramStart"/>
      <w:r>
        <w:t>2.2millionwouldovercompensateWalter.Whenapplyingbothcalculations</w:t>
      </w:r>
      <w:proofErr w:type="gramEnd"/>
      <w:r>
        <w:t>,</w:t>
      </w:r>
      <w:proofErr w:type="gramStart"/>
      <w:r>
        <w:t>itispossiblefortheinsuredtoendupinabetterpositionafterthelossthanbeforethelossand,thus</w:t>
      </w:r>
      <w:proofErr w:type="gramEnd"/>
      <w:r>
        <w:t>,providesinsuredswithanincentivetocausealoss.</w:t>
      </w:r>
      <w:r>
        <w:t xml:space="preserve"> </w:t>
      </w:r>
      <w:r>
        <w:t>Approximately20states3haveaddressedtheseissuesbyadoptingtheBroadEvidenceRule.TheBroadEvidenceRuleoriginatedintheseminalcaseMcAnarneyv.NewarkFireIns.Co.,159N.E.902(N.Y.1928)(explainedinSRInt’lBus.Ins.Co.v.WorldTradeCenterProps.,LLC,445F.Supp.2d320,342-45(S.D.N.Y.2006)),wheretheCourtheldthatallfactorsthatbearonthevalueofthepropertyshouldbeconsideredwhendeterminingthepaymentthatwouldrestoretheinsuredtothestatusquoante.Suchfactorsincludemarketvalue,replacementcost,depreciation,originalcost,conditionoftheproperty,location,use,assessedvalueandofferstosell.TheBroadEvidenceRuleisaninclusivevaluationmethodthatallowsanyevidencethatcanestablishcorrectpropertyvalue.Specifically,theRuleallowsanaccuratedeterminationofthelossincurredwithoutovercompensatinginsureds.AlthoughmanycourtshaveusedtheRulesincethen,courtsrefrainfromreferringtoadmissi</w:t>
      </w:r>
      <w:r>
        <w:lastRenderedPageBreak/>
        <w:t>onofmoreexpansiveevidenceasdoingsounder“theBroadEvidenceRule.”Additionally,courtshavenotspecificallyenumeratedthefactorstobeconsideredundertheRule,orwhatweightshouldbegiventoeachfactor.</w:t>
      </w:r>
    </w:p>
    <w:p w14:paraId="035B5053" w14:textId="77777777" w:rsidR="00E354BA" w:rsidRDefault="00E354BA" w:rsidP="00E354BA">
      <w:r>
        <w:t>BothMarylandandVirginiahaveadoptedtheBroadEvidenceRule,whiletheDistrictofColumbiaandWestVirginiaremainundecided.TheMarylandCourtofAppealsheldthatthedeterminationof“costofproductionlessdepreciation”wasnottheonlyfactorinACVanalysis.Rather,itwasmerelyoneamongothersourcesofevidence.Schreiberv.PacificCoastFireIns.Co.,75A.2d108,111(Md.1950).Sincethen,Marylandcourtshaveroutinelyconsideredseveralfactorscontributingtothedeterminationofdamages.Forexample,inFredFrederickMotors,Inc.v.Krause,12Md.App.62(Md.1971),theCourtofSpecialAppealsrejectedthedeterminationthatacardealer’srecoverywaslimitedtothecostofrepairsofthedamagedcarsandheldthat“ifaplaintiffcanprovethatafterrepairshisvehiclehasadiminishedmarketvaluefrombeinginjured,thenhecanrecoverinadditiontothecostofrepairsthediminutioninmarketvalue,providedthetwotogetherdonotexceedthediminutioninvaluepriortotherepairs.”</w:t>
      </w:r>
    </w:p>
    <w:p w14:paraId="61253AF8" w14:textId="77777777" w:rsidR="00E354BA" w:rsidRDefault="00E354BA" w:rsidP="00E354BA">
      <w:proofErr w:type="gramStart"/>
      <w:r>
        <w:t>Likewise,VirginiaadoptedtheBroadEvidenceRulein1961,wheninanactiontorecoverunderaninsurancepolicyforwindstormdamagetoproperty</w:t>
      </w:r>
      <w:proofErr w:type="gramEnd"/>
      <w:r>
        <w:t>,</w:t>
      </w:r>
      <w:proofErr w:type="gramStart"/>
      <w:r>
        <w:t>thecourtheldthatreplacementorreproductioncosts,lessdepreciation</w:t>
      </w:r>
      <w:proofErr w:type="gramEnd"/>
      <w:r>
        <w:t>,wasanimportantfactorindeterminingACV.Harperv.PennMut.FireIns.Co.,199F.Supp.663,665(E.D.Va.</w:t>
      </w:r>
      <w:proofErr w:type="gramStart"/>
      <w:r>
        <w:t>1961)(</w:t>
      </w:r>
      <w:proofErr w:type="gramEnd"/>
      <w:r>
        <w:t>applyingVirginialaw</w:t>
      </w:r>
      <w:proofErr w:type="gramStart"/>
      <w:r>
        <w:t>).TheCourtreasonedthat</w:t>
      </w:r>
      <w:proofErr w:type="gramEnd"/>
      <w:r>
        <w:t>“</w:t>
      </w:r>
      <w:proofErr w:type="gramStart"/>
      <w:r>
        <w:t>strictadherencetoeitheroftherecognizedtestsof‘marketvalue’or‘</w:t>
      </w:r>
      <w:proofErr w:type="gramEnd"/>
      <w:r>
        <w:t>reproductioncostlessdepreciation’willmerelyservetoshacklethetrieroffactinallcases.”</w:t>
      </w:r>
    </w:p>
    <w:p w14:paraId="6C5437FB" w14:textId="77777777" w:rsidR="00E354BA" w:rsidRDefault="00E354BA" w:rsidP="00E354BA">
      <w:r>
        <w:t>Giventhestateofthelaw,insurersshoulddefineACVintheirpoliciesbyincorporatingfactorscourtshaveconsideredundertheBroadEvidenceRule.Thisapproachpreventsovercompensationandprovidesadjustersandtheirattorneysbargainingpoweratboththesettlementandlitigationstages.IfapolicylacksanACVdefinition,attorneyspracticinginBroadEvidenceRulejurisdictions,likeMarylandandVirginia,shouldseekadmissionofrelevantevidencetoaccuratelydeterminedamages.AttorneysinundecidedjurisdictionsshouldcitetoneighboringjurisdictionsandadvocatefortheRule’sadoption.</w:t>
      </w:r>
    </w:p>
    <w:p w14:paraId="75F48ABF" w14:textId="77777777" w:rsidR="00E354BA" w:rsidRDefault="00E354BA" w:rsidP="00E354BA">
      <w:r>
        <w:t>1) Alabama, California, Delaware, Georgia, Maine, Missouri, Nebraska, New Mexico, North Dakota, Texas, and Washington.</w:t>
      </w:r>
    </w:p>
    <w:p w14:paraId="417BB740" w14:textId="77777777" w:rsidR="00E354BA" w:rsidRDefault="00E354BA" w:rsidP="00E354BA">
      <w:r>
        <w:t>2) Illinois, Louisiana, Ohio, Oregon.</w:t>
      </w:r>
    </w:p>
    <w:p w14:paraId="4231E173" w14:textId="77777777" w:rsidR="00E354BA" w:rsidRDefault="00E354BA" w:rsidP="00E354BA">
      <w:r>
        <w:t>3) Colorado, Connecticut, Florida, Idaho, Indiana, Iowa, Kentucky, Maryland, Massachusetts, Michigan, Minnesota, Montana, New Hampshire, New Jersey, New York, North</w:t>
      </w:r>
    </w:p>
    <w:p w14:paraId="3BF81FD6" w14:textId="0EA2D265" w:rsidR="00E354BA" w:rsidRDefault="00E354BA" w:rsidP="00E354BA">
      <w:r>
        <w:t>Carolina, Oklahoma, Rhode Island, South Carolina, South Dakota, Vermont, Virginia, Wisconsin.</w:t>
      </w:r>
    </w:p>
    <w:p w14:paraId="449C150B" w14:textId="01454FC7" w:rsidR="00E354BA" w:rsidRDefault="00E354BA" w:rsidP="00E354BA"/>
    <w:sectPr w:rsidR="00E354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4BA"/>
    <w:rsid w:val="006C5A11"/>
    <w:rsid w:val="00E3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1C1FE"/>
  <w15:chartTrackingRefBased/>
  <w15:docId w15:val="{EB7EDD3E-274E-41F6-B855-9DCDCCC68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5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5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4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4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4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4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4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4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4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4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4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4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4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5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5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5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4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54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54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4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4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54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771</Words>
  <Characters>4398</Characters>
  <Application>Microsoft Office Word</Application>
  <DocSecurity>0</DocSecurity>
  <Lines>36</Lines>
  <Paragraphs>10</Paragraphs>
  <ScaleCrop>false</ScaleCrop>
  <Company/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DISIENO</dc:creator>
  <cp:keywords/>
  <dc:description/>
  <cp:lastModifiedBy>THOMAS DISIENO</cp:lastModifiedBy>
  <cp:revision>1</cp:revision>
  <dcterms:created xsi:type="dcterms:W3CDTF">2026-06-17T19:57:00Z</dcterms:created>
  <dcterms:modified xsi:type="dcterms:W3CDTF">2026-06-17T19:59:00Z</dcterms:modified>
</cp:coreProperties>
</file>