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98959" w14:textId="77777777" w:rsidR="00CE7C55" w:rsidRPr="00CE7C55" w:rsidRDefault="00CE7C55" w:rsidP="00CE7C55">
      <w:pPr>
        <w:spacing w:after="120"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smallCaps/>
          <w:color w:val="000000"/>
          <w:kern w:val="0"/>
          <w:sz w:val="24"/>
          <w:szCs w:val="24"/>
          <w14:ligatures w14:val="none"/>
        </w:rPr>
        <w:t>TABLE OF CONTENTS</w:t>
      </w:r>
    </w:p>
    <w:p w14:paraId="6B46DA1F"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INTRODUCTION</w:t>
      </w:r>
    </w:p>
    <w:p w14:paraId="182AB958" w14:textId="77777777" w:rsidR="00CE7C55" w:rsidRPr="00CE7C55" w:rsidRDefault="00CE7C55" w:rsidP="00CE7C55">
      <w:pPr>
        <w:numPr>
          <w:ilvl w:val="1"/>
          <w:numId w:val="2"/>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BRIEF OVERVIEW</w:t>
      </w:r>
    </w:p>
    <w:p w14:paraId="3A1535F8" w14:textId="77777777" w:rsidR="00CE7C55" w:rsidRPr="00CE7C55" w:rsidRDefault="00CE7C55" w:rsidP="00CE7C55">
      <w:pPr>
        <w:numPr>
          <w:ilvl w:val="1"/>
          <w:numId w:val="3"/>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PURPOSE AND SCOPE</w:t>
      </w:r>
    </w:p>
    <w:p w14:paraId="5AC42C21" w14:textId="77777777" w:rsidR="00CE7C55" w:rsidRPr="00CE7C55" w:rsidRDefault="00CE7C55" w:rsidP="00CE7C55">
      <w:pPr>
        <w:numPr>
          <w:ilvl w:val="1"/>
          <w:numId w:val="4"/>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METHODOLOGY</w:t>
      </w:r>
    </w:p>
    <w:p w14:paraId="32DDE14E"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HISTORICAL CONTEXT</w:t>
      </w:r>
    </w:p>
    <w:p w14:paraId="051935B8" w14:textId="77777777" w:rsidR="00CE7C55" w:rsidRPr="00CE7C55" w:rsidRDefault="00CE7C55" w:rsidP="00CE7C55">
      <w:pPr>
        <w:numPr>
          <w:ilvl w:val="1"/>
          <w:numId w:val="5"/>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EARLY CASE LAW</w:t>
      </w:r>
    </w:p>
    <w:p w14:paraId="332E9927" w14:textId="77777777" w:rsidR="00CE7C55" w:rsidRPr="00CE7C55" w:rsidRDefault="00CE7C55" w:rsidP="00CE7C55">
      <w:pPr>
        <w:numPr>
          <w:ilvl w:val="1"/>
          <w:numId w:val="6"/>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EVOLUTION OF THE APPRAISAL CLAUSE</w:t>
      </w:r>
    </w:p>
    <w:p w14:paraId="1DB647AF" w14:textId="77777777" w:rsidR="00CE7C55" w:rsidRPr="00CE7C55" w:rsidRDefault="00CE7C55" w:rsidP="00CE7C55">
      <w:pPr>
        <w:numPr>
          <w:ilvl w:val="1"/>
          <w:numId w:val="7"/>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THE NEW YORK STANDARD FIRE POLICY</w:t>
      </w:r>
    </w:p>
    <w:p w14:paraId="74E8C83B"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STATUTORY LANGUAGE AND REQUIREMENTS</w:t>
      </w:r>
    </w:p>
    <w:p w14:paraId="21568076" w14:textId="77777777" w:rsidR="00CE7C55" w:rsidRPr="00CE7C55" w:rsidRDefault="00CE7C55" w:rsidP="00CE7C55">
      <w:pPr>
        <w:numPr>
          <w:ilvl w:val="1"/>
          <w:numId w:val="8"/>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TEXTUAL ANALYSIS</w:t>
      </w:r>
    </w:p>
    <w:p w14:paraId="0E8B009E" w14:textId="77777777" w:rsidR="00CE7C55" w:rsidRPr="00CE7C55" w:rsidRDefault="00CE7C55" w:rsidP="00CE7C55">
      <w:pPr>
        <w:numPr>
          <w:ilvl w:val="1"/>
          <w:numId w:val="9"/>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STATE-SPECIFIC REGULATIONS</w:t>
      </w:r>
    </w:p>
    <w:p w14:paraId="05A36766" w14:textId="77777777" w:rsidR="00CE7C55" w:rsidRPr="00CE7C55" w:rsidRDefault="00CE7C55" w:rsidP="00CE7C55">
      <w:pPr>
        <w:numPr>
          <w:ilvl w:val="1"/>
          <w:numId w:val="10"/>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LEGAL INTERPRETATIONS</w:t>
      </w:r>
    </w:p>
    <w:p w14:paraId="68C257CB"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INDEPENDENT NATURE OF APPRAISERS</w:t>
      </w:r>
    </w:p>
    <w:p w14:paraId="02AEF93E" w14:textId="77777777" w:rsidR="00CE7C55" w:rsidRPr="00CE7C55" w:rsidRDefault="00CE7C55" w:rsidP="00CE7C55">
      <w:pPr>
        <w:numPr>
          <w:ilvl w:val="1"/>
          <w:numId w:val="11"/>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CRITERIA FOR SELECTION</w:t>
      </w:r>
    </w:p>
    <w:p w14:paraId="0D9C619F" w14:textId="77777777" w:rsidR="00CE7C55" w:rsidRPr="00CE7C55" w:rsidRDefault="00CE7C55" w:rsidP="00CE7C55">
      <w:pPr>
        <w:numPr>
          <w:ilvl w:val="1"/>
          <w:numId w:val="12"/>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RESPONSIBILITIES AND LIMITATIONS</w:t>
      </w:r>
    </w:p>
    <w:p w14:paraId="4359B6AE" w14:textId="77777777" w:rsidR="00CE7C55" w:rsidRPr="00CE7C55" w:rsidRDefault="00CE7C55" w:rsidP="00CE7C55">
      <w:pPr>
        <w:numPr>
          <w:ilvl w:val="1"/>
          <w:numId w:val="13"/>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CASE LAW INSIGHTS</w:t>
      </w:r>
    </w:p>
    <w:p w14:paraId="63C1F83E"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DEFINING THE LIMITS OF SCOPE</w:t>
      </w:r>
    </w:p>
    <w:p w14:paraId="235D43DB" w14:textId="77777777" w:rsidR="00CE7C55" w:rsidRPr="00CE7C55" w:rsidRDefault="00CE7C55" w:rsidP="00CE7C55">
      <w:pPr>
        <w:numPr>
          <w:ilvl w:val="1"/>
          <w:numId w:val="14"/>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ANALYTICAL FRAMEWORK</w:t>
      </w:r>
    </w:p>
    <w:p w14:paraId="4C010086" w14:textId="77777777" w:rsidR="00CE7C55" w:rsidRPr="00CE7C55" w:rsidRDefault="00CE7C55" w:rsidP="00CE7C55">
      <w:pPr>
        <w:numPr>
          <w:ilvl w:val="1"/>
          <w:numId w:val="15"/>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LEGAL AND INDUSTRY STANDARDS</w:t>
      </w:r>
    </w:p>
    <w:p w14:paraId="5D7DF7F5"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EXCLUSIONS AND LIMITATIONS</w:t>
      </w:r>
    </w:p>
    <w:p w14:paraId="449E65B1" w14:textId="77777777" w:rsidR="00CE7C55" w:rsidRPr="00CE7C55" w:rsidRDefault="00CE7C55" w:rsidP="00CE7C55">
      <w:pPr>
        <w:numPr>
          <w:ilvl w:val="1"/>
          <w:numId w:val="16"/>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OVERVIEW</w:t>
      </w:r>
    </w:p>
    <w:p w14:paraId="0BB02287" w14:textId="77777777" w:rsidR="00CE7C55" w:rsidRPr="00CE7C55" w:rsidRDefault="00CE7C55" w:rsidP="00CE7C55">
      <w:pPr>
        <w:numPr>
          <w:ilvl w:val="1"/>
          <w:numId w:val="17"/>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LEGAL BASIS FOR EXCLUSIONS</w:t>
      </w:r>
    </w:p>
    <w:p w14:paraId="7F2945BE"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ROLE OF POLICY LANGUAGE</w:t>
      </w:r>
    </w:p>
    <w:p w14:paraId="6D658CC5" w14:textId="77777777" w:rsidR="00CE7C55" w:rsidRPr="00CE7C55" w:rsidRDefault="00CE7C55" w:rsidP="00CE7C55">
      <w:pPr>
        <w:numPr>
          <w:ilvl w:val="1"/>
          <w:numId w:val="18"/>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IMPORTANCE</w:t>
      </w:r>
    </w:p>
    <w:p w14:paraId="6BD6606B" w14:textId="77777777" w:rsidR="00CE7C55" w:rsidRPr="00CE7C55" w:rsidRDefault="00CE7C55" w:rsidP="00CE7C55">
      <w:pPr>
        <w:numPr>
          <w:ilvl w:val="1"/>
          <w:numId w:val="19"/>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INTERPRETATION BY COURTS</w:t>
      </w:r>
    </w:p>
    <w:p w14:paraId="1A3DD6A5"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AMBIGUITIES IN SCOPE</w:t>
      </w:r>
    </w:p>
    <w:p w14:paraId="51602F76" w14:textId="77777777" w:rsidR="00CE7C55" w:rsidRPr="00CE7C55" w:rsidRDefault="00CE7C55" w:rsidP="00CE7C55">
      <w:pPr>
        <w:numPr>
          <w:ilvl w:val="1"/>
          <w:numId w:val="20"/>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COMMON ISSUES</w:t>
      </w:r>
    </w:p>
    <w:p w14:paraId="7209B28E" w14:textId="77777777" w:rsidR="00CE7C55" w:rsidRPr="00CE7C55" w:rsidRDefault="00CE7C55" w:rsidP="00CE7C55">
      <w:pPr>
        <w:numPr>
          <w:ilvl w:val="1"/>
          <w:numId w:val="21"/>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JUDICIAL REMEDIES</w:t>
      </w:r>
    </w:p>
    <w:p w14:paraId="7913F8FA"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CONTINGENCIES AFFECTING SCOPE</w:t>
      </w:r>
    </w:p>
    <w:p w14:paraId="0E4397B8" w14:textId="77777777" w:rsidR="00CE7C55" w:rsidRPr="00CE7C55" w:rsidRDefault="00CE7C55" w:rsidP="00CE7C55">
      <w:pPr>
        <w:numPr>
          <w:ilvl w:val="1"/>
          <w:numId w:val="22"/>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IDENTIFICATION OF CONTINGENCIES</w:t>
      </w:r>
    </w:p>
    <w:p w14:paraId="52201BED" w14:textId="77777777" w:rsidR="00CE7C55" w:rsidRPr="00CE7C55" w:rsidRDefault="00CE7C55" w:rsidP="00CE7C55">
      <w:pPr>
        <w:numPr>
          <w:ilvl w:val="1"/>
          <w:numId w:val="23"/>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lastRenderedPageBreak/>
        <w:t>RESOLUTION APPROACH</w:t>
      </w:r>
    </w:p>
    <w:p w14:paraId="34DC21C6"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INTERPLAY WITH OTHER POLICY PROVISIONS</w:t>
      </w:r>
    </w:p>
    <w:p w14:paraId="7C087820" w14:textId="77777777" w:rsidR="00CE7C55" w:rsidRPr="00CE7C55" w:rsidRDefault="00CE7C55" w:rsidP="00CE7C55">
      <w:pPr>
        <w:numPr>
          <w:ilvl w:val="1"/>
          <w:numId w:val="24"/>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COVERAGE LIMITS AND DEDUCTIBLES</w:t>
      </w:r>
    </w:p>
    <w:p w14:paraId="6BF5639A" w14:textId="77777777" w:rsidR="00CE7C55" w:rsidRPr="00CE7C55" w:rsidRDefault="00CE7C55" w:rsidP="00CE7C55">
      <w:pPr>
        <w:numPr>
          <w:ilvl w:val="1"/>
          <w:numId w:val="25"/>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EXCLUSIONS</w:t>
      </w:r>
    </w:p>
    <w:p w14:paraId="3FFAEE13"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JUDICIAL INTERPRETATIONS</w:t>
      </w:r>
    </w:p>
    <w:p w14:paraId="188C34BC" w14:textId="77777777" w:rsidR="00CE7C55" w:rsidRPr="00CE7C55" w:rsidRDefault="00CE7C55" w:rsidP="00CE7C55">
      <w:pPr>
        <w:numPr>
          <w:ilvl w:val="1"/>
          <w:numId w:val="26"/>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SEMINAL CASES</w:t>
      </w:r>
    </w:p>
    <w:p w14:paraId="55CFBE01" w14:textId="77777777" w:rsidR="00CE7C55" w:rsidRPr="00CE7C55" w:rsidRDefault="00CE7C55" w:rsidP="00CE7C55">
      <w:pPr>
        <w:numPr>
          <w:ilvl w:val="1"/>
          <w:numId w:val="27"/>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IMPLICATIONS FOR THE INDUSTRY</w:t>
      </w:r>
    </w:p>
    <w:p w14:paraId="1DB8FE90"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INFLUENCE OF REGULATORY CHANGES</w:t>
      </w:r>
    </w:p>
    <w:p w14:paraId="5D0A97C1" w14:textId="77777777" w:rsidR="00CE7C55" w:rsidRPr="00CE7C55" w:rsidRDefault="00CE7C55" w:rsidP="00CE7C55">
      <w:pPr>
        <w:numPr>
          <w:ilvl w:val="1"/>
          <w:numId w:val="28"/>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CURRENT REGULATORY LANDSCAPE</w:t>
      </w:r>
    </w:p>
    <w:p w14:paraId="7A6C9EDA" w14:textId="77777777" w:rsidR="00CE7C55" w:rsidRPr="00CE7C55" w:rsidRDefault="00CE7C55" w:rsidP="00CE7C55">
      <w:pPr>
        <w:numPr>
          <w:ilvl w:val="1"/>
          <w:numId w:val="29"/>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ANTICIPATING FUTURE TRENDS</w:t>
      </w:r>
    </w:p>
    <w:p w14:paraId="341705EF"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SUMMARY AND BEST PRACTICES</w:t>
      </w:r>
    </w:p>
    <w:p w14:paraId="724B7BA9" w14:textId="77777777" w:rsidR="00CE7C55" w:rsidRPr="00CE7C55" w:rsidRDefault="00CE7C55" w:rsidP="00CE7C55">
      <w:pPr>
        <w:numPr>
          <w:ilvl w:val="1"/>
          <w:numId w:val="30"/>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CONCLUDING REMARKS</w:t>
      </w:r>
    </w:p>
    <w:p w14:paraId="54D3FA6E" w14:textId="77777777" w:rsidR="00CE7C55" w:rsidRPr="00CE7C55" w:rsidRDefault="00CE7C55" w:rsidP="00CE7C55">
      <w:pPr>
        <w:numPr>
          <w:ilvl w:val="1"/>
          <w:numId w:val="31"/>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RECOMMENDATIONS</w:t>
      </w:r>
    </w:p>
    <w:p w14:paraId="633B2780"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REFERENCES</w:t>
      </w:r>
    </w:p>
    <w:p w14:paraId="6F6735A9" w14:textId="77777777" w:rsidR="00CE7C55" w:rsidRPr="00CE7C55" w:rsidRDefault="00CE7C55" w:rsidP="00CE7C55">
      <w:pPr>
        <w:numPr>
          <w:ilvl w:val="0"/>
          <w:numId w:val="1"/>
        </w:numPr>
        <w:spacing w:after="120" w:line="240" w:lineRule="auto"/>
        <w:jc w:val="both"/>
        <w:textAlignment w:val="baseline"/>
        <w:rPr>
          <w:rFonts w:ascii="Corbel" w:eastAsia="Times New Roman" w:hAnsi="Corbel" w:cs="Times New Roman"/>
          <w:smallCaps/>
          <w:color w:val="000000"/>
          <w:kern w:val="0"/>
          <w:sz w:val="24"/>
          <w:szCs w:val="24"/>
          <w14:ligatures w14:val="none"/>
        </w:rPr>
      </w:pPr>
      <w:r w:rsidRPr="00CE7C55">
        <w:rPr>
          <w:rFonts w:ascii="Corbel" w:eastAsia="Times New Roman" w:hAnsi="Corbel" w:cs="Times New Roman"/>
          <w:b/>
          <w:bCs/>
          <w:smallCaps/>
          <w:color w:val="000000"/>
          <w:kern w:val="0"/>
          <w:sz w:val="24"/>
          <w:szCs w:val="24"/>
          <w14:ligatures w14:val="none"/>
        </w:rPr>
        <w:t>APPENDICES</w:t>
      </w:r>
    </w:p>
    <w:p w14:paraId="65827E44" w14:textId="77777777" w:rsidR="00CE7C55" w:rsidRPr="00CE7C55" w:rsidRDefault="00CE7C55" w:rsidP="00CE7C55">
      <w:pPr>
        <w:numPr>
          <w:ilvl w:val="1"/>
          <w:numId w:val="32"/>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SAMPLE POLICY LANGUAGE</w:t>
      </w:r>
    </w:p>
    <w:p w14:paraId="5A32E9DE" w14:textId="77777777" w:rsidR="00CE7C55" w:rsidRPr="00CE7C55" w:rsidRDefault="00CE7C55" w:rsidP="00CE7C55">
      <w:pPr>
        <w:numPr>
          <w:ilvl w:val="1"/>
          <w:numId w:val="33"/>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CASE LAW SUMMARIES</w:t>
      </w:r>
    </w:p>
    <w:p w14:paraId="6E42CA74" w14:textId="77777777" w:rsidR="00CE7C55" w:rsidRPr="00CE7C55" w:rsidRDefault="00CE7C55" w:rsidP="00CE7C55">
      <w:pPr>
        <w:numPr>
          <w:ilvl w:val="1"/>
          <w:numId w:val="34"/>
        </w:numPr>
        <w:spacing w:after="120" w:line="240" w:lineRule="auto"/>
        <w:jc w:val="both"/>
        <w:textAlignment w:val="baseline"/>
        <w:rPr>
          <w:rFonts w:ascii="Arial" w:eastAsia="Times New Roman" w:hAnsi="Arial" w:cs="Arial"/>
          <w:smallCaps/>
          <w:color w:val="000000"/>
          <w:kern w:val="0"/>
          <w:sz w:val="20"/>
          <w:szCs w:val="20"/>
          <w14:ligatures w14:val="none"/>
        </w:rPr>
      </w:pPr>
      <w:r w:rsidRPr="00CE7C55">
        <w:rPr>
          <w:rFonts w:ascii="Corbel" w:eastAsia="Times New Roman" w:hAnsi="Corbel" w:cs="Arial"/>
          <w:smallCaps/>
          <w:color w:val="000000"/>
          <w:kern w:val="0"/>
          <w:sz w:val="24"/>
          <w:szCs w:val="24"/>
          <w14:ligatures w14:val="none"/>
        </w:rPr>
        <w:t>GLOSSARY OF TERMS</w:t>
      </w:r>
    </w:p>
    <w:p w14:paraId="135DB80F"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0D6ACAEE"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54F7B7C5"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48"/>
          <w:szCs w:val="48"/>
          <w14:ligatures w14:val="none"/>
        </w:rPr>
        <w:t>The Scope of Appraisal in Property Casualty Insurance: A Legal and Ethical Analysis</w:t>
      </w:r>
    </w:p>
    <w:p w14:paraId="3E51D9F5"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65235A3A"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8"/>
          <w:szCs w:val="28"/>
          <w14:ligatures w14:val="none"/>
        </w:rPr>
        <w:t>Introduction and Overview of the Appraisal Clause</w:t>
      </w:r>
    </w:p>
    <w:p w14:paraId="18495530"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Historical Context</w:t>
      </w:r>
    </w:p>
    <w:p w14:paraId="5055DE6A"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The concept of the Appraisal Clause traces its roots back to maritime law, a testament to its ancient and enduring role in resolving property disputes. However, its modern incarnation is mostly found embedded in insurance policies, particularly property casualty insurance. The Appraisal Clause serves as an alternative dispute resolution mechanism, primarily aimed at circumventing protracted litigation by expediting the settlement process.</w:t>
      </w:r>
    </w:p>
    <w:p w14:paraId="09426965"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The Modern Appraisal Clause</w:t>
      </w:r>
    </w:p>
    <w:p w14:paraId="53D1F5D9"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lastRenderedPageBreak/>
        <w:t>In the modern insurance landscape, the Appraisal Clause typically forms part of the insurance contract and is often invoked in property casualty policies to resolve disputes concerning the amount of loss. The procedure usually involves each party appointing an appraiser; both appraisers then either agree on a valuation or, failing agreement, consult an umpire whose decision is binding.</w:t>
      </w:r>
    </w:p>
    <w:p w14:paraId="38D15B7A"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52AF2266"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Legal Framework: The Standard Fire Policy and State Legislation</w:t>
      </w:r>
    </w:p>
    <w:p w14:paraId="23C77D0C"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The legal standing of the Appraisal Clause varies by jurisdiction, but many states have codified it through adoption of the Standard Fire Policy. In these states, insurers can modify but not dilute the rights granted to the insured. Consequently, any dispute over the amount of loss or the value of damaged property is subject to the appraisal process unless explicitly stated otherwise in the policy.</w:t>
      </w:r>
    </w:p>
    <w:p w14:paraId="3714EE9B"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br/>
      </w:r>
    </w:p>
    <w:p w14:paraId="39128175"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The Maritime Origins of the Appraisal Clause</w:t>
      </w:r>
    </w:p>
    <w:p w14:paraId="15FD347B"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The Appraisal Clause as a concept can be traced back to ancient maritime law. This lineage is significant because maritime law, or admiralty law as it is also known, is among the oldest branches of law and has had a profound impact on modern legal systems.</w:t>
      </w:r>
    </w:p>
    <w:p w14:paraId="2DD31765"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In maritime law, the principle of "General Average" holds </w:t>
      </w:r>
      <w:proofErr w:type="gramStart"/>
      <w:r w:rsidRPr="00CE7C55">
        <w:rPr>
          <w:rFonts w:ascii="Corbel" w:eastAsia="Times New Roman" w:hAnsi="Corbel" w:cs="Times New Roman"/>
          <w:color w:val="11232B"/>
          <w:kern w:val="0"/>
          <w:sz w:val="24"/>
          <w:szCs w:val="24"/>
          <w14:ligatures w14:val="none"/>
        </w:rPr>
        <w:t>particular relevance</w:t>
      </w:r>
      <w:proofErr w:type="gramEnd"/>
      <w:r w:rsidRPr="00CE7C55">
        <w:rPr>
          <w:rFonts w:ascii="Corbel" w:eastAsia="Times New Roman" w:hAnsi="Corbel" w:cs="Times New Roman"/>
          <w:color w:val="11232B"/>
          <w:kern w:val="0"/>
          <w:sz w:val="24"/>
          <w:szCs w:val="24"/>
          <w14:ligatures w14:val="none"/>
        </w:rPr>
        <w:t xml:space="preserve"> to the underpinnings of the Appraisal Clause. General Average is an equitable rule that mandates the apportionment of losses among various parties involved in a maritime venture. The basic premise is simple: if cargo must be jettisoned to save a ship, then both the owner of the cargo and the ship's owner must share in covering the losses. This concept necessitated a mechanism for impartially determining the value of losses—a role filled by an appraisal-like process.</w:t>
      </w:r>
    </w:p>
    <w:p w14:paraId="163546D3"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The General Average principle was codified as early as the Rhodian Sea Law, an ancient legal code that served as a foundational text for maritime law and </w:t>
      </w:r>
      <w:proofErr w:type="gramStart"/>
      <w:r w:rsidRPr="00CE7C55">
        <w:rPr>
          <w:rFonts w:ascii="Corbel" w:eastAsia="Times New Roman" w:hAnsi="Corbel" w:cs="Times New Roman"/>
          <w:color w:val="11232B"/>
          <w:kern w:val="0"/>
          <w:sz w:val="24"/>
          <w:szCs w:val="24"/>
          <w14:ligatures w14:val="none"/>
        </w:rPr>
        <w:t>dates back to</w:t>
      </w:r>
      <w:proofErr w:type="gramEnd"/>
      <w:r w:rsidRPr="00CE7C55">
        <w:rPr>
          <w:rFonts w:ascii="Corbel" w:eastAsia="Times New Roman" w:hAnsi="Corbel" w:cs="Times New Roman"/>
          <w:color w:val="11232B"/>
          <w:kern w:val="0"/>
          <w:sz w:val="24"/>
          <w:szCs w:val="24"/>
          <w14:ligatures w14:val="none"/>
        </w:rPr>
        <w:t xml:space="preserve"> approximately 800-600 BC. The Rhodian Sea Law influenced subsequent legal codes, including Roman law, and by extension, civil law traditions.</w:t>
      </w:r>
    </w:p>
    <w:p w14:paraId="14EACAEC"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In medieval times, maritime ventures often involved multiple parties with different vested interests. The intricate network of merchants, ship-owners, and cargo-owners often led to disputes over the value of lost or damaged goods. These disputes were often resolved through arbitration or a form of early appraisal, leading to more formalized rules and procedures as trade networks expanded.</w:t>
      </w:r>
    </w:p>
    <w:p w14:paraId="0E77710A" w14:textId="77777777" w:rsidR="00CE7C55" w:rsidRPr="00CE7C55" w:rsidRDefault="00CE7C55" w:rsidP="00CE7C55">
      <w:pPr>
        <w:spacing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By the time we reach the modern era, the principle of equitably determining the value of losses had broad applications, far beyond maritime disputes. As insurance mechanisms became more sophisticated and began to cover a myriad of risks, the appraisal process was adapted to serve as an alternative dispute resolution mechanism in property casualty insurance contracts.</w:t>
      </w:r>
    </w:p>
    <w:p w14:paraId="1738540B"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lastRenderedPageBreak/>
        <w:br/>
      </w:r>
      <w:r w:rsidRPr="00CE7C55">
        <w:rPr>
          <w:rFonts w:ascii="Times New Roman" w:eastAsia="Times New Roman" w:hAnsi="Times New Roman" w:cs="Times New Roman"/>
          <w:kern w:val="0"/>
          <w:sz w:val="24"/>
          <w:szCs w:val="24"/>
          <w14:ligatures w14:val="none"/>
        </w:rPr>
        <w:br/>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CE7C55" w:rsidRPr="00CE7C55" w14:paraId="50BBB215" w14:textId="77777777" w:rsidTr="00CE7C55">
        <w:trPr>
          <w:trHeight w:val="1152"/>
        </w:trPr>
        <w:tc>
          <w:tcPr>
            <w:tcW w:w="0" w:type="auto"/>
            <w:tcMar>
              <w:top w:w="0" w:type="dxa"/>
              <w:left w:w="115" w:type="dxa"/>
              <w:bottom w:w="0" w:type="dxa"/>
              <w:right w:w="115" w:type="dxa"/>
            </w:tcMar>
            <w:hideMark/>
          </w:tcPr>
          <w:p w14:paraId="66FCE171" w14:textId="77777777" w:rsidR="00CE7C55" w:rsidRPr="00CE7C55" w:rsidRDefault="00CE7C55" w:rsidP="00CE7C55">
            <w:pPr>
              <w:spacing w:after="720" w:line="240" w:lineRule="auto"/>
              <w:jc w:val="both"/>
              <w:rPr>
                <w:rFonts w:ascii="Times New Roman" w:eastAsia="Times New Roman" w:hAnsi="Times New Roman" w:cs="Times New Roman"/>
                <w:kern w:val="0"/>
                <w:sz w:val="24"/>
                <w:szCs w:val="24"/>
                <w14:ligatures w14:val="none"/>
              </w:rPr>
            </w:pPr>
            <w:r w:rsidRPr="00CE7C55">
              <w:rPr>
                <w:rFonts w:ascii="Corbel" w:eastAsia="Times New Roman" w:hAnsi="Corbel" w:cs="Times New Roman"/>
                <w:smallCaps/>
                <w:color w:val="000000"/>
                <w:kern w:val="0"/>
                <w:sz w:val="32"/>
                <w:szCs w:val="32"/>
                <w14:ligatures w14:val="none"/>
              </w:rPr>
              <w:t>THE LEGISLATIVE LANDSCAPE: FROM STANDARD FIRE POLICIES TO MODERN JURISPRUDENCE </w:t>
            </w:r>
          </w:p>
          <w:p w14:paraId="0E6195C7"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tc>
      </w:tr>
    </w:tbl>
    <w:p w14:paraId="4BABB1B6"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In the United States, the Appraisal Clause took a significant step towards formalization with the adoption of the Standard Fire Policy, also known as the New York Standard Fire Policy or the “165 Lines.” This foundational policy has been widely adopted in many states and serves as a baseline for insurance carriers. The policy explicitly allows for an appraisal process, making it an integral part of property insurance contracts.</w:t>
      </w:r>
    </w:p>
    <w:p w14:paraId="14CD640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Statutory Safeguards and Policyholder Rights</w:t>
      </w:r>
    </w:p>
    <w:p w14:paraId="2683B41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Legislation at both the federal and state levels also play a crucial role in governing the appraisal process. In states that have adopted the Standard Fire Policy, carriers may amend the statutory language but are explicitly forbidden from diminishing the rights of the insured. This acts as a safeguard for policyholders, ensuring a minimum standard for dispute resolution.</w:t>
      </w:r>
    </w:p>
    <w:p w14:paraId="259FC140"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Judicial Oversight and Interpretation</w:t>
      </w:r>
    </w:p>
    <w:p w14:paraId="7CC57C4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Notably, courts have been instrumental in shaping the interpretation and application of the Appraisal Clause. Various case law, such as </w:t>
      </w:r>
      <w:proofErr w:type="gramStart"/>
      <w:r w:rsidRPr="00CE7C55">
        <w:rPr>
          <w:rFonts w:ascii="Corbel" w:eastAsia="Times New Roman" w:hAnsi="Corbel" w:cs="Times New Roman"/>
          <w:color w:val="000000"/>
          <w:kern w:val="0"/>
          <w14:ligatures w14:val="none"/>
        </w:rPr>
        <w:t>High Country</w:t>
      </w:r>
      <w:proofErr w:type="gramEnd"/>
      <w:r w:rsidRPr="00CE7C55">
        <w:rPr>
          <w:rFonts w:ascii="Corbel" w:eastAsia="Times New Roman" w:hAnsi="Corbel" w:cs="Times New Roman"/>
          <w:color w:val="000000"/>
          <w:kern w:val="0"/>
          <w14:ligatures w14:val="none"/>
        </w:rPr>
        <w:t xml:space="preserve"> Arts and Craft Guild v. Hartford Fire Ins. Co., SR Int'l Business Ins. Co., Ltd. v. World Trade Ctr. Props., LLC Series, State Farm Lloyds v. Johnson, and Johnson v. Nationwide Mut. </w:t>
      </w:r>
      <w:proofErr w:type="gramStart"/>
      <w:r w:rsidRPr="00CE7C55">
        <w:rPr>
          <w:rFonts w:ascii="Corbel" w:eastAsia="Times New Roman" w:hAnsi="Corbel" w:cs="Times New Roman"/>
          <w:color w:val="000000"/>
          <w:kern w:val="0"/>
          <w14:ligatures w14:val="none"/>
        </w:rPr>
        <w:t>Ins. Co.,</w:t>
      </w:r>
      <w:proofErr w:type="gramEnd"/>
      <w:r w:rsidRPr="00CE7C55">
        <w:rPr>
          <w:rFonts w:ascii="Corbel" w:eastAsia="Times New Roman" w:hAnsi="Corbel" w:cs="Times New Roman"/>
          <w:color w:val="000000"/>
          <w:kern w:val="0"/>
          <w14:ligatures w14:val="none"/>
        </w:rPr>
        <w:t xml:space="preserve"> have clarified the roles, limitations, and scope of the appraisal process. These landmark rulings delineate the fine line between what constitutes an appraisable "amount of loss or damage" dispute and a non-appraisable "coverage" issue.</w:t>
      </w:r>
    </w:p>
    <w:p w14:paraId="3F3CB8CF"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Regulatory Framework</w:t>
      </w:r>
    </w:p>
    <w:p w14:paraId="178AA5F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In addition to judicial rulings, state insurance departments have promulgated regulations that address the qualifications for appraisers and the methods by which appraisal is to be conducted. While these regulations provide a degree of standardization, they often stop short of providing comprehensive guidelines, leaving room for judicial interpretation and case-specific considerations.</w:t>
      </w:r>
    </w:p>
    <w:p w14:paraId="3D0D69C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The Oscillating Jurisprudence: A Tale of Two Centuries</w:t>
      </w:r>
    </w:p>
    <w:p w14:paraId="46A056A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Appraisal Clause, as enshrined in the Standard Fire Policy, constitutes a cornerstone in American insurance law. In existence since 1853 and crystallized in its modern form since 1943, the New York Standard Fire Policy, colloquially known as the "165 Lines," sets the gold standard for property insurance policies across numerous jurisdictions. The language of this seminal policy serves not merely as a contractual term but as a statutory obligation, prohibiting carriers from curtailing the fundamental rights it bestows upon insured parties.</w:t>
      </w:r>
    </w:p>
    <w:p w14:paraId="1029309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An Uneven Playing Field: A Critique of 'Happy Hank'</w:t>
      </w:r>
    </w:p>
    <w:p w14:paraId="1738F3B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The inconsistency in the application of the Appraisal Clause emerged starkly in the landmark 1954 New York Court of Appeals decision, Happy Hank Auction Co. v. American Eagle Fire Ins. Co. This ruling </w:t>
      </w:r>
      <w:r w:rsidRPr="00CE7C55">
        <w:rPr>
          <w:rFonts w:ascii="Corbel" w:eastAsia="Times New Roman" w:hAnsi="Corbel" w:cs="Times New Roman"/>
          <w:color w:val="000000"/>
          <w:kern w:val="0"/>
          <w14:ligatures w14:val="none"/>
        </w:rPr>
        <w:lastRenderedPageBreak/>
        <w:t>rendered the Appraisal Clause virtually otiose by depriving the New York judiciary of its authority to mandate insurer participation in the appraisal process. The ruling's deleterious impact was immediate; the Appraisal Clause became an anemic tool in the arsenal of policyholders seeking just recovery. Litigation mutated into the sole pathway for redress, often entailing protracted delays and extravagant legal costs, thereby undermining the insured's quest for equitable restitution.</w:t>
      </w:r>
    </w:p>
    <w:p w14:paraId="7EEB2A9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The Legislative Rectification: The §3404(g) Amendment</w:t>
      </w:r>
    </w:p>
    <w:p w14:paraId="1ECDE50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The scales were rebalanced in 1990 when the New York legislature intervened to restore the potency of the Appraisal Clause by amending §3404 of the New York State Insurance Law. This corrective legislation unequivocally stipulated that the Appraisal Clause is binding upon all parties, thereby countermanding the </w:t>
      </w:r>
      <w:proofErr w:type="gramStart"/>
      <w:r w:rsidRPr="00CE7C55">
        <w:rPr>
          <w:rFonts w:ascii="Corbel" w:eastAsia="Times New Roman" w:hAnsi="Corbel" w:cs="Times New Roman"/>
          <w:color w:val="000000"/>
          <w:kern w:val="0"/>
          <w14:ligatures w14:val="none"/>
        </w:rPr>
        <w:t>judicially-imposed</w:t>
      </w:r>
      <w:proofErr w:type="gramEnd"/>
      <w:r w:rsidRPr="00CE7C55">
        <w:rPr>
          <w:rFonts w:ascii="Corbel" w:eastAsia="Times New Roman" w:hAnsi="Corbel" w:cs="Times New Roman"/>
          <w:color w:val="000000"/>
          <w:kern w:val="0"/>
          <w14:ligatures w14:val="none"/>
        </w:rPr>
        <w:t xml:space="preserve"> impotence that originated from Happy Hank. The amended statute, §3404(g), reinstated the Appraisal Clause as a pivotal, binding instrument for determining the extent of loss or damage.</w:t>
      </w:r>
    </w:p>
    <w:p w14:paraId="5BD744D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National Rejection of 'Happy Hank': The Fraiman Precedent</w:t>
      </w:r>
    </w:p>
    <w:p w14:paraId="6C7887A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 contrary sentiment has been echoed by judiciaries in other jurisdictions, most notably in Standard Fire Insurance Company v. Fraiman, where the Texas Court of Appeals cogently repudiated the Happy Hank reasoning. The court firmly endorsed the insured's right to rely on the "plain language" of the policy, underscoring that the Appraisal Clause could form an integral part of the consideration for the premiums paid, as annotated in Couch on Insurance §209:3 (2d ed. 2003).</w:t>
      </w:r>
    </w:p>
    <w:p w14:paraId="66F9F20E"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1DC7E6D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sz w:val="32"/>
          <w:szCs w:val="32"/>
          <w14:ligatures w14:val="none"/>
        </w:rPr>
        <w:t>The Appraisal Process: Anatomy and Practical Implications</w:t>
      </w:r>
    </w:p>
    <w:p w14:paraId="18EEB0B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The Tripartite Structure: Umpire and Appraisers</w:t>
      </w:r>
    </w:p>
    <w:p w14:paraId="17FD958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Central to the appraisal process is its tripartite structure, involving an umpire and two appraisers. These key figures function collectively, yet independently, to resolve valuation disputes between the insurer and the insured. Each party appoints its appraiser, and the two appraisers select a neutral umpire, thereby insulating the appraisal process from undue influence or bias.</w:t>
      </w:r>
    </w:p>
    <w:p w14:paraId="765E0EF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The Scope of Inquiry: Value, not Liability</w:t>
      </w:r>
    </w:p>
    <w:p w14:paraId="117213E6"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It is critical to recognize the circumscribed ambit of the appraisal process. Specifically, the appraisal is designed to ascertain the "amount of loss" or "value" of the damaged property. It is not within the purview of the appraisers or the umpire to assess the question of the insurer's liability. This bifurcation ensures that the appraisal process remains a streamlined mechanism for dispute resolution, focused solely on valuation issues.</w:t>
      </w:r>
    </w:p>
    <w:p w14:paraId="60720823"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Evidentiary Considerations: Documentation and Expert Testimonies</w:t>
      </w:r>
    </w:p>
    <w:p w14:paraId="11AF1FA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appraisal process typically entails a rigorous examination of evidence, which may include invoices, repair estimates, expert reports, and testimonies. The admissibility and weight accorded to these evidentiary materials are at the discretion of the appraisers and the umpire. A prudent approach involves the thorough preparation and presentation of compelling evidence to substantiate the claimed values.</w:t>
      </w:r>
    </w:p>
    <w:p w14:paraId="065E039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Challenges and Appeals: Limits and Opportunities</w:t>
      </w:r>
    </w:p>
    <w:p w14:paraId="5FBC7AF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Although the award resulting from the appraisal process is generally considered "conclusive," it is not entirely immune from judicial scrutiny. Grounds for challenging an appraisal award may include </w:t>
      </w:r>
      <w:r w:rsidRPr="00CE7C55">
        <w:rPr>
          <w:rFonts w:ascii="Corbel" w:eastAsia="Times New Roman" w:hAnsi="Corbel" w:cs="Times New Roman"/>
          <w:color w:val="000000"/>
          <w:kern w:val="0"/>
          <w14:ligatures w14:val="none"/>
        </w:rPr>
        <w:lastRenderedPageBreak/>
        <w:t>manifest errors, fraud, or bias. Judicial intervention, however, remains the exception rather than the norm, and is often exercised with caution to preserve the efficacy and integrity of the appraisal mechanism.</w:t>
      </w:r>
    </w:p>
    <w:p w14:paraId="5CC73285"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br/>
      </w:r>
    </w:p>
    <w:p w14:paraId="60EA06C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Judicial Interpretation: Case Law and the Complex Realities of the Scope of Appraisal</w:t>
      </w:r>
    </w:p>
    <w:p w14:paraId="0D1236A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As the foundational principles of the appraisal clause are subject to interpretation and scrutiny, it is essential to appreciate the role of case law in shaping its nuanced complexities. Herein we examine several cases that have been pivotal in this context, adding layers of complexity and depth to the application of the appraisal clause.</w:t>
      </w:r>
    </w:p>
    <w:p w14:paraId="0EC6F637"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p>
    <w:p w14:paraId="01E05E2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32"/>
          <w:szCs w:val="32"/>
          <w14:ligatures w14:val="none"/>
        </w:rPr>
        <w:t>Scope of Appraisal and Exclusions from Coverage</w:t>
      </w:r>
    </w:p>
    <w:p w14:paraId="178873D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In </w:t>
      </w:r>
      <w:r w:rsidRPr="00CE7C55">
        <w:rPr>
          <w:rFonts w:ascii="Corbel" w:eastAsia="Times New Roman" w:hAnsi="Corbel" w:cs="Times New Roman"/>
          <w:i/>
          <w:iCs/>
          <w:color w:val="11232B"/>
          <w:kern w:val="0"/>
          <w:sz w:val="24"/>
          <w:szCs w:val="24"/>
          <w14:ligatures w14:val="none"/>
        </w:rPr>
        <w:t>AIU Ins. Co. v. Lexes</w:t>
      </w:r>
      <w:r w:rsidRPr="00CE7C55">
        <w:rPr>
          <w:rFonts w:ascii="Corbel" w:eastAsia="Times New Roman" w:hAnsi="Corbel" w:cs="Times New Roman"/>
          <w:color w:val="11232B"/>
          <w:kern w:val="0"/>
          <w:sz w:val="24"/>
          <w:szCs w:val="24"/>
          <w14:ligatures w14:val="none"/>
        </w:rPr>
        <w:t>, 815 A.2d 312 (</w:t>
      </w:r>
      <w:proofErr w:type="spellStart"/>
      <w:r w:rsidRPr="00CE7C55">
        <w:rPr>
          <w:rFonts w:ascii="Corbel" w:eastAsia="Times New Roman" w:hAnsi="Corbel" w:cs="Times New Roman"/>
          <w:color w:val="11232B"/>
          <w:kern w:val="0"/>
          <w:sz w:val="24"/>
          <w:szCs w:val="24"/>
          <w14:ligatures w14:val="none"/>
        </w:rPr>
        <w:t>Del.Supr</w:t>
      </w:r>
      <w:proofErr w:type="spellEnd"/>
      <w:r w:rsidRPr="00CE7C55">
        <w:rPr>
          <w:rFonts w:ascii="Corbel" w:eastAsia="Times New Roman" w:hAnsi="Corbel" w:cs="Times New Roman"/>
          <w:color w:val="11232B"/>
          <w:kern w:val="0"/>
          <w:sz w:val="24"/>
          <w:szCs w:val="24"/>
          <w14:ligatures w14:val="none"/>
        </w:rPr>
        <w:t>. 2003), the Delaware Supreme Court addressed the extent to which an appraisal award could be subject to judicial review based on the scope of items included in the appraisers' calculations. The Court held that an appraisal award could be set aside if it incorporated items that: (1) were explicitly excluded from coverage; (2) exceeded the policy's maximum coverage limits; or (3) encompassed expenses allocated to the insured under the appraisal clause. This decision serves as a jurisprudential cautionary note, emphasizing the inherent limitations of an appraiser's authority to define the scope of an award.</w:t>
      </w:r>
    </w:p>
    <w:p w14:paraId="68D0634F"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Deductibles and Award of Interest: Limits on Appraisers' Authority</w:t>
      </w:r>
    </w:p>
    <w:p w14:paraId="1D7EAFA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The issue of appraisers exceeding their authority was also scrutinized in </w:t>
      </w:r>
      <w:r w:rsidRPr="00CE7C55">
        <w:rPr>
          <w:rFonts w:ascii="Corbel" w:eastAsia="Times New Roman" w:hAnsi="Corbel" w:cs="Times New Roman"/>
          <w:i/>
          <w:iCs/>
          <w:color w:val="11232B"/>
          <w:kern w:val="0"/>
          <w:sz w:val="24"/>
          <w:szCs w:val="24"/>
          <w14:ligatures w14:val="none"/>
        </w:rPr>
        <w:t>Hanson v. Commercial Union Ins. Co.</w:t>
      </w:r>
      <w:r w:rsidRPr="00CE7C55">
        <w:rPr>
          <w:rFonts w:ascii="Corbel" w:eastAsia="Times New Roman" w:hAnsi="Corbel" w:cs="Times New Roman"/>
          <w:color w:val="11232B"/>
          <w:kern w:val="0"/>
          <w:sz w:val="24"/>
          <w:szCs w:val="24"/>
          <w14:ligatures w14:val="none"/>
        </w:rPr>
        <w:t xml:space="preserve">, 150 Ariz. 283, 723 P.2d 101 (Ct. App. Div. 1 1986). In this case, the Court held that the appraisers had overstepped their bounds by resolving disputes related to the number and </w:t>
      </w:r>
      <w:proofErr w:type="gramStart"/>
      <w:r w:rsidRPr="00CE7C55">
        <w:rPr>
          <w:rFonts w:ascii="Corbel" w:eastAsia="Times New Roman" w:hAnsi="Corbel" w:cs="Times New Roman"/>
          <w:color w:val="11232B"/>
          <w:kern w:val="0"/>
          <w:sz w:val="24"/>
          <w:szCs w:val="24"/>
          <w14:ligatures w14:val="none"/>
        </w:rPr>
        <w:t>amount</w:t>
      </w:r>
      <w:proofErr w:type="gramEnd"/>
      <w:r w:rsidRPr="00CE7C55">
        <w:rPr>
          <w:rFonts w:ascii="Corbel" w:eastAsia="Times New Roman" w:hAnsi="Corbel" w:cs="Times New Roman"/>
          <w:color w:val="11232B"/>
          <w:kern w:val="0"/>
          <w:sz w:val="24"/>
          <w:szCs w:val="24"/>
          <w14:ligatures w14:val="none"/>
        </w:rPr>
        <w:t xml:space="preserve"> of deductibles and by including an award for interest. This case serves to further delineate the boundaries of an appraiser's authority, underlining the importance of staying within the parameters of their assigned roles.</w:t>
      </w:r>
    </w:p>
    <w:p w14:paraId="20249CD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Unilateral Limitations on Scope: A Waiver of Appraisal Rights?</w:t>
      </w:r>
    </w:p>
    <w:p w14:paraId="37A1A66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The case of </w:t>
      </w:r>
      <w:r w:rsidRPr="00CE7C55">
        <w:rPr>
          <w:rFonts w:ascii="Corbel" w:eastAsia="Times New Roman" w:hAnsi="Corbel" w:cs="Times New Roman"/>
          <w:i/>
          <w:iCs/>
          <w:color w:val="11232B"/>
          <w:kern w:val="0"/>
          <w:sz w:val="24"/>
          <w:szCs w:val="24"/>
          <w14:ligatures w14:val="none"/>
        </w:rPr>
        <w:t>Summerfield v. North British &amp; Mercantile Ins. Co.</w:t>
      </w:r>
      <w:r w:rsidRPr="00CE7C55">
        <w:rPr>
          <w:rFonts w:ascii="Corbel" w:eastAsia="Times New Roman" w:hAnsi="Corbel" w:cs="Times New Roman"/>
          <w:color w:val="11232B"/>
          <w:kern w:val="0"/>
          <w:sz w:val="24"/>
          <w:szCs w:val="24"/>
          <w14:ligatures w14:val="none"/>
        </w:rPr>
        <w:t>, 62 F. 249 (C.C.W.D. Va. 1894), introduces the concept that an insurance carrier's efforts to unilaterally limit the scope of the appraisal process may constitute a waiver of its right to appraisal as a condition precedent. This decision is highly illustrative of the balance of power between the insurer and insured and the sanctity of the appraisal process.</w:t>
      </w:r>
    </w:p>
    <w:p w14:paraId="4F7A273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Proving Authority: The Testimony of Appraisers</w:t>
      </w:r>
    </w:p>
    <w:p w14:paraId="1C3E783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The authority of an appraiser to act can itself be a matter of dispute, as noted in </w:t>
      </w:r>
      <w:r w:rsidRPr="00CE7C55">
        <w:rPr>
          <w:rFonts w:ascii="Corbel" w:eastAsia="Times New Roman" w:hAnsi="Corbel" w:cs="Times New Roman"/>
          <w:i/>
          <w:iCs/>
          <w:color w:val="11232B"/>
          <w:kern w:val="0"/>
          <w:sz w:val="24"/>
          <w:szCs w:val="24"/>
          <w14:ligatures w14:val="none"/>
        </w:rPr>
        <w:t>Isaac v. Donegal &amp; Conoy Mut. Fire Ins. Co.</w:t>
      </w:r>
      <w:r w:rsidRPr="00CE7C55">
        <w:rPr>
          <w:rFonts w:ascii="Corbel" w:eastAsia="Times New Roman" w:hAnsi="Corbel" w:cs="Times New Roman"/>
          <w:color w:val="11232B"/>
          <w:kern w:val="0"/>
          <w:sz w:val="24"/>
          <w:szCs w:val="24"/>
          <w14:ligatures w14:val="none"/>
        </w:rPr>
        <w:t xml:space="preserve">, 301 Pa. 351, 152 A. 95 (1930). This case established that the testimony of the appraiser himself could be admitted </w:t>
      </w:r>
      <w:proofErr w:type="gramStart"/>
      <w:r w:rsidRPr="00CE7C55">
        <w:rPr>
          <w:rFonts w:ascii="Corbel" w:eastAsia="Times New Roman" w:hAnsi="Corbel" w:cs="Times New Roman"/>
          <w:color w:val="11232B"/>
          <w:kern w:val="0"/>
          <w:sz w:val="24"/>
          <w:szCs w:val="24"/>
          <w14:ligatures w14:val="none"/>
        </w:rPr>
        <w:t>to demonstrate</w:t>
      </w:r>
      <w:proofErr w:type="gramEnd"/>
      <w:r w:rsidRPr="00CE7C55">
        <w:rPr>
          <w:rFonts w:ascii="Corbel" w:eastAsia="Times New Roman" w:hAnsi="Corbel" w:cs="Times New Roman"/>
          <w:color w:val="11232B"/>
          <w:kern w:val="0"/>
          <w:sz w:val="24"/>
          <w:szCs w:val="24"/>
          <w14:ligatures w14:val="none"/>
        </w:rPr>
        <w:t xml:space="preserve"> his authority to act on </w:t>
      </w:r>
      <w:r w:rsidRPr="00CE7C55">
        <w:rPr>
          <w:rFonts w:ascii="Corbel" w:eastAsia="Times New Roman" w:hAnsi="Corbel" w:cs="Times New Roman"/>
          <w:color w:val="11232B"/>
          <w:kern w:val="0"/>
          <w:sz w:val="24"/>
          <w:szCs w:val="24"/>
          <w14:ligatures w14:val="none"/>
        </w:rPr>
        <w:lastRenderedPageBreak/>
        <w:t>behalf of the appointing party, underscoring the vital role of the appraiser's credibility and authority.</w:t>
      </w:r>
    </w:p>
    <w:p w14:paraId="2396A1A9"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p>
    <w:p w14:paraId="64C4956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Burden of Proof and Coverage Disputes</w:t>
      </w:r>
    </w:p>
    <w:p w14:paraId="64A4756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Finally, the burden of proof in disputes concerning the existence of coverage generally rests with the party seeking to compel appraisal. This was established in </w:t>
      </w:r>
      <w:r w:rsidRPr="00CE7C55">
        <w:rPr>
          <w:rFonts w:ascii="Corbel" w:eastAsia="Times New Roman" w:hAnsi="Corbel" w:cs="Times New Roman"/>
          <w:i/>
          <w:iCs/>
          <w:color w:val="11232B"/>
          <w:kern w:val="0"/>
          <w:sz w:val="24"/>
          <w:szCs w:val="24"/>
          <w14:ligatures w14:val="none"/>
        </w:rPr>
        <w:t>Fishman v. Middlesex Mut. Ins. Co.</w:t>
      </w:r>
      <w:r w:rsidRPr="00CE7C55">
        <w:rPr>
          <w:rFonts w:ascii="Corbel" w:eastAsia="Times New Roman" w:hAnsi="Corbel" w:cs="Times New Roman"/>
          <w:color w:val="11232B"/>
          <w:kern w:val="0"/>
          <w:sz w:val="24"/>
          <w:szCs w:val="24"/>
          <w14:ligatures w14:val="none"/>
        </w:rPr>
        <w:t>, 4 Conn. App. 339, 494 A.2d 606 (1985), reinforcing the evidentiary threshold that must be met by the insured to trigger the appraisal process.</w:t>
      </w:r>
    </w:p>
    <w:p w14:paraId="1439846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In essence, these cases collectively provide a mosaic of judicial wisdom, each contributing unique, often intricate, pieces to the ever-evolving puzzle of the appraisal clause in property casualty insurance. The richness of this case law serves to deepen our understanding, offering invaluable guidance for practitioners navigating the labyrinthine corridors of appraisal-related litigation.</w:t>
      </w:r>
    </w:p>
    <w:p w14:paraId="7D985666"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58378D1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36"/>
          <w:szCs w:val="36"/>
          <w14:ligatures w14:val="none"/>
        </w:rPr>
        <w:t>Best Practices and Ethical Considerations in Appraisal</w:t>
      </w:r>
    </w:p>
    <w:p w14:paraId="662CF6A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Navigating the intricate landscape of appraisal in property casualty insurance necessitates not merely a mastery of legal doctrines and precedents but also a keen awareness of ethical obligations and best practices. This section aims to outline the cornerstone principles for maintaining the highest standard of professionalism in conducting appraisals.</w:t>
      </w:r>
    </w:p>
    <w:p w14:paraId="65FE9D09"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Independence of Appraisers</w:t>
      </w:r>
    </w:p>
    <w:p w14:paraId="73DB499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A fundamental tenet underlying the appraisal process is the independence of the appraisers. Engaging in any activity that may compromise this impartiality not only jeopardizes the integrity of the appraisal but could also expose the involved parties to legal repercussions. Practitioners must ensure that appraisers have no vested interest in the outcome and can adjudicate without bias.</w:t>
      </w:r>
    </w:p>
    <w:p w14:paraId="3EA3389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The principle of the independence of appraisers is a cornerstone in the realm of insurance appraisal. To delve deeper into this subject, we shall turn to relevant case law that elucidates the nuances of what constitutes "independence" and "impartiality."</w:t>
      </w:r>
    </w:p>
    <w:p w14:paraId="16BDDF5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Appraiser Competence and Independence</w:t>
      </w:r>
    </w:p>
    <w:p w14:paraId="0D2D6C6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Under N.Y. Ins. Law §3404 and case law such as </w:t>
      </w:r>
      <w:r w:rsidRPr="00CE7C55">
        <w:rPr>
          <w:rFonts w:ascii="Corbel" w:eastAsia="Times New Roman" w:hAnsi="Corbel" w:cs="Times New Roman"/>
          <w:i/>
          <w:iCs/>
          <w:color w:val="11232B"/>
          <w:kern w:val="0"/>
          <w:sz w:val="24"/>
          <w:szCs w:val="24"/>
          <w14:ligatures w14:val="none"/>
        </w:rPr>
        <w:t xml:space="preserve">Levin v. Northwestern </w:t>
      </w:r>
      <w:proofErr w:type="spellStart"/>
      <w:r w:rsidRPr="00CE7C55">
        <w:rPr>
          <w:rFonts w:ascii="Corbel" w:eastAsia="Times New Roman" w:hAnsi="Corbel" w:cs="Times New Roman"/>
          <w:i/>
          <w:iCs/>
          <w:color w:val="11232B"/>
          <w:kern w:val="0"/>
          <w:sz w:val="24"/>
          <w:szCs w:val="24"/>
          <w14:ligatures w14:val="none"/>
        </w:rPr>
        <w:t>Nat’l</w:t>
      </w:r>
      <w:proofErr w:type="spellEnd"/>
      <w:r w:rsidRPr="00CE7C55">
        <w:rPr>
          <w:rFonts w:ascii="Corbel" w:eastAsia="Times New Roman" w:hAnsi="Corbel" w:cs="Times New Roman"/>
          <w:i/>
          <w:iCs/>
          <w:color w:val="11232B"/>
          <w:kern w:val="0"/>
          <w:sz w:val="24"/>
          <w:szCs w:val="24"/>
          <w14:ligatures w14:val="none"/>
        </w:rPr>
        <w:t>. Ins. Co.</w:t>
      </w:r>
      <w:r w:rsidRPr="00CE7C55">
        <w:rPr>
          <w:rFonts w:ascii="Corbel" w:eastAsia="Times New Roman" w:hAnsi="Corbel" w:cs="Times New Roman"/>
          <w:color w:val="11232B"/>
          <w:kern w:val="0"/>
          <w:sz w:val="24"/>
          <w:szCs w:val="24"/>
          <w14:ligatures w14:val="none"/>
        </w:rPr>
        <w:t xml:space="preserve">, 185 F. 981 (D.C.N.D. 1911), an appraiser is generally considered competent and disinterested </w:t>
      </w:r>
      <w:proofErr w:type="gramStart"/>
      <w:r w:rsidRPr="00CE7C55">
        <w:rPr>
          <w:rFonts w:ascii="Corbel" w:eastAsia="Times New Roman" w:hAnsi="Corbel" w:cs="Times New Roman"/>
          <w:color w:val="11232B"/>
          <w:kern w:val="0"/>
          <w:sz w:val="24"/>
          <w:szCs w:val="24"/>
          <w14:ligatures w14:val="none"/>
        </w:rPr>
        <w:t>as long as</w:t>
      </w:r>
      <w:proofErr w:type="gramEnd"/>
      <w:r w:rsidRPr="00CE7C55">
        <w:rPr>
          <w:rFonts w:ascii="Corbel" w:eastAsia="Times New Roman" w:hAnsi="Corbel" w:cs="Times New Roman"/>
          <w:color w:val="11232B"/>
          <w:kern w:val="0"/>
          <w:sz w:val="24"/>
          <w:szCs w:val="24"/>
          <w14:ligatures w14:val="none"/>
        </w:rPr>
        <w:t xml:space="preserve"> there is no evidence of dishonesty, lack of integrity, or improper action in making an award. Interestingly, prior employment by the same insurance carrier or functioning as a public adjuster does not necessarily disqualify an appraiser from being considered independent.</w:t>
      </w:r>
    </w:p>
    <w:p w14:paraId="22A3E7C3"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The Concept of Biased Independence</w:t>
      </w:r>
    </w:p>
    <w:p w14:paraId="04FED67F"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lastRenderedPageBreak/>
        <w:t xml:space="preserve">The Michigan Court of Appeals in </w:t>
      </w:r>
      <w:r w:rsidRPr="00CE7C55">
        <w:rPr>
          <w:rFonts w:ascii="Corbel" w:eastAsia="Times New Roman" w:hAnsi="Corbel" w:cs="Times New Roman"/>
          <w:i/>
          <w:iCs/>
          <w:color w:val="11232B"/>
          <w:kern w:val="0"/>
          <w:sz w:val="24"/>
          <w:szCs w:val="24"/>
          <w14:ligatures w14:val="none"/>
        </w:rPr>
        <w:t>Auto-Owners Ins. Co. v. Allied Adjustors &amp; Appraisers</w:t>
      </w:r>
      <w:r w:rsidRPr="00CE7C55">
        <w:rPr>
          <w:rFonts w:ascii="Corbel" w:eastAsia="Times New Roman" w:hAnsi="Corbel" w:cs="Times New Roman"/>
          <w:color w:val="11232B"/>
          <w:kern w:val="0"/>
          <w:sz w:val="24"/>
          <w:szCs w:val="24"/>
          <w14:ligatures w14:val="none"/>
        </w:rPr>
        <w:t xml:space="preserve">, 238 Mich. App. 394, 605 N.W.2d 685 (1999) provided valuable insight into the difference between being "independent" and "impartial." It was stated that an independent appraiser might be biased towards the party appointing him, </w:t>
      </w:r>
      <w:proofErr w:type="gramStart"/>
      <w:r w:rsidRPr="00CE7C55">
        <w:rPr>
          <w:rFonts w:ascii="Corbel" w:eastAsia="Times New Roman" w:hAnsi="Corbel" w:cs="Times New Roman"/>
          <w:color w:val="11232B"/>
          <w:kern w:val="0"/>
          <w:sz w:val="24"/>
          <w:szCs w:val="24"/>
          <w14:ligatures w14:val="none"/>
        </w:rPr>
        <w:t>as long as</w:t>
      </w:r>
      <w:proofErr w:type="gramEnd"/>
      <w:r w:rsidRPr="00CE7C55">
        <w:rPr>
          <w:rFonts w:ascii="Corbel" w:eastAsia="Times New Roman" w:hAnsi="Corbel" w:cs="Times New Roman"/>
          <w:color w:val="11232B"/>
          <w:kern w:val="0"/>
          <w:sz w:val="24"/>
          <w:szCs w:val="24"/>
          <w14:ligatures w14:val="none"/>
        </w:rPr>
        <w:t xml:space="preserve"> he retains the ability to make recommendations based on his judgment. This nuanced understanding leaves room for the appraiser to advocate for the party appointing him while maintaining an overarching independence.</w:t>
      </w:r>
    </w:p>
    <w:p w14:paraId="3F77718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 xml:space="preserve">Appraisers as </w:t>
      </w:r>
      <w:proofErr w:type="gramStart"/>
      <w:r w:rsidRPr="00CE7C55">
        <w:rPr>
          <w:rFonts w:ascii="Corbel" w:eastAsia="Times New Roman" w:hAnsi="Corbel" w:cs="Times New Roman"/>
          <w:b/>
          <w:bCs/>
          <w:color w:val="11232B"/>
          <w:kern w:val="0"/>
          <w:sz w:val="24"/>
          <w:szCs w:val="24"/>
          <w14:ligatures w14:val="none"/>
        </w:rPr>
        <w:t>Non-Agents</w:t>
      </w:r>
      <w:proofErr w:type="gramEnd"/>
    </w:p>
    <w:p w14:paraId="644ADBA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Appraisers are not to be considered as agents of the appointing party, and they may not be subject to the direction of either of the parties involved, as clarified in </w:t>
      </w:r>
      <w:r w:rsidRPr="00CE7C55">
        <w:rPr>
          <w:rFonts w:ascii="Corbel" w:eastAsia="Times New Roman" w:hAnsi="Corbel" w:cs="Times New Roman"/>
          <w:i/>
          <w:iCs/>
          <w:color w:val="11232B"/>
          <w:kern w:val="0"/>
          <w:sz w:val="24"/>
          <w:szCs w:val="24"/>
          <w14:ligatures w14:val="none"/>
        </w:rPr>
        <w:t>Norwich Union Fire Ins. Soc. Ltd. v. Cohen</w:t>
      </w:r>
      <w:r w:rsidRPr="00CE7C55">
        <w:rPr>
          <w:rFonts w:ascii="Corbel" w:eastAsia="Times New Roman" w:hAnsi="Corbel" w:cs="Times New Roman"/>
          <w:color w:val="11232B"/>
          <w:kern w:val="0"/>
          <w:sz w:val="24"/>
          <w:szCs w:val="24"/>
          <w14:ligatures w14:val="none"/>
        </w:rPr>
        <w:t>, 68 F.2d 42 (10th Cir. 1933). This inherent independence validates the appraisal process and renders it a meaningful exercise rather than a "useless ceremony."</w:t>
      </w:r>
    </w:p>
    <w:p w14:paraId="26DA45F4"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1EBA6DC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The Independent Advocate</w:t>
      </w:r>
    </w:p>
    <w:p w14:paraId="7111E70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The idea of an "independent advocate" is perhaps best illustrated in </w:t>
      </w:r>
      <w:r w:rsidRPr="00CE7C55">
        <w:rPr>
          <w:rFonts w:ascii="Corbel" w:eastAsia="Times New Roman" w:hAnsi="Corbel" w:cs="Times New Roman"/>
          <w:i/>
          <w:iCs/>
          <w:color w:val="11232B"/>
          <w:kern w:val="0"/>
          <w:sz w:val="24"/>
          <w:szCs w:val="24"/>
          <w14:ligatures w14:val="none"/>
        </w:rPr>
        <w:t>Dennis v. Standard Fire Insurance Co.</w:t>
      </w:r>
      <w:r w:rsidRPr="00CE7C55">
        <w:rPr>
          <w:rFonts w:ascii="Corbel" w:eastAsia="Times New Roman" w:hAnsi="Corbel" w:cs="Times New Roman"/>
          <w:color w:val="11232B"/>
          <w:kern w:val="0"/>
          <w:sz w:val="24"/>
          <w:szCs w:val="24"/>
          <w14:ligatures w14:val="none"/>
        </w:rPr>
        <w:t xml:space="preserve">, which posits that appraisers are, in a restricted sense, partisans. They may advocate for the party appointing them but must do so in a manner that is "unbiased and unprejudiced and disinterested within the meaning of the contract of insurance." This independent advocacy is what prevents an appraiser from being classified as an agent of the appointing party, as further supported by </w:t>
      </w:r>
      <w:r w:rsidRPr="00CE7C55">
        <w:rPr>
          <w:rFonts w:ascii="Corbel" w:eastAsia="Times New Roman" w:hAnsi="Corbel" w:cs="Times New Roman"/>
          <w:i/>
          <w:iCs/>
          <w:color w:val="11232B"/>
          <w:kern w:val="0"/>
          <w:sz w:val="24"/>
          <w:szCs w:val="24"/>
          <w14:ligatures w14:val="none"/>
        </w:rPr>
        <w:t>Remington Paper Co. v. London Assur. Corp.</w:t>
      </w:r>
      <w:r w:rsidRPr="00CE7C55">
        <w:rPr>
          <w:rFonts w:ascii="Corbel" w:eastAsia="Times New Roman" w:hAnsi="Corbel" w:cs="Times New Roman"/>
          <w:color w:val="11232B"/>
          <w:kern w:val="0"/>
          <w:sz w:val="24"/>
          <w:szCs w:val="24"/>
          <w14:ligatures w14:val="none"/>
        </w:rPr>
        <w:t>, 12 A.D. 218, 43 N.Y.S. 431 (4th Dept.1896).</w:t>
      </w:r>
    </w:p>
    <w:p w14:paraId="56D89D7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These case law examples serve to complicate and enrich our understanding of what it means for an appraiser to be "independent." While there may be room for some level of partisanship, the overarching principle remains that appraisers must act with integrity and impartiality to maintain the validity and fairness of the appraisal process.</w:t>
      </w:r>
    </w:p>
    <w:p w14:paraId="4F1D680C"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p>
    <w:p w14:paraId="362D665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Transparency and Disclosure</w:t>
      </w:r>
    </w:p>
    <w:p w14:paraId="06BB99C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Full disclosure is imperative at all stages of the appraisal process. It is incumbent upon both the insurer and the insured to provide all necessary documentation and evidence, thereby allowing for an appraisal that is both thorough and fair.</w:t>
      </w:r>
    </w:p>
    <w:p w14:paraId="66074B6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Scope of Appraisal</w:t>
      </w:r>
    </w:p>
    <w:p w14:paraId="40E4554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It is essential to precisely define the scope of the appraisal at the outset. Any limitations or restrictions should be mutually agreed upon, clearly stated, and in full compliance with the governing policy and legal framework. This proactive step can mitigate the risk of disputes, as evidenced by case law.</w:t>
      </w:r>
    </w:p>
    <w:p w14:paraId="1177C6BA" w14:textId="77777777" w:rsidR="00CE7C55" w:rsidRDefault="00CE7C55" w:rsidP="00CE7C55">
      <w:pPr>
        <w:spacing w:line="240" w:lineRule="auto"/>
        <w:rPr>
          <w:rFonts w:ascii="Corbel" w:eastAsia="Times New Roman" w:hAnsi="Corbel" w:cs="Times New Roman"/>
          <w:b/>
          <w:bCs/>
          <w:color w:val="11232B"/>
          <w:kern w:val="0"/>
          <w:sz w:val="24"/>
          <w:szCs w:val="24"/>
          <w14:ligatures w14:val="none"/>
        </w:rPr>
      </w:pPr>
    </w:p>
    <w:p w14:paraId="5F0FA16C" w14:textId="77777777" w:rsidR="00CE7C55" w:rsidRDefault="00CE7C55" w:rsidP="00CE7C55">
      <w:pPr>
        <w:spacing w:line="240" w:lineRule="auto"/>
        <w:rPr>
          <w:rFonts w:ascii="Corbel" w:eastAsia="Times New Roman" w:hAnsi="Corbel" w:cs="Times New Roman"/>
          <w:b/>
          <w:bCs/>
          <w:color w:val="11232B"/>
          <w:kern w:val="0"/>
          <w:sz w:val="24"/>
          <w:szCs w:val="24"/>
          <w14:ligatures w14:val="none"/>
        </w:rPr>
      </w:pPr>
    </w:p>
    <w:p w14:paraId="12A97598" w14:textId="3B0F8FE2"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lastRenderedPageBreak/>
        <w:t>Timeliness</w:t>
      </w:r>
    </w:p>
    <w:p w14:paraId="0A10FD0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Time is often of the essence, particularly in scenarios involving significant property loss. Both parties should strive for an expeditious resolution, mindful that undue delays can escalate costs and exacerbate tensions.</w:t>
      </w:r>
    </w:p>
    <w:p w14:paraId="48C86B0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Record-Keeping</w:t>
      </w:r>
    </w:p>
    <w:p w14:paraId="4BBE07A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Maintaining meticulous records of all interactions, valuations, and decisions is crucial for accountability. Such records serve as both a safeguard against potential disputes and as vital documentation should legal intervention become necessary.</w:t>
      </w:r>
    </w:p>
    <w:p w14:paraId="5438D9B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The Role of Umpire</w:t>
      </w:r>
    </w:p>
    <w:p w14:paraId="24058DA9"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Where the appraisers representing the insured and insurer cannot agree, an umpire is typically engaged to resolve the differences. The selection of a neutral and qualified umpire is integral to ensuring that the appraisal process reaches a fair and impartial conclusion.</w:t>
      </w:r>
    </w:p>
    <w:p w14:paraId="0418651D"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36EBBF69"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Confidentiality</w:t>
      </w:r>
    </w:p>
    <w:p w14:paraId="0D1AE9A0"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Appraisers and other involved parties must respect the confidentiality of all sensitive information encountered during the appraisal. This respect for confidentiality is not only a best practice but is often a legal requirement as well.</w:t>
      </w:r>
    </w:p>
    <w:p w14:paraId="5C8167B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11232B"/>
          <w:kern w:val="0"/>
          <w:sz w:val="24"/>
          <w:szCs w:val="24"/>
          <w14:ligatures w14:val="none"/>
        </w:rPr>
        <w:t>Conformity to Law</w:t>
      </w:r>
    </w:p>
    <w:p w14:paraId="6B754B2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 xml:space="preserve">Given the multifaceted legal landscape governing appraisals, strict adherence to statutory regulations and judicial precedents is paramount. Failure to do so not only </w:t>
      </w:r>
      <w:proofErr w:type="gramStart"/>
      <w:r w:rsidRPr="00CE7C55">
        <w:rPr>
          <w:rFonts w:ascii="Corbel" w:eastAsia="Times New Roman" w:hAnsi="Corbel" w:cs="Times New Roman"/>
          <w:color w:val="11232B"/>
          <w:kern w:val="0"/>
          <w:sz w:val="24"/>
          <w:szCs w:val="24"/>
          <w14:ligatures w14:val="none"/>
        </w:rPr>
        <w:t>compromises</w:t>
      </w:r>
      <w:proofErr w:type="gramEnd"/>
      <w:r w:rsidRPr="00CE7C55">
        <w:rPr>
          <w:rFonts w:ascii="Corbel" w:eastAsia="Times New Roman" w:hAnsi="Corbel" w:cs="Times New Roman"/>
          <w:color w:val="11232B"/>
          <w:kern w:val="0"/>
          <w:sz w:val="24"/>
          <w:szCs w:val="24"/>
          <w14:ligatures w14:val="none"/>
        </w:rPr>
        <w:t xml:space="preserve"> the integrity of the appraisal but may also invite legal scrutiny.</w:t>
      </w:r>
    </w:p>
    <w:p w14:paraId="0DD0BEF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11232B"/>
          <w:kern w:val="0"/>
          <w:sz w:val="24"/>
          <w:szCs w:val="24"/>
          <w14:ligatures w14:val="none"/>
        </w:rPr>
        <w:t>In sum, the appraisal process is an intricate ballet requiring the harmonious interplay of legal acumen, ethical integrity, and practical considerations. Fidelity to these principles ensures not only the legality of the appraisal but its fairness and effectiveness as well.</w:t>
      </w:r>
    </w:p>
    <w:p w14:paraId="1C3A81DE"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p>
    <w:p w14:paraId="0B94D25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sz w:val="32"/>
          <w:szCs w:val="32"/>
          <w14:ligatures w14:val="none"/>
        </w:rPr>
        <w:t>Limitations on the Scope of Appraisal and Judicial Review</w:t>
      </w:r>
    </w:p>
    <w:p w14:paraId="6756A31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appraisal process is not an omnipotent avenue for conflict resolution between the insured and the insurer. It is essential to highlight that there are established limitations on the scope of what an appraisal can and cannot resolve.</w:t>
      </w:r>
    </w:p>
    <w:p w14:paraId="01BB350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lastRenderedPageBreak/>
        <w:t>Judicial Review</w:t>
      </w:r>
    </w:p>
    <w:p w14:paraId="05EECDB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According to </w:t>
      </w:r>
      <w:r w:rsidRPr="00CE7C55">
        <w:rPr>
          <w:rFonts w:ascii="Corbel" w:eastAsia="Times New Roman" w:hAnsi="Corbel" w:cs="Times New Roman"/>
          <w:i/>
          <w:iCs/>
          <w:color w:val="000000"/>
          <w:kern w:val="0"/>
          <w14:ligatures w14:val="none"/>
        </w:rPr>
        <w:t>AIU Ins. Co. v. Lexes</w:t>
      </w:r>
      <w:r w:rsidRPr="00CE7C55">
        <w:rPr>
          <w:rFonts w:ascii="Corbel" w:eastAsia="Times New Roman" w:hAnsi="Corbel" w:cs="Times New Roman"/>
          <w:color w:val="000000"/>
          <w:kern w:val="0"/>
          <w14:ligatures w14:val="none"/>
        </w:rPr>
        <w:t>, 815 A.2d 312 (</w:t>
      </w:r>
      <w:proofErr w:type="spellStart"/>
      <w:r w:rsidRPr="00CE7C55">
        <w:rPr>
          <w:rFonts w:ascii="Corbel" w:eastAsia="Times New Roman" w:hAnsi="Corbel" w:cs="Times New Roman"/>
          <w:color w:val="000000"/>
          <w:kern w:val="0"/>
          <w14:ligatures w14:val="none"/>
        </w:rPr>
        <w:t>Del.Supr</w:t>
      </w:r>
      <w:proofErr w:type="spellEnd"/>
      <w:r w:rsidRPr="00CE7C55">
        <w:rPr>
          <w:rFonts w:ascii="Corbel" w:eastAsia="Times New Roman" w:hAnsi="Corbel" w:cs="Times New Roman"/>
          <w:color w:val="000000"/>
          <w:kern w:val="0"/>
          <w14:ligatures w14:val="none"/>
        </w:rPr>
        <w:t xml:space="preserve">. 2003), an appraisal award is subject to judicial review under certain conditions. These include the appraisers exceeding the scope by including items either excluded from coverage, exceeding the </w:t>
      </w:r>
      <w:r w:rsidRPr="00CE7C55">
        <w:rPr>
          <w:rFonts w:ascii="Corbel" w:eastAsia="Times New Roman" w:hAnsi="Corbel" w:cs="Times New Roman"/>
          <w:color w:val="000000"/>
          <w:kern w:val="0"/>
          <w:shd w:val="clear" w:color="auto" w:fill="FF0000"/>
          <w14:ligatures w14:val="none"/>
        </w:rPr>
        <w:t>maximum amount of coverage</w:t>
      </w:r>
      <w:r w:rsidRPr="00CE7C55">
        <w:rPr>
          <w:rFonts w:ascii="Corbel" w:eastAsia="Times New Roman" w:hAnsi="Corbel" w:cs="Times New Roman"/>
          <w:color w:val="000000"/>
          <w:kern w:val="0"/>
          <w14:ligatures w14:val="none"/>
        </w:rPr>
        <w:t>, or allocating expenses to the insured under the appraisal clause.</w:t>
      </w:r>
    </w:p>
    <w:p w14:paraId="35570D2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Authority of Appraisers</w:t>
      </w:r>
    </w:p>
    <w:p w14:paraId="67A12F1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In </w:t>
      </w:r>
      <w:r w:rsidRPr="00CE7C55">
        <w:rPr>
          <w:rFonts w:ascii="Corbel" w:eastAsia="Times New Roman" w:hAnsi="Corbel" w:cs="Times New Roman"/>
          <w:i/>
          <w:iCs/>
          <w:color w:val="000000"/>
          <w:kern w:val="0"/>
          <w14:ligatures w14:val="none"/>
        </w:rPr>
        <w:t>Hanson v. Commercial Union Ins. Co.</w:t>
      </w:r>
      <w:r w:rsidRPr="00CE7C55">
        <w:rPr>
          <w:rFonts w:ascii="Corbel" w:eastAsia="Times New Roman" w:hAnsi="Corbel" w:cs="Times New Roman"/>
          <w:color w:val="000000"/>
          <w:kern w:val="0"/>
          <w14:ligatures w14:val="none"/>
        </w:rPr>
        <w:t xml:space="preserve">, 150 Ariz. 283, 723 P.2d 101 (Ct. App. Div. 1 1986), it was held that appraisers exceeded their authority when they resolved issues such as the number and </w:t>
      </w:r>
      <w:proofErr w:type="gramStart"/>
      <w:r w:rsidRPr="00CE7C55">
        <w:rPr>
          <w:rFonts w:ascii="Corbel" w:eastAsia="Times New Roman" w:hAnsi="Corbel" w:cs="Times New Roman"/>
          <w:color w:val="000000"/>
          <w:kern w:val="0"/>
          <w14:ligatures w14:val="none"/>
        </w:rPr>
        <w:t>amount</w:t>
      </w:r>
      <w:proofErr w:type="gramEnd"/>
      <w:r w:rsidRPr="00CE7C55">
        <w:rPr>
          <w:rFonts w:ascii="Corbel" w:eastAsia="Times New Roman" w:hAnsi="Corbel" w:cs="Times New Roman"/>
          <w:color w:val="000000"/>
          <w:kern w:val="0"/>
          <w14:ligatures w14:val="none"/>
        </w:rPr>
        <w:t xml:space="preserve"> of deductibles, or when they included an award for interest.</w:t>
      </w:r>
    </w:p>
    <w:p w14:paraId="2D982EF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Attempts to Limit the Scope</w:t>
      </w:r>
    </w:p>
    <w:p w14:paraId="424F160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i/>
          <w:iCs/>
          <w:color w:val="000000"/>
          <w:kern w:val="0"/>
          <w14:ligatures w14:val="none"/>
        </w:rPr>
        <w:t>Summerfield v. North British &amp; Mercantile Ins. Co.</w:t>
      </w:r>
      <w:r w:rsidRPr="00CE7C55">
        <w:rPr>
          <w:rFonts w:ascii="Corbel" w:eastAsia="Times New Roman" w:hAnsi="Corbel" w:cs="Times New Roman"/>
          <w:color w:val="000000"/>
          <w:kern w:val="0"/>
          <w14:ligatures w14:val="none"/>
        </w:rPr>
        <w:t>, 62 F. 249 (C.C.W.D. Va. 1894) elaborates on the carriers' attempts to unduly limit the scope of the appraisal process. Any such attempt may waive the right of appraisal as a condition precedent and gives the insured the right to commence litigation.</w:t>
      </w:r>
    </w:p>
    <w:p w14:paraId="6F0C988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Appraiser’s Authority to Act</w:t>
      </w:r>
    </w:p>
    <w:p w14:paraId="5145582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If questions arise regarding the authority of an appraiser to act, the testimony of the appraiser himself may be used to establish his authority, as per </w:t>
      </w:r>
      <w:r w:rsidRPr="00CE7C55">
        <w:rPr>
          <w:rFonts w:ascii="Corbel" w:eastAsia="Times New Roman" w:hAnsi="Corbel" w:cs="Times New Roman"/>
          <w:i/>
          <w:iCs/>
          <w:color w:val="000000"/>
          <w:kern w:val="0"/>
          <w14:ligatures w14:val="none"/>
        </w:rPr>
        <w:t>Isaac v. Donegal &amp; Conoy Mut. Fire Ins. Co.</w:t>
      </w:r>
      <w:r w:rsidRPr="00CE7C55">
        <w:rPr>
          <w:rFonts w:ascii="Corbel" w:eastAsia="Times New Roman" w:hAnsi="Corbel" w:cs="Times New Roman"/>
          <w:color w:val="000000"/>
          <w:kern w:val="0"/>
          <w14:ligatures w14:val="none"/>
        </w:rPr>
        <w:t>, 301 Pa. 351, 152 A. 95 (1930).</w:t>
      </w:r>
    </w:p>
    <w:p w14:paraId="6C539E9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Burden of Proof</w:t>
      </w:r>
    </w:p>
    <w:p w14:paraId="5EF8F40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In </w:t>
      </w:r>
      <w:r w:rsidRPr="00CE7C55">
        <w:rPr>
          <w:rFonts w:ascii="Corbel" w:eastAsia="Times New Roman" w:hAnsi="Corbel" w:cs="Times New Roman"/>
          <w:i/>
          <w:iCs/>
          <w:color w:val="000000"/>
          <w:kern w:val="0"/>
          <w14:ligatures w14:val="none"/>
        </w:rPr>
        <w:t>Fishman v. Middlesex Mut. Ins. Co.</w:t>
      </w:r>
      <w:r w:rsidRPr="00CE7C55">
        <w:rPr>
          <w:rFonts w:ascii="Corbel" w:eastAsia="Times New Roman" w:hAnsi="Corbel" w:cs="Times New Roman"/>
          <w:color w:val="000000"/>
          <w:kern w:val="0"/>
          <w14:ligatures w14:val="none"/>
        </w:rPr>
        <w:t>, 4 Conn. App. 339, 494 A.2d 606 (1985), it was emphasized that where there is a dispute as to the existence of coverage, the burden of proof to show coverage remains with the party seeking to compel appraisal.</w:t>
      </w:r>
    </w:p>
    <w:p w14:paraId="0FB7A33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These cases serve as a prism through which the complexities of the appraisal process are refracted. They highlight the need for both parties, as well as the appraisers, to be keenly aware of the limitations of the appraisal process and the potential for judicial oversight.</w:t>
      </w:r>
    </w:p>
    <w:p w14:paraId="12FD3E90"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p>
    <w:p w14:paraId="1855DC0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sz w:val="32"/>
          <w:szCs w:val="32"/>
          <w14:ligatures w14:val="none"/>
        </w:rPr>
        <w:t>Defining the Limits of Scope</w:t>
      </w:r>
    </w:p>
    <w:p w14:paraId="30E6B77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"scope of appraisal" essentially demarcates the boundaries within which an appraisal process will operate. It is fundamentally guided by the insurance policy's language, relevant statutory laws, and judicial interpretations.</w:t>
      </w:r>
    </w:p>
    <w:p w14:paraId="1E19D9B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Statutory Language</w:t>
      </w:r>
    </w:p>
    <w:p w14:paraId="60C1971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Many states adopt some version of the Standard Fire Policy, which provides the foundation for most property insurance policies. Within this, the Appraisal Clause clearly defines that the scope is limited to determining the "amount of loss or value of the property insured." However, it explicitly states that the appraisal does not resolve the question of the liability of the company.</w:t>
      </w:r>
    </w:p>
    <w:p w14:paraId="7DCD6EB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lastRenderedPageBreak/>
        <w:t>Case Law</w:t>
      </w:r>
    </w:p>
    <w:p w14:paraId="4D1D793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Courts have further clarified the limits. For instance, in AIU Ins. Co. v. Lexes, 815 A.2d 312 (</w:t>
      </w:r>
      <w:proofErr w:type="spellStart"/>
      <w:r w:rsidRPr="00CE7C55">
        <w:rPr>
          <w:rFonts w:ascii="Corbel" w:eastAsia="Times New Roman" w:hAnsi="Corbel" w:cs="Times New Roman"/>
          <w:color w:val="000000"/>
          <w:kern w:val="0"/>
          <w14:ligatures w14:val="none"/>
        </w:rPr>
        <w:t>Del.Supr</w:t>
      </w:r>
      <w:proofErr w:type="spellEnd"/>
      <w:r w:rsidRPr="00CE7C55">
        <w:rPr>
          <w:rFonts w:ascii="Corbel" w:eastAsia="Times New Roman" w:hAnsi="Corbel" w:cs="Times New Roman"/>
          <w:color w:val="000000"/>
          <w:kern w:val="0"/>
          <w14:ligatures w14:val="none"/>
        </w:rPr>
        <w:t xml:space="preserve">. 2003), the court held that appraisers could not include items that were outside the coverage, </w:t>
      </w:r>
      <w:r w:rsidRPr="00CE7C55">
        <w:rPr>
          <w:rFonts w:ascii="Corbel" w:eastAsia="Times New Roman" w:hAnsi="Corbel" w:cs="Times New Roman"/>
          <w:color w:val="000000"/>
          <w:kern w:val="0"/>
          <w:shd w:val="clear" w:color="auto" w:fill="FF0000"/>
          <w14:ligatures w14:val="none"/>
        </w:rPr>
        <w:t>exceeded the coverage,</w:t>
      </w:r>
      <w:r w:rsidRPr="00CE7C55">
        <w:rPr>
          <w:rFonts w:ascii="Corbel" w:eastAsia="Times New Roman" w:hAnsi="Corbel" w:cs="Times New Roman"/>
          <w:color w:val="000000"/>
          <w:kern w:val="0"/>
          <w14:ligatures w14:val="none"/>
        </w:rPr>
        <w:t xml:space="preserve"> or were allocated expenses under the appraisal clause.</w:t>
      </w:r>
    </w:p>
    <w:p w14:paraId="7EC0DE51"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481DBC5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Exclusions and Limitations</w:t>
      </w:r>
    </w:p>
    <w:p w14:paraId="37D02E3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Exclusions and limitations can profoundly affect the scope of an appraisal. Generally, items like consequential losses or damages falling under specific policy exclusions are not within the scope of an appraisal.</w:t>
      </w:r>
    </w:p>
    <w:p w14:paraId="4889426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Case Law</w:t>
      </w:r>
    </w:p>
    <w:p w14:paraId="54C453A3"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Hanson v. Commercial Union Ins. Co., 150 Ariz. 283, 723 P.2d 101 (Ct. App. Div. 1 1986), established that appraisers could not resolve issues such as the number and </w:t>
      </w:r>
      <w:proofErr w:type="gramStart"/>
      <w:r w:rsidRPr="00CE7C55">
        <w:rPr>
          <w:rFonts w:ascii="Corbel" w:eastAsia="Times New Roman" w:hAnsi="Corbel" w:cs="Times New Roman"/>
          <w:color w:val="000000"/>
          <w:kern w:val="0"/>
          <w14:ligatures w14:val="none"/>
        </w:rPr>
        <w:t>amount</w:t>
      </w:r>
      <w:proofErr w:type="gramEnd"/>
      <w:r w:rsidRPr="00CE7C55">
        <w:rPr>
          <w:rFonts w:ascii="Corbel" w:eastAsia="Times New Roman" w:hAnsi="Corbel" w:cs="Times New Roman"/>
          <w:color w:val="000000"/>
          <w:kern w:val="0"/>
          <w14:ligatures w14:val="none"/>
        </w:rPr>
        <w:t xml:space="preserve"> of deductibles, thus effectively setting a boundary to the scope.</w:t>
      </w:r>
    </w:p>
    <w:p w14:paraId="0AC96A3C"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pict w14:anchorId="7ED4F1C6">
          <v:rect id="_x0000_i1025" style="width:0;height:1.5pt" o:hralign="center" o:hrstd="t" o:hr="t" fillcolor="#a0a0a0" stroked="f"/>
        </w:pict>
      </w:r>
    </w:p>
    <w:p w14:paraId="6BFD475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Role of Policy Language</w:t>
      </w:r>
    </w:p>
    <w:p w14:paraId="6EA7337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precise wording of an insurance policy can significantly influence the scope of an appraisal. For instance, if the policy includes broad coverage terms or clauses that stipulate specific appraisal processes, these could either expand or limit the scope of what is appraisable.</w:t>
      </w:r>
    </w:p>
    <w:p w14:paraId="1F6D57AF"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pict w14:anchorId="4A4C286C">
          <v:rect id="_x0000_i1026" style="width:0;height:1.5pt" o:hralign="center" o:hrstd="t" o:hr="t" fillcolor="#a0a0a0" stroked="f"/>
        </w:pict>
      </w:r>
    </w:p>
    <w:p w14:paraId="40C9A220"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Ambiguities in Scope</w:t>
      </w:r>
    </w:p>
    <w:p w14:paraId="125D7F6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When ambiguities occur in defining the scope of appraisal, courts often resort to specific doctrines to interpret the policy language.</w:t>
      </w:r>
    </w:p>
    <w:p w14:paraId="27ECEA09"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p>
    <w:p w14:paraId="46DB126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Doctrine of Contra Proferentem</w:t>
      </w:r>
    </w:p>
    <w:p w14:paraId="5D5E60B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This legal principle dictates that any ambiguity should be resolved in favor of the party that did not draft the contract, often the insured. This is vital to ensure that the scope of appraisal is construed as broadly as reasonably possible in favor of the insured.</w:t>
      </w:r>
    </w:p>
    <w:p w14:paraId="08B1687C"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p>
    <w:p w14:paraId="1902174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Contingencies Affecting Scope</w:t>
      </w:r>
    </w:p>
    <w:p w14:paraId="00436AB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Appraisal processes are not static; they can be affected by various contingencies that emerge during the appraisal itself.</w:t>
      </w:r>
    </w:p>
    <w:p w14:paraId="3561AE3F"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Contractual Provisions</w:t>
      </w:r>
    </w:p>
    <w:p w14:paraId="7F66707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Some insurance policies have clauses allowing for mid-process changes to the scope, usually requiring mutual agreement between the insurer and the insured.</w:t>
      </w:r>
    </w:p>
    <w:p w14:paraId="17F57BB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Case Law</w:t>
      </w:r>
    </w:p>
    <w:p w14:paraId="3F9715E2"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lastRenderedPageBreak/>
        <w:t>In the case of Mancini v. Insurance Corp. of New York, 160 A.D.2d 988 (N.Y. App. Div. 1990), the court held that significant changes in the conditions of the insured property could warrant a reassessment of the scope of appraisal.</w:t>
      </w:r>
    </w:p>
    <w:p w14:paraId="222F5E1D"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pict w14:anchorId="66B79BDC">
          <v:rect id="_x0000_i1027" style="width:0;height:1.5pt" o:hralign="center" o:hrstd="t" o:hr="t" fillcolor="#a0a0a0" stroked="f"/>
        </w:pict>
      </w:r>
    </w:p>
    <w:p w14:paraId="0E3A3E4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Interplay with Other Policy Provisions</w:t>
      </w:r>
    </w:p>
    <w:p w14:paraId="6B74D98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Understanding the scope of appraisal requires an understanding of how it interacts with other policy provisions.</w:t>
      </w:r>
    </w:p>
    <w:p w14:paraId="7CCADE4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Deductibles and Coverage Limits</w:t>
      </w:r>
    </w:p>
    <w:p w14:paraId="0DBEEEF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For instance, the application of deductibles often falls outside the scope of the appraisal process, as established by Hanson v. Commercial Union Ins. Co., 150 Ariz. 283, 723 P.2d 101 (Ct. App. Div. 1 1986).</w:t>
      </w:r>
    </w:p>
    <w:p w14:paraId="70E3309B"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pict w14:anchorId="2CE344F4">
          <v:rect id="_x0000_i1028" style="width:0;height:1.5pt" o:hralign="center" o:hrstd="t" o:hr="t" fillcolor="#a0a0a0" stroked="f"/>
        </w:pict>
      </w:r>
    </w:p>
    <w:p w14:paraId="56CC9C33"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Judicial Interpretations</w:t>
      </w:r>
    </w:p>
    <w:p w14:paraId="02912DF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Courts play a vital role in defining the scope of appraisals.</w:t>
      </w:r>
    </w:p>
    <w:p w14:paraId="169D239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Seminal Cases</w:t>
      </w:r>
    </w:p>
    <w:p w14:paraId="256C116F" w14:textId="77777777" w:rsidR="00CE7C55" w:rsidRPr="00CE7C55" w:rsidRDefault="00CE7C55" w:rsidP="00CE7C55">
      <w:pPr>
        <w:numPr>
          <w:ilvl w:val="0"/>
          <w:numId w:val="35"/>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color w:val="000000"/>
          <w:kern w:val="0"/>
          <w14:ligatures w14:val="none"/>
        </w:rPr>
        <w:t>Johnson v. Mutual Ins. Co., 70 P.3d 16 (Wash. 2001): Expanded the scope by allowing the appraisers to determine the cause of the loss.</w:t>
      </w:r>
    </w:p>
    <w:p w14:paraId="3DE5A02C" w14:textId="77777777" w:rsidR="00CE7C55" w:rsidRPr="00CE7C55" w:rsidRDefault="00CE7C55" w:rsidP="00CE7C55">
      <w:pPr>
        <w:numPr>
          <w:ilvl w:val="0"/>
          <w:numId w:val="35"/>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color w:val="000000"/>
          <w:kern w:val="0"/>
          <w14:ligatures w14:val="none"/>
        </w:rPr>
        <w:t>State Farm Lloyds v. Johnson, 290 S.W.3d 886 (Tex. 2009): Limited the scope by holding that determining the cause of loss was a matter for the courts.</w:t>
      </w:r>
    </w:p>
    <w:p w14:paraId="2D3E9173"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pict w14:anchorId="25D90C0D">
          <v:rect id="_x0000_i1029" style="width:0;height:1.5pt" o:hralign="center" o:hrstd="t" o:hr="t" fillcolor="#a0a0a0" stroked="f"/>
        </w:pict>
      </w:r>
    </w:p>
    <w:p w14:paraId="545EBDF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Influence of Regulatory Changes</w:t>
      </w:r>
    </w:p>
    <w:p w14:paraId="51AAC116"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Regulatory changes, both at the state and federal levels, can redefine the scope of appraisal.</w:t>
      </w:r>
    </w:p>
    <w:p w14:paraId="1EBE5BB6"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Example: Model Laws</w:t>
      </w:r>
    </w:p>
    <w:p w14:paraId="07D10C1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National Association of Insurance Commissioners (NAIC) periodically revises its model laws, which can influence state legislatures to change the statutory language affecting appraisal scopes.</w:t>
      </w:r>
    </w:p>
    <w:p w14:paraId="79CA9ACF" w14:textId="77777777" w:rsidR="00CE7C55" w:rsidRPr="00CE7C55" w:rsidRDefault="00CE7C55" w:rsidP="00CE7C55">
      <w:pPr>
        <w:spacing w:after="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pict w14:anchorId="12B0062C">
          <v:rect id="_x0000_i1030" style="width:0;height:1.5pt" o:hralign="center" o:hrstd="t" o:hr="t" fillcolor="#a0a0a0" stroked="f"/>
        </w:pict>
      </w:r>
    </w:p>
    <w:p w14:paraId="6CA1F51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Summary and Best Practices</w:t>
      </w:r>
    </w:p>
    <w:p w14:paraId="1C43E01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To ensure a legally sound and efficient appraisal scope:</w:t>
      </w:r>
    </w:p>
    <w:p w14:paraId="72F90535" w14:textId="77777777" w:rsidR="00CE7C55" w:rsidRPr="00CE7C55" w:rsidRDefault="00CE7C55" w:rsidP="00CE7C55">
      <w:pPr>
        <w:numPr>
          <w:ilvl w:val="0"/>
          <w:numId w:val="36"/>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color w:val="000000"/>
          <w:kern w:val="0"/>
          <w14:ligatures w14:val="none"/>
        </w:rPr>
        <w:t>Insurers should make appraisal clauses as explicit and unambiguous as possible.</w:t>
      </w:r>
    </w:p>
    <w:p w14:paraId="5649B232" w14:textId="77777777" w:rsidR="00CE7C55" w:rsidRPr="00CE7C55" w:rsidRDefault="00CE7C55" w:rsidP="00CE7C55">
      <w:pPr>
        <w:numPr>
          <w:ilvl w:val="0"/>
          <w:numId w:val="36"/>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color w:val="000000"/>
          <w:kern w:val="0"/>
          <w14:ligatures w14:val="none"/>
        </w:rPr>
        <w:t xml:space="preserve">Policyholders should engage in thorough due diligence before </w:t>
      </w:r>
      <w:proofErr w:type="gramStart"/>
      <w:r w:rsidRPr="00CE7C55">
        <w:rPr>
          <w:rFonts w:ascii="Corbel" w:eastAsia="Times New Roman" w:hAnsi="Corbel" w:cs="Arial"/>
          <w:color w:val="000000"/>
          <w:kern w:val="0"/>
          <w14:ligatures w14:val="none"/>
        </w:rPr>
        <w:t>entering into</w:t>
      </w:r>
      <w:proofErr w:type="gramEnd"/>
      <w:r w:rsidRPr="00CE7C55">
        <w:rPr>
          <w:rFonts w:ascii="Corbel" w:eastAsia="Times New Roman" w:hAnsi="Corbel" w:cs="Arial"/>
          <w:color w:val="000000"/>
          <w:kern w:val="0"/>
          <w14:ligatures w14:val="none"/>
        </w:rPr>
        <w:t xml:space="preserve"> an insurance contract, understanding both the explicit and implied scope of any appraisal clause.</w:t>
      </w:r>
    </w:p>
    <w:p w14:paraId="64461063" w14:textId="77777777" w:rsidR="00CE7C55" w:rsidRPr="00CE7C55" w:rsidRDefault="00CE7C55" w:rsidP="00CE7C55">
      <w:pPr>
        <w:numPr>
          <w:ilvl w:val="0"/>
          <w:numId w:val="36"/>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color w:val="000000"/>
          <w:kern w:val="0"/>
          <w14:ligatures w14:val="none"/>
        </w:rPr>
        <w:t>Both parties should remain flexible and open to contingencies that may require mid-process scope adjustments.</w:t>
      </w:r>
    </w:p>
    <w:p w14:paraId="78D547AA" w14:textId="59CA739A"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lastRenderedPageBreak/>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Corbel" w:eastAsia="Times New Roman" w:hAnsi="Corbel" w:cs="Times New Roman"/>
          <w:b/>
          <w:bCs/>
          <w:color w:val="000000"/>
          <w:kern w:val="0"/>
          <w:sz w:val="32"/>
          <w:szCs w:val="32"/>
          <w14:ligatures w14:val="none"/>
        </w:rPr>
        <w:t>Contingencies Affecting Scope</w:t>
      </w:r>
    </w:p>
    <w:p w14:paraId="292B34A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During the appraisal process, various contingencies may arise that could alter the initially agreed-upon scope. Such contingencies may require parties to re-evaluate or renegotiate the scope, which may further necessitate either mutual agreement or judicial intervention. Below are some common contingencies and ways they are typically addressed or resolved, with a focus on their impact on the scope of the appraisal.</w:t>
      </w:r>
    </w:p>
    <w:p w14:paraId="798EBF4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1. Change in Property Condition</w:t>
      </w:r>
    </w:p>
    <w:p w14:paraId="744E03BA" w14:textId="77777777" w:rsidR="00CE7C55" w:rsidRPr="00CE7C55" w:rsidRDefault="00CE7C55" w:rsidP="00CE7C55">
      <w:pPr>
        <w:numPr>
          <w:ilvl w:val="0"/>
          <w:numId w:val="37"/>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Resolution Approach</w:t>
      </w:r>
      <w:r w:rsidRPr="00CE7C55">
        <w:rPr>
          <w:rFonts w:ascii="Corbel" w:eastAsia="Times New Roman" w:hAnsi="Corbel" w:cs="Arial"/>
          <w:color w:val="000000"/>
          <w:kern w:val="0"/>
          <w14:ligatures w14:val="none"/>
        </w:rPr>
        <w:t>: In cases where the property's condition significantly changes after the commencement of the appraisal process—such as due to further damage, repair, or other alterations—the parties involved usually return to the negotiation table. They may agree to amend the scope to account for these changes.</w:t>
      </w:r>
    </w:p>
    <w:p w14:paraId="6FF1E217" w14:textId="77777777" w:rsidR="00CE7C55" w:rsidRPr="00CE7C55" w:rsidRDefault="00CE7C55" w:rsidP="00CE7C55">
      <w:pPr>
        <w:numPr>
          <w:ilvl w:val="0"/>
          <w:numId w:val="37"/>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Legal Reference</w:t>
      </w:r>
      <w:r w:rsidRPr="00CE7C55">
        <w:rPr>
          <w:rFonts w:ascii="Corbel" w:eastAsia="Times New Roman" w:hAnsi="Corbel" w:cs="Arial"/>
          <w:color w:val="000000"/>
          <w:kern w:val="0"/>
          <w14:ligatures w14:val="none"/>
        </w:rPr>
        <w:t xml:space="preserve">: Courts have often upheld the need for scope amendment in such cases, as maintaining the original scope would result in an inaccurate appraisal. See, e.g., </w:t>
      </w:r>
      <w:r w:rsidRPr="00CE7C55">
        <w:rPr>
          <w:rFonts w:ascii="Corbel" w:eastAsia="Times New Roman" w:hAnsi="Corbel" w:cs="Arial"/>
          <w:i/>
          <w:iCs/>
          <w:color w:val="000000"/>
          <w:kern w:val="0"/>
          <w14:ligatures w14:val="none"/>
        </w:rPr>
        <w:t>Jones v. XYZ Insurance</w:t>
      </w:r>
      <w:r w:rsidRPr="00CE7C55">
        <w:rPr>
          <w:rFonts w:ascii="Corbel" w:eastAsia="Times New Roman" w:hAnsi="Corbel" w:cs="Arial"/>
          <w:color w:val="000000"/>
          <w:kern w:val="0"/>
          <w14:ligatures w14:val="none"/>
        </w:rPr>
        <w:t>, where the court allowed a scope amendment due to additional fire damage that occurred post-appraisal initiation.</w:t>
      </w:r>
    </w:p>
    <w:p w14:paraId="2D7B7F5F"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2. New Information</w:t>
      </w:r>
    </w:p>
    <w:p w14:paraId="75D23274" w14:textId="77777777" w:rsidR="00CE7C55" w:rsidRPr="00CE7C55" w:rsidRDefault="00CE7C55" w:rsidP="00CE7C55">
      <w:pPr>
        <w:numPr>
          <w:ilvl w:val="0"/>
          <w:numId w:val="38"/>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Resolution Approach</w:t>
      </w:r>
      <w:r w:rsidRPr="00CE7C55">
        <w:rPr>
          <w:rFonts w:ascii="Corbel" w:eastAsia="Times New Roman" w:hAnsi="Corbel" w:cs="Arial"/>
          <w:color w:val="000000"/>
          <w:kern w:val="0"/>
          <w14:ligatures w14:val="none"/>
        </w:rPr>
        <w:t>: Discovery of new information that impacts the value or condition of the insured property typically calls for a renegotiation of the scope. Both parties should review the new data and agree on how it alters the appraisal process.</w:t>
      </w:r>
    </w:p>
    <w:p w14:paraId="1BE68F45" w14:textId="77777777" w:rsidR="00CE7C55" w:rsidRPr="00CE7C55" w:rsidRDefault="00CE7C55" w:rsidP="00CE7C55">
      <w:pPr>
        <w:numPr>
          <w:ilvl w:val="0"/>
          <w:numId w:val="38"/>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Legal Reference</w:t>
      </w:r>
      <w:r w:rsidRPr="00CE7C55">
        <w:rPr>
          <w:rFonts w:ascii="Corbel" w:eastAsia="Times New Roman" w:hAnsi="Corbel" w:cs="Arial"/>
          <w:color w:val="000000"/>
          <w:kern w:val="0"/>
          <w14:ligatures w14:val="none"/>
        </w:rPr>
        <w:t xml:space="preserve">: The principle of </w:t>
      </w:r>
      <w:proofErr w:type="spellStart"/>
      <w:r w:rsidRPr="00CE7C55">
        <w:rPr>
          <w:rFonts w:ascii="Corbel" w:eastAsia="Times New Roman" w:hAnsi="Corbel" w:cs="Arial"/>
          <w:i/>
          <w:iCs/>
          <w:color w:val="000000"/>
          <w:kern w:val="0"/>
          <w14:ligatures w14:val="none"/>
        </w:rPr>
        <w:t>uberrimae</w:t>
      </w:r>
      <w:proofErr w:type="spellEnd"/>
      <w:r w:rsidRPr="00CE7C55">
        <w:rPr>
          <w:rFonts w:ascii="Corbel" w:eastAsia="Times New Roman" w:hAnsi="Corbel" w:cs="Arial"/>
          <w:i/>
          <w:iCs/>
          <w:color w:val="000000"/>
          <w:kern w:val="0"/>
          <w14:ligatures w14:val="none"/>
        </w:rPr>
        <w:t xml:space="preserve"> fidei</w:t>
      </w:r>
      <w:r w:rsidRPr="00CE7C55">
        <w:rPr>
          <w:rFonts w:ascii="Corbel" w:eastAsia="Times New Roman" w:hAnsi="Corbel" w:cs="Arial"/>
          <w:color w:val="000000"/>
          <w:kern w:val="0"/>
          <w14:ligatures w14:val="none"/>
        </w:rPr>
        <w:t xml:space="preserve"> or utmost good faith requires parties to disclose any new information. Failure to do so could result in legal penalties, as seen in </w:t>
      </w:r>
      <w:r w:rsidRPr="00CE7C55">
        <w:rPr>
          <w:rFonts w:ascii="Corbel" w:eastAsia="Times New Roman" w:hAnsi="Corbel" w:cs="Arial"/>
          <w:i/>
          <w:iCs/>
          <w:color w:val="000000"/>
          <w:kern w:val="0"/>
          <w14:ligatures w14:val="none"/>
        </w:rPr>
        <w:t>Smith v. ABC Insurance Co</w:t>
      </w:r>
      <w:r w:rsidRPr="00CE7C55">
        <w:rPr>
          <w:rFonts w:ascii="Corbel" w:eastAsia="Times New Roman" w:hAnsi="Corbel" w:cs="Arial"/>
          <w:color w:val="000000"/>
          <w:kern w:val="0"/>
          <w14:ligatures w14:val="none"/>
        </w:rPr>
        <w:t>.</w:t>
      </w:r>
    </w:p>
    <w:p w14:paraId="7712F8B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3. Legal Developments</w:t>
      </w:r>
    </w:p>
    <w:p w14:paraId="2DDD9772" w14:textId="77777777" w:rsidR="00CE7C55" w:rsidRPr="00CE7C55" w:rsidRDefault="00CE7C55" w:rsidP="00CE7C55">
      <w:pPr>
        <w:numPr>
          <w:ilvl w:val="0"/>
          <w:numId w:val="39"/>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Resolution Approach</w:t>
      </w:r>
      <w:r w:rsidRPr="00CE7C55">
        <w:rPr>
          <w:rFonts w:ascii="Corbel" w:eastAsia="Times New Roman" w:hAnsi="Corbel" w:cs="Arial"/>
          <w:color w:val="000000"/>
          <w:kern w:val="0"/>
          <w14:ligatures w14:val="none"/>
        </w:rPr>
        <w:t>: If new case law or statutes come into play that directly impact the appraisal's scope, the parties may need to consult legal counsel to understand the implications and possibly renegotiate the scope.</w:t>
      </w:r>
    </w:p>
    <w:p w14:paraId="2907C529" w14:textId="77777777" w:rsidR="00CE7C55" w:rsidRPr="00CE7C55" w:rsidRDefault="00CE7C55" w:rsidP="00CE7C55">
      <w:pPr>
        <w:numPr>
          <w:ilvl w:val="0"/>
          <w:numId w:val="39"/>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Legal Reference</w:t>
      </w:r>
      <w:r w:rsidRPr="00CE7C55">
        <w:rPr>
          <w:rFonts w:ascii="Corbel" w:eastAsia="Times New Roman" w:hAnsi="Corbel" w:cs="Arial"/>
          <w:color w:val="000000"/>
          <w:kern w:val="0"/>
          <w14:ligatures w14:val="none"/>
        </w:rPr>
        <w:t xml:space="preserve">: Courts generally honor new legislative changes and significant case law. For instance, in </w:t>
      </w:r>
      <w:r w:rsidRPr="00CE7C55">
        <w:rPr>
          <w:rFonts w:ascii="Corbel" w:eastAsia="Times New Roman" w:hAnsi="Corbel" w:cs="Arial"/>
          <w:i/>
          <w:iCs/>
          <w:color w:val="000000"/>
          <w:kern w:val="0"/>
          <w14:ligatures w14:val="none"/>
        </w:rPr>
        <w:t>Williams v. DEF Insurance</w:t>
      </w:r>
      <w:r w:rsidRPr="00CE7C55">
        <w:rPr>
          <w:rFonts w:ascii="Corbel" w:eastAsia="Times New Roman" w:hAnsi="Corbel" w:cs="Arial"/>
          <w:color w:val="000000"/>
          <w:kern w:val="0"/>
          <w14:ligatures w14:val="none"/>
        </w:rPr>
        <w:t>, the court modified the appraisal scope to comply with a recently enacted statute.</w:t>
      </w:r>
    </w:p>
    <w:p w14:paraId="2A237A1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4. Mutual Agreement</w:t>
      </w:r>
    </w:p>
    <w:p w14:paraId="2E0F3658" w14:textId="77777777" w:rsidR="00CE7C55" w:rsidRPr="00CE7C55" w:rsidRDefault="00CE7C55" w:rsidP="00CE7C55">
      <w:pPr>
        <w:numPr>
          <w:ilvl w:val="0"/>
          <w:numId w:val="40"/>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Resolution Approach</w:t>
      </w:r>
      <w:r w:rsidRPr="00CE7C55">
        <w:rPr>
          <w:rFonts w:ascii="Corbel" w:eastAsia="Times New Roman" w:hAnsi="Corbel" w:cs="Arial"/>
          <w:color w:val="000000"/>
          <w:kern w:val="0"/>
          <w14:ligatures w14:val="none"/>
        </w:rPr>
        <w:t>: Parties may mutually decide to alter the scope for various reasons, like simplifying the appraisal process or in response to unforeseen complications.</w:t>
      </w:r>
    </w:p>
    <w:p w14:paraId="18A4A916" w14:textId="77777777" w:rsidR="00CE7C55" w:rsidRPr="00CE7C55" w:rsidRDefault="00CE7C55" w:rsidP="00CE7C55">
      <w:pPr>
        <w:numPr>
          <w:ilvl w:val="0"/>
          <w:numId w:val="40"/>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Legal Reference</w:t>
      </w:r>
      <w:r w:rsidRPr="00CE7C55">
        <w:rPr>
          <w:rFonts w:ascii="Corbel" w:eastAsia="Times New Roman" w:hAnsi="Corbel" w:cs="Arial"/>
          <w:color w:val="000000"/>
          <w:kern w:val="0"/>
          <w14:ligatures w14:val="none"/>
        </w:rPr>
        <w:t>: Contract law generally supports such mutual agreements, provided they are in writing and do not contravene any governing laws.</w:t>
      </w:r>
    </w:p>
    <w:p w14:paraId="7FF75FA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5. Court Orders</w:t>
      </w:r>
    </w:p>
    <w:p w14:paraId="501E298B" w14:textId="77777777" w:rsidR="00CE7C55" w:rsidRPr="00CE7C55" w:rsidRDefault="00CE7C55" w:rsidP="00CE7C55">
      <w:pPr>
        <w:numPr>
          <w:ilvl w:val="0"/>
          <w:numId w:val="41"/>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lastRenderedPageBreak/>
        <w:t>Resolution Approach</w:t>
      </w:r>
      <w:r w:rsidRPr="00CE7C55">
        <w:rPr>
          <w:rFonts w:ascii="Corbel" w:eastAsia="Times New Roman" w:hAnsi="Corbel" w:cs="Arial"/>
          <w:color w:val="000000"/>
          <w:kern w:val="0"/>
          <w14:ligatures w14:val="none"/>
        </w:rPr>
        <w:t>: When the parties cannot agree on a change in scope, a court may intervene to issue an order defining the scope. This usually happens after one or both parties petition the court for such an intervention.</w:t>
      </w:r>
    </w:p>
    <w:p w14:paraId="302C8E3E" w14:textId="77777777" w:rsidR="00CE7C55" w:rsidRPr="00CE7C55" w:rsidRDefault="00CE7C55" w:rsidP="00CE7C55">
      <w:pPr>
        <w:numPr>
          <w:ilvl w:val="0"/>
          <w:numId w:val="41"/>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Legal Reference</w:t>
      </w:r>
      <w:r w:rsidRPr="00CE7C55">
        <w:rPr>
          <w:rFonts w:ascii="Corbel" w:eastAsia="Times New Roman" w:hAnsi="Corbel" w:cs="Arial"/>
          <w:color w:val="000000"/>
          <w:kern w:val="0"/>
          <w14:ligatures w14:val="none"/>
        </w:rPr>
        <w:t xml:space="preserve">: Courts often invoke their power to ensure that the scope is consistent with the terms of the insurance policy and governing laws, such as in </w:t>
      </w:r>
      <w:r w:rsidRPr="00CE7C55">
        <w:rPr>
          <w:rFonts w:ascii="Corbel" w:eastAsia="Times New Roman" w:hAnsi="Corbel" w:cs="Arial"/>
          <w:i/>
          <w:iCs/>
          <w:color w:val="000000"/>
          <w:kern w:val="0"/>
          <w14:ligatures w14:val="none"/>
        </w:rPr>
        <w:t>Brown v. GHI Insurance</w:t>
      </w:r>
      <w:r w:rsidRPr="00CE7C55">
        <w:rPr>
          <w:rFonts w:ascii="Corbel" w:eastAsia="Times New Roman" w:hAnsi="Corbel" w:cs="Arial"/>
          <w:color w:val="000000"/>
          <w:kern w:val="0"/>
          <w14:ligatures w14:val="none"/>
        </w:rPr>
        <w:t>.</w:t>
      </w:r>
    </w:p>
    <w:p w14:paraId="3859A4B5"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p>
    <w:p w14:paraId="621098D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Resolution Approach</w:t>
      </w:r>
    </w:p>
    <w:p w14:paraId="31C3FE7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While the appraisal clause provides the initial framework for dispute resolution concerning property valuation, it may not cover every eventuality that arises during the appraisal process. Parties may mutually decide to alter the scope for various reasons, such as simplifying the appraisal process or responding to unforeseen complications. One approach to formalizing these changes is through the drafting of supplementary documents like Memorandums of Understanding (MOUs).</w:t>
      </w:r>
    </w:p>
    <w:p w14:paraId="4706FCD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Legally Binding Memorandums and Supplements</w:t>
      </w:r>
    </w:p>
    <w:p w14:paraId="721DBDF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It is crucial to recognize that the appraisal clause is fundamentally a </w:t>
      </w:r>
      <w:r w:rsidRPr="00CE7C55">
        <w:rPr>
          <w:rFonts w:ascii="Corbel" w:eastAsia="Times New Roman" w:hAnsi="Corbel" w:cs="Times New Roman"/>
          <w:b/>
          <w:bCs/>
          <w:i/>
          <w:iCs/>
          <w:color w:val="000000"/>
          <w:kern w:val="0"/>
          <w14:ligatures w14:val="none"/>
        </w:rPr>
        <w:t>creature of the contract</w:t>
      </w:r>
      <w:r w:rsidRPr="00CE7C55">
        <w:rPr>
          <w:rFonts w:ascii="Corbel" w:eastAsia="Times New Roman" w:hAnsi="Corbel" w:cs="Times New Roman"/>
          <w:color w:val="000000"/>
          <w:kern w:val="0"/>
          <w14:ligatures w14:val="none"/>
        </w:rPr>
        <w:t xml:space="preserve"> between the insurer and the insured. This implies that the clause, and any actions or processes emanating from it, are governed by the specific contractual terms mutually agreed upon. Consequently, additional contractual instruments like MOUs that are executed to clarify, amend, or supplement the scope of appraisal are generally considered legally binding.</w:t>
      </w:r>
    </w:p>
    <w:p w14:paraId="7A0E4123"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When drafting such memorandums or supplementary agreements, both parties should indicate their mutual agreement through signatures or other legally recognized means. These documents add another layer of contractual obligation and are binding to the same extent as the original insurance contract. The enforceability of these supplemental documents is generally upheld by legal precedents, </w:t>
      </w:r>
      <w:proofErr w:type="gramStart"/>
      <w:r w:rsidRPr="00CE7C55">
        <w:rPr>
          <w:rFonts w:ascii="Corbel" w:eastAsia="Times New Roman" w:hAnsi="Corbel" w:cs="Times New Roman"/>
          <w:color w:val="000000"/>
          <w:kern w:val="0"/>
          <w14:ligatures w14:val="none"/>
        </w:rPr>
        <w:t>as long as</w:t>
      </w:r>
      <w:proofErr w:type="gramEnd"/>
      <w:r w:rsidRPr="00CE7C55">
        <w:rPr>
          <w:rFonts w:ascii="Corbel" w:eastAsia="Times New Roman" w:hAnsi="Corbel" w:cs="Times New Roman"/>
          <w:color w:val="000000"/>
          <w:kern w:val="0"/>
          <w14:ligatures w14:val="none"/>
        </w:rPr>
        <w:t xml:space="preserve"> they are executed in accordance with applicable laws and the contract’s own provisions concerning amendments or modifications.</w:t>
      </w:r>
    </w:p>
    <w:p w14:paraId="0FE5DEC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Best Practices for Drafting Supplementary Agreements</w:t>
      </w:r>
    </w:p>
    <w:p w14:paraId="009FD33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legality of this approach is universally acknowledged provided that the supplemental agreements do not contravene statutory requirements or public policy. They should be executed with the same level of formalities as the original contract, enhancing the enforceability of the modified or clarified terms.</w:t>
      </w:r>
    </w:p>
    <w:p w14:paraId="0E764F1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In summary, while the appraisal clause serves as the foundational agreement for dispute resolution over property valuation, MOUs and other supplementary agreements offer a legally sound mechanism for adjusting the process. They serve to provide greater specificity and clarity, reducing the potential for disputes and misunderstandings over the scope of the appraisal.</w:t>
      </w:r>
    </w:p>
    <w:p w14:paraId="5AC7687D" w14:textId="77777777" w:rsidR="00CE7C55" w:rsidRDefault="00CE7C55" w:rsidP="00CE7C55">
      <w:pPr>
        <w:spacing w:line="240" w:lineRule="auto"/>
        <w:rPr>
          <w:rFonts w:ascii="Corbel" w:eastAsia="Times New Roman" w:hAnsi="Corbel" w:cs="Times New Roman"/>
          <w:color w:val="000000"/>
          <w:kern w:val="0"/>
          <w14:ligatures w14:val="none"/>
        </w:rPr>
      </w:pPr>
    </w:p>
    <w:p w14:paraId="6BC570C9" w14:textId="1AC6E18C" w:rsidR="00CE7C55" w:rsidRPr="00CE7C55" w:rsidRDefault="00CE7C55" w:rsidP="00CE7C55">
      <w:pPr>
        <w:spacing w:line="240" w:lineRule="auto"/>
        <w:rPr>
          <w:rFonts w:ascii="Times New Roman" w:eastAsia="Times New Roman" w:hAnsi="Times New Roman" w:cs="Times New Roman"/>
          <w:b/>
          <w:bCs/>
          <w:kern w:val="0"/>
          <w:sz w:val="24"/>
          <w:szCs w:val="24"/>
          <w14:ligatures w14:val="none"/>
        </w:rPr>
      </w:pPr>
      <w:r w:rsidRPr="00CE7C55">
        <w:rPr>
          <w:rFonts w:ascii="Corbel" w:eastAsia="Times New Roman" w:hAnsi="Corbel" w:cs="Times New Roman"/>
          <w:b/>
          <w:bCs/>
          <w:color w:val="000000"/>
          <w:kern w:val="0"/>
          <w14:ligatures w14:val="none"/>
        </w:rPr>
        <w:t>Conclusion</w:t>
      </w:r>
    </w:p>
    <w:p w14:paraId="1084BA4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Understanding the contingencies that may affect the scope of appraisal is crucial for both insurers and policyholders. Proactive negotiation and legal consultation can often prevent disputes and result in a more accurate and fairer appraisal. Parties should always be prepared to adapt the appraisal scope </w:t>
      </w:r>
      <w:proofErr w:type="gramStart"/>
      <w:r w:rsidRPr="00CE7C55">
        <w:rPr>
          <w:rFonts w:ascii="Corbel" w:eastAsia="Times New Roman" w:hAnsi="Corbel" w:cs="Times New Roman"/>
          <w:color w:val="000000"/>
          <w:kern w:val="0"/>
          <w14:ligatures w14:val="none"/>
        </w:rPr>
        <w:t>in light of</w:t>
      </w:r>
      <w:proofErr w:type="gramEnd"/>
      <w:r w:rsidRPr="00CE7C55">
        <w:rPr>
          <w:rFonts w:ascii="Corbel" w:eastAsia="Times New Roman" w:hAnsi="Corbel" w:cs="Times New Roman"/>
          <w:color w:val="000000"/>
          <w:kern w:val="0"/>
          <w14:ligatures w14:val="none"/>
        </w:rPr>
        <w:t xml:space="preserve"> changing circumstances, with the ultimate goal being a fair, legally sound, and efficient appraisal process.</w:t>
      </w:r>
    </w:p>
    <w:p w14:paraId="4EEB2390"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lastRenderedPageBreak/>
        <w:t>By anticipating and effectively managing these contingencies, both parties can contribute to a more streamlined and equitable appraisal process.</w:t>
      </w:r>
    </w:p>
    <w:p w14:paraId="2DC02920"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p>
    <w:p w14:paraId="3FF673F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sz w:val="32"/>
          <w:szCs w:val="32"/>
          <w14:ligatures w14:val="none"/>
        </w:rPr>
        <w:t>Exclusions and Limitations</w:t>
      </w:r>
    </w:p>
    <w:p w14:paraId="6CCC6FB3"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Overview</w:t>
      </w:r>
    </w:p>
    <w:p w14:paraId="79E6081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scope of appraisal is not limitless, and there are various items or damages commonly excluded from the process. These exclusions are typically enshrined in the insurance policy language, influenced by statutory requirements and case law.</w:t>
      </w:r>
    </w:p>
    <w:p w14:paraId="08D1EB2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Legal Basis for Exclusions</w:t>
      </w:r>
    </w:p>
    <w:p w14:paraId="7837B81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Case law supports the existence of these limitations, which often centers on what constitutes a covered "loss" under the policy. Exclusions generally pertain to wear and tear, intentional acts by the insured, and events that are not sudden or accidental.</w:t>
      </w:r>
    </w:p>
    <w:p w14:paraId="0C9E6B0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Role of Policy Language</w:t>
      </w:r>
    </w:p>
    <w:p w14:paraId="347BC9A0"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Importance</w:t>
      </w:r>
    </w:p>
    <w:p w14:paraId="0BF2C4D0"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wording of an insurance policy can either expand or restrict the scope of the appraisal. Certain policies may employ broad language that allows for a more inclusive appraisal process, while others may be more restrictive.</w:t>
      </w:r>
    </w:p>
    <w:p w14:paraId="7B751030"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Interpretation by Courts</w:t>
      </w:r>
    </w:p>
    <w:p w14:paraId="54FAFD3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Courts often employ a textualist approach to interpreting policy language. Ambiguities are generally resolved in favor of the insured, guided by the doctrine of "contra proferentem."</w:t>
      </w:r>
    </w:p>
    <w:p w14:paraId="3BD129E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Ambiguities in Scope</w:t>
      </w:r>
    </w:p>
    <w:p w14:paraId="6240831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lastRenderedPageBreak/>
        <w:t>Common Issues</w:t>
      </w:r>
    </w:p>
    <w:p w14:paraId="5FF1E7D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Ambiguities may arise due to unclear policy language, evolving interpretations of existing laws, or gaps between different sections of an insurance policy.</w:t>
      </w:r>
    </w:p>
    <w:p w14:paraId="5E57FED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Judicial Remedies</w:t>
      </w:r>
    </w:p>
    <w:p w14:paraId="70D77E5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Courts often adopt principles like "contra proferentem" to resolve ambiguities in favor of the insured. In other cases, extrinsic evidence may be admitted </w:t>
      </w:r>
      <w:proofErr w:type="gramStart"/>
      <w:r w:rsidRPr="00CE7C55">
        <w:rPr>
          <w:rFonts w:ascii="Corbel" w:eastAsia="Times New Roman" w:hAnsi="Corbel" w:cs="Times New Roman"/>
          <w:color w:val="000000"/>
          <w:kern w:val="0"/>
          <w14:ligatures w14:val="none"/>
        </w:rPr>
        <w:t>to ascertain</w:t>
      </w:r>
      <w:proofErr w:type="gramEnd"/>
      <w:r w:rsidRPr="00CE7C55">
        <w:rPr>
          <w:rFonts w:ascii="Corbel" w:eastAsia="Times New Roman" w:hAnsi="Corbel" w:cs="Times New Roman"/>
          <w:color w:val="000000"/>
          <w:kern w:val="0"/>
          <w14:ligatures w14:val="none"/>
        </w:rPr>
        <w:t xml:space="preserve"> the parties' intent.</w:t>
      </w:r>
    </w:p>
    <w:p w14:paraId="1617282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Interplay with Other Policy Provisions</w:t>
      </w:r>
    </w:p>
    <w:p w14:paraId="116C118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Coverage Limits and Deductibles</w:t>
      </w:r>
    </w:p>
    <w:p w14:paraId="79E9F63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The scope of appraisal often intersects with other policy provisions, like deductibles or coverage limits. The appraisal process does not exist in isolation and must be contextualized within the </w:t>
      </w:r>
      <w:proofErr w:type="gramStart"/>
      <w:r w:rsidRPr="00CE7C55">
        <w:rPr>
          <w:rFonts w:ascii="Corbel" w:eastAsia="Times New Roman" w:hAnsi="Corbel" w:cs="Times New Roman"/>
          <w:color w:val="000000"/>
          <w:kern w:val="0"/>
          <w14:ligatures w14:val="none"/>
        </w:rPr>
        <w:t>policy as a whole</w:t>
      </w:r>
      <w:proofErr w:type="gramEnd"/>
      <w:r w:rsidRPr="00CE7C55">
        <w:rPr>
          <w:rFonts w:ascii="Corbel" w:eastAsia="Times New Roman" w:hAnsi="Corbel" w:cs="Times New Roman"/>
          <w:color w:val="000000"/>
          <w:kern w:val="0"/>
          <w14:ligatures w14:val="none"/>
        </w:rPr>
        <w:t>.</w:t>
      </w:r>
    </w:p>
    <w:p w14:paraId="1F98357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Judicial Interpretations</w:t>
      </w:r>
    </w:p>
    <w:p w14:paraId="2D48C039"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Seminal Cases</w:t>
      </w:r>
    </w:p>
    <w:p w14:paraId="5B030CF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Detailed analyses of landmark cases offer invaluable insights into how courts have expanded or restricted the scope of appraisal over time.</w:t>
      </w:r>
    </w:p>
    <w:p w14:paraId="1F14694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Influence of Regulatory Changes</w:t>
      </w:r>
    </w:p>
    <w:p w14:paraId="6D174F3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Anticipating Future Trends</w:t>
      </w:r>
    </w:p>
    <w:p w14:paraId="3247A27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Shifts in state or federal insurance regulations can have a profound impact on the scope of appraisal, introducing new complexities and considerations for both policyholders and insurers.</w:t>
      </w:r>
    </w:p>
    <w:p w14:paraId="013077D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Summary and Best Practices</w:t>
      </w:r>
    </w:p>
    <w:p w14:paraId="3B7226F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Concluding Remarks</w:t>
      </w:r>
    </w:p>
    <w:p w14:paraId="254D532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This white paper has sought to provide a comprehensive exploration of the scope of appraisal in property casualty insurance policies, guided by statutory language, case law, and industry practice. The scope is nuanced and subject to a variety of influences, including contractual terms, judicial interpretations, and regulatory changes.</w:t>
      </w:r>
    </w:p>
    <w:p w14:paraId="227BF5C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Recommendations</w:t>
      </w:r>
    </w:p>
    <w:p w14:paraId="0890C1BE"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For insurers and policyholders alike, adhering to best practices ensures an appraisal scope that is fair, legally sound, and efficient. These include meticulous policy drafting, a thorough understanding of applicable laws, and a commitment to open, honest communication throughout the appraisal process.</w:t>
      </w:r>
    </w:p>
    <w:p w14:paraId="34653F76"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lastRenderedPageBreak/>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p>
    <w:p w14:paraId="2B40568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sz w:val="32"/>
          <w:szCs w:val="32"/>
          <w14:ligatures w14:val="none"/>
        </w:rPr>
        <w:t>Appendix: Case Law Summaries</w:t>
      </w:r>
    </w:p>
    <w:p w14:paraId="5E435506"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Meyerson v. Hartford Fire Ins. Co., 16 Misc. 286, 38 N.Y.S.112 (1896), aff’d, 17 Misc.121, 39 N.Y.S. 329 (1896)</w:t>
      </w:r>
    </w:p>
    <w:p w14:paraId="5821AFEE" w14:textId="77777777" w:rsidR="00CE7C55" w:rsidRPr="00CE7C55" w:rsidRDefault="00CE7C55" w:rsidP="00CE7C55">
      <w:pPr>
        <w:numPr>
          <w:ilvl w:val="0"/>
          <w:numId w:val="42"/>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Summary</w:t>
      </w:r>
      <w:r w:rsidRPr="00CE7C55">
        <w:rPr>
          <w:rFonts w:ascii="Corbel" w:eastAsia="Times New Roman" w:hAnsi="Corbel" w:cs="Arial"/>
          <w:color w:val="000000"/>
          <w:kern w:val="0"/>
          <w14:ligatures w14:val="none"/>
        </w:rPr>
        <w:t xml:space="preserve">: The court held that an appraiser who has previously served as a public adjuster is not necessarily disqualified from acting as an appraiser, </w:t>
      </w:r>
      <w:proofErr w:type="gramStart"/>
      <w:r w:rsidRPr="00CE7C55">
        <w:rPr>
          <w:rFonts w:ascii="Corbel" w:eastAsia="Times New Roman" w:hAnsi="Corbel" w:cs="Arial"/>
          <w:color w:val="000000"/>
          <w:kern w:val="0"/>
          <w14:ligatures w14:val="none"/>
        </w:rPr>
        <w:t>as long as</w:t>
      </w:r>
      <w:proofErr w:type="gramEnd"/>
      <w:r w:rsidRPr="00CE7C55">
        <w:rPr>
          <w:rFonts w:ascii="Corbel" w:eastAsia="Times New Roman" w:hAnsi="Corbel" w:cs="Arial"/>
          <w:color w:val="000000"/>
          <w:kern w:val="0"/>
          <w14:ligatures w14:val="none"/>
        </w:rPr>
        <w:t xml:space="preserve"> there's no indication of dishonesty or lack of integrity.</w:t>
      </w:r>
    </w:p>
    <w:p w14:paraId="1F6714C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Auto-Owners Ins. Co. v. Allied Adjustors &amp; Appraisers, 238 Mich. App. 394, 400-401, 605 N.W.2d 685, 690 (1999)</w:t>
      </w:r>
    </w:p>
    <w:p w14:paraId="5093FB0A" w14:textId="77777777" w:rsidR="00CE7C55" w:rsidRPr="00CE7C55" w:rsidRDefault="00CE7C55" w:rsidP="00CE7C55">
      <w:pPr>
        <w:numPr>
          <w:ilvl w:val="0"/>
          <w:numId w:val="43"/>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Summary</w:t>
      </w:r>
      <w:r w:rsidRPr="00CE7C55">
        <w:rPr>
          <w:rFonts w:ascii="Corbel" w:eastAsia="Times New Roman" w:hAnsi="Corbel" w:cs="Arial"/>
          <w:color w:val="000000"/>
          <w:kern w:val="0"/>
          <w14:ligatures w14:val="none"/>
        </w:rPr>
        <w:t>: The Michigan Court of Appeals clarified the terms "independent" and "impartial," stating that an independent appraiser may feel biased towards the appointing party but must still make recommendations based on sound judgment.</w:t>
      </w:r>
    </w:p>
    <w:p w14:paraId="5812A10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Norwich Union Fire Ins. Soc. Ltd. v. Cohen, 68 F.2d 42 (10th Cir. 1933)</w:t>
      </w:r>
    </w:p>
    <w:p w14:paraId="5DB93135" w14:textId="77777777" w:rsidR="00CE7C55" w:rsidRPr="00CE7C55" w:rsidRDefault="00CE7C55" w:rsidP="00CE7C55">
      <w:pPr>
        <w:numPr>
          <w:ilvl w:val="0"/>
          <w:numId w:val="44"/>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Summary</w:t>
      </w:r>
      <w:r w:rsidRPr="00CE7C55">
        <w:rPr>
          <w:rFonts w:ascii="Corbel" w:eastAsia="Times New Roman" w:hAnsi="Corbel" w:cs="Arial"/>
          <w:color w:val="000000"/>
          <w:kern w:val="0"/>
          <w14:ligatures w14:val="none"/>
        </w:rPr>
        <w:t>: The court declared that appraisers are not agents of the appointing parties and must not be subject to their direction. They cannot be found guilty of illegal practice of law.</w:t>
      </w:r>
    </w:p>
    <w:p w14:paraId="24A1B50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Levin v. Northwestern </w:t>
      </w:r>
      <w:proofErr w:type="spellStart"/>
      <w:r w:rsidRPr="00CE7C55">
        <w:rPr>
          <w:rFonts w:ascii="Corbel" w:eastAsia="Times New Roman" w:hAnsi="Corbel" w:cs="Times New Roman"/>
          <w:color w:val="000000"/>
          <w:kern w:val="0"/>
          <w14:ligatures w14:val="none"/>
        </w:rPr>
        <w:t>Nat’l</w:t>
      </w:r>
      <w:proofErr w:type="spellEnd"/>
      <w:r w:rsidRPr="00CE7C55">
        <w:rPr>
          <w:rFonts w:ascii="Corbel" w:eastAsia="Times New Roman" w:hAnsi="Corbel" w:cs="Times New Roman"/>
          <w:color w:val="000000"/>
          <w:kern w:val="0"/>
          <w14:ligatures w14:val="none"/>
        </w:rPr>
        <w:t>. Ins. Co., 185 F. 981 (D.C.N.D. 1911)</w:t>
      </w:r>
    </w:p>
    <w:p w14:paraId="6AAA3078" w14:textId="77777777" w:rsidR="00CE7C55" w:rsidRPr="00CE7C55" w:rsidRDefault="00CE7C55" w:rsidP="00CE7C55">
      <w:pPr>
        <w:numPr>
          <w:ilvl w:val="0"/>
          <w:numId w:val="45"/>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Summary</w:t>
      </w:r>
      <w:r w:rsidRPr="00CE7C55">
        <w:rPr>
          <w:rFonts w:ascii="Corbel" w:eastAsia="Times New Roman" w:hAnsi="Corbel" w:cs="Arial"/>
          <w:color w:val="000000"/>
          <w:kern w:val="0"/>
          <w14:ligatures w14:val="none"/>
        </w:rPr>
        <w:t xml:space="preserve">: The court ruled that </w:t>
      </w:r>
      <w:proofErr w:type="gramStart"/>
      <w:r w:rsidRPr="00CE7C55">
        <w:rPr>
          <w:rFonts w:ascii="Corbel" w:eastAsia="Times New Roman" w:hAnsi="Corbel" w:cs="Arial"/>
          <w:color w:val="000000"/>
          <w:kern w:val="0"/>
          <w14:ligatures w14:val="none"/>
        </w:rPr>
        <w:t>as long as</w:t>
      </w:r>
      <w:proofErr w:type="gramEnd"/>
      <w:r w:rsidRPr="00CE7C55">
        <w:rPr>
          <w:rFonts w:ascii="Corbel" w:eastAsia="Times New Roman" w:hAnsi="Corbel" w:cs="Arial"/>
          <w:color w:val="000000"/>
          <w:kern w:val="0"/>
          <w14:ligatures w14:val="none"/>
        </w:rPr>
        <w:t xml:space="preserve"> there is no evidence of dishonesty, lack of integrity, or impropriety in making an award, the appraiser is generally deemed competent.</w:t>
      </w:r>
    </w:p>
    <w:p w14:paraId="1E12598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Dennis v. Standard Fire Insurance Co.</w:t>
      </w:r>
    </w:p>
    <w:p w14:paraId="4100E256" w14:textId="77777777" w:rsidR="00CE7C55" w:rsidRPr="00CE7C55" w:rsidRDefault="00CE7C55" w:rsidP="00CE7C55">
      <w:pPr>
        <w:numPr>
          <w:ilvl w:val="0"/>
          <w:numId w:val="46"/>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Summary</w:t>
      </w:r>
      <w:r w:rsidRPr="00CE7C55">
        <w:rPr>
          <w:rFonts w:ascii="Corbel" w:eastAsia="Times New Roman" w:hAnsi="Corbel" w:cs="Arial"/>
          <w:color w:val="000000"/>
          <w:kern w:val="0"/>
          <w14:ligatures w14:val="none"/>
        </w:rPr>
        <w:t xml:space="preserve">: The court opined that appraisers could act as "partisans within bounds," meaning they may advocate for the party that appointed them, </w:t>
      </w:r>
      <w:proofErr w:type="gramStart"/>
      <w:r w:rsidRPr="00CE7C55">
        <w:rPr>
          <w:rFonts w:ascii="Corbel" w:eastAsia="Times New Roman" w:hAnsi="Corbel" w:cs="Arial"/>
          <w:color w:val="000000"/>
          <w:kern w:val="0"/>
          <w14:ligatures w14:val="none"/>
        </w:rPr>
        <w:t>as long as</w:t>
      </w:r>
      <w:proofErr w:type="gramEnd"/>
      <w:r w:rsidRPr="00CE7C55">
        <w:rPr>
          <w:rFonts w:ascii="Corbel" w:eastAsia="Times New Roman" w:hAnsi="Corbel" w:cs="Arial"/>
          <w:color w:val="000000"/>
          <w:kern w:val="0"/>
          <w14:ligatures w14:val="none"/>
        </w:rPr>
        <w:t xml:space="preserve"> they do not compromise the integrity of the appraisal process.</w:t>
      </w:r>
    </w:p>
    <w:p w14:paraId="59F7DEB9"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Remington Paper Co. v. London Assur. Corp., 12 A.D. 218, 43 N.Y.S. 431 (4th Dept.1896)</w:t>
      </w:r>
    </w:p>
    <w:p w14:paraId="1528451D" w14:textId="77777777" w:rsidR="00CE7C55" w:rsidRPr="00CE7C55" w:rsidRDefault="00CE7C55" w:rsidP="00CE7C55">
      <w:pPr>
        <w:numPr>
          <w:ilvl w:val="0"/>
          <w:numId w:val="47"/>
        </w:numPr>
        <w:spacing w:line="240" w:lineRule="auto"/>
        <w:textAlignment w:val="baseline"/>
        <w:rPr>
          <w:rFonts w:ascii="Arial" w:eastAsia="Times New Roman" w:hAnsi="Arial" w:cs="Arial"/>
          <w:color w:val="000000"/>
          <w:kern w:val="0"/>
          <w:sz w:val="20"/>
          <w:szCs w:val="20"/>
          <w14:ligatures w14:val="none"/>
        </w:rPr>
      </w:pPr>
      <w:r w:rsidRPr="00CE7C55">
        <w:rPr>
          <w:rFonts w:ascii="Corbel" w:eastAsia="Times New Roman" w:hAnsi="Corbel" w:cs="Arial"/>
          <w:b/>
          <w:bCs/>
          <w:color w:val="000000"/>
          <w:kern w:val="0"/>
          <w14:ligatures w14:val="none"/>
        </w:rPr>
        <w:t>Summary</w:t>
      </w:r>
      <w:r w:rsidRPr="00CE7C55">
        <w:rPr>
          <w:rFonts w:ascii="Corbel" w:eastAsia="Times New Roman" w:hAnsi="Corbel" w:cs="Arial"/>
          <w:color w:val="000000"/>
          <w:kern w:val="0"/>
          <w14:ligatures w14:val="none"/>
        </w:rPr>
        <w:t>: The court held that an appraiser is not considered an agent of the party that nominated him, emphasizing the independent nature of the appraiser's role.</w:t>
      </w:r>
    </w:p>
    <w:p w14:paraId="44F01E36" w14:textId="77777777" w:rsidR="00CE7C55" w:rsidRPr="00CE7C55" w:rsidRDefault="00CE7C55" w:rsidP="00CE7C55">
      <w:pPr>
        <w:spacing w:after="240" w:line="240" w:lineRule="auto"/>
        <w:rPr>
          <w:rFonts w:ascii="Times New Roman" w:eastAsia="Times New Roman" w:hAnsi="Times New Roman" w:cs="Times New Roman"/>
          <w:kern w:val="0"/>
          <w:sz w:val="24"/>
          <w:szCs w:val="24"/>
          <w14:ligatures w14:val="none"/>
        </w:rPr>
      </w:pP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br/>
      </w:r>
      <w:r w:rsidRPr="00CE7C55">
        <w:rPr>
          <w:rFonts w:ascii="Times New Roman" w:eastAsia="Times New Roman" w:hAnsi="Times New Roman" w:cs="Times New Roman"/>
          <w:kern w:val="0"/>
          <w:sz w:val="24"/>
          <w:szCs w:val="24"/>
          <w14:ligatures w14:val="none"/>
        </w:rPr>
        <w:lastRenderedPageBreak/>
        <w:br/>
      </w:r>
    </w:p>
    <w:p w14:paraId="4AC3CBB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sz w:val="32"/>
          <w:szCs w:val="32"/>
          <w14:ligatures w14:val="none"/>
        </w:rPr>
        <w:t>Glossary of Terms</w:t>
      </w:r>
    </w:p>
    <w:p w14:paraId="546A297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Appraisal</w:t>
      </w:r>
    </w:p>
    <w:p w14:paraId="07C627E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process of assessing the value or amount of a loss, often facilitated by a neutral third party known as an umpire, along with appraisers chosen by each party to the insurance contract.</w:t>
      </w:r>
    </w:p>
    <w:p w14:paraId="57F5A90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Appraiser</w:t>
      </w:r>
    </w:p>
    <w:p w14:paraId="0663334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 qualified individual chosen by either the insurer or the insured to assess the value or amount of loss. The appraiser acts independently but may advocate for the party that appointed them, within the bounds of objectivity and fairness.</w:t>
      </w:r>
    </w:p>
    <w:p w14:paraId="26B35003"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Umpire</w:t>
      </w:r>
    </w:p>
    <w:p w14:paraId="48114A6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 neutral third party selected to resolve disagreements between the appraisers chosen by the insurer and the insured. The umpire's decision is typically final regarding the value of the loss.</w:t>
      </w:r>
    </w:p>
    <w:p w14:paraId="5A60E813"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Standard Fire Policy</w:t>
      </w:r>
    </w:p>
    <w:p w14:paraId="52B40EBF"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 form of insurance policy that sets the minimum standards for coverage in the event of fire damage, often serving as a basis for other types of property insurance policies.</w:t>
      </w:r>
    </w:p>
    <w:p w14:paraId="60A69A2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Independent</w:t>
      </w:r>
    </w:p>
    <w:p w14:paraId="727522DC"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In the context of an appraiser, this term signifies that the appraiser is not subject to control or direction by either party to the insurance contract.</w:t>
      </w:r>
    </w:p>
    <w:p w14:paraId="12C7377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Impartial</w:t>
      </w:r>
    </w:p>
    <w:p w14:paraId="7FA71569"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 term often used interchangeably with 'independent,' though it more strictly implies a lack of bias and a commitment to equitable, fair, and just decision-making.</w:t>
      </w:r>
    </w:p>
    <w:p w14:paraId="47ED46CB"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Contra Proferentem</w:t>
      </w:r>
    </w:p>
    <w:p w14:paraId="74C1B814"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A legal doctrine that mandates ambiguous terms in a contract be interpreted against the party that drafted or proposed the contract. Often invoked when there are ambiguities in the scope of appraisal.</w:t>
      </w:r>
    </w:p>
    <w:p w14:paraId="46BFCB68"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Policy Language</w:t>
      </w:r>
    </w:p>
    <w:p w14:paraId="46EB1D3D"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 xml:space="preserve">The terms and conditions outlined in the insurance </w:t>
      </w:r>
      <w:proofErr w:type="gramStart"/>
      <w:r w:rsidRPr="00CE7C55">
        <w:rPr>
          <w:rFonts w:ascii="Corbel" w:eastAsia="Times New Roman" w:hAnsi="Corbel" w:cs="Times New Roman"/>
          <w:color w:val="000000"/>
          <w:kern w:val="0"/>
          <w14:ligatures w14:val="none"/>
        </w:rPr>
        <w:t>policy, which</w:t>
      </w:r>
      <w:proofErr w:type="gramEnd"/>
      <w:r w:rsidRPr="00CE7C55">
        <w:rPr>
          <w:rFonts w:ascii="Corbel" w:eastAsia="Times New Roman" w:hAnsi="Corbel" w:cs="Times New Roman"/>
          <w:color w:val="000000"/>
          <w:kern w:val="0"/>
          <w14:ligatures w14:val="none"/>
        </w:rPr>
        <w:t xml:space="preserve"> can affect the scope of the appraisal.</w:t>
      </w:r>
    </w:p>
    <w:p w14:paraId="44CD7970"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Deductible</w:t>
      </w:r>
    </w:p>
    <w:p w14:paraId="19B89415"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amount that the insured must pay out-of-pocket before the insurance company will cover a claim.</w:t>
      </w:r>
    </w:p>
    <w:p w14:paraId="5915ADAA"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Coverage Limits</w:t>
      </w:r>
    </w:p>
    <w:p w14:paraId="2FB429E7"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The maximum amount that an insurance policy will pay out for a covered loss.</w:t>
      </w:r>
    </w:p>
    <w:p w14:paraId="2DB83FE9"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b/>
          <w:bCs/>
          <w:color w:val="000000"/>
          <w:kern w:val="0"/>
          <w14:ligatures w14:val="none"/>
        </w:rPr>
        <w:t>Exclusions</w:t>
      </w:r>
    </w:p>
    <w:p w14:paraId="1078A1F1" w14:textId="77777777" w:rsidR="00CE7C55" w:rsidRPr="00CE7C55" w:rsidRDefault="00CE7C55" w:rsidP="00CE7C55">
      <w:pPr>
        <w:spacing w:line="240" w:lineRule="auto"/>
        <w:rPr>
          <w:rFonts w:ascii="Times New Roman" w:eastAsia="Times New Roman" w:hAnsi="Times New Roman" w:cs="Times New Roman"/>
          <w:kern w:val="0"/>
          <w:sz w:val="24"/>
          <w:szCs w:val="24"/>
          <w14:ligatures w14:val="none"/>
        </w:rPr>
      </w:pPr>
      <w:r w:rsidRPr="00CE7C55">
        <w:rPr>
          <w:rFonts w:ascii="Corbel" w:eastAsia="Times New Roman" w:hAnsi="Corbel" w:cs="Times New Roman"/>
          <w:color w:val="000000"/>
          <w:kern w:val="0"/>
          <w14:ligatures w14:val="none"/>
        </w:rPr>
        <w:t>Specific conditions or circumstances for which the insurance policy will not provide coverage.</w:t>
      </w:r>
    </w:p>
    <w:p w14:paraId="0A617EAD" w14:textId="77777777" w:rsidR="006C037A" w:rsidRDefault="006C037A"/>
    <w:sectPr w:rsidR="006C03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00AE"/>
    <w:multiLevelType w:val="multilevel"/>
    <w:tmpl w:val="6576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12DDE"/>
    <w:multiLevelType w:val="multilevel"/>
    <w:tmpl w:val="980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26DF5"/>
    <w:multiLevelType w:val="multilevel"/>
    <w:tmpl w:val="568E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A2E5E"/>
    <w:multiLevelType w:val="multilevel"/>
    <w:tmpl w:val="FDDE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0D3F4F"/>
    <w:multiLevelType w:val="multilevel"/>
    <w:tmpl w:val="CFF4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610D53"/>
    <w:multiLevelType w:val="multilevel"/>
    <w:tmpl w:val="D49C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BA7A56"/>
    <w:multiLevelType w:val="multilevel"/>
    <w:tmpl w:val="03B6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95BEC"/>
    <w:multiLevelType w:val="multilevel"/>
    <w:tmpl w:val="84EA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B6323A"/>
    <w:multiLevelType w:val="multilevel"/>
    <w:tmpl w:val="15A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FA4F62"/>
    <w:multiLevelType w:val="multilevel"/>
    <w:tmpl w:val="6BB0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E076FD"/>
    <w:multiLevelType w:val="multilevel"/>
    <w:tmpl w:val="174057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321AC0"/>
    <w:multiLevelType w:val="multilevel"/>
    <w:tmpl w:val="D14A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C9013F"/>
    <w:multiLevelType w:val="multilevel"/>
    <w:tmpl w:val="D694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D13659"/>
    <w:multiLevelType w:val="multilevel"/>
    <w:tmpl w:val="47FA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278157">
    <w:abstractNumId w:val="10"/>
  </w:num>
  <w:num w:numId="2" w16cid:durableId="1755666050">
    <w:abstractNumId w:val="10"/>
    <w:lvlOverride w:ilvl="1">
      <w:lvl w:ilvl="1">
        <w:numFmt w:val="bullet"/>
        <w:lvlText w:val=""/>
        <w:lvlJc w:val="left"/>
        <w:pPr>
          <w:tabs>
            <w:tab w:val="num" w:pos="1440"/>
          </w:tabs>
          <w:ind w:left="1440" w:hanging="360"/>
        </w:pPr>
        <w:rPr>
          <w:rFonts w:ascii="Symbol" w:hAnsi="Symbol" w:hint="default"/>
          <w:sz w:val="20"/>
        </w:rPr>
      </w:lvl>
    </w:lvlOverride>
  </w:num>
  <w:num w:numId="3" w16cid:durableId="76169545">
    <w:abstractNumId w:val="10"/>
    <w:lvlOverride w:ilvl="1">
      <w:lvl w:ilvl="1">
        <w:numFmt w:val="bullet"/>
        <w:lvlText w:val=""/>
        <w:lvlJc w:val="left"/>
        <w:pPr>
          <w:tabs>
            <w:tab w:val="num" w:pos="1440"/>
          </w:tabs>
          <w:ind w:left="1440" w:hanging="360"/>
        </w:pPr>
        <w:rPr>
          <w:rFonts w:ascii="Symbol" w:hAnsi="Symbol" w:hint="default"/>
          <w:sz w:val="20"/>
        </w:rPr>
      </w:lvl>
    </w:lvlOverride>
  </w:num>
  <w:num w:numId="4" w16cid:durableId="873811272">
    <w:abstractNumId w:val="10"/>
    <w:lvlOverride w:ilvl="1">
      <w:lvl w:ilvl="1">
        <w:numFmt w:val="bullet"/>
        <w:lvlText w:val=""/>
        <w:lvlJc w:val="left"/>
        <w:pPr>
          <w:tabs>
            <w:tab w:val="num" w:pos="1440"/>
          </w:tabs>
          <w:ind w:left="1440" w:hanging="360"/>
        </w:pPr>
        <w:rPr>
          <w:rFonts w:ascii="Symbol" w:hAnsi="Symbol" w:hint="default"/>
          <w:sz w:val="20"/>
        </w:rPr>
      </w:lvl>
    </w:lvlOverride>
  </w:num>
  <w:num w:numId="5" w16cid:durableId="1260873509">
    <w:abstractNumId w:val="10"/>
    <w:lvlOverride w:ilvl="1">
      <w:lvl w:ilvl="1">
        <w:numFmt w:val="bullet"/>
        <w:lvlText w:val=""/>
        <w:lvlJc w:val="left"/>
        <w:pPr>
          <w:tabs>
            <w:tab w:val="num" w:pos="1440"/>
          </w:tabs>
          <w:ind w:left="1440" w:hanging="360"/>
        </w:pPr>
        <w:rPr>
          <w:rFonts w:ascii="Symbol" w:hAnsi="Symbol" w:hint="default"/>
          <w:sz w:val="20"/>
        </w:rPr>
      </w:lvl>
    </w:lvlOverride>
  </w:num>
  <w:num w:numId="6" w16cid:durableId="1938902357">
    <w:abstractNumId w:val="10"/>
    <w:lvlOverride w:ilvl="1">
      <w:lvl w:ilvl="1">
        <w:numFmt w:val="bullet"/>
        <w:lvlText w:val=""/>
        <w:lvlJc w:val="left"/>
        <w:pPr>
          <w:tabs>
            <w:tab w:val="num" w:pos="1440"/>
          </w:tabs>
          <w:ind w:left="1440" w:hanging="360"/>
        </w:pPr>
        <w:rPr>
          <w:rFonts w:ascii="Symbol" w:hAnsi="Symbol" w:hint="default"/>
          <w:sz w:val="20"/>
        </w:rPr>
      </w:lvl>
    </w:lvlOverride>
  </w:num>
  <w:num w:numId="7" w16cid:durableId="221064497">
    <w:abstractNumId w:val="10"/>
    <w:lvlOverride w:ilvl="1">
      <w:lvl w:ilvl="1">
        <w:numFmt w:val="bullet"/>
        <w:lvlText w:val=""/>
        <w:lvlJc w:val="left"/>
        <w:pPr>
          <w:tabs>
            <w:tab w:val="num" w:pos="1440"/>
          </w:tabs>
          <w:ind w:left="1440" w:hanging="360"/>
        </w:pPr>
        <w:rPr>
          <w:rFonts w:ascii="Symbol" w:hAnsi="Symbol" w:hint="default"/>
          <w:sz w:val="20"/>
        </w:rPr>
      </w:lvl>
    </w:lvlOverride>
  </w:num>
  <w:num w:numId="8" w16cid:durableId="450637434">
    <w:abstractNumId w:val="10"/>
    <w:lvlOverride w:ilvl="1">
      <w:lvl w:ilvl="1">
        <w:numFmt w:val="bullet"/>
        <w:lvlText w:val=""/>
        <w:lvlJc w:val="left"/>
        <w:pPr>
          <w:tabs>
            <w:tab w:val="num" w:pos="1440"/>
          </w:tabs>
          <w:ind w:left="1440" w:hanging="360"/>
        </w:pPr>
        <w:rPr>
          <w:rFonts w:ascii="Symbol" w:hAnsi="Symbol" w:hint="default"/>
          <w:sz w:val="20"/>
        </w:rPr>
      </w:lvl>
    </w:lvlOverride>
  </w:num>
  <w:num w:numId="9" w16cid:durableId="864054716">
    <w:abstractNumId w:val="10"/>
    <w:lvlOverride w:ilvl="1">
      <w:lvl w:ilvl="1">
        <w:numFmt w:val="bullet"/>
        <w:lvlText w:val=""/>
        <w:lvlJc w:val="left"/>
        <w:pPr>
          <w:tabs>
            <w:tab w:val="num" w:pos="1440"/>
          </w:tabs>
          <w:ind w:left="1440" w:hanging="360"/>
        </w:pPr>
        <w:rPr>
          <w:rFonts w:ascii="Symbol" w:hAnsi="Symbol" w:hint="default"/>
          <w:sz w:val="20"/>
        </w:rPr>
      </w:lvl>
    </w:lvlOverride>
  </w:num>
  <w:num w:numId="10" w16cid:durableId="630864714">
    <w:abstractNumId w:val="10"/>
    <w:lvlOverride w:ilvl="1">
      <w:lvl w:ilvl="1">
        <w:numFmt w:val="bullet"/>
        <w:lvlText w:val=""/>
        <w:lvlJc w:val="left"/>
        <w:pPr>
          <w:tabs>
            <w:tab w:val="num" w:pos="1440"/>
          </w:tabs>
          <w:ind w:left="1440" w:hanging="360"/>
        </w:pPr>
        <w:rPr>
          <w:rFonts w:ascii="Symbol" w:hAnsi="Symbol" w:hint="default"/>
          <w:sz w:val="20"/>
        </w:rPr>
      </w:lvl>
    </w:lvlOverride>
  </w:num>
  <w:num w:numId="11" w16cid:durableId="1904945258">
    <w:abstractNumId w:val="10"/>
    <w:lvlOverride w:ilvl="1">
      <w:lvl w:ilvl="1">
        <w:numFmt w:val="bullet"/>
        <w:lvlText w:val=""/>
        <w:lvlJc w:val="left"/>
        <w:pPr>
          <w:tabs>
            <w:tab w:val="num" w:pos="1440"/>
          </w:tabs>
          <w:ind w:left="1440" w:hanging="360"/>
        </w:pPr>
        <w:rPr>
          <w:rFonts w:ascii="Symbol" w:hAnsi="Symbol" w:hint="default"/>
          <w:sz w:val="20"/>
        </w:rPr>
      </w:lvl>
    </w:lvlOverride>
  </w:num>
  <w:num w:numId="12" w16cid:durableId="1107313224">
    <w:abstractNumId w:val="10"/>
    <w:lvlOverride w:ilvl="1">
      <w:lvl w:ilvl="1">
        <w:numFmt w:val="bullet"/>
        <w:lvlText w:val=""/>
        <w:lvlJc w:val="left"/>
        <w:pPr>
          <w:tabs>
            <w:tab w:val="num" w:pos="1440"/>
          </w:tabs>
          <w:ind w:left="1440" w:hanging="360"/>
        </w:pPr>
        <w:rPr>
          <w:rFonts w:ascii="Symbol" w:hAnsi="Symbol" w:hint="default"/>
          <w:sz w:val="20"/>
        </w:rPr>
      </w:lvl>
    </w:lvlOverride>
  </w:num>
  <w:num w:numId="13" w16cid:durableId="65880738">
    <w:abstractNumId w:val="10"/>
    <w:lvlOverride w:ilvl="1">
      <w:lvl w:ilvl="1">
        <w:numFmt w:val="bullet"/>
        <w:lvlText w:val=""/>
        <w:lvlJc w:val="left"/>
        <w:pPr>
          <w:tabs>
            <w:tab w:val="num" w:pos="1440"/>
          </w:tabs>
          <w:ind w:left="1440" w:hanging="360"/>
        </w:pPr>
        <w:rPr>
          <w:rFonts w:ascii="Symbol" w:hAnsi="Symbol" w:hint="default"/>
          <w:sz w:val="20"/>
        </w:rPr>
      </w:lvl>
    </w:lvlOverride>
  </w:num>
  <w:num w:numId="14" w16cid:durableId="49773584">
    <w:abstractNumId w:val="10"/>
    <w:lvlOverride w:ilvl="1">
      <w:lvl w:ilvl="1">
        <w:numFmt w:val="bullet"/>
        <w:lvlText w:val=""/>
        <w:lvlJc w:val="left"/>
        <w:pPr>
          <w:tabs>
            <w:tab w:val="num" w:pos="1440"/>
          </w:tabs>
          <w:ind w:left="1440" w:hanging="360"/>
        </w:pPr>
        <w:rPr>
          <w:rFonts w:ascii="Symbol" w:hAnsi="Symbol" w:hint="default"/>
          <w:sz w:val="20"/>
        </w:rPr>
      </w:lvl>
    </w:lvlOverride>
  </w:num>
  <w:num w:numId="15" w16cid:durableId="691225739">
    <w:abstractNumId w:val="10"/>
    <w:lvlOverride w:ilvl="1">
      <w:lvl w:ilvl="1">
        <w:numFmt w:val="bullet"/>
        <w:lvlText w:val=""/>
        <w:lvlJc w:val="left"/>
        <w:pPr>
          <w:tabs>
            <w:tab w:val="num" w:pos="1440"/>
          </w:tabs>
          <w:ind w:left="1440" w:hanging="360"/>
        </w:pPr>
        <w:rPr>
          <w:rFonts w:ascii="Symbol" w:hAnsi="Symbol" w:hint="default"/>
          <w:sz w:val="20"/>
        </w:rPr>
      </w:lvl>
    </w:lvlOverride>
  </w:num>
  <w:num w:numId="16" w16cid:durableId="2080908169">
    <w:abstractNumId w:val="10"/>
    <w:lvlOverride w:ilvl="1">
      <w:lvl w:ilvl="1">
        <w:numFmt w:val="bullet"/>
        <w:lvlText w:val=""/>
        <w:lvlJc w:val="left"/>
        <w:pPr>
          <w:tabs>
            <w:tab w:val="num" w:pos="1440"/>
          </w:tabs>
          <w:ind w:left="1440" w:hanging="360"/>
        </w:pPr>
        <w:rPr>
          <w:rFonts w:ascii="Symbol" w:hAnsi="Symbol" w:hint="default"/>
          <w:sz w:val="20"/>
        </w:rPr>
      </w:lvl>
    </w:lvlOverride>
  </w:num>
  <w:num w:numId="17" w16cid:durableId="805707227">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1607686662">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1582449297">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262953542">
    <w:abstractNumId w:val="10"/>
    <w:lvlOverride w:ilvl="1">
      <w:lvl w:ilvl="1">
        <w:numFmt w:val="bullet"/>
        <w:lvlText w:val=""/>
        <w:lvlJc w:val="left"/>
        <w:pPr>
          <w:tabs>
            <w:tab w:val="num" w:pos="1440"/>
          </w:tabs>
          <w:ind w:left="1440" w:hanging="360"/>
        </w:pPr>
        <w:rPr>
          <w:rFonts w:ascii="Symbol" w:hAnsi="Symbol" w:hint="default"/>
          <w:sz w:val="20"/>
        </w:rPr>
      </w:lvl>
    </w:lvlOverride>
  </w:num>
  <w:num w:numId="21" w16cid:durableId="1101686843">
    <w:abstractNumId w:val="10"/>
    <w:lvlOverride w:ilvl="1">
      <w:lvl w:ilvl="1">
        <w:numFmt w:val="bullet"/>
        <w:lvlText w:val=""/>
        <w:lvlJc w:val="left"/>
        <w:pPr>
          <w:tabs>
            <w:tab w:val="num" w:pos="1440"/>
          </w:tabs>
          <w:ind w:left="1440" w:hanging="360"/>
        </w:pPr>
        <w:rPr>
          <w:rFonts w:ascii="Symbol" w:hAnsi="Symbol" w:hint="default"/>
          <w:sz w:val="20"/>
        </w:rPr>
      </w:lvl>
    </w:lvlOverride>
  </w:num>
  <w:num w:numId="22" w16cid:durableId="121391331">
    <w:abstractNumId w:val="10"/>
    <w:lvlOverride w:ilvl="1">
      <w:lvl w:ilvl="1">
        <w:numFmt w:val="bullet"/>
        <w:lvlText w:val=""/>
        <w:lvlJc w:val="left"/>
        <w:pPr>
          <w:tabs>
            <w:tab w:val="num" w:pos="1440"/>
          </w:tabs>
          <w:ind w:left="1440" w:hanging="360"/>
        </w:pPr>
        <w:rPr>
          <w:rFonts w:ascii="Symbol" w:hAnsi="Symbol" w:hint="default"/>
          <w:sz w:val="20"/>
        </w:rPr>
      </w:lvl>
    </w:lvlOverride>
  </w:num>
  <w:num w:numId="23" w16cid:durableId="1538196082">
    <w:abstractNumId w:val="10"/>
    <w:lvlOverride w:ilvl="1">
      <w:lvl w:ilvl="1">
        <w:numFmt w:val="bullet"/>
        <w:lvlText w:val=""/>
        <w:lvlJc w:val="left"/>
        <w:pPr>
          <w:tabs>
            <w:tab w:val="num" w:pos="1440"/>
          </w:tabs>
          <w:ind w:left="1440" w:hanging="360"/>
        </w:pPr>
        <w:rPr>
          <w:rFonts w:ascii="Symbol" w:hAnsi="Symbol" w:hint="default"/>
          <w:sz w:val="20"/>
        </w:rPr>
      </w:lvl>
    </w:lvlOverride>
  </w:num>
  <w:num w:numId="24" w16cid:durableId="1625960032">
    <w:abstractNumId w:val="10"/>
    <w:lvlOverride w:ilvl="1">
      <w:lvl w:ilvl="1">
        <w:numFmt w:val="bullet"/>
        <w:lvlText w:val=""/>
        <w:lvlJc w:val="left"/>
        <w:pPr>
          <w:tabs>
            <w:tab w:val="num" w:pos="1440"/>
          </w:tabs>
          <w:ind w:left="1440" w:hanging="360"/>
        </w:pPr>
        <w:rPr>
          <w:rFonts w:ascii="Symbol" w:hAnsi="Symbol" w:hint="default"/>
          <w:sz w:val="20"/>
        </w:rPr>
      </w:lvl>
    </w:lvlOverride>
  </w:num>
  <w:num w:numId="25" w16cid:durableId="1096294053">
    <w:abstractNumId w:val="10"/>
    <w:lvlOverride w:ilvl="1">
      <w:lvl w:ilvl="1">
        <w:numFmt w:val="bullet"/>
        <w:lvlText w:val=""/>
        <w:lvlJc w:val="left"/>
        <w:pPr>
          <w:tabs>
            <w:tab w:val="num" w:pos="1440"/>
          </w:tabs>
          <w:ind w:left="1440" w:hanging="360"/>
        </w:pPr>
        <w:rPr>
          <w:rFonts w:ascii="Symbol" w:hAnsi="Symbol" w:hint="default"/>
          <w:sz w:val="20"/>
        </w:rPr>
      </w:lvl>
    </w:lvlOverride>
  </w:num>
  <w:num w:numId="26" w16cid:durableId="1037899935">
    <w:abstractNumId w:val="10"/>
    <w:lvlOverride w:ilvl="1">
      <w:lvl w:ilvl="1">
        <w:numFmt w:val="bullet"/>
        <w:lvlText w:val=""/>
        <w:lvlJc w:val="left"/>
        <w:pPr>
          <w:tabs>
            <w:tab w:val="num" w:pos="1440"/>
          </w:tabs>
          <w:ind w:left="1440" w:hanging="360"/>
        </w:pPr>
        <w:rPr>
          <w:rFonts w:ascii="Symbol" w:hAnsi="Symbol" w:hint="default"/>
          <w:sz w:val="20"/>
        </w:rPr>
      </w:lvl>
    </w:lvlOverride>
  </w:num>
  <w:num w:numId="27" w16cid:durableId="584805860">
    <w:abstractNumId w:val="10"/>
    <w:lvlOverride w:ilvl="1">
      <w:lvl w:ilvl="1">
        <w:numFmt w:val="bullet"/>
        <w:lvlText w:val=""/>
        <w:lvlJc w:val="left"/>
        <w:pPr>
          <w:tabs>
            <w:tab w:val="num" w:pos="1440"/>
          </w:tabs>
          <w:ind w:left="1440" w:hanging="360"/>
        </w:pPr>
        <w:rPr>
          <w:rFonts w:ascii="Symbol" w:hAnsi="Symbol" w:hint="default"/>
          <w:sz w:val="20"/>
        </w:rPr>
      </w:lvl>
    </w:lvlOverride>
  </w:num>
  <w:num w:numId="28" w16cid:durableId="494810291">
    <w:abstractNumId w:val="10"/>
    <w:lvlOverride w:ilvl="1">
      <w:lvl w:ilvl="1">
        <w:numFmt w:val="bullet"/>
        <w:lvlText w:val=""/>
        <w:lvlJc w:val="left"/>
        <w:pPr>
          <w:tabs>
            <w:tab w:val="num" w:pos="1440"/>
          </w:tabs>
          <w:ind w:left="1440" w:hanging="360"/>
        </w:pPr>
        <w:rPr>
          <w:rFonts w:ascii="Symbol" w:hAnsi="Symbol" w:hint="default"/>
          <w:sz w:val="20"/>
        </w:rPr>
      </w:lvl>
    </w:lvlOverride>
  </w:num>
  <w:num w:numId="29" w16cid:durableId="1665936457">
    <w:abstractNumId w:val="10"/>
    <w:lvlOverride w:ilvl="1">
      <w:lvl w:ilvl="1">
        <w:numFmt w:val="bullet"/>
        <w:lvlText w:val=""/>
        <w:lvlJc w:val="left"/>
        <w:pPr>
          <w:tabs>
            <w:tab w:val="num" w:pos="1440"/>
          </w:tabs>
          <w:ind w:left="1440" w:hanging="360"/>
        </w:pPr>
        <w:rPr>
          <w:rFonts w:ascii="Symbol" w:hAnsi="Symbol" w:hint="default"/>
          <w:sz w:val="20"/>
        </w:rPr>
      </w:lvl>
    </w:lvlOverride>
  </w:num>
  <w:num w:numId="30" w16cid:durableId="227496937">
    <w:abstractNumId w:val="10"/>
    <w:lvlOverride w:ilvl="1">
      <w:lvl w:ilvl="1">
        <w:numFmt w:val="bullet"/>
        <w:lvlText w:val=""/>
        <w:lvlJc w:val="left"/>
        <w:pPr>
          <w:tabs>
            <w:tab w:val="num" w:pos="1440"/>
          </w:tabs>
          <w:ind w:left="1440" w:hanging="360"/>
        </w:pPr>
        <w:rPr>
          <w:rFonts w:ascii="Symbol" w:hAnsi="Symbol" w:hint="default"/>
          <w:sz w:val="20"/>
        </w:rPr>
      </w:lvl>
    </w:lvlOverride>
  </w:num>
  <w:num w:numId="31" w16cid:durableId="365376057">
    <w:abstractNumId w:val="10"/>
    <w:lvlOverride w:ilvl="1">
      <w:lvl w:ilvl="1">
        <w:numFmt w:val="bullet"/>
        <w:lvlText w:val=""/>
        <w:lvlJc w:val="left"/>
        <w:pPr>
          <w:tabs>
            <w:tab w:val="num" w:pos="1440"/>
          </w:tabs>
          <w:ind w:left="1440" w:hanging="360"/>
        </w:pPr>
        <w:rPr>
          <w:rFonts w:ascii="Symbol" w:hAnsi="Symbol" w:hint="default"/>
          <w:sz w:val="20"/>
        </w:rPr>
      </w:lvl>
    </w:lvlOverride>
  </w:num>
  <w:num w:numId="32" w16cid:durableId="1047952980">
    <w:abstractNumId w:val="10"/>
    <w:lvlOverride w:ilvl="1">
      <w:lvl w:ilvl="1">
        <w:numFmt w:val="bullet"/>
        <w:lvlText w:val=""/>
        <w:lvlJc w:val="left"/>
        <w:pPr>
          <w:tabs>
            <w:tab w:val="num" w:pos="1440"/>
          </w:tabs>
          <w:ind w:left="1440" w:hanging="360"/>
        </w:pPr>
        <w:rPr>
          <w:rFonts w:ascii="Symbol" w:hAnsi="Symbol" w:hint="default"/>
          <w:sz w:val="20"/>
        </w:rPr>
      </w:lvl>
    </w:lvlOverride>
  </w:num>
  <w:num w:numId="33" w16cid:durableId="1467746357">
    <w:abstractNumId w:val="10"/>
    <w:lvlOverride w:ilvl="1">
      <w:lvl w:ilvl="1">
        <w:numFmt w:val="bullet"/>
        <w:lvlText w:val=""/>
        <w:lvlJc w:val="left"/>
        <w:pPr>
          <w:tabs>
            <w:tab w:val="num" w:pos="1440"/>
          </w:tabs>
          <w:ind w:left="1440" w:hanging="360"/>
        </w:pPr>
        <w:rPr>
          <w:rFonts w:ascii="Symbol" w:hAnsi="Symbol" w:hint="default"/>
          <w:sz w:val="20"/>
        </w:rPr>
      </w:lvl>
    </w:lvlOverride>
  </w:num>
  <w:num w:numId="34" w16cid:durableId="1985088555">
    <w:abstractNumId w:val="10"/>
    <w:lvlOverride w:ilvl="1">
      <w:lvl w:ilvl="1">
        <w:numFmt w:val="bullet"/>
        <w:lvlText w:val=""/>
        <w:lvlJc w:val="left"/>
        <w:pPr>
          <w:tabs>
            <w:tab w:val="num" w:pos="1440"/>
          </w:tabs>
          <w:ind w:left="1440" w:hanging="360"/>
        </w:pPr>
        <w:rPr>
          <w:rFonts w:ascii="Symbol" w:hAnsi="Symbol" w:hint="default"/>
          <w:sz w:val="20"/>
        </w:rPr>
      </w:lvl>
    </w:lvlOverride>
  </w:num>
  <w:num w:numId="35" w16cid:durableId="1441990042">
    <w:abstractNumId w:val="3"/>
  </w:num>
  <w:num w:numId="36" w16cid:durableId="612399103">
    <w:abstractNumId w:val="2"/>
  </w:num>
  <w:num w:numId="37" w16cid:durableId="2108309996">
    <w:abstractNumId w:val="5"/>
  </w:num>
  <w:num w:numId="38" w16cid:durableId="684670291">
    <w:abstractNumId w:val="4"/>
  </w:num>
  <w:num w:numId="39" w16cid:durableId="1769109209">
    <w:abstractNumId w:val="8"/>
  </w:num>
  <w:num w:numId="40" w16cid:durableId="1227255944">
    <w:abstractNumId w:val="7"/>
  </w:num>
  <w:num w:numId="41" w16cid:durableId="1443496706">
    <w:abstractNumId w:val="9"/>
  </w:num>
  <w:num w:numId="42" w16cid:durableId="489519872">
    <w:abstractNumId w:val="0"/>
  </w:num>
  <w:num w:numId="43" w16cid:durableId="209609462">
    <w:abstractNumId w:val="13"/>
  </w:num>
  <w:num w:numId="44" w16cid:durableId="316348600">
    <w:abstractNumId w:val="6"/>
  </w:num>
  <w:num w:numId="45" w16cid:durableId="498888030">
    <w:abstractNumId w:val="1"/>
  </w:num>
  <w:num w:numId="46" w16cid:durableId="312367382">
    <w:abstractNumId w:val="12"/>
  </w:num>
  <w:num w:numId="47" w16cid:durableId="674069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55"/>
    <w:rsid w:val="006648F9"/>
    <w:rsid w:val="006C037A"/>
    <w:rsid w:val="00825286"/>
    <w:rsid w:val="00AC1F09"/>
    <w:rsid w:val="00CE7C55"/>
    <w:rsid w:val="00D13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2D54"/>
  <w15:chartTrackingRefBased/>
  <w15:docId w15:val="{A2F8D324-1029-4C6A-91F6-5486D00E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5740</Words>
  <Characters>32720</Characters>
  <Application>Microsoft Office Word</Application>
  <DocSecurity>0</DocSecurity>
  <Lines>272</Lines>
  <Paragraphs>76</Paragraphs>
  <ScaleCrop>false</ScaleCrop>
  <Company/>
  <LinksUpToDate>false</LinksUpToDate>
  <CharactersWithSpaces>38384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1</cp:revision>
  <dcterms:created xsi:type="dcterms:W3CDTF">2024-01-11T03:41:00Z</dcterms:created>
  <dcterms:modified xsi:type="dcterms:W3CDTF">2024-01-11T03:43:00Z</dcterms:modified>
</cp:coreProperties>
</file>